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2030" w:lineRule="exact"/>
        <w:ind w:left="38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1408176" cy="12893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8176" cy="1289303"/>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2" w:right="2423" w:firstLine="0"/>
        <w:jc w:val="center"/>
        <w:rPr>
          <w:rFonts w:ascii="宋体" w:hAnsi="宋体" w:cs="宋体" w:eastAsia="宋体" w:hint="default"/>
          <w:sz w:val="36"/>
          <w:szCs w:val="36"/>
        </w:rPr>
      </w:pPr>
      <w:r>
        <w:rPr>
          <w:rFonts w:ascii="宋体" w:hAnsi="宋体" w:cs="宋体" w:eastAsia="宋体" w:hint="default"/>
          <w:b/>
          <w:bCs/>
          <w:sz w:val="36"/>
          <w:szCs w:val="36"/>
        </w:rPr>
        <w:t>卫宁健康科技集团股份有限公司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1"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48"/>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4"/>
        <w:ind w:left="152" w:right="149"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52"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公司负责人周炜、主管会计工作负责人王利及会计机构负责人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奚冰声明：保证年度报告中财务报告的真实、准确、完整。</w:t>
      </w:r>
      <w:r>
        <w:rPr>
          <w:rFonts w:ascii="宋体" w:hAnsi="宋体" w:cs="宋体" w:eastAsia="宋体" w:hint="default"/>
          <w:sz w:val="28"/>
          <w:szCs w:val="28"/>
        </w:rPr>
      </w:r>
    </w:p>
    <w:p>
      <w:pPr>
        <w:spacing w:line="472" w:lineRule="auto" w:before="148"/>
        <w:ind w:left="714" w:right="148"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本报告中所涉及的未来计划、发展战略等前瞻性描述，均不构成公司对任</w:t>
      </w:r>
      <w:r>
        <w:rPr>
          <w:rFonts w:ascii="宋体" w:hAnsi="宋体" w:cs="宋体" w:eastAsia="宋体" w:hint="default"/>
          <w:spacing w:val="2"/>
          <w:sz w:val="28"/>
          <w:szCs w:val="28"/>
        </w:rPr>
      </w:r>
    </w:p>
    <w:p>
      <w:pPr>
        <w:spacing w:line="408" w:lineRule="auto" w:before="0"/>
        <w:ind w:left="152" w:right="148" w:firstLine="0"/>
        <w:jc w:val="left"/>
        <w:rPr>
          <w:rFonts w:ascii="宋体" w:hAnsi="宋体" w:cs="宋体" w:eastAsia="宋体" w:hint="default"/>
          <w:sz w:val="28"/>
          <w:szCs w:val="28"/>
        </w:rPr>
      </w:pPr>
      <w:r>
        <w:rPr>
          <w:rFonts w:ascii="宋体" w:hAnsi="宋体" w:cs="宋体" w:eastAsia="宋体" w:hint="default"/>
          <w:b/>
          <w:bCs/>
          <w:spacing w:val="2"/>
          <w:sz w:val="28"/>
          <w:szCs w:val="28"/>
        </w:rPr>
        <w:t>何投资者及相关人士的实质承诺，投资者及相关人士均应对此保持足够认识，</w:t>
      </w:r>
      <w:r>
        <w:rPr>
          <w:rFonts w:ascii="宋体" w:hAnsi="宋体" w:cs="宋体" w:eastAsia="宋体" w:hint="default"/>
          <w:b/>
          <w:bCs/>
          <w:w w:val="99"/>
          <w:sz w:val="28"/>
          <w:szCs w:val="28"/>
        </w:rPr>
        <w:t> </w:t>
      </w:r>
      <w:r>
        <w:rPr>
          <w:rFonts w:ascii="宋体" w:hAnsi="宋体" w:cs="宋体" w:eastAsia="宋体" w:hint="default"/>
          <w:b/>
          <w:bCs/>
          <w:sz w:val="28"/>
          <w:szCs w:val="28"/>
        </w:rPr>
        <w:t>并且应当理解计划、预测与承诺之间的差异。</w:t>
      </w:r>
      <w:r>
        <w:rPr>
          <w:rFonts w:ascii="宋体" w:hAnsi="宋体" w:cs="宋体" w:eastAsia="宋体" w:hint="default"/>
          <w:sz w:val="28"/>
          <w:szCs w:val="28"/>
        </w:rPr>
      </w:r>
    </w:p>
    <w:p>
      <w:pPr>
        <w:spacing w:line="398" w:lineRule="auto" w:before="162"/>
        <w:ind w:left="152" w:right="152"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管理层讨论与分析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分，详细描述了公司经营中可能存在的风险及应对措施，敬请投资者关注相关</w:t>
      </w:r>
      <w:r>
        <w:rPr>
          <w:rFonts w:ascii="宋体" w:hAnsi="宋体" w:cs="宋体" w:eastAsia="宋体" w:hint="default"/>
          <w:b/>
          <w:bCs/>
          <w:w w:val="99"/>
          <w:sz w:val="28"/>
          <w:szCs w:val="28"/>
        </w:rPr>
        <w:t> </w:t>
      </w:r>
      <w:r>
        <w:rPr>
          <w:rFonts w:ascii="宋体" w:hAnsi="宋体" w:cs="宋体" w:eastAsia="宋体" w:hint="default"/>
          <w:b/>
          <w:bCs/>
          <w:sz w:val="28"/>
          <w:szCs w:val="28"/>
        </w:rPr>
        <w:t>内容。</w:t>
      </w:r>
      <w:r>
        <w:rPr>
          <w:rFonts w:ascii="宋体" w:hAnsi="宋体" w:cs="宋体" w:eastAsia="宋体" w:hint="default"/>
          <w:sz w:val="28"/>
          <w:szCs w:val="28"/>
        </w:rPr>
      </w:r>
    </w:p>
    <w:p>
      <w:pPr>
        <w:spacing w:before="17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57"/>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年</w:t>
      </w:r>
      <w:r>
        <w:rPr>
          <w:rFonts w:ascii="宋体" w:hAnsi="宋体" w:cs="宋体" w:eastAsia="宋体" w:hint="default"/>
          <w:b/>
          <w:bCs/>
          <w:spacing w:val="-56"/>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月</w:t>
      </w:r>
      <w:r>
        <w:rPr>
          <w:rFonts w:ascii="宋体" w:hAnsi="宋体" w:cs="宋体" w:eastAsia="宋体" w:hint="default"/>
          <w:b/>
          <w:bCs/>
          <w:spacing w:val="-58"/>
          <w:sz w:val="28"/>
          <w:szCs w:val="28"/>
        </w:rPr>
        <w:t> </w:t>
      </w:r>
      <w:r>
        <w:rPr>
          <w:rFonts w:ascii="Times New Roman" w:hAnsi="Times New Roman" w:cs="Times New Roman" w:eastAsia="Times New Roman" w:hint="default"/>
          <w:b/>
          <w:bCs/>
          <w:sz w:val="28"/>
          <w:szCs w:val="28"/>
        </w:rPr>
        <w:t>24</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日总股</w:t>
      </w:r>
      <w:r>
        <w:rPr>
          <w:rFonts w:ascii="宋体" w:hAnsi="宋体" w:cs="宋体" w:eastAsia="宋体" w:hint="default"/>
          <w:sz w:val="28"/>
          <w:szCs w:val="28"/>
        </w:rPr>
      </w:r>
    </w:p>
    <w:p>
      <w:pPr>
        <w:spacing w:line="386" w:lineRule="auto" w:before="236"/>
        <w:ind w:left="152" w:right="139" w:firstLine="0"/>
        <w:jc w:val="left"/>
        <w:rPr>
          <w:rFonts w:ascii="宋体" w:hAnsi="宋体" w:cs="宋体" w:eastAsia="宋体" w:hint="default"/>
          <w:sz w:val="28"/>
          <w:szCs w:val="28"/>
        </w:rPr>
      </w:pPr>
      <w:r>
        <w:rPr>
          <w:rFonts w:ascii="宋体" w:hAnsi="宋体" w:cs="宋体" w:eastAsia="宋体" w:hint="default"/>
          <w:b/>
          <w:bCs/>
          <w:w w:val="99"/>
          <w:sz w:val="28"/>
          <w:szCs w:val="28"/>
        </w:rPr>
        <w:t>本</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0"/>
          <w:sz w:val="28"/>
          <w:szCs w:val="28"/>
        </w:rPr>
        <w:t>58</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spacing w:val="1"/>
          <w:w w:val="100"/>
          <w:sz w:val="28"/>
          <w:szCs w:val="28"/>
        </w:rPr>
        <w:t>3</w:t>
      </w:r>
      <w:r>
        <w:rPr>
          <w:rFonts w:ascii="Times New Roman" w:hAnsi="Times New Roman" w:cs="Times New Roman" w:eastAsia="Times New Roman" w:hint="default"/>
          <w:b/>
          <w:bCs/>
          <w:w w:val="100"/>
          <w:sz w:val="28"/>
          <w:szCs w:val="28"/>
        </w:rPr>
        <w:t>06</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spacing w:val="1"/>
          <w:w w:val="100"/>
          <w:sz w:val="28"/>
          <w:szCs w:val="28"/>
        </w:rPr>
        <w:t>6</w:t>
      </w:r>
      <w:r>
        <w:rPr>
          <w:rFonts w:ascii="Times New Roman" w:hAnsi="Times New Roman" w:cs="Times New Roman" w:eastAsia="Times New Roman" w:hint="default"/>
          <w:b/>
          <w:bCs/>
          <w:w w:val="100"/>
          <w:sz w:val="28"/>
          <w:szCs w:val="28"/>
        </w:rPr>
        <w:t>96</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股为基数</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w w:val="99"/>
          <w:sz w:val="28"/>
          <w:szCs w:val="28"/>
        </w:rPr>
        <w:t> </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公积金向全体股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1"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422" w:right="242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0"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9780" w:val="right" w:leader="dot"/>
            </w:tabs>
            <w:spacing w:line="240" w:lineRule="auto" w:before="101"/>
            <w:ind w:right="0"/>
            <w:jc w:val="left"/>
            <w:rPr>
              <w:rFonts w:ascii="Times New Roman" w:hAnsi="Times New Roman" w:cs="Times New Roman" w:eastAsia="Times New Roman" w:hint="default"/>
            </w:rPr>
          </w:pPr>
          <w:hyperlink w:history="true" w:anchor="_TOC_250008">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3"/>
              </w:rPr>
              <w:t>11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32</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52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59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60</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TOC_250002">
            <w:r>
              <w:rPr/>
              <w:t>第九节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67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73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166</w:t>
            </w:r>
          </w:hyperlink>
        </w:p>
        <w:p>
          <w:pPr/>
          <w:r>
            <w:fldChar w:fldCharType="end"/>
          </w:r>
        </w:p>
      </w:sdtContent>
    </w:sdt>
    <w:p>
      <w:pPr>
        <w:spacing w:after="0"/>
        <w:sectPr>
          <w:pgSz w:w="11910" w:h="16840"/>
          <w:pgMar w:header="745" w:footer="981" w:top="1060" w:bottom="1180" w:left="980" w:right="980"/>
        </w:sectPr>
      </w:pPr>
    </w:p>
    <w:p>
      <w:pPr>
        <w:spacing w:before="944"/>
        <w:ind w:left="2422" w:right="242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7"/>
              <w:jc w:val="left"/>
              <w:rPr>
                <w:rFonts w:ascii="宋体" w:hAnsi="宋体" w:cs="宋体" w:eastAsia="宋体" w:hint="default"/>
                <w:sz w:val="18"/>
                <w:szCs w:val="18"/>
              </w:rPr>
            </w:pPr>
            <w:r>
              <w:rPr>
                <w:rFonts w:ascii="宋体" w:hAnsi="宋体" w:cs="宋体" w:eastAsia="宋体" w:hint="default"/>
                <w:sz w:val="18"/>
                <w:szCs w:val="18"/>
              </w:rPr>
              <w:t>本公司、公司、股份公司、卫宁软件、卫宁 健康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2"/>
                <w:sz w:val="18"/>
                <w:szCs w:val="18"/>
              </w:rPr>
              <w:t>卫宁健康科技集团股份有限公司、上海金仕达卫宁软件股份有限公司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周炜、王英夫妇</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会计师、华普天健</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律师、上海广发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上海市广发律师事务所</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公司全资子公司、江苏金仕达卫宁软件有限公司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公司全资子公司、西安金仕达卫宁软件有限公司</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2"/>
                <w:sz w:val="18"/>
                <w:szCs w:val="18"/>
              </w:rPr>
              <w:t>公司全资子公司、山西金仕达卫宁软件科技有限公司、山西导通信息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杭州东联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公司全资子公司、杭州东联软件有限公司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浙江万鼎</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公司控股子公司、浙江万鼎信息技术有限公司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卫宁科技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公司控股子公司、上海金仕达卫宁软件科技有限公司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宇信网景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公司控股子公司、北京宇信网景信息技术有限公司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公司控股子公司、新疆金仕达卫宁软件有限公司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上海天健</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公司控股子公司、上海天健源达信息科技有限公司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公司控股子公司、重庆金仕达卫宁软件有限公司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公司控股子公司、黑龙江金仕达卫宁软件有限公司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公司控股子公司、宁波金仕达卫宁软件有限公司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津微首佳</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公司控股孙公司、天津津微首佳软件技术有限公司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卫宁健康科技集团股份有限公司股东大会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卫宁健康科技集团股份有限公司董事会</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卫宁健康科技集团股份有限公司监事会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《卫宁健康科技集团股份有限公司章程》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ind w:left="2641" w:right="148"/>
        <w:jc w:val="left"/>
        <w:rPr>
          <w:b w:val="0"/>
          <w:bCs w:val="0"/>
        </w:rPr>
      </w:pPr>
      <w:bookmarkStart w:name="_TOC_250009" w:id="2"/>
      <w:r>
        <w:rPr/>
        <w:t>第二节</w:t>
      </w:r>
      <w:r>
        <w:rPr>
          <w:spacing w:val="-6"/>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8"/>
        <w:jc w:val="left"/>
        <w:rPr>
          <w:b w:val="0"/>
          <w:bCs w:val="0"/>
        </w:rPr>
      </w:pPr>
      <w:r>
        <w:rPr/>
        <w:pict>
          <v:group style="position:absolute;margin-left:171.119995pt;margin-top:114.669609pt;width:363.75pt;height:19.7pt;mso-position-horizontal-relative:page;mso-position-vertical-relative:paragraph;z-index:-988768" coordorigin="3422,2293" coordsize="7275,394">
            <v:group style="position:absolute;left:10675;top:2293;width:22;height:394" coordorigin="10675,2293" coordsize="22,394">
              <v:shape style="position:absolute;left:10675;top:2293;width:22;height:394" coordorigin="10675,2293" coordsize="22,394" path="m10675,2687l10697,2687,10697,2293,10675,2293,10675,2687xe" filled="true" fillcolor="#ffffff" stroked="false">
                <v:path arrowok="t"/>
                <v:fill type="solid"/>
              </v:shape>
            </v:group>
            <v:group style="position:absolute;left:3422;top:2293;width:24;height:394" coordorigin="3422,2293" coordsize="24,394">
              <v:shape style="position:absolute;left:3422;top:2293;width:24;height:394" coordorigin="3422,2293" coordsize="24,394" path="m3422,2687l3446,2687,3446,2293,3422,2293,3422,2687xe" filled="true" fillcolor="#ffffff" stroked="false">
                <v:path arrowok="t"/>
                <v:fill type="solid"/>
              </v:shape>
            </v:group>
            <v:group style="position:absolute;left:3446;top:2293;width:7229;height:394" coordorigin="3446,2293" coordsize="7229,394">
              <v:shape style="position:absolute;left:3446;top:2293;width:7229;height:394" coordorigin="3446,2293" coordsize="7229,394" path="m3446,2293l10675,2293,10675,2687,3446,2687,3446,2293xe" filled="true" fillcolor="#ffffff" stroked="false">
                <v:path arrowok="t"/>
                <v:fill type="solid"/>
              </v:shape>
            </v:group>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300253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Winning Health Technology Group</w:t>
            </w:r>
            <w:r>
              <w:rPr>
                <w:rFonts w:ascii="Times New Roman"/>
                <w:spacing w:val="-31"/>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Winning</w:t>
            </w:r>
            <w:r>
              <w:rPr>
                <w:rFonts w:ascii="Times New Roman"/>
                <w:spacing w:val="-9"/>
                <w:sz w:val="18"/>
              </w:rPr>
              <w:t> </w:t>
            </w:r>
            <w:r>
              <w:rPr>
                <w:rFonts w:ascii="Times New Roman"/>
                <w:sz w:val="18"/>
              </w:rPr>
              <w:t>Health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上海市浦东新区上南路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258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200124</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上海市广中西路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号宝华中心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200072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www.winning.com.cn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8"/>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徐子同</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上海市广中西路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号宝华中心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上海市广中西路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号宝华中心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021-26018382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021-26018382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021-26018347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021-26018347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8"/>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48"/>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t>公司聘请的会计师事务所</w:t>
      </w:r>
    </w:p>
    <w:p>
      <w:pPr>
        <w:spacing w:after="0" w:line="240" w:lineRule="auto"/>
        <w:jc w:val="left"/>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920-926</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王殷，欧维义，朱艺伟</w:t>
            </w:r>
          </w:p>
        </w:tc>
      </w:tr>
    </w:tbl>
    <w:p>
      <w:pPr>
        <w:pStyle w:val="BodyText"/>
        <w:spacing w:line="240" w:lineRule="auto" w:before="49"/>
        <w:ind w:right="148"/>
        <w:jc w:val="left"/>
      </w:pPr>
      <w:r>
        <w:rPr/>
        <w:t>公司聘请的报告期内履行持续督导职责的保荐机构</w:t>
      </w:r>
    </w:p>
    <w:p>
      <w:pPr>
        <w:pStyle w:val="BodyText"/>
        <w:spacing w:line="340" w:lineRule="auto" w:before="114"/>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t>公司是否因会计政策变更及会计差错更正等追溯调整或重述以前年度会计数据</w:t>
      </w:r>
    </w:p>
    <w:p>
      <w:pPr>
        <w:pStyle w:val="BodyText"/>
        <w:spacing w:line="240" w:lineRule="auto" w:before="117"/>
        <w:ind w:right="1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753,157,662.57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491,411,568.18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348,827,862.85</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152,503,714.77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120,971,589.46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80,604,028.76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138,995,208.38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112,014,767.70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70,368,673.18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79,460,076.12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42,834,953.96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50,148,115.16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0.2783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0.152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0.2754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0.148</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14.15%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1,734,855,038.92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1,218,023,556.32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741,311,570.83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1,013,215,303.52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768,191,384.34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627,941,095.62</w:t>
            </w:r>
          </w:p>
        </w:tc>
      </w:tr>
    </w:tbl>
    <w:p>
      <w:pPr>
        <w:spacing w:line="240" w:lineRule="auto" w:before="1"/>
        <w:rPr>
          <w:rFonts w:ascii="宋体" w:hAnsi="宋体" w:cs="宋体" w:eastAsia="宋体" w:hint="default"/>
          <w:sz w:val="18"/>
          <w:szCs w:val="18"/>
        </w:rPr>
      </w:pPr>
    </w:p>
    <w:p>
      <w:pPr>
        <w:pStyle w:val="Heading2"/>
        <w:spacing w:line="240" w:lineRule="auto" w:before="26"/>
        <w:ind w:right="148"/>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96,545,156.56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167,602,874.25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172,648,372.81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316,361,258.95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17,027,357.82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41,447,439.08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31,127,823.48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62,901,094.39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15,681,239.30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37,258,697.51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31,245,956.56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54,809,315.01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-56,069,486.92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-19,715,232.47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-38,252,539.32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193,497,334.83</w:t>
            </w:r>
          </w:p>
        </w:tc>
      </w:tr>
    </w:tbl>
    <w:p>
      <w:pPr>
        <w:pStyle w:val="BodyText"/>
        <w:spacing w:line="240" w:lineRule="auto" w:before="49"/>
        <w:ind w:right="148"/>
        <w:jc w:val="left"/>
      </w:pPr>
      <w:r>
        <w:rPr/>
        <w:t>上述财务指标或其加总数是否与公司已披露季度报告、半年度报告相关财务指标存在重大差异</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2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48"/>
        <w:jc w:val="left"/>
        <w:rPr>
          <w:b w:val="0"/>
          <w:bCs w:val="0"/>
        </w:rPr>
      </w:pPr>
      <w:r>
        <w:rPr/>
        <w:t>八、非经常性损益项目及金额</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-72,165.05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-89,222.50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-328,204.02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16,214,704.12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10,393,272.00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12,474,863.37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20,944.00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237,063.63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252,412.61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4,564.13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2,485,789.59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1,599,745.26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1,910,145.09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406,250.72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5,722.81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13,508,506.39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8,956,821.76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10,235,355.58</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49"/>
        <w:ind w:right="149" w:firstLine="360"/>
        <w:jc w:val="both"/>
      </w:pPr>
      <w:r>
        <w:rPr/>
        <w:t>对公司根据《公开发行证券的公司信息披露解释性公告第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r>
        <w:rPr/>
        <w:t> </w:t>
      </w:r>
      <w:r>
        <w:rPr>
          <w:spacing w:val="-2"/>
        </w:rPr>
        <w:t>把《公开发行证券的公司信息披露解释性公告第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70"/>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49" w:firstLine="360"/>
        <w:jc w:val="both"/>
      </w:pPr>
      <w:r>
        <w:rPr/>
        <w:t>公司报告期不存在将根据《公开发行证券的公司信息披露解释性公告第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0" w:lineRule="auto"/>
        <w:jc w:val="both"/>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47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right="93"/>
        <w:jc w:val="left"/>
        <w:rPr>
          <w:b w:val="0"/>
          <w:bCs w:val="0"/>
        </w:rPr>
      </w:pPr>
      <w:r>
        <w:rPr/>
        <w:t>（一）主要业务及经营模式</w:t>
      </w:r>
      <w:r>
        <w:rPr>
          <w:b w:val="0"/>
          <w:bCs w:val="0"/>
        </w:rPr>
      </w:r>
    </w:p>
    <w:p>
      <w:pPr>
        <w:pStyle w:val="BodyText"/>
        <w:spacing w:line="316" w:lineRule="auto" w:before="76"/>
        <w:ind w:right="93" w:firstLine="360"/>
        <w:jc w:val="left"/>
      </w:pPr>
      <w:r>
        <w:rPr/>
        <w:t>公司自成立至今一直集研发、销售和技术服务为一体，为客户提供</w:t>
      </w:r>
      <w:r>
        <w:rPr>
          <w:spacing w:val="2"/>
        </w:rPr>
        <w:t> </w:t>
      </w:r>
      <w:r>
        <w:rPr/>
        <w:t>“一体化”解决方案，是国内领先的医疗信息化解</w:t>
      </w:r>
      <w:r>
        <w:rPr/>
        <w:t> </w:t>
      </w:r>
      <w:r>
        <w:rPr>
          <w:spacing w:val="-2"/>
        </w:rPr>
        <w:t>决方案供应商。公司服务内容覆盖医疗信息系统的全生命周期，为客户提供信息化顶层设计与规划咨询、应用软件开发、系</w:t>
      </w:r>
      <w:r>
        <w:rPr>
          <w:spacing w:val="-64"/>
        </w:rPr>
        <w:t> </w:t>
      </w:r>
      <w:r>
        <w:rPr>
          <w:spacing w:val="-64"/>
        </w:rPr>
      </w:r>
      <w:r>
        <w:rPr>
          <w:spacing w:val="-4"/>
        </w:rPr>
        <w:t>统建设、运维服务和运营服务等全方位专业服务。产品和服务广泛应用于医院、卫生院、社会卫生服务中心（站）、门诊部、</w:t>
      </w:r>
      <w:r>
        <w:rPr>
          <w:spacing w:val="-41"/>
        </w:rPr>
        <w:t> </w:t>
      </w:r>
      <w:r>
        <w:rPr>
          <w:spacing w:val="-41"/>
        </w:rPr>
      </w:r>
      <w:r>
        <w:rPr>
          <w:spacing w:val="-2"/>
        </w:rPr>
        <w:t>妇幼保健院、专科疾病防治机构、疾病预防控投中心、各级医疗卫生行政管理机构等医疗卫生机构，是公司业务收入的主要</w:t>
      </w:r>
      <w:r>
        <w:rPr>
          <w:spacing w:val="-64"/>
        </w:rPr>
        <w:t> </w:t>
      </w:r>
      <w:r>
        <w:rPr>
          <w:spacing w:val="-64"/>
        </w:rPr>
      </w:r>
      <w:r>
        <w:rPr/>
        <w:t>来源。</w:t>
      </w:r>
    </w:p>
    <w:p>
      <w:pPr>
        <w:pStyle w:val="BodyText"/>
        <w:spacing w:line="300" w:lineRule="auto" w:before="18"/>
        <w:ind w:right="189" w:firstLine="360"/>
        <w:jc w:val="both"/>
      </w:pPr>
      <w:r>
        <w:rPr/>
        <w:t>报告期内，公司在快速发展传统医疗卫生信息化业务的同时，积极布局互联网</w:t>
      </w:r>
      <w:r>
        <w:rPr>
          <w:rFonts w:ascii="Times New Roman" w:hAnsi="Times New Roman" w:cs="Times New Roman" w:eastAsia="Times New Roman" w:hint="default"/>
        </w:rPr>
        <w:t>+</w:t>
      </w:r>
      <w:r>
        <w:rPr/>
        <w:t>健康服务业务，推动互联网</w:t>
      </w:r>
      <w:r>
        <w:rPr>
          <w:rFonts w:ascii="Times New Roman" w:hAnsi="Times New Roman" w:cs="Times New Roman" w:eastAsia="Times New Roman" w:hint="default"/>
        </w:rPr>
        <w:t>+</w:t>
      </w:r>
      <w:r>
        <w:rPr/>
        <w:t>模式下的 医疗健康云服务的发展，创新和践行公司“</w:t>
      </w:r>
      <w:r>
        <w:rPr>
          <w:rFonts w:ascii="Times New Roman" w:hAnsi="Times New Roman" w:cs="Times New Roman" w:eastAsia="Times New Roman" w:hint="default"/>
        </w:rPr>
        <w:t>4+1</w:t>
      </w:r>
      <w:r>
        <w:rPr/>
        <w:t>”战略（云医、云康、云险、云药</w:t>
      </w:r>
      <w:r>
        <w:rPr>
          <w:rFonts w:ascii="Times New Roman" w:hAnsi="Times New Roman" w:cs="Times New Roman" w:eastAsia="Times New Roman" w:hint="default"/>
        </w:rPr>
        <w:t>+</w:t>
      </w:r>
      <w:r>
        <w:rPr/>
        <w:t>创新服务平台）。今后，公司将采用双</w:t>
      </w:r>
      <w:r>
        <w:rPr>
          <w:spacing w:val="-27"/>
        </w:rPr>
        <w:t> </w:t>
      </w:r>
      <w:r>
        <w:rPr>
          <w:spacing w:val="-27"/>
        </w:rPr>
      </w:r>
      <w:r>
        <w:rPr/>
        <w:t>轮驱动模型，一是传统的医疗卫生信息化业务，另一个是创新的互联网</w:t>
      </w:r>
      <w:r>
        <w:rPr>
          <w:rFonts w:ascii="Times New Roman" w:hAnsi="Times New Roman" w:cs="Times New Roman" w:eastAsia="Times New Roman" w:hint="default"/>
        </w:rPr>
        <w:t>+</w:t>
      </w:r>
      <w:r>
        <w:rPr/>
        <w:t>健康服务业务，二轮互为补充，协调发展，传统的 医疗卫生信息化业务是基础，公司将通过内生式发展和外延式扩张的方式，持续强化其优势；创新的互联网</w:t>
      </w:r>
      <w:r>
        <w:rPr>
          <w:rFonts w:ascii="Times New Roman" w:hAnsi="Times New Roman" w:cs="Times New Roman" w:eastAsia="Times New Roman" w:hint="default"/>
        </w:rPr>
        <w:t>+</w:t>
      </w:r>
      <w:r>
        <w:rPr/>
        <w:t>健康服务业务 是提升，公司将通过传统业务庞大的用户群体和对用户业务及健康服务业的深度理解，加之线上线下联动结合互联网</w:t>
      </w:r>
      <w:r>
        <w:rPr>
          <w:rFonts w:ascii="Times New Roman" w:hAnsi="Times New Roman" w:cs="Times New Roman" w:eastAsia="Times New Roman" w:hint="default"/>
        </w:rPr>
        <w:t>+</w:t>
      </w:r>
      <w:r>
        <w:rPr/>
        <w:t>方法 的实施，实现公司持续、稳定、健康的发展。</w:t>
      </w:r>
    </w:p>
    <w:p>
      <w:pPr>
        <w:pStyle w:val="BodyText"/>
        <w:spacing w:line="316" w:lineRule="auto" w:before="31"/>
        <w:ind w:right="189" w:firstLine="360"/>
        <w:jc w:val="both"/>
      </w:pPr>
      <w:r>
        <w:rPr>
          <w:spacing w:val="-2"/>
        </w:rPr>
        <w:t>公司拥有独立完整的采购、研发、销售模式，根据市场需求及自身情况，独立进行生产经营活动。公司在保持传统的经</w:t>
      </w:r>
      <w:r>
        <w:rPr/>
        <w:t> </w:t>
      </w:r>
      <w:r>
        <w:rPr>
          <w:spacing w:val="-2"/>
        </w:rPr>
        <w:t>营模式基础上，积极探索新产品的销售模式，有效利用自身资源积极寻求外延式发展战略，实现公司资源整合最优化，确保</w:t>
      </w:r>
      <w:r>
        <w:rPr>
          <w:spacing w:val="-64"/>
        </w:rPr>
        <w:t> </w:t>
      </w:r>
      <w:r>
        <w:rPr>
          <w:spacing w:val="-64"/>
        </w:rPr>
      </w:r>
      <w:r>
        <w:rPr/>
        <w:t>公司持续快速发展。</w:t>
      </w:r>
    </w:p>
    <w:p>
      <w:pPr>
        <w:pStyle w:val="BodyText"/>
        <w:spacing w:line="240" w:lineRule="auto" w:before="18"/>
        <w:ind w:left="512" w:right="93"/>
        <w:jc w:val="left"/>
      </w:pPr>
      <w:r>
        <w:rPr/>
        <w:t>各类产品具体业绩情况详见本报告“第四节</w:t>
      </w:r>
      <w:r>
        <w:rPr>
          <w:spacing w:val="-18"/>
        </w:rPr>
        <w:t> </w:t>
      </w:r>
      <w:r>
        <w:rPr/>
        <w:t>管理层讨论与分析”中“二、主营业务分析”。</w:t>
      </w:r>
    </w:p>
    <w:p>
      <w:pPr>
        <w:pStyle w:val="Heading4"/>
        <w:spacing w:line="240" w:lineRule="auto"/>
        <w:ind w:right="93"/>
        <w:jc w:val="left"/>
        <w:rPr>
          <w:b w:val="0"/>
          <w:bCs w:val="0"/>
        </w:rPr>
      </w:pPr>
      <w:r>
        <w:rPr/>
        <w:t>（二）公司所处行业的发展趋势</w:t>
      </w:r>
      <w:r>
        <w:rPr>
          <w:b w:val="0"/>
          <w:bCs w:val="0"/>
        </w:rPr>
      </w:r>
    </w:p>
    <w:p>
      <w:pPr>
        <w:pStyle w:val="BodyText"/>
        <w:spacing w:line="309" w:lineRule="auto" w:before="76"/>
        <w:ind w:right="9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月，李克强总理在第十二届全国人民代表大会第三次会议上宣布</w:t>
      </w:r>
      <w:r>
        <w:rPr>
          <w:rFonts w:ascii="Times New Roman" w:hAnsi="Times New Roman" w:cs="Times New Roman" w:eastAsia="Times New Roman" w:hint="default"/>
        </w:rPr>
        <w:t>2015</w:t>
      </w:r>
      <w:r>
        <w:rPr/>
        <w:t>年政府工作报告，其中提出政府在医疗卫 </w:t>
      </w:r>
      <w:r>
        <w:rPr>
          <w:spacing w:val="-4"/>
        </w:rPr>
        <w:t>生领域的工作重点，包括加强重特大疾病医疗救助、加快健全基本医疗卫生制度等内容：继续推进基层医改、医保支付改革、</w:t>
      </w:r>
      <w:r>
        <w:rPr>
          <w:spacing w:val="-46"/>
        </w:rPr>
        <w:t> </w:t>
      </w:r>
      <w:r>
        <w:rPr>
          <w:spacing w:val="-46"/>
        </w:rPr>
      </w:r>
      <w:r>
        <w:rPr/>
        <w:t>药价市场机制、公立医院改革、鼓励社会办医、加强重特大疾病医疗救助、实时临时救助制度、加快基本医疗卫生制度等。 李克强总理还提出，“制定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行动计划，推动移动互联网、云计算、大数据、物联网等与现代制造业结合，促进电</w:t>
      </w:r>
      <w:r>
        <w:rPr>
          <w:spacing w:val="-46"/>
        </w:rPr>
        <w:t> </w:t>
      </w:r>
      <w:r>
        <w:rPr>
          <w:spacing w:val="-46"/>
        </w:rPr>
      </w:r>
      <w:r>
        <w:rPr/>
        <w:t>子商务、工业互联网和互联网金融健康发展，引导互联网企业拓展国际市场。”</w:t>
      </w:r>
    </w:p>
    <w:p>
      <w:pPr>
        <w:pStyle w:val="BodyText"/>
        <w:spacing w:line="309" w:lineRule="auto" w:before="24"/>
        <w:ind w:right="18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月，国务院办公厅印发的《关于深化医药卫生体制改革</w:t>
      </w:r>
      <w:r>
        <w:rPr>
          <w:rFonts w:ascii="Times New Roman" w:hAnsi="Times New Roman" w:cs="Times New Roman" w:eastAsia="Times New Roman" w:hint="default"/>
        </w:rPr>
        <w:t>2014</w:t>
      </w:r>
      <w:r>
        <w:rPr/>
        <w:t>年工作总结和</w:t>
      </w:r>
      <w:r>
        <w:rPr>
          <w:rFonts w:ascii="Times New Roman" w:hAnsi="Times New Roman" w:cs="Times New Roman" w:eastAsia="Times New Roman" w:hint="default"/>
        </w:rPr>
        <w:t>2015</w:t>
      </w:r>
      <w:r>
        <w:rPr/>
        <w:t>年重点工作任务的通知》，提出 </w:t>
      </w:r>
      <w:r>
        <w:rPr>
          <w:spacing w:val="-2"/>
        </w:rPr>
        <w:t>全面摊开县级公立医院综合改革、扩大城市公立医院综合改革试点、大力推进分级诊疗、促进社会办医加快发展等，并明确</w:t>
      </w:r>
      <w:r>
        <w:rPr>
          <w:spacing w:val="-64"/>
        </w:rPr>
        <w:t> </w:t>
      </w:r>
      <w:r>
        <w:rPr>
          <w:spacing w:val="-64"/>
        </w:rPr>
      </w:r>
      <w:r>
        <w:rPr/>
        <w:t>要求</w:t>
      </w:r>
      <w:r>
        <w:rPr>
          <w:rFonts w:ascii="Times New Roman" w:hAnsi="Times New Roman" w:cs="Times New Roman" w:eastAsia="Times New Roman" w:hint="default"/>
        </w:rPr>
        <w:t>2015</w:t>
      </w:r>
      <w:r>
        <w:rPr/>
        <w:t>年所有公立医院改革试点城市和综合医改试点省都要开展分级诊疗试点工作。</w:t>
      </w:r>
    </w:p>
    <w:p>
      <w:pPr>
        <w:pStyle w:val="BodyText"/>
        <w:spacing w:line="300" w:lineRule="auto" w:before="5"/>
        <w:ind w:right="93"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月，国务院办公厅印发《关于促进社会办医加快发展若干政策措施》，该文从进一步放宽准入、拓宽挏资渠道、</w:t>
      </w:r>
      <w:r>
        <w:rPr/>
        <w:t> 促进资源流动和共享、优化发展环境等四个方面，提出尽可能细化的政策措施、并鼓励地方开展差异化探索。</w:t>
      </w:r>
    </w:p>
    <w:p>
      <w:pPr>
        <w:pStyle w:val="BodyText"/>
        <w:spacing w:line="304" w:lineRule="auto" w:before="31"/>
        <w:ind w:right="84" w:firstLine="360"/>
        <w:jc w:val="left"/>
      </w:pPr>
      <w:r>
        <w:rPr/>
        <w:t>在医疗卫生信息化行业，参考</w:t>
      </w:r>
      <w:r>
        <w:rPr>
          <w:rFonts w:ascii="Times New Roman" w:hAnsi="Times New Roman" w:cs="Times New Roman" w:eastAsia="Times New Roman" w:hint="default"/>
        </w:rPr>
        <w:t>IDC</w:t>
      </w:r>
      <w:r>
        <w:rPr/>
        <w:t>的行业发展研究报告，目前</w:t>
      </w:r>
      <w:r>
        <w:rPr>
          <w:rFonts w:ascii="Times New Roman" w:hAnsi="Times New Roman" w:cs="Times New Roman" w:eastAsia="Times New Roman" w:hint="default"/>
        </w:rPr>
        <w:t>HIT</w:t>
      </w:r>
      <w:r>
        <w:rPr/>
        <w:t>的年复合增长率为</w:t>
      </w:r>
      <w:r>
        <w:rPr>
          <w:rFonts w:ascii="Times New Roman" w:hAnsi="Times New Roman" w:cs="Times New Roman" w:eastAsia="Times New Roman" w:hint="default"/>
        </w:rPr>
        <w:t>14.53%</w:t>
      </w:r>
      <w:r>
        <w:rPr/>
        <w:t>，预计</w:t>
      </w:r>
      <w:r>
        <w:rPr>
          <w:rFonts w:ascii="Times New Roman" w:hAnsi="Times New Roman" w:cs="Times New Roman" w:eastAsia="Times New Roman" w:hint="default"/>
        </w:rPr>
        <w:t>2017</w:t>
      </w:r>
      <w:r>
        <w:rPr/>
        <w:t>年市场总份额为 </w:t>
      </w:r>
      <w:r>
        <w:rPr>
          <w:rFonts w:ascii="Times New Roman" w:hAnsi="Times New Roman" w:cs="Times New Roman" w:eastAsia="Times New Roman" w:hint="default"/>
        </w:rPr>
        <w:t>336.35</w:t>
      </w:r>
      <w:r>
        <w:rPr/>
        <w:t>亿元，另外，通过研究发现，</w:t>
      </w:r>
      <w:r>
        <w:rPr>
          <w:rFonts w:ascii="Times New Roman" w:hAnsi="Times New Roman" w:cs="Times New Roman" w:eastAsia="Times New Roman" w:hint="default"/>
        </w:rPr>
        <w:t>HIT</w:t>
      </w:r>
      <w:r>
        <w:rPr/>
        <w:t>领域中异军突起的是区域卫生信息化和公共卫生信息化的发展，按照国家卫计委发</w:t>
      </w:r>
      <w:r>
        <w:rPr>
          <w:spacing w:val="-73"/>
        </w:rPr>
        <w:t> </w:t>
      </w:r>
      <w:r>
        <w:rPr>
          <w:spacing w:val="-73"/>
        </w:rPr>
      </w:r>
      <w:r>
        <w:rPr>
          <w:spacing w:val="-2"/>
        </w:rPr>
        <w:t>布的</w:t>
      </w:r>
      <w:r>
        <w:rPr>
          <w:rFonts w:ascii="Times New Roman" w:hAnsi="Times New Roman" w:cs="Times New Roman" w:eastAsia="Times New Roman" w:hint="default"/>
          <w:spacing w:val="-2"/>
        </w:rPr>
        <w:t>“46312</w:t>
      </w:r>
      <w:r>
        <w:rPr>
          <w:spacing w:val="-2"/>
        </w:rPr>
        <w:t>规划</w:t>
      </w:r>
      <w:r>
        <w:rPr>
          <w:rFonts w:ascii="Times New Roman" w:hAnsi="Times New Roman" w:cs="Times New Roman" w:eastAsia="Times New Roman" w:hint="default"/>
          <w:spacing w:val="-2"/>
        </w:rPr>
        <w:t>”</w:t>
      </w:r>
      <w:r>
        <w:rPr>
          <w:spacing w:val="-2"/>
        </w:rPr>
        <w:t>以及一系列鼓励性政策，全国将建立国家、省、市、县四级健康数据平台，平均市级机构预算约</w:t>
      </w:r>
      <w:r>
        <w:rPr>
          <w:rFonts w:ascii="Times New Roman" w:hAnsi="Times New Roman" w:cs="Times New Roman" w:eastAsia="Times New Roman" w:hint="default"/>
          <w:spacing w:val="-2"/>
        </w:rPr>
        <w:t>3,000</w:t>
      </w:r>
      <w:r>
        <w:rPr>
          <w:spacing w:val="-2"/>
        </w:rPr>
        <w:t>万元，</w:t>
      </w:r>
      <w:r>
        <w:rPr>
          <w:spacing w:val="-82"/>
        </w:rPr>
        <w:t> </w:t>
      </w:r>
      <w:r>
        <w:rPr>
          <w:spacing w:val="-82"/>
        </w:rPr>
      </w:r>
      <w:r>
        <w:rPr>
          <w:spacing w:val="-2"/>
        </w:rPr>
        <w:t>全国目前该市场尚有较大空白，后期市场空间巨大。此外，在医院信息化领域，随着国家推动开展的医院电子病历应用等级</w:t>
      </w:r>
      <w:r>
        <w:rPr>
          <w:spacing w:val="-66"/>
        </w:rPr>
        <w:t> </w:t>
      </w:r>
      <w:r>
        <w:rPr>
          <w:spacing w:val="-66"/>
        </w:rPr>
      </w:r>
      <w:r>
        <w:rPr>
          <w:spacing w:val="-3"/>
        </w:rPr>
        <w:t>评审和互联互通测试的深入，各级各类医疗卫生机构开展了新一轮的医院信息化建设，估计</w:t>
      </w:r>
      <w:r>
        <w:rPr>
          <w:rFonts w:ascii="Times New Roman" w:hAnsi="Times New Roman" w:cs="Times New Roman" w:eastAsia="Times New Roman" w:hint="default"/>
          <w:spacing w:val="-3"/>
        </w:rPr>
        <w:t>2016</w:t>
      </w:r>
      <w:r>
        <w:rPr>
          <w:spacing w:val="-3"/>
        </w:rPr>
        <w:t>年的市场增长会远超过预期。</w:t>
      </w:r>
    </w:p>
    <w:p>
      <w:pPr>
        <w:pStyle w:val="BodyText"/>
        <w:spacing w:line="304" w:lineRule="auto" w:before="9"/>
        <w:ind w:right="93"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29</w:t>
      </w:r>
      <w:r>
        <w:rPr>
          <w:spacing w:val="-2"/>
        </w:rPr>
        <w:t>日，在北京召开了中国共产党第十八届中央委员会第五次全体会议，会议审议的《中共中央关于制</w:t>
      </w:r>
      <w:r>
        <w:rPr/>
        <w:t> 定国民经济和社会发展第十三个五年规划的建议》中指出：</w:t>
      </w:r>
      <w:r>
        <w:rPr>
          <w:rFonts w:ascii="Times New Roman" w:hAnsi="Times New Roman" w:cs="Times New Roman" w:eastAsia="Times New Roman" w:hint="default"/>
        </w:rPr>
        <w:t>1</w:t>
      </w:r>
      <w:r>
        <w:rPr/>
        <w:t>、健全医疗保险制度，实施城乡居民大病保险制度，发挥医保</w:t>
      </w:r>
      <w:r>
        <w:rPr>
          <w:spacing w:val="-84"/>
        </w:rPr>
        <w:t> </w:t>
      </w:r>
      <w:r>
        <w:rPr>
          <w:spacing w:val="-84"/>
        </w:rPr>
      </w:r>
      <w:r>
        <w:rPr/>
        <w:t>控费作用，同时鼓励发展补充医疗保险和商业健康保险，鼓励商业保险机构参与医保经办；</w:t>
      </w:r>
      <w:r>
        <w:rPr>
          <w:rFonts w:ascii="Times New Roman" w:hAnsi="Times New Roman" w:cs="Times New Roman" w:eastAsia="Times New Roman" w:hint="default"/>
        </w:rPr>
        <w:t>2</w:t>
      </w:r>
      <w:r>
        <w:rPr/>
        <w:t>、完善基本药物制度，促进中</w:t>
      </w:r>
      <w:r>
        <w:rPr>
          <w:spacing w:val="-84"/>
        </w:rPr>
        <w:t> </w:t>
      </w:r>
      <w:r>
        <w:rPr/>
        <w:t>西医并重，理顺药品价格，提高药品质量；</w:t>
      </w:r>
      <w:r>
        <w:rPr>
          <w:rFonts w:ascii="Times New Roman" w:hAnsi="Times New Roman" w:cs="Times New Roman" w:eastAsia="Times New Roman" w:hint="default"/>
        </w:rPr>
        <w:t>3</w:t>
      </w:r>
      <w:r>
        <w:rPr/>
        <w:t>、积极应对老龄化问题，建设以居家为基础、社区为依托、机构为补充的多层</w:t>
      </w:r>
      <w:r>
        <w:rPr>
          <w:spacing w:val="-84"/>
        </w:rPr>
        <w:t> </w:t>
      </w:r>
      <w:r>
        <w:rPr>
          <w:spacing w:val="-84"/>
        </w:rPr>
      </w:r>
      <w:r>
        <w:rPr/>
        <w:t>次养老服务体系，推动医疗卫生和养老服务相结合，探索建立长期护理保险制度。全面放开养老服务市场，通过购买服务、 </w:t>
      </w:r>
      <w:r>
        <w:rPr>
          <w:spacing w:val="-2"/>
        </w:rPr>
        <w:t>股权合作等方式支持各类市场主体增加养老服务和产品供给。在此基础上，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月，国家卫计委按照中央要求研究编制</w:t>
      </w:r>
    </w:p>
    <w:p>
      <w:pPr>
        <w:spacing w:after="0" w:line="304"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2" w:right="93" w:hanging="361"/>
        <w:jc w:val="left"/>
      </w:pPr>
      <w:r>
        <w:rPr/>
        <w:t>《</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健康中国建设规划》，将规划打造为今后</w:t>
      </w:r>
      <w:r>
        <w:rPr>
          <w:rFonts w:ascii="Times New Roman" w:hAnsi="Times New Roman" w:cs="Times New Roman" w:eastAsia="Times New Roman" w:hint="default"/>
        </w:rPr>
        <w:t>5</w:t>
      </w:r>
      <w:r>
        <w:rPr/>
        <w:t>年推进健康中国建设的纲领性文件。 </w:t>
      </w:r>
      <w:r>
        <w:rPr>
          <w:spacing w:val="-2"/>
        </w:rPr>
        <w:t>从国家宏观政策可以看出，未来医疗卫生信息化行业的市场发展将继续围绕深化医疗体制改革的主要命题，政府希望通</w:t>
      </w:r>
    </w:p>
    <w:p>
      <w:pPr>
        <w:pStyle w:val="BodyText"/>
        <w:spacing w:line="314" w:lineRule="auto" w:before="31"/>
        <w:ind w:right="93"/>
        <w:jc w:val="left"/>
      </w:pPr>
      <w:r>
        <w:rPr>
          <w:spacing w:val="-2"/>
        </w:rPr>
        <w:t>过鼓励社会民间资本办医，从根本上解决医疗供需不平衡的矛盾；针对现有医疗机构，通过推行分级诊疗、加强基层医疗服</w:t>
      </w:r>
      <w:r>
        <w:rPr>
          <w:spacing w:val="-64"/>
        </w:rPr>
        <w:t> </w:t>
      </w:r>
      <w:r>
        <w:rPr>
          <w:spacing w:val="-64"/>
        </w:rPr>
      </w:r>
      <w:r>
        <w:rPr>
          <w:spacing w:val="-2"/>
        </w:rPr>
        <w:t>务建设、放开医师多点执业综合性改变就医流程，调动与盘活稀奇医疗资源，充分发挥现有医疗资源的功能价值，保障公民</w:t>
      </w:r>
      <w:r>
        <w:rPr>
          <w:spacing w:val="-65"/>
        </w:rPr>
        <w:t> </w:t>
      </w:r>
      <w:r>
        <w:rPr>
          <w:spacing w:val="-65"/>
        </w:rPr>
      </w:r>
      <w:r>
        <w:rPr>
          <w:spacing w:val="-2"/>
        </w:rPr>
        <w:t>享有平等就医的权益；另外借助互联网的流通优势，通过网售处方药，进一步贯彻医药分家的政策规定，保证民众购买优质</w:t>
      </w:r>
      <w:r>
        <w:rPr>
          <w:spacing w:val="-65"/>
        </w:rPr>
        <w:t> </w:t>
      </w:r>
      <w:r>
        <w:rPr>
          <w:spacing w:val="-65"/>
        </w:rPr>
      </w:r>
      <w:r>
        <w:rPr>
          <w:spacing w:val="-4"/>
        </w:rPr>
        <w:t>保量的价格合理的药品；在医疗支付环节，鼓励商业健康险或商业医疗保险介入，以补充国家医保不足与解决政府执政负担，</w:t>
      </w:r>
      <w:r>
        <w:rPr>
          <w:spacing w:val="-44"/>
        </w:rPr>
        <w:t> </w:t>
      </w:r>
      <w:r>
        <w:rPr>
          <w:spacing w:val="-44"/>
        </w:rPr>
      </w:r>
      <w:r>
        <w:rPr>
          <w:spacing w:val="-2"/>
        </w:rPr>
        <w:t>同时达到保险控费，疾病预防等目标，最后针对我国严峻的人口老龄化问题，政府大力推行医养结合，中医药进行慢病管理</w:t>
      </w:r>
      <w:r>
        <w:rPr>
          <w:spacing w:val="-65"/>
        </w:rPr>
        <w:t> </w:t>
      </w:r>
      <w:r>
        <w:rPr>
          <w:spacing w:val="-65"/>
        </w:rPr>
      </w:r>
      <w:r>
        <w:rPr>
          <w:spacing w:val="-4"/>
        </w:rPr>
        <w:t>等政策，借助社会资源，解决养老难题，让老人老有所养，老有所依。此外，政府还强调大力发展中国创新式制造战略目标，</w:t>
      </w:r>
      <w:r>
        <w:rPr>
          <w:spacing w:val="-44"/>
        </w:rPr>
        <w:t> </w:t>
      </w:r>
      <w:r>
        <w:rPr>
          <w:spacing w:val="-44"/>
        </w:rPr>
      </w:r>
      <w:r>
        <w:rPr>
          <w:spacing w:val="-2"/>
        </w:rPr>
        <w:t>拟通过高新技术、智能设备、</w:t>
      </w:r>
      <w:r>
        <w:rPr>
          <w:rFonts w:ascii="Times New Roman" w:hAnsi="Times New Roman" w:cs="Times New Roman" w:eastAsia="Times New Roman" w:hint="default"/>
          <w:spacing w:val="-2"/>
        </w:rPr>
        <w:t>IT</w:t>
      </w:r>
      <w:r>
        <w:rPr>
          <w:spacing w:val="-2"/>
        </w:rPr>
        <w:t>信息化手段完善并推动医疗体制成功改革，这都为医疗健康服务业的未来发展铺设了良好的</w:t>
      </w:r>
      <w:r>
        <w:rPr>
          <w:spacing w:val="-52"/>
        </w:rPr>
        <w:t> </w:t>
      </w:r>
      <w:r>
        <w:rPr>
          <w:spacing w:val="-52"/>
        </w:rPr>
      </w:r>
      <w:r>
        <w:rPr/>
        <w:t>环境和方向。</w:t>
      </w:r>
    </w:p>
    <w:p>
      <w:pPr>
        <w:pStyle w:val="BodyText"/>
        <w:spacing w:line="319" w:lineRule="auto" w:before="20"/>
        <w:ind w:left="512" w:right="93"/>
        <w:jc w:val="left"/>
      </w:pPr>
      <w:r>
        <w:rPr>
          <w:rFonts w:ascii="宋体" w:hAnsi="宋体" w:cs="宋体" w:eastAsia="宋体" w:hint="default"/>
          <w:b/>
          <w:bCs/>
        </w:rPr>
        <w:t>（三）公司所处行业地位</w:t>
      </w:r>
      <w:r>
        <w:rPr>
          <w:rFonts w:ascii="宋体" w:hAnsi="宋体" w:cs="宋体" w:eastAsia="宋体" w:hint="default"/>
          <w:b/>
          <w:bCs/>
          <w:w w:val="99"/>
        </w:rPr>
        <w:t> </w:t>
      </w:r>
      <w:r>
        <w:rPr>
          <w:spacing w:val="-1"/>
        </w:rPr>
        <w:t>在医疗卫生信息化行业，公司面临的市场竞争未发生重大变革，主要的</w:t>
      </w:r>
      <w:r>
        <w:rPr>
          <w:rFonts w:ascii="Times New Roman" w:hAnsi="Times New Roman" w:cs="Times New Roman" w:eastAsia="Times New Roman" w:hint="default"/>
          <w:spacing w:val="-1"/>
        </w:rPr>
        <w:t>HIT</w:t>
      </w:r>
      <w:r>
        <w:rPr>
          <w:spacing w:val="-1"/>
        </w:rPr>
        <w:t>厂商仍是主要竞争对手，在细分领域中，医</w:t>
      </w:r>
    </w:p>
    <w:p>
      <w:pPr>
        <w:pStyle w:val="BodyText"/>
        <w:spacing w:line="314" w:lineRule="auto"/>
        <w:ind w:right="93"/>
        <w:jc w:val="left"/>
      </w:pPr>
      <w:r>
        <w:rPr>
          <w:spacing w:val="-2"/>
        </w:rPr>
        <w:t>院信息化公司通过上市后的快速发展，已经取得了市场的领先地位，且在可预见的将来，公司将在此领域加大投入，增强产</w:t>
      </w:r>
      <w:r>
        <w:rPr>
          <w:spacing w:val="-64"/>
        </w:rPr>
        <w:t> </w:t>
      </w:r>
      <w:r>
        <w:rPr>
          <w:spacing w:val="-64"/>
        </w:rPr>
      </w:r>
      <w:r>
        <w:rPr>
          <w:spacing w:val="-2"/>
        </w:rPr>
        <w:t>品研发能力，在全国范围设立更广泛的研发服务中心，提高销售和服务水平，深化客户挖掘，有信心继续保持龙头地位；在</w:t>
      </w:r>
      <w:r>
        <w:rPr>
          <w:spacing w:val="-67"/>
        </w:rPr>
        <w:t> </w:t>
      </w:r>
      <w:r>
        <w:rPr>
          <w:spacing w:val="-67"/>
        </w:rPr>
      </w:r>
      <w:r>
        <w:rPr/>
        <w:t>公共卫生服务方面，公司</w:t>
      </w:r>
      <w:r>
        <w:rPr>
          <w:rFonts w:ascii="Times New Roman" w:hAnsi="Times New Roman" w:cs="Times New Roman" w:eastAsia="Times New Roman" w:hint="default"/>
        </w:rPr>
        <w:t>2015</w:t>
      </w:r>
      <w:r>
        <w:rPr/>
        <w:t>年来通过人才引进等策略，加大了公共卫生信息化类的咨询、售前、销售、产品研发等工作， </w:t>
      </w:r>
      <w:r>
        <w:rPr>
          <w:spacing w:val="-2"/>
        </w:rPr>
        <w:t>业绩较以往已有较大提升，人才的积累和引进以及新产品的开发促使公司在此领域将更具竞争力。同时，在大健康行业，随</w:t>
      </w:r>
      <w:r>
        <w:rPr>
          <w:spacing w:val="-66"/>
        </w:rPr>
        <w:t> </w:t>
      </w:r>
      <w:r>
        <w:rPr>
          <w:spacing w:val="-66"/>
        </w:rPr>
      </w:r>
      <w:r>
        <w:rPr>
          <w:spacing w:val="-2"/>
        </w:rPr>
        <w:t>着国家政策的引导，更多如互联网公司、地产公司、保险公司等非传统医疗信息行业的企业也纷纷加入到市场竞争当中，行</w:t>
      </w:r>
      <w:r>
        <w:rPr>
          <w:spacing w:val="-66"/>
        </w:rPr>
        <w:t> </w:t>
      </w:r>
      <w:r>
        <w:rPr>
          <w:spacing w:val="-66"/>
        </w:rPr>
      </w:r>
      <w:r>
        <w:rPr>
          <w:spacing w:val="-2"/>
        </w:rPr>
        <w:t>业竞争愈演愈烈。这过程中企业之间的横向、上下游兼并收购及延伸发展将会越来越多，在此情况下，公司以传统产业的信</w:t>
      </w:r>
      <w:r>
        <w:rPr>
          <w:spacing w:val="-65"/>
        </w:rPr>
        <w:t> </w:t>
      </w:r>
      <w:r>
        <w:rPr>
          <w:spacing w:val="-65"/>
        </w:rPr>
      </w:r>
      <w:r>
        <w:rPr>
          <w:spacing w:val="-2"/>
        </w:rPr>
        <w:t>息化、市场份额、业务理解深度以及对健康服务业认知的深度为优势，通过转化原有用户、市场以及技术，促进线上线下服</w:t>
      </w:r>
      <w:r>
        <w:rPr>
          <w:spacing w:val="-67"/>
        </w:rPr>
        <w:t> </w:t>
      </w:r>
      <w:r>
        <w:rPr>
          <w:spacing w:val="-67"/>
        </w:rPr>
      </w:r>
      <w:r>
        <w:rPr/>
        <w:t>务的有机结合为手段，从医疗机构围墙内向围墙外进军，并与优质的线下服务资源充分整合，具有更强的竞争优势。</w:t>
      </w:r>
    </w:p>
    <w:p>
      <w:pPr>
        <w:spacing w:line="240" w:lineRule="auto" w:before="13"/>
        <w:rPr>
          <w:rFonts w:ascii="宋体" w:hAnsi="宋体" w:cs="宋体" w:eastAsia="宋体" w:hint="default"/>
          <w:sz w:val="20"/>
          <w:szCs w:val="20"/>
        </w:rPr>
      </w:pPr>
    </w:p>
    <w:p>
      <w:pPr>
        <w:pStyle w:val="Heading2"/>
        <w:spacing w:line="240" w:lineRule="auto"/>
        <w:ind w:right="9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长期股权投资期末较期初增加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23,505,693.57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元，主要系报告期内对外投资所致。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2,603,224.70 </w:t>
            </w:r>
            <w:r>
              <w:rPr>
                <w:rFonts w:ascii="宋体" w:hAnsi="宋体" w:cs="宋体" w:eastAsia="宋体" w:hint="default"/>
                <w:sz w:val="18"/>
                <w:szCs w:val="18"/>
              </w:rPr>
              <w:t>元，主要是报告期内计提折旧所致。</w:t>
            </w:r>
          </w:p>
        </w:tc>
      </w:tr>
      <w:tr>
        <w:trPr>
          <w:trHeight w:val="163"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vMerge w:val="restart"/>
            <w:tcBorders>
              <w:top w:val="single" w:sz="4" w:space="0" w:color="000000"/>
              <w:left w:val="single" w:sz="4" w:space="0" w:color="000000"/>
              <w:right w:val="single" w:sz="4" w:space="0" w:color="000000"/>
            </w:tcBorders>
          </w:tcPr>
          <w:p>
            <w:pPr>
              <w:pStyle w:val="TableParagraph"/>
              <w:spacing w:line="297"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无形资产期末较期初增加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24,011,646.03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元，主要系报告期内开发项目转入无形资产</w:t>
            </w:r>
            <w:r>
              <w:rPr>
                <w:rFonts w:ascii="宋体" w:hAnsi="宋体" w:cs="宋体" w:eastAsia="宋体" w:hint="default"/>
                <w:sz w:val="18"/>
                <w:szCs w:val="18"/>
              </w:rPr>
              <w:t> 项目所致。</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vMerge/>
            <w:tcBorders>
              <w:left w:val="single" w:sz="4" w:space="0" w:color="000000"/>
              <w:right w:val="single" w:sz="4" w:space="0" w:color="000000"/>
            </w:tcBorders>
          </w:tcPr>
          <w:p>
            <w:pPr/>
          </w:p>
        </w:tc>
      </w:tr>
      <w:tr>
        <w:trPr>
          <w:trHeight w:val="161"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vMerge/>
            <w:tcBorders>
              <w:left w:val="single" w:sz="4" w:space="0" w:color="000000"/>
              <w:bottom w:val="single" w:sz="4" w:space="0" w:color="000000"/>
              <w:right w:val="single" w:sz="4" w:space="0" w:color="000000"/>
            </w:tcBorders>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199,582,437.51 </w:t>
            </w:r>
            <w:r>
              <w:rPr>
                <w:rFonts w:ascii="宋体" w:hAnsi="宋体" w:cs="宋体" w:eastAsia="宋体" w:hint="default"/>
                <w:sz w:val="18"/>
                <w:szCs w:val="18"/>
              </w:rPr>
              <w:t>元，主要系报告期内购置办公大楼所致。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00" w:lineRule="auto" w:before="0"/>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、领先的行业地位和提供整体解决方案的能力</w:t>
      </w:r>
      <w:r>
        <w:rPr>
          <w:rFonts w:ascii="宋体" w:hAnsi="宋体" w:cs="宋体" w:eastAsia="宋体" w:hint="default"/>
          <w:b/>
          <w:bCs/>
          <w:w w:val="99"/>
          <w:sz w:val="18"/>
          <w:szCs w:val="18"/>
        </w:rPr>
        <w:t> </w:t>
      </w:r>
      <w:r>
        <w:rPr>
          <w:rFonts w:ascii="宋体" w:hAnsi="宋体" w:cs="宋体" w:eastAsia="宋体" w:hint="default"/>
          <w:spacing w:val="-2"/>
          <w:sz w:val="18"/>
          <w:szCs w:val="18"/>
        </w:rPr>
        <w:t>依托完备的产品线，丰富的项目运作能力和突出的研发实力，使公司在医疗信息化行业有较高的知名度和行业地位，公</w:t>
      </w:r>
    </w:p>
    <w:p>
      <w:pPr>
        <w:pStyle w:val="BodyText"/>
        <w:spacing w:line="316" w:lineRule="auto" w:before="31"/>
        <w:ind w:right="93"/>
        <w:jc w:val="left"/>
      </w:pPr>
      <w:r>
        <w:rPr>
          <w:spacing w:val="-2"/>
        </w:rPr>
        <w:t>司服务内容覆盖医疗信息系统的全生命周期，广泛应用于医疗机构、卫生管理机构等。通过遍布全国的销售服务网络、专业</w:t>
      </w:r>
      <w:r>
        <w:rPr>
          <w:spacing w:val="-64"/>
        </w:rPr>
        <w:t> </w:t>
      </w:r>
      <w:r>
        <w:rPr>
          <w:spacing w:val="-64"/>
        </w:rPr>
      </w:r>
      <w:r>
        <w:rPr/>
        <w:t>创新的技术服务支持团队以及优于业界的服务标准，为广大客户提供更优质贴心的服务。</w:t>
      </w:r>
    </w:p>
    <w:p>
      <w:pPr>
        <w:spacing w:after="0" w:line="316"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2" w:right="183"/>
        <w:jc w:val="left"/>
      </w:pPr>
      <w:r>
        <w:rPr>
          <w:rFonts w:ascii="Times New Roman" w:hAnsi="Times New Roman" w:cs="Times New Roman" w:eastAsia="Times New Roman" w:hint="default"/>
          <w:b/>
          <w:bCs/>
        </w:rPr>
        <w:t>2</w:t>
      </w:r>
      <w:r>
        <w:rPr>
          <w:rFonts w:ascii="宋体" w:hAnsi="宋体" w:cs="宋体" w:eastAsia="宋体" w:hint="default"/>
          <w:b/>
          <w:bCs/>
        </w:rPr>
        <w:t>、技术力量优势</w:t>
      </w:r>
      <w:r>
        <w:rPr>
          <w:rFonts w:ascii="宋体" w:hAnsi="宋体" w:cs="宋体" w:eastAsia="宋体" w:hint="default"/>
          <w:b/>
          <w:bCs/>
          <w:w w:val="99"/>
        </w:rPr>
        <w:t> </w:t>
      </w:r>
      <w:r>
        <w:rPr/>
        <w:t>公司自成立以来，一直坚持研发优先和人才优先战略，重视自主研发、技术积累和优秀人才储备，目前已拥有</w:t>
      </w:r>
      <w:r>
        <w:rPr>
          <w:rFonts w:ascii="Times New Roman" w:hAnsi="Times New Roman" w:cs="Times New Roman" w:eastAsia="Times New Roman" w:hint="default"/>
        </w:rPr>
        <w:t>100</w:t>
      </w:r>
      <w:r>
        <w:rPr/>
        <w:t>多项</w:t>
      </w:r>
    </w:p>
    <w:p>
      <w:pPr>
        <w:pStyle w:val="BodyText"/>
        <w:spacing w:line="312" w:lineRule="auto" w:before="13"/>
        <w:ind w:right="93"/>
        <w:jc w:val="left"/>
      </w:pPr>
      <w:r>
        <w:rPr/>
        <w:t>核心技术和产品的自主知识产权，并成熟运用于主要产品。同时，凭借对医疗信息化行业的管理模式、业务模式等有长期、 </w:t>
      </w:r>
      <w:r>
        <w:rPr>
          <w:spacing w:val="-2"/>
        </w:rPr>
        <w:t>深入及全面的理解，公司的技术团队始终放眼并耕耘于科技前沿，使我们的产品、维护和技术保障都能达到一个超出客户满</w:t>
      </w:r>
      <w:r>
        <w:rPr>
          <w:spacing w:val="-66"/>
        </w:rPr>
        <w:t> </w:t>
      </w:r>
      <w:r>
        <w:rPr>
          <w:spacing w:val="-66"/>
        </w:rPr>
      </w:r>
      <w:r>
        <w:rPr/>
        <w:t>意的水平。在创新业务领域，公司做了大量的研究，形成了自有的</w:t>
      </w:r>
      <w:r>
        <w:rPr>
          <w:rFonts w:ascii="Times New Roman" w:hAnsi="Times New Roman" w:cs="Times New Roman" w:eastAsia="Times New Roman" w:hint="default"/>
        </w:rPr>
        <w:t>“</w:t>
      </w:r>
      <w:r>
        <w:rPr/>
        <w:t>优势资源带动、本地化项目推进、标准化规范复制、多</w:t>
      </w:r>
      <w:r>
        <w:rPr>
          <w:spacing w:val="-77"/>
        </w:rPr>
        <w:t> </w:t>
      </w:r>
      <w:r>
        <w:rPr>
          <w:spacing w:val="-77"/>
        </w:rPr>
      </w:r>
      <w:r>
        <w:rPr/>
        <w:t>元化服务衔接</w:t>
      </w:r>
      <w:r>
        <w:rPr>
          <w:rFonts w:ascii="Times New Roman" w:hAnsi="Times New Roman" w:cs="Times New Roman" w:eastAsia="Times New Roman" w:hint="default"/>
        </w:rPr>
        <w:t>”</w:t>
      </w:r>
      <w:r>
        <w:rPr/>
        <w:t>的互联网健康服务模式，创立了纳里健康、诊捷等优势产品及服务形态。</w:t>
      </w:r>
    </w:p>
    <w:p>
      <w:pPr>
        <w:pStyle w:val="BodyText"/>
        <w:spacing w:line="300" w:lineRule="auto" w:before="3"/>
        <w:ind w:left="512" w:right="93"/>
        <w:jc w:val="left"/>
      </w:pPr>
      <w:r>
        <w:rPr>
          <w:rFonts w:ascii="Times New Roman" w:hAnsi="Times New Roman" w:cs="Times New Roman" w:eastAsia="Times New Roman" w:hint="default"/>
          <w:b/>
          <w:bCs/>
        </w:rPr>
        <w:t>3</w:t>
      </w:r>
      <w:r>
        <w:rPr>
          <w:rFonts w:ascii="宋体" w:hAnsi="宋体" w:cs="宋体" w:eastAsia="宋体" w:hint="default"/>
          <w:b/>
          <w:bCs/>
        </w:rPr>
        <w:t>、市场渠道优势</w:t>
      </w:r>
      <w:r>
        <w:rPr>
          <w:rFonts w:ascii="宋体" w:hAnsi="宋体" w:cs="宋体" w:eastAsia="宋体" w:hint="default"/>
          <w:b/>
          <w:bCs/>
          <w:w w:val="99"/>
        </w:rPr>
        <w:t> </w:t>
      </w:r>
      <w:r>
        <w:rPr/>
        <w:t>目前，公司服务的医疗机构数量超过</w:t>
      </w:r>
      <w:r>
        <w:rPr>
          <w:rFonts w:ascii="Times New Roman" w:hAnsi="Times New Roman" w:cs="Times New Roman" w:eastAsia="Times New Roman" w:hint="default"/>
        </w:rPr>
        <w:t>4,000</w:t>
      </w:r>
      <w:r>
        <w:rPr/>
        <w:t>家，是客户行业覆盖最广的公司之一，数量众多且优质的客户资源，使公司</w:t>
      </w:r>
    </w:p>
    <w:p>
      <w:pPr>
        <w:pStyle w:val="BodyText"/>
        <w:spacing w:line="316" w:lineRule="auto" w:before="13"/>
        <w:ind w:right="93"/>
        <w:jc w:val="left"/>
      </w:pPr>
      <w:r>
        <w:rPr>
          <w:spacing w:val="-2"/>
        </w:rPr>
        <w:t>在推广新技术、应用新产品、提升新型增值服务时能被市场迅速接受。另外通过区域化经营、集中式管理以及本地化服务相</w:t>
      </w:r>
      <w:r>
        <w:rPr>
          <w:spacing w:val="-64"/>
        </w:rPr>
        <w:t> </w:t>
      </w:r>
      <w:r>
        <w:rPr>
          <w:spacing w:val="-64"/>
        </w:rPr>
      </w:r>
      <w:r>
        <w:rPr/>
        <w:t>结合的模式，为广大用户提供高效的本地化一站式贴切服务。</w:t>
      </w:r>
    </w:p>
    <w:p>
      <w:pPr>
        <w:pStyle w:val="BodyText"/>
        <w:spacing w:line="300" w:lineRule="auto" w:before="18"/>
        <w:ind w:left="512" w:right="93"/>
        <w:jc w:val="left"/>
      </w:pPr>
      <w:r>
        <w:rPr>
          <w:rFonts w:ascii="Times New Roman" w:hAnsi="Times New Roman" w:cs="Times New Roman" w:eastAsia="Times New Roman" w:hint="default"/>
          <w:b/>
          <w:bCs/>
        </w:rPr>
        <w:t>4</w:t>
      </w:r>
      <w:r>
        <w:rPr>
          <w:rFonts w:ascii="宋体" w:hAnsi="宋体" w:cs="宋体" w:eastAsia="宋体" w:hint="default"/>
          <w:b/>
          <w:bCs/>
        </w:rPr>
        <w:t>、人才优势</w:t>
      </w:r>
      <w:r>
        <w:rPr>
          <w:rFonts w:ascii="宋体" w:hAnsi="宋体" w:cs="宋体" w:eastAsia="宋体" w:hint="default"/>
          <w:b/>
          <w:bCs/>
          <w:w w:val="99"/>
        </w:rPr>
        <w:t> </w:t>
      </w:r>
      <w:r>
        <w:rPr>
          <w:spacing w:val="-2"/>
        </w:rPr>
        <w:t>公司不断吸纳各类人才，重视岗位培训与考核，形成了一支架构完备、有良好梯队配置的专业工作团队，无论是研发团</w:t>
      </w:r>
    </w:p>
    <w:p>
      <w:pPr>
        <w:pStyle w:val="BodyText"/>
        <w:spacing w:line="312" w:lineRule="auto" w:before="31"/>
        <w:ind w:right="189"/>
        <w:jc w:val="both"/>
      </w:pPr>
      <w:r>
        <w:rPr>
          <w:spacing w:val="-2"/>
        </w:rPr>
        <w:t>队、销售团队还是服务团队都具备良好的知识水平、职业素养和服务精神，能够为客户提供最专业周到的服务。在互联网健</w:t>
      </w:r>
      <w:r>
        <w:rPr>
          <w:spacing w:val="-65"/>
        </w:rPr>
        <w:t> </w:t>
      </w:r>
      <w:r>
        <w:rPr>
          <w:spacing w:val="-65"/>
        </w:rPr>
      </w:r>
      <w:r>
        <w:rPr/>
        <w:t>康方面，组建了新型的研发、地推和服务队伍，提升了互联网健康服务落地和发展的水平</w:t>
      </w:r>
      <w:r>
        <w:rPr>
          <w:rFonts w:ascii="MS Gothic" w:hAnsi="MS Gothic" w:cs="MS Gothic" w:eastAsia="MS Gothic" w:hint="default"/>
        </w:rPr>
        <w:t>｡</w:t>
      </w:r>
      <w:r>
        <w:rPr>
          <w:rFonts w:ascii="Times New Roman" w:hAnsi="Times New Roman" w:cs="Times New Roman" w:eastAsia="Times New Roman" w:hint="default"/>
        </w:rPr>
        <w:t>2015</w:t>
      </w:r>
      <w:r>
        <w:rPr/>
        <w:t>年度，公司引进了多名行业</w:t>
      </w:r>
      <w:r>
        <w:rPr>
          <w:spacing w:val="-85"/>
        </w:rPr>
        <w:t> </w:t>
      </w:r>
      <w:r>
        <w:rPr>
          <w:spacing w:val="-2"/>
        </w:rPr>
        <w:t>专家、技术专家、管理专家，目前均成为公司各业务线的骨干和核心，极大地增强了公司的核心竞争力，并为后期的发展做</w:t>
      </w:r>
      <w:r>
        <w:rPr>
          <w:spacing w:val="-65"/>
        </w:rPr>
        <w:t> </w:t>
      </w:r>
      <w:r>
        <w:rPr>
          <w:spacing w:val="-65"/>
        </w:rPr>
      </w:r>
      <w:r>
        <w:rPr/>
        <w:t>好了人才积淀。另外，公司设置了合理的薪酬激励机制，为激励和吸引人才创造了有利条件。</w:t>
      </w:r>
    </w:p>
    <w:p>
      <w:pPr>
        <w:pStyle w:val="BodyText"/>
        <w:spacing w:line="240" w:lineRule="auto" w:before="22"/>
        <w:ind w:left="512" w:right="93"/>
        <w:jc w:val="left"/>
      </w:pPr>
      <w:r>
        <w:rPr/>
        <w:t>报告期内，公司核心竞争力未发生重大变化。</w:t>
      </w:r>
    </w:p>
    <w:p>
      <w:pPr>
        <w:spacing w:after="0" w:line="240" w:lineRule="auto"/>
        <w:jc w:val="left"/>
        <w:sectPr>
          <w:footerReference w:type="default" r:id="rId12"/>
          <w:pgSz w:w="11910" w:h="16840"/>
          <w:pgMar w:footer="981" w:header="745" w:top="1060" w:bottom="1180" w:left="980" w:right="94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23" w:right="93"/>
        <w:jc w:val="left"/>
        <w:rPr>
          <w:b w:val="0"/>
          <w:bCs w:val="0"/>
        </w:rPr>
      </w:pPr>
      <w:bookmarkStart w:name="_TOC_250007" w:id="4"/>
      <w:r>
        <w:rPr/>
        <w:t>第四节</w:t>
      </w:r>
      <w:r>
        <w:rPr>
          <w:spacing w:val="-5"/>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89" w:firstLine="360"/>
        <w:jc w:val="both"/>
      </w:pPr>
      <w:r>
        <w:rPr>
          <w:rFonts w:ascii="Times New Roman" w:hAnsi="Times New Roman" w:cs="Times New Roman" w:eastAsia="Times New Roman" w:hint="default"/>
          <w:spacing w:val="-2"/>
        </w:rPr>
        <w:t>2015</w:t>
      </w:r>
      <w:r>
        <w:rPr>
          <w:spacing w:val="-2"/>
        </w:rPr>
        <w:t>年，是公司向大健康产业转型的起步年，是公司管理的提升年，更是公司加快各种资源整合，完善组织架构，提升</w:t>
      </w:r>
      <w:r>
        <w:rPr/>
        <w:t> </w:t>
      </w:r>
      <w:r>
        <w:rPr>
          <w:spacing w:val="-2"/>
        </w:rPr>
        <w:t>管理，促进发展，适应新状态的一年。在这一年里，公司完成了董事会、监事会的换届选举，重新聘任了高级管理人员，在</w:t>
      </w:r>
      <w:r>
        <w:rPr>
          <w:spacing w:val="-66"/>
        </w:rPr>
        <w:t> </w:t>
      </w:r>
      <w:r>
        <w:rPr>
          <w:spacing w:val="-66"/>
        </w:rPr>
      </w:r>
      <w:r>
        <w:rPr>
          <w:spacing w:val="-2"/>
        </w:rPr>
        <w:t>新任经营管理层的带领下，公司对组织架构、内部控制制度进行了深入梳理完善，对中层管理人员和关键岗位人员进行了重</w:t>
      </w:r>
      <w:r>
        <w:rPr>
          <w:spacing w:val="-63"/>
        </w:rPr>
        <w:t> </w:t>
      </w:r>
      <w:r>
        <w:rPr>
          <w:spacing w:val="-63"/>
        </w:rPr>
      </w:r>
      <w:r>
        <w:rPr>
          <w:spacing w:val="-2"/>
        </w:rPr>
        <w:t>新调整和任命。同时，围绕公司发展战略并基于对大健康行业市场现状及未来发展前景的判断，通过新设、收购、参股重庆</w:t>
      </w:r>
      <w:r>
        <w:rPr>
          <w:spacing w:val="-65"/>
        </w:rPr>
        <w:t> </w:t>
      </w:r>
      <w:r>
        <w:rPr>
          <w:spacing w:val="-65"/>
        </w:rPr>
      </w:r>
      <w:r>
        <w:rPr>
          <w:spacing w:val="-2"/>
        </w:rPr>
        <w:t>卫宁、黑龙江卫宁、广东卫宁、浙江万鼎、杭州东联、医点通、钥世圈、好医通、北京天鹏等公司，不断夯实医疗信息化基</w:t>
      </w:r>
      <w:r>
        <w:rPr>
          <w:spacing w:val="-68"/>
        </w:rPr>
        <w:t> </w:t>
      </w:r>
      <w:r>
        <w:rPr>
          <w:spacing w:val="-68"/>
        </w:rPr>
      </w:r>
      <w:r>
        <w:rPr>
          <w:spacing w:val="-2"/>
        </w:rPr>
        <w:t>础，整合健康行业优质资产，完善产业链配套，为公司可持续发展寻求新的发展方向，有利于分散经营风险，培育新的持续</w:t>
      </w:r>
      <w:r>
        <w:rPr>
          <w:spacing w:val="-67"/>
        </w:rPr>
        <w:t> </w:t>
      </w:r>
      <w:r>
        <w:rPr>
          <w:spacing w:val="-67"/>
        </w:rPr>
      </w:r>
      <w:r>
        <w:rPr/>
        <w:t>增长的利润来源，增强公司盈利能力和综合竞争实力。</w:t>
      </w:r>
    </w:p>
    <w:p>
      <w:pPr>
        <w:pStyle w:val="BodyText"/>
        <w:spacing w:line="240" w:lineRule="auto" w:before="20"/>
        <w:ind w:left="512" w:right="93"/>
        <w:jc w:val="left"/>
      </w:pPr>
      <w:r>
        <w:rPr/>
        <w:t>报告期内，公司实现营业收入</w:t>
      </w:r>
      <w:r>
        <w:rPr>
          <w:rFonts w:ascii="Times New Roman" w:hAnsi="Times New Roman" w:cs="Times New Roman" w:eastAsia="Times New Roman" w:hint="default"/>
        </w:rPr>
        <w:t>75,315.77</w:t>
      </w:r>
      <w:r>
        <w:rPr/>
        <w:t>万元，同比增长</w:t>
      </w:r>
      <w:r>
        <w:rPr>
          <w:rFonts w:ascii="Times New Roman" w:hAnsi="Times New Roman" w:cs="Times New Roman" w:eastAsia="Times New Roman" w:hint="default"/>
        </w:rPr>
        <w:t>53.26%</w:t>
      </w:r>
      <w:r>
        <w:rPr/>
        <w:t>；营业利润</w:t>
      </w:r>
      <w:r>
        <w:rPr>
          <w:rFonts w:ascii="Times New Roman" w:hAnsi="Times New Roman" w:cs="Times New Roman" w:eastAsia="Times New Roman" w:hint="default"/>
        </w:rPr>
        <w:t>10,170.47</w:t>
      </w:r>
      <w:r>
        <w:rPr/>
        <w:t>万元，同比增长</w:t>
      </w:r>
      <w:r>
        <w:rPr>
          <w:rFonts w:ascii="Times New Roman" w:hAnsi="Times New Roman" w:cs="Times New Roman" w:eastAsia="Times New Roman" w:hint="default"/>
        </w:rPr>
        <w:t>13.30%</w:t>
      </w:r>
      <w:r>
        <w:rPr/>
        <w:t>；利润总额</w:t>
      </w:r>
    </w:p>
    <w:p>
      <w:pPr>
        <w:pStyle w:val="BodyText"/>
        <w:spacing w:line="240" w:lineRule="auto" w:before="62"/>
        <w:ind w:right="0"/>
        <w:jc w:val="both"/>
      </w:pPr>
      <w:r>
        <w:rPr>
          <w:rFonts w:ascii="Times New Roman" w:hAnsi="Times New Roman" w:cs="Times New Roman" w:eastAsia="Times New Roman" w:hint="default"/>
        </w:rPr>
        <w:t>15,450.67</w:t>
      </w:r>
      <w:r>
        <w:rPr/>
        <w:t>万元，同比增长</w:t>
      </w:r>
      <w:r>
        <w:rPr>
          <w:rFonts w:ascii="Times New Roman" w:hAnsi="Times New Roman" w:cs="Times New Roman" w:eastAsia="Times New Roman" w:hint="default"/>
        </w:rPr>
        <w:t>19.78%</w:t>
      </w:r>
      <w:r>
        <w:rPr/>
        <w:t>；归属于上市公司股东净利润</w:t>
      </w:r>
      <w:r>
        <w:rPr>
          <w:rFonts w:ascii="Times New Roman" w:hAnsi="Times New Roman" w:cs="Times New Roman" w:eastAsia="Times New Roman" w:hint="default"/>
        </w:rPr>
        <w:t>15,250.37</w:t>
      </w:r>
      <w:r>
        <w:rPr/>
        <w:t>万元，同比增长</w:t>
      </w:r>
      <w:r>
        <w:rPr>
          <w:rFonts w:ascii="Times New Roman" w:hAnsi="Times New Roman" w:cs="Times New Roman" w:eastAsia="Times New Roman" w:hint="default"/>
        </w:rPr>
        <w:t>26.07%</w:t>
      </w:r>
      <w:r>
        <w:rPr/>
        <w:t>。</w:t>
      </w:r>
    </w:p>
    <w:p>
      <w:pPr>
        <w:spacing w:line="300" w:lineRule="auto" w:before="63"/>
        <w:ind w:left="512" w:right="17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、战略全面升级，开启“互联网</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健康服务业”战略</w:t>
      </w:r>
      <w:r>
        <w:rPr>
          <w:rFonts w:ascii="宋体" w:hAnsi="宋体" w:cs="宋体" w:eastAsia="宋体" w:hint="default"/>
          <w:b/>
          <w:bCs/>
          <w:w w:val="99"/>
          <w:sz w:val="18"/>
          <w:szCs w:val="18"/>
        </w:rPr>
        <w:t> </w:t>
      </w:r>
      <w:r>
        <w:rPr>
          <w:rFonts w:ascii="宋体" w:hAnsi="宋体" w:cs="宋体" w:eastAsia="宋体" w:hint="default"/>
          <w:sz w:val="18"/>
          <w:szCs w:val="18"/>
        </w:rPr>
        <w:t>为响应国家号召，适应市场发展需求，公司在深耕细作传统医疗卫生信息化业务的同时，积极布局和践行互联网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健康</w:t>
      </w:r>
    </w:p>
    <w:p>
      <w:pPr>
        <w:pStyle w:val="BodyText"/>
        <w:spacing w:line="312" w:lineRule="auto" w:before="13"/>
        <w:ind w:right="187"/>
        <w:jc w:val="both"/>
      </w:pPr>
      <w:r>
        <w:rPr/>
        <w:t>服务业务，推动互联网</w:t>
      </w:r>
      <w:r>
        <w:rPr>
          <w:rFonts w:ascii="Times New Roman" w:hAnsi="Times New Roman" w:cs="Times New Roman" w:eastAsia="Times New Roman" w:hint="default"/>
        </w:rPr>
        <w:t>+</w:t>
      </w:r>
      <w:r>
        <w:rPr/>
        <w:t>模式下的医疗健康云服务的发展，打造、提升和联动公司</w:t>
      </w:r>
      <w:r>
        <w:rPr>
          <w:rFonts w:ascii="Times New Roman" w:hAnsi="Times New Roman" w:cs="Times New Roman" w:eastAsia="Times New Roman" w:hint="default"/>
        </w:rPr>
        <w:t>“4+1”</w:t>
      </w:r>
      <w:r>
        <w:rPr/>
        <w:t>战略（云医、云康、云险、云药</w:t>
      </w:r>
      <w:r>
        <w:rPr>
          <w:rFonts w:ascii="Times New Roman" w:hAnsi="Times New Roman" w:cs="Times New Roman" w:eastAsia="Times New Roman" w:hint="default"/>
        </w:rPr>
        <w:t>+</w:t>
      </w:r>
      <w:r>
        <w:rPr/>
        <w:t>创 </w:t>
      </w:r>
      <w:r>
        <w:rPr>
          <w:spacing w:val="-2"/>
        </w:rPr>
        <w:t>新服务平台）。未来，公司将继续通过内生和外延并重的发展手段，持续加大在健康服务领域的布局，在保障现有医疗卫生</w:t>
      </w:r>
      <w:r>
        <w:rPr>
          <w:spacing w:val="-65"/>
        </w:rPr>
        <w:t> </w:t>
      </w:r>
      <w:r>
        <w:rPr>
          <w:spacing w:val="-65"/>
        </w:rPr>
      </w:r>
      <w:r>
        <w:rPr>
          <w:spacing w:val="-2"/>
        </w:rPr>
        <w:t>信息化业务持续、稳定、高速发展的基础上，积极拓展和转型健康服务业发展，力争成为该行业的龙头企业。鉴于此，为了</w:t>
      </w:r>
      <w:r>
        <w:rPr>
          <w:spacing w:val="-67"/>
        </w:rPr>
        <w:t> </w:t>
      </w:r>
      <w:r>
        <w:rPr>
          <w:spacing w:val="-67"/>
        </w:rPr>
      </w:r>
      <w:r>
        <w:rPr>
          <w:spacing w:val="-2"/>
        </w:rPr>
        <w:t>能更准确地反映公司的发展方向和业务特征，提升企业品牌形象和品牌价值，公司第二次临时股东大会审议通过了关于变更</w:t>
      </w:r>
      <w:r>
        <w:rPr>
          <w:spacing w:val="-64"/>
        </w:rPr>
        <w:t> </w:t>
      </w:r>
      <w:r>
        <w:rPr>
          <w:spacing w:val="-64"/>
        </w:rPr>
      </w:r>
      <w:r>
        <w:rPr>
          <w:spacing w:val="-2"/>
        </w:rPr>
        <w:t>公司名称、经营范围和证券简称等议案，并于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月初完成上述变更手续，公司名称正式由</w:t>
      </w:r>
      <w:r>
        <w:rPr>
          <w:rFonts w:ascii="Times New Roman" w:hAnsi="Times New Roman" w:cs="Times New Roman" w:eastAsia="Times New Roman" w:hint="default"/>
          <w:spacing w:val="-2"/>
        </w:rPr>
        <w:t>“</w:t>
      </w:r>
      <w:r>
        <w:rPr>
          <w:spacing w:val="-2"/>
        </w:rPr>
        <w:t>上海金仕达卫宁软件股份有</w:t>
      </w:r>
      <w:r>
        <w:rPr>
          <w:spacing w:val="-49"/>
        </w:rPr>
        <w:t> </w:t>
      </w:r>
      <w:r>
        <w:rPr/>
        <w:t>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卫宁健康科技集团股份有限公司</w:t>
      </w:r>
      <w:r>
        <w:rPr>
          <w:rFonts w:ascii="Times New Roman" w:hAnsi="Times New Roman" w:cs="Times New Roman" w:eastAsia="Times New Roman" w:hint="default"/>
        </w:rPr>
        <w:t>”</w:t>
      </w:r>
      <w:r>
        <w:rPr/>
        <w:t>、证券简称由</w:t>
      </w:r>
      <w:r>
        <w:rPr>
          <w:rFonts w:ascii="Times New Roman" w:hAnsi="Times New Roman" w:cs="Times New Roman" w:eastAsia="Times New Roman" w:hint="default"/>
        </w:rPr>
        <w:t>“</w:t>
      </w:r>
      <w:r>
        <w:rPr/>
        <w:t>卫宁软件</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卫宁健康</w:t>
      </w:r>
      <w:r>
        <w:rPr>
          <w:rFonts w:ascii="Times New Roman" w:hAnsi="Times New Roman" w:cs="Times New Roman" w:eastAsia="Times New Roman" w:hint="default"/>
        </w:rPr>
        <w:t>”</w:t>
      </w:r>
      <w:r>
        <w:rPr/>
        <w:t>。</w:t>
      </w:r>
    </w:p>
    <w:p>
      <w:pPr>
        <w:spacing w:line="300" w:lineRule="auto" w:before="3"/>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、推出定增方案，满足战略项目资金需求</w:t>
      </w:r>
      <w:r>
        <w:rPr>
          <w:rFonts w:ascii="宋体" w:hAnsi="宋体" w:cs="宋体" w:eastAsia="宋体" w:hint="default"/>
          <w:b/>
          <w:bCs/>
          <w:w w:val="99"/>
          <w:sz w:val="18"/>
          <w:szCs w:val="18"/>
        </w:rPr>
        <w:t> </w:t>
      </w:r>
      <w:r>
        <w:rPr>
          <w:rFonts w:ascii="宋体" w:hAnsi="宋体" w:cs="宋体" w:eastAsia="宋体" w:hint="default"/>
          <w:sz w:val="18"/>
          <w:szCs w:val="18"/>
        </w:rPr>
        <w:t>报告期内，公司启动登录资本市场以来的首次再融资工作，拟募集资金不超过</w:t>
      </w:r>
      <w:r>
        <w:rPr>
          <w:rFonts w:ascii="Times New Roman" w:hAnsi="Times New Roman" w:cs="Times New Roman" w:eastAsia="Times New Roman" w:hint="default"/>
          <w:sz w:val="18"/>
          <w:szCs w:val="18"/>
        </w:rPr>
        <w:t>8.2</w:t>
      </w:r>
      <w:r>
        <w:rPr>
          <w:rFonts w:ascii="宋体" w:hAnsi="宋体" w:cs="宋体" w:eastAsia="宋体" w:hint="default"/>
          <w:sz w:val="18"/>
          <w:szCs w:val="18"/>
        </w:rPr>
        <w:t>亿元，该事项已经公司董事会、股东</w:t>
      </w:r>
    </w:p>
    <w:p>
      <w:pPr>
        <w:pStyle w:val="BodyText"/>
        <w:spacing w:line="300" w:lineRule="auto" w:before="13"/>
        <w:ind w:right="189"/>
        <w:jc w:val="both"/>
      </w:pPr>
      <w:r>
        <w:rPr>
          <w:spacing w:val="-2"/>
        </w:rPr>
        <w:t>大会审议通过，于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日收到中国证监会出具的《关于核准上海金仕达卫宁软件股份有限公司非公开发行股票的批</w:t>
      </w:r>
      <w:r>
        <w:rPr>
          <w:spacing w:val="-61"/>
        </w:rPr>
        <w:t> </w:t>
      </w:r>
      <w:r>
        <w:rPr>
          <w:spacing w:val="-61"/>
        </w:rPr>
      </w:r>
      <w:r>
        <w:rPr/>
        <w:t>复》（证监许可</w:t>
      </w:r>
      <w:r>
        <w:rPr>
          <w:rFonts w:ascii="Times New Roman" w:hAnsi="Times New Roman" w:cs="Times New Roman" w:eastAsia="Times New Roman" w:hint="default"/>
        </w:rPr>
        <w:t>[2015]2342</w:t>
      </w:r>
      <w:r>
        <w:rPr/>
        <w:t>号），核准公司非公开发行不超过</w:t>
      </w:r>
      <w:r>
        <w:rPr>
          <w:rFonts w:ascii="Times New Roman" w:hAnsi="Times New Roman" w:cs="Times New Roman" w:eastAsia="Times New Roman" w:hint="default"/>
        </w:rPr>
        <w:t>2,500</w:t>
      </w:r>
      <w:r>
        <w:rPr/>
        <w:t>万股新股。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月，公司完成发行工作，共实际发行</w:t>
      </w:r>
      <w:r>
        <w:rPr>
          <w:spacing w:val="-72"/>
        </w:rPr>
        <w:t> </w:t>
      </w:r>
      <w:r>
        <w:rPr>
          <w:spacing w:val="-72"/>
        </w:rPr>
      </w:r>
      <w:r>
        <w:rPr>
          <w:rFonts w:ascii="Times New Roman" w:hAnsi="Times New Roman" w:cs="Times New Roman" w:eastAsia="Times New Roman" w:hint="default"/>
        </w:rPr>
        <w:t>24,691,878</w:t>
      </w:r>
      <w:r>
        <w:rPr>
          <w:rFonts w:ascii="Times New Roman" w:hAnsi="Times New Roman" w:cs="Times New Roman" w:eastAsia="Times New Roman" w:hint="default"/>
          <w:spacing w:val="-5"/>
        </w:rPr>
        <w:t> </w:t>
      </w:r>
      <w:r>
        <w:rPr>
          <w:spacing w:val="8"/>
        </w:rPr>
        <w:t>股，募集资金总额为</w:t>
      </w:r>
      <w:r>
        <w:rPr>
          <w:rFonts w:ascii="Times New Roman" w:hAnsi="Times New Roman" w:cs="Times New Roman" w:eastAsia="Times New Roman" w:hint="default"/>
          <w:spacing w:val="8"/>
        </w:rPr>
        <w:t>820,017,268.38</w:t>
      </w:r>
      <w:r>
        <w:rPr>
          <w:spacing w:val="8"/>
        </w:rPr>
        <w:t>元，扣除保荐及承销费用人民币</w:t>
      </w:r>
      <w:r>
        <w:rPr>
          <w:rFonts w:ascii="Times New Roman" w:hAnsi="Times New Roman" w:cs="Times New Roman" w:eastAsia="Times New Roman" w:hint="default"/>
          <w:spacing w:val="8"/>
        </w:rPr>
        <w:t>13,000,000.00</w:t>
      </w:r>
      <w:r>
        <w:rPr>
          <w:spacing w:val="8"/>
        </w:rPr>
        <w:t>元，其他发行费用人民币</w:t>
      </w:r>
    </w:p>
    <w:p>
      <w:pPr>
        <w:pStyle w:val="BodyText"/>
        <w:spacing w:line="300" w:lineRule="auto" w:before="13"/>
        <w:ind w:right="192"/>
        <w:jc w:val="both"/>
      </w:pPr>
      <w:r>
        <w:rPr>
          <w:rFonts w:ascii="Times New Roman" w:hAnsi="Times New Roman" w:cs="Times New Roman" w:eastAsia="Times New Roman" w:hint="default"/>
        </w:rPr>
        <w:t>1,234,700.51</w:t>
      </w:r>
      <w:r>
        <w:rPr/>
        <w:t>元，实际募集资金净额为人民币</w:t>
      </w:r>
      <w:r>
        <w:rPr>
          <w:rFonts w:ascii="Times New Roman" w:hAnsi="Times New Roman" w:cs="Times New Roman" w:eastAsia="Times New Roman" w:hint="default"/>
        </w:rPr>
        <w:t>805,782,567.87</w:t>
      </w:r>
      <w:r>
        <w:rPr/>
        <w:t>元，分别投入智慧医疗健康信息系统及其云服务模式建设项目、</w:t>
      </w:r>
      <w:r>
        <w:rPr>
          <w:spacing w:val="-87"/>
        </w:rPr>
        <w:t> </w:t>
      </w:r>
      <w:r>
        <w:rPr>
          <w:spacing w:val="-87"/>
        </w:rPr>
      </w:r>
      <w:r>
        <w:rPr/>
        <w:t>营销服务体系扩建项目、总部基地建设项目、补充流动资金项目。本次新增股份已于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日在深交所上市流通。</w:t>
      </w:r>
    </w:p>
    <w:p>
      <w:pPr>
        <w:spacing w:line="300" w:lineRule="auto" w:before="13"/>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、加大研发投入，不断推出新产品，提高公司核心竞争力</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报告期内，公司在传统领域着力新产品的开发和老产品的升级，其中</w:t>
      </w:r>
      <w:r>
        <w:rPr>
          <w:rFonts w:ascii="Times New Roman" w:hAnsi="Times New Roman" w:cs="Times New Roman" w:eastAsia="Times New Roman" w:hint="default"/>
          <w:spacing w:val="-1"/>
          <w:sz w:val="18"/>
          <w:szCs w:val="18"/>
        </w:rPr>
        <w:t>NIS</w:t>
      </w:r>
      <w:r>
        <w:rPr>
          <w:rFonts w:ascii="宋体" w:hAnsi="宋体" w:cs="宋体" w:eastAsia="宋体" w:hint="default"/>
          <w:spacing w:val="-1"/>
          <w:sz w:val="18"/>
          <w:szCs w:val="18"/>
        </w:rPr>
        <w:t>护理信息系统成为业界标杆，成功在三级甲等</w:t>
      </w:r>
    </w:p>
    <w:p>
      <w:pPr>
        <w:pStyle w:val="BodyText"/>
        <w:spacing w:line="304" w:lineRule="auto" w:before="13"/>
        <w:ind w:right="189"/>
        <w:jc w:val="both"/>
      </w:pPr>
      <w:r>
        <w:rPr>
          <w:spacing w:val="2"/>
        </w:rPr>
        <w:t>医院投入使用，转变了过去单纯护理服务的模式，形成管理</w:t>
      </w:r>
      <w:r>
        <w:rPr>
          <w:rFonts w:ascii="Times New Roman" w:hAnsi="Times New Roman" w:cs="Times New Roman" w:eastAsia="Times New Roman" w:hint="default"/>
          <w:spacing w:val="2"/>
        </w:rPr>
        <w:t>+</w:t>
      </w:r>
      <w:r>
        <w:rPr>
          <w:spacing w:val="2"/>
        </w:rPr>
        <w:t>绩效</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延伸的护理新模式，此外，在云化医技系统（云</w:t>
      </w:r>
      <w:r>
        <w:rPr>
          <w:spacing w:val="-69"/>
        </w:rPr>
        <w:t> </w:t>
      </w:r>
      <w:r>
        <w:rPr>
          <w:spacing w:val="-69"/>
        </w:rPr>
      </w:r>
      <w:r>
        <w:rPr>
          <w:rFonts w:ascii="Times New Roman" w:hAnsi="Times New Roman" w:cs="Times New Roman" w:eastAsia="Times New Roman" w:hint="default"/>
          <w:spacing w:val="-1"/>
        </w:rPr>
        <w:t>PACS+</w:t>
      </w:r>
      <w:r>
        <w:rPr>
          <w:spacing w:val="-1"/>
        </w:rPr>
        <w:t>），云化区域卫生信息平台、</w:t>
      </w:r>
      <w:r>
        <w:rPr>
          <w:rFonts w:ascii="Times New Roman" w:hAnsi="Times New Roman" w:cs="Times New Roman" w:eastAsia="Times New Roman" w:hint="default"/>
          <w:spacing w:val="-1"/>
        </w:rPr>
        <w:t>HIS</w:t>
      </w:r>
      <w:r>
        <w:rPr>
          <w:spacing w:val="-1"/>
        </w:rPr>
        <w:t>多元共性接口集、</w:t>
      </w:r>
      <w:r>
        <w:rPr>
          <w:rFonts w:ascii="Times New Roman" w:hAnsi="Times New Roman" w:cs="Times New Roman" w:eastAsia="Times New Roman" w:hint="default"/>
          <w:spacing w:val="-1"/>
        </w:rPr>
        <w:t>HRP</w:t>
      </w:r>
      <w:r>
        <w:rPr>
          <w:spacing w:val="-1"/>
        </w:rPr>
        <w:t>、六位一体社区卫生服务综合信息系统、多国语言版远程医</w:t>
      </w:r>
      <w:r>
        <w:rPr>
          <w:spacing w:val="-52"/>
        </w:rPr>
        <w:t> </w:t>
      </w:r>
      <w:r>
        <w:rPr>
          <w:spacing w:val="-52"/>
        </w:rPr>
      </w:r>
      <w:r>
        <w:rPr/>
        <w:t>疗信息平台等等方面都形成了新产品并形成了新效益。传统应用对于</w:t>
      </w:r>
      <w:r>
        <w:rPr>
          <w:rFonts w:ascii="Times New Roman" w:hAnsi="Times New Roman" w:cs="Times New Roman" w:eastAsia="Times New Roman" w:hint="default"/>
        </w:rPr>
        <w:t>HIS</w:t>
      </w:r>
      <w:r>
        <w:rPr/>
        <w:t>、</w:t>
      </w:r>
      <w:r>
        <w:rPr>
          <w:rFonts w:ascii="Times New Roman" w:hAnsi="Times New Roman" w:cs="Times New Roman" w:eastAsia="Times New Roman" w:hint="default"/>
        </w:rPr>
        <w:t>CIS</w:t>
      </w:r>
      <w:r>
        <w:rPr/>
        <w:t>、医学影像、</w:t>
      </w:r>
      <w:r>
        <w:rPr>
          <w:rFonts w:ascii="Times New Roman" w:hAnsi="Times New Roman" w:cs="Times New Roman" w:eastAsia="Times New Roman" w:hint="default"/>
        </w:rPr>
        <w:t>HRP</w:t>
      </w:r>
      <w:r>
        <w:rPr/>
        <w:t>、</w:t>
      </w:r>
      <w:r>
        <w:rPr>
          <w:rFonts w:ascii="Times New Roman" w:hAnsi="Times New Roman" w:cs="Times New Roman" w:eastAsia="Times New Roman" w:hint="default"/>
        </w:rPr>
        <w:t>BI</w:t>
      </w:r>
      <w:r>
        <w:rPr/>
        <w:t>等产品进行自发性升</w:t>
      </w:r>
      <w:r>
        <w:rPr>
          <w:spacing w:val="-27"/>
        </w:rPr>
        <w:t> </w:t>
      </w:r>
      <w:r>
        <w:rPr>
          <w:spacing w:val="-27"/>
        </w:rPr>
      </w:r>
      <w:r>
        <w:rPr>
          <w:spacing w:val="-2"/>
        </w:rPr>
        <w:t>级，发展打造卫宁智慧医院信息平台、基于家庭医生的社区卫生服务平台、区域疾病控制平台、卫宁区域健康档案整体解决</w:t>
      </w:r>
      <w:r>
        <w:rPr>
          <w:spacing w:val="-65"/>
        </w:rPr>
        <w:t> </w:t>
      </w:r>
      <w:r>
        <w:rPr>
          <w:spacing w:val="-65"/>
        </w:rPr>
      </w:r>
      <w:r>
        <w:rPr/>
        <w:t>方案，与各高等院校、专业研究机构、客户及政府部门合作，在重点客户中示范应用，拓宽应用范围，扩大服务影像力。</w:t>
      </w:r>
    </w:p>
    <w:p>
      <w:pPr>
        <w:pStyle w:val="BodyText"/>
        <w:spacing w:line="302" w:lineRule="auto" w:before="27"/>
        <w:ind w:right="100" w:firstLine="360"/>
        <w:jc w:val="both"/>
      </w:pPr>
      <w:r>
        <w:rPr>
          <w:spacing w:val="6"/>
        </w:rPr>
        <w:t>在不断优化传统应用、通用软件的基础上，增加了互联网行业的研发投入，支撑公司转型互联网</w:t>
      </w:r>
      <w:r>
        <w:rPr>
          <w:rFonts w:ascii="Times New Roman" w:hAnsi="Times New Roman" w:cs="Times New Roman" w:eastAsia="Times New Roman" w:hint="default"/>
          <w:spacing w:val="6"/>
        </w:rPr>
        <w:t>+</w:t>
      </w:r>
      <w:r>
        <w:rPr>
          <w:spacing w:val="6"/>
        </w:rPr>
        <w:t>健康服务业务和</w:t>
      </w:r>
      <w:r>
        <w:rPr/>
        <w:t> </w:t>
      </w:r>
      <w:r>
        <w:rPr>
          <w:rFonts w:ascii="Times New Roman" w:hAnsi="Times New Roman" w:cs="Times New Roman" w:eastAsia="Times New Roman" w:hint="default"/>
        </w:rPr>
        <w:t>“4+1”(</w:t>
      </w:r>
      <w:r>
        <w:rPr/>
        <w:t>即云医、云康、云药、云险</w:t>
      </w:r>
      <w:r>
        <w:rPr>
          <w:rFonts w:ascii="Times New Roman" w:hAnsi="Times New Roman" w:cs="Times New Roman" w:eastAsia="Times New Roman" w:hint="default"/>
        </w:rPr>
        <w:t>)</w:t>
      </w:r>
      <w:r>
        <w:rPr/>
        <w:t>战略发展。在互联网医疗行业中，</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和分级诊疗政策推动云医院项目落地，卫宁 云</w:t>
      </w:r>
      <w:r>
        <w:rPr>
          <w:rFonts w:ascii="Times New Roman" w:hAnsi="Times New Roman" w:cs="Times New Roman" w:eastAsia="Times New Roman" w:hint="default"/>
        </w:rPr>
        <w:t>HIS</w:t>
      </w:r>
      <w:r>
        <w:rPr/>
        <w:t>、纳里健康、卫宁云医院平台产品联接数百家医疗机构，市场化运营云医院；云康，推出康信、孕乐宝、检康、诊捷 </w:t>
      </w:r>
      <w:r>
        <w:rPr>
          <w:spacing w:val="-2"/>
        </w:rPr>
        <w:t>等健康服务平台的新产品，关注慢性病、诊疗服务的健康服务；公司和国药健康合作，对外投资钥世圈，开发了云医药平台</w:t>
      </w:r>
      <w:r>
        <w:rPr>
          <w:spacing w:val="-67"/>
        </w:rPr>
        <w:t> </w:t>
      </w:r>
      <w:r>
        <w:rPr>
          <w:spacing w:val="-67"/>
        </w:rPr>
      </w:r>
      <w:r>
        <w:rPr/>
        <w:t>提供线上药事服务，依托</w:t>
      </w:r>
      <w:r>
        <w:rPr>
          <w:rFonts w:ascii="Times New Roman" w:hAnsi="Times New Roman" w:cs="Times New Roman" w:eastAsia="Times New Roman" w:hint="default"/>
        </w:rPr>
        <w:t>"</w:t>
      </w:r>
      <w:r>
        <w:rPr/>
        <w:t>钥匙卡理赔直付平台</w:t>
      </w:r>
      <w:r>
        <w:rPr>
          <w:rFonts w:ascii="Times New Roman" w:hAnsi="Times New Roman" w:cs="Times New Roman" w:eastAsia="Times New Roman" w:hint="default"/>
        </w:rPr>
        <w:t>"</w:t>
      </w:r>
      <w:r>
        <w:rPr/>
        <w:t>提供线上医药支付服务；健康保险方面，公司参与发起设立互助加互联网财 产保险相互合作社，涉足互联网</w:t>
      </w:r>
      <w:r>
        <w:rPr>
          <w:rFonts w:ascii="Times New Roman" w:hAnsi="Times New Roman" w:cs="Times New Roman" w:eastAsia="Times New Roman" w:hint="default"/>
        </w:rPr>
        <w:t>+</w:t>
      </w:r>
      <w:r>
        <w:rPr/>
        <w:t>下的相互制保险服务和金融服务领域，以形成保险</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健康的全生态布局。公司借助产 </w:t>
      </w:r>
      <w:r>
        <w:rPr>
          <w:spacing w:val="-4"/>
        </w:rPr>
        <w:t>品驱动项目，项目推进网络医院、健康管理、药品服务、医保控费新型子行业的发展，建成线上线下一体化的，医疗、医药、</w:t>
      </w:r>
    </w:p>
    <w:p>
      <w:pPr>
        <w:spacing w:after="0" w:line="302"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健康、保险，四维一体的互联网模式下的新一代医疗健康信息服务体系。</w:t>
      </w:r>
    </w:p>
    <w:p>
      <w:pPr>
        <w:pStyle w:val="Heading4"/>
        <w:spacing w:line="240" w:lineRule="auto"/>
        <w:ind w:right="148"/>
        <w:jc w:val="left"/>
        <w:rPr>
          <w:b w:val="0"/>
          <w:bCs w:val="0"/>
        </w:rPr>
      </w:pPr>
      <w:r>
        <w:rPr>
          <w:rFonts w:ascii="Times New Roman" w:hAnsi="Times New Roman" w:cs="Times New Roman" w:eastAsia="Times New Roman" w:hint="default"/>
        </w:rPr>
        <w:t>4</w:t>
      </w:r>
      <w:r>
        <w:rPr/>
        <w:t>、塑造卫宁品牌</w:t>
      </w:r>
      <w:r>
        <w:rPr>
          <w:b w:val="0"/>
          <w:bCs w:val="0"/>
        </w:rPr>
      </w:r>
    </w:p>
    <w:p>
      <w:pPr>
        <w:pStyle w:val="BodyText"/>
        <w:spacing w:line="309" w:lineRule="auto" w:before="63"/>
        <w:ind w:right="154" w:firstLine="360"/>
        <w:jc w:val="both"/>
      </w:pPr>
      <w:r>
        <w:rPr>
          <w:rFonts w:ascii="Times New Roman" w:hAnsi="Times New Roman" w:cs="Times New Roman" w:eastAsia="Times New Roman" w:hint="default"/>
          <w:spacing w:val="-2"/>
        </w:rPr>
        <w:t>2015</w:t>
      </w:r>
      <w:r>
        <w:rPr>
          <w:spacing w:val="-2"/>
        </w:rPr>
        <w:t>年，公司坚持以服务带动销售的理念，失去产品及服务持续升级，获得了良好的市场反馈。同时，公司以客户需求</w:t>
      </w:r>
      <w:r>
        <w:rPr/>
        <w:t> </w:t>
      </w:r>
      <w:r>
        <w:rPr>
          <w:spacing w:val="-2"/>
        </w:rPr>
        <w:t>为出发点，从技术研发、产品、运维等多方面提升服务的可靠性和稳定性，为客户提升性价比更好的产品和服务。公司在客</w:t>
      </w:r>
      <w:r>
        <w:rPr>
          <w:spacing w:val="-67"/>
        </w:rPr>
        <w:t> </w:t>
      </w:r>
      <w:r>
        <w:rPr>
          <w:spacing w:val="-67"/>
        </w:rPr>
      </w:r>
      <w:r>
        <w:rPr/>
        <w:t>户中建立起良好品牌形象，也为公司新业务、新技术的持续研发创新提供了坚实的基础。</w:t>
      </w:r>
    </w:p>
    <w:p>
      <w:pPr>
        <w:pStyle w:val="BodyText"/>
        <w:spacing w:line="300" w:lineRule="auto" w:before="24"/>
        <w:ind w:right="149" w:firstLine="360"/>
        <w:jc w:val="both"/>
      </w:pPr>
      <w:r>
        <w:rPr/>
        <w:t>报告期内，公司先后荣获</w:t>
      </w:r>
      <w:r>
        <w:rPr>
          <w:rFonts w:ascii="Times New Roman" w:hAnsi="Times New Roman" w:cs="Times New Roman" w:eastAsia="Times New Roman" w:hint="default"/>
        </w:rPr>
        <w:t>“</w:t>
      </w:r>
      <w:r>
        <w:rPr/>
        <w:t>信息安全服务二级资质认证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信息技术服务运行维护标准符合性证书二级（</w:t>
      </w:r>
      <w:r>
        <w:rPr>
          <w:rFonts w:ascii="Times New Roman" w:hAnsi="Times New Roman" w:cs="Times New Roman" w:eastAsia="Times New Roman" w:hint="default"/>
        </w:rPr>
        <w:t>ITSS</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医 疗器械质量管理体系认证证书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年度上海市明星软件企业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第二届国际</w:t>
      </w:r>
      <w:r>
        <w:rPr>
          <w:rFonts w:ascii="Times New Roman" w:hAnsi="Times New Roman" w:cs="Times New Roman" w:eastAsia="Times New Roman" w:hint="default"/>
        </w:rPr>
        <w:t>DICO</w:t>
      </w:r>
      <w:r>
        <w:rPr/>
        <w:t>标准中国委员会常委单位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w:t>
      </w:r>
      <w:r>
        <w:rPr>
          <w:spacing w:val="-26"/>
        </w:rPr>
        <w:t> </w:t>
      </w:r>
      <w:r>
        <w:rPr/>
        <w:t>第十九届中国软件博览会上海展团优秀参展企业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中国信息技术服务产业联盟医疗健康信息技术专业委员会主任单位</w:t>
      </w:r>
      <w:r>
        <w:rPr>
          <w:rFonts w:ascii="Times New Roman" w:hAnsi="Times New Roman" w:cs="Times New Roman" w:eastAsia="Times New Roman" w:hint="default"/>
        </w:rPr>
        <w:t>”</w:t>
      </w:r>
      <w:r>
        <w:rPr/>
        <w:t>等</w:t>
      </w:r>
      <w:r>
        <w:rPr>
          <w:spacing w:val="-60"/>
        </w:rPr>
        <w:t> </w:t>
      </w:r>
      <w:r>
        <w:rPr/>
        <w:t>资质荣誉，进一步提升了公司的综合实力。</w:t>
      </w:r>
    </w:p>
    <w:p>
      <w:pPr>
        <w:spacing w:line="300" w:lineRule="auto" w:before="31"/>
        <w:ind w:left="512" w:right="14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、高度重视公司治理及投资者关系工作</w:t>
      </w:r>
      <w:r>
        <w:rPr>
          <w:rFonts w:ascii="宋体" w:hAnsi="宋体" w:cs="宋体" w:eastAsia="宋体" w:hint="default"/>
          <w:b/>
          <w:bCs/>
          <w:w w:val="99"/>
          <w:sz w:val="18"/>
          <w:szCs w:val="18"/>
        </w:rPr>
        <w:t> </w:t>
      </w:r>
      <w:r>
        <w:rPr>
          <w:rFonts w:ascii="宋体" w:hAnsi="宋体" w:cs="宋体" w:eastAsia="宋体" w:hint="default"/>
          <w:spacing w:val="-2"/>
          <w:sz w:val="18"/>
          <w:szCs w:val="18"/>
        </w:rPr>
        <w:t>公司董事会一贯重视公司治理及投资者关系工作。报告期内，公司股东大会、董事会及董事会专门委员会、监事会均按</w:t>
      </w:r>
    </w:p>
    <w:p>
      <w:pPr>
        <w:pStyle w:val="BodyText"/>
        <w:spacing w:line="314" w:lineRule="auto" w:before="31"/>
        <w:ind w:right="149"/>
        <w:jc w:val="both"/>
      </w:pPr>
      <w:r>
        <w:rPr>
          <w:spacing w:val="-2"/>
        </w:rPr>
        <w:t>照《公司法》、《证券法》及中国证监会、深交所有关法律法规、《公司章程》及各项议事规则有效独立运行，主要从风险</w:t>
      </w:r>
      <w:r>
        <w:rPr>
          <w:spacing w:val="-68"/>
        </w:rPr>
        <w:t> </w:t>
      </w:r>
      <w:r>
        <w:rPr>
          <w:spacing w:val="-68"/>
        </w:rPr>
      </w:r>
      <w:r>
        <w:rPr>
          <w:spacing w:val="-2"/>
        </w:rPr>
        <w:t>控制及内部控制的角度对公司制度、利润分配、信息披露、关联交易、对外担保、重大投资、组织架构及会计政策等重大事</w:t>
      </w:r>
      <w:r>
        <w:rPr>
          <w:spacing w:val="-67"/>
        </w:rPr>
        <w:t> </w:t>
      </w:r>
      <w:r>
        <w:rPr>
          <w:spacing w:val="-67"/>
        </w:rPr>
      </w:r>
      <w:r>
        <w:rPr>
          <w:spacing w:val="-2"/>
        </w:rPr>
        <w:t>项进行了有效合规的引导和控制。</w:t>
      </w:r>
      <w:r>
        <w:rPr>
          <w:rFonts w:ascii="Times New Roman" w:hAnsi="Times New Roman" w:cs="Times New Roman" w:eastAsia="Times New Roman" w:hint="default"/>
          <w:spacing w:val="-2"/>
        </w:rPr>
        <w:t>2015</w:t>
      </w:r>
      <w:r>
        <w:rPr>
          <w:spacing w:val="-2"/>
        </w:rPr>
        <w:t>年，中国资本市场经历了前所未有的非理性剧烈波动，公司股价大幅下挫，极大的影</w:t>
      </w:r>
      <w:r>
        <w:rPr>
          <w:spacing w:val="-63"/>
        </w:rPr>
        <w:t> </w:t>
      </w:r>
      <w:r>
        <w:rPr>
          <w:spacing w:val="-63"/>
        </w:rPr>
      </w:r>
      <w:r>
        <w:rPr>
          <w:spacing w:val="-2"/>
        </w:rPr>
        <w:t>响了投资者的信心和公司市值。在此背景下，国家纷纷出台政策稳定资本市场，力争恢复资本市场平稳发展。基于对公司基</w:t>
      </w:r>
      <w:r>
        <w:rPr>
          <w:spacing w:val="-64"/>
        </w:rPr>
        <w:t> </w:t>
      </w:r>
      <w:r>
        <w:rPr>
          <w:spacing w:val="-64"/>
        </w:rPr>
      </w:r>
      <w:r>
        <w:rPr>
          <w:spacing w:val="-2"/>
        </w:rPr>
        <w:t>本面的看好和未来发展的认可，公司积极响应中国证监会的号召，大股东及董监高积极增持并承诺一定期限内不减持公司股</w:t>
      </w:r>
      <w:r>
        <w:rPr>
          <w:spacing w:val="-64"/>
        </w:rPr>
        <w:t> </w:t>
      </w:r>
      <w:r>
        <w:rPr>
          <w:spacing w:val="-64"/>
        </w:rPr>
      </w:r>
      <w:r>
        <w:rPr/>
        <w:t>票，共同维护公司健康、稳定发展。截至本报告期末，上述人员的增持计划全部完成。</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8"/>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753,157,662.57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491,411,568.18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53.26%</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医疗卫生信息化行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753,157,662.57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491,411,568.18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53.26%</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417,478,529.50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274,347,296.34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52.17%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212,707,370.37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139,407,779.90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52.58%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122,971,762.70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77,656,491.94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58.35%</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173,260,958.28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155,254,052.68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172,915,487.89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104,488,802.11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65.49%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346,176,446.17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45.96%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259,742,854.79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52.86%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33.28%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34,012,757.55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18,620,060.23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82.67%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38,113,715.74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39,250,513.43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334,854,743.11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44.46%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173,798,139.73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92.67%</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19" w:right="45"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753,157,662.57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345,492,493.57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417,478,529.50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118,683,068.86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212,707,370.37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177,287,322.80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122,971,762.70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49,522,101.91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173,260,958.28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102,727,612.33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172,915,487.89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59,891,242.77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346,176,446.17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162,618,855.10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34,012,757.55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13,920,433.18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38,113,715.74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11,731,730.44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334,854,743.11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157,221,474.85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-2.53%</w:t>
            </w:r>
          </w:p>
        </w:tc>
      </w:tr>
    </w:tbl>
    <w:p>
      <w:pPr>
        <w:pStyle w:val="BodyText"/>
        <w:spacing w:line="240" w:lineRule="auto" w:before="49"/>
        <w:ind w:right="148"/>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t>行业和产品分类</w:t>
      </w:r>
    </w:p>
    <w:p>
      <w:pPr>
        <w:pStyle w:val="BodyText"/>
        <w:spacing w:line="240" w:lineRule="auto" w:before="115"/>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345,492,493.57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222,778,188.37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55.08%</w:t>
            </w:r>
          </w:p>
        </w:tc>
      </w:tr>
    </w:tbl>
    <w:p>
      <w:pPr>
        <w:pStyle w:val="BodyText"/>
        <w:spacing w:line="240" w:lineRule="auto" w:before="49"/>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56,822,929.00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42,677,763.42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191"/>
              <w:jc w:val="left"/>
              <w:rPr>
                <w:rFonts w:ascii="宋体" w:hAnsi="宋体" w:cs="宋体" w:eastAsia="宋体" w:hint="default"/>
                <w:sz w:val="18"/>
                <w:szCs w:val="18"/>
              </w:rPr>
            </w:pPr>
            <w:r>
              <w:rPr>
                <w:rFonts w:ascii="宋体" w:hAnsi="宋体" w:cs="宋体" w:eastAsia="宋体" w:hint="default"/>
                <w:sz w:val="18"/>
                <w:szCs w:val="18"/>
              </w:rPr>
              <w:t>硬件成本</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177,287,322.80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122,075,265.46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21,833,930.07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16,534,399.36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right="148"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月，公司以自有资金</w:t>
      </w:r>
      <w:r>
        <w:rPr>
          <w:rFonts w:ascii="Times New Roman" w:hAnsi="Times New Roman" w:cs="Times New Roman" w:eastAsia="Times New Roman" w:hint="default"/>
        </w:rPr>
        <w:t>510</w:t>
      </w:r>
      <w:r>
        <w:rPr/>
        <w:t>万元投资设立控股子公司重庆金仕达卫宁软件有限公司，公司持有</w:t>
      </w:r>
      <w:r>
        <w:rPr>
          <w:rFonts w:ascii="Times New Roman" w:hAnsi="Times New Roman" w:cs="Times New Roman" w:eastAsia="Times New Roman" w:hint="default"/>
        </w:rPr>
        <w:t>51%</w:t>
      </w:r>
      <w:r>
        <w:rPr/>
        <w:t>股权，重庆 卫宁于本报告期纳入合并报表范围。</w:t>
      </w:r>
    </w:p>
    <w:p>
      <w:pPr>
        <w:pStyle w:val="BodyText"/>
        <w:spacing w:line="300" w:lineRule="auto" w:before="31"/>
        <w:ind w:right="148"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月，公司以自有资金</w:t>
      </w:r>
      <w:r>
        <w:rPr>
          <w:rFonts w:ascii="Times New Roman" w:hAnsi="Times New Roman" w:cs="Times New Roman" w:eastAsia="Times New Roman" w:hint="default"/>
        </w:rPr>
        <w:t>510</w:t>
      </w:r>
      <w:r>
        <w:rPr/>
        <w:t>万元投资设立控股子公司黑龙江金仕达卫宁软件有限公司，公司持有</w:t>
      </w:r>
      <w:r>
        <w:rPr>
          <w:rFonts w:ascii="Times New Roman" w:hAnsi="Times New Roman" w:cs="Times New Roman" w:eastAsia="Times New Roman" w:hint="default"/>
        </w:rPr>
        <w:t>51%</w:t>
      </w:r>
      <w:r>
        <w:rPr/>
        <w:t>股权，黑 龙江卫宁于本报告期纳入合并报表范围。</w:t>
      </w:r>
    </w:p>
    <w:p>
      <w:pPr>
        <w:pStyle w:val="BodyText"/>
        <w:spacing w:line="240" w:lineRule="auto" w:before="31"/>
        <w:ind w:left="512" w:right="148"/>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月，公司以自有资金</w:t>
      </w:r>
      <w:r>
        <w:rPr>
          <w:rFonts w:ascii="Times New Roman" w:hAnsi="Times New Roman" w:cs="Times New Roman" w:eastAsia="Times New Roman" w:hint="default"/>
          <w:spacing w:val="2"/>
        </w:rPr>
        <w:t>2,450</w:t>
      </w:r>
      <w:r>
        <w:rPr>
          <w:spacing w:val="2"/>
        </w:rPr>
        <w:t>万元收购浙江万鼎信息技术有限公司</w:t>
      </w:r>
      <w:r>
        <w:rPr>
          <w:rFonts w:ascii="Times New Roman" w:hAnsi="Times New Roman" w:cs="Times New Roman" w:eastAsia="Times New Roman" w:hint="default"/>
          <w:spacing w:val="2"/>
        </w:rPr>
        <w:t>90%</w:t>
      </w:r>
      <w:r>
        <w:rPr>
          <w:spacing w:val="2"/>
        </w:rPr>
        <w:t>股权，另增资800万元，公司合计持有</w:t>
      </w:r>
    </w:p>
    <w:p>
      <w:pPr>
        <w:pStyle w:val="BodyText"/>
        <w:spacing w:line="240" w:lineRule="auto" w:before="62"/>
        <w:ind w:right="148"/>
        <w:jc w:val="left"/>
      </w:pPr>
      <w:r>
        <w:rPr/>
        <w:t>92.76%股权，浙江万鼎于本报告期纳入合并报表范围。</w:t>
      </w:r>
    </w:p>
    <w:p>
      <w:pPr>
        <w:pStyle w:val="BodyText"/>
        <w:spacing w:line="240" w:lineRule="auto" w:before="76"/>
        <w:ind w:left="512"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月，公司以自有资金</w:t>
      </w:r>
      <w:r>
        <w:rPr>
          <w:rFonts w:ascii="Times New Roman" w:hAnsi="Times New Roman" w:cs="Times New Roman" w:eastAsia="Times New Roman" w:hint="default"/>
        </w:rPr>
        <w:t>4,000</w:t>
      </w:r>
      <w:r>
        <w:rPr/>
        <w:t>万元收购杭州东联软件有限公司</w:t>
      </w:r>
      <w:r>
        <w:rPr>
          <w:rFonts w:ascii="Times New Roman" w:hAnsi="Times New Roman" w:cs="Times New Roman" w:eastAsia="Times New Roman" w:hint="default"/>
        </w:rPr>
        <w:t>100%</w:t>
      </w:r>
      <w:r>
        <w:rPr/>
        <w:t>股权，杭州东联于本报告期纳入合并报表范</w:t>
      </w:r>
    </w:p>
    <w:p>
      <w:pPr>
        <w:pStyle w:val="BodyText"/>
        <w:spacing w:line="240" w:lineRule="auto" w:before="63"/>
        <w:ind w:right="148"/>
        <w:jc w:val="left"/>
      </w:pPr>
      <w:r>
        <w:rPr/>
        <w:t>围。</w:t>
      </w:r>
    </w:p>
    <w:p>
      <w:pPr>
        <w:pStyle w:val="BodyText"/>
        <w:spacing w:line="240" w:lineRule="auto" w:before="76"/>
        <w:ind w:left="512" w:right="148"/>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月，公司以自有资金</w:t>
      </w:r>
      <w:r>
        <w:rPr>
          <w:rFonts w:ascii="Times New Roman" w:hAnsi="Times New Roman" w:cs="Times New Roman" w:eastAsia="Times New Roman" w:hint="default"/>
        </w:rPr>
        <w:t>510</w:t>
      </w:r>
      <w:r>
        <w:rPr/>
        <w:t>万元投资设立控股子公司宁波金仕达卫宁软件有限公司，公司持有</w:t>
      </w:r>
      <w:r>
        <w:rPr>
          <w:rFonts w:ascii="Times New Roman" w:hAnsi="Times New Roman" w:cs="Times New Roman" w:eastAsia="Times New Roman" w:hint="default"/>
        </w:rPr>
        <w:t>51%</w:t>
      </w:r>
      <w:r>
        <w:rPr/>
        <w:t>股权，宁波</w:t>
      </w:r>
    </w:p>
    <w:p>
      <w:pPr>
        <w:pStyle w:val="BodyText"/>
        <w:spacing w:line="240" w:lineRule="auto" w:before="62"/>
        <w:ind w:right="148"/>
        <w:jc w:val="left"/>
      </w:pPr>
      <w:r>
        <w:rPr/>
        <w:t>卫宁于本报告期纳入合并报表范围。</w:t>
      </w:r>
    </w:p>
    <w:p>
      <w:pPr>
        <w:pStyle w:val="BodyText"/>
        <w:spacing w:line="300" w:lineRule="auto" w:before="76"/>
        <w:ind w:right="148" w:firstLine="36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月，公司之全资子公司江苏卫宁以自有资金</w:t>
      </w:r>
      <w:r>
        <w:rPr>
          <w:rFonts w:ascii="Times New Roman" w:hAnsi="Times New Roman" w:cs="Times New Roman" w:eastAsia="Times New Roman" w:hint="default"/>
        </w:rPr>
        <w:t>6,380</w:t>
      </w:r>
      <w:r>
        <w:rPr/>
        <w:t>万元收购天津津微首佳软件技术有限公司</w:t>
      </w:r>
      <w:r>
        <w:rPr>
          <w:rFonts w:ascii="Times New Roman" w:hAnsi="Times New Roman" w:cs="Times New Roman" w:eastAsia="Times New Roman" w:hint="default"/>
        </w:rPr>
        <w:t>60%</w:t>
      </w:r>
      <w:r>
        <w:rPr/>
        <w:t>的股权，津 微首佳于本报告期纳入合并报表范围。</w:t>
      </w:r>
    </w:p>
    <w:p>
      <w:pPr>
        <w:spacing w:line="240" w:lineRule="auto" w:before="10"/>
        <w:rPr>
          <w:rFonts w:ascii="宋体" w:hAnsi="宋体" w:cs="宋体" w:eastAsia="宋体" w:hint="default"/>
          <w:sz w:val="23"/>
          <w:szCs w:val="23"/>
        </w:rPr>
      </w:pPr>
    </w:p>
    <w:p>
      <w:pPr>
        <w:pStyle w:val="Heading3"/>
        <w:spacing w:line="240" w:lineRule="auto"/>
        <w:ind w:right="14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90,992,790.86</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1"/>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河北循证医药科技股份有限公司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21,771,111.12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合肥市第一人民医院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19,963,735.05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石河子大学医学院第一附属医院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19,249,572.65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上海申康医院发展中心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17,093,842.13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海南肿瘤医院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12,914,529.91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90,992,790.86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12.08%</w:t>
            </w:r>
          </w:p>
        </w:tc>
      </w:tr>
    </w:tbl>
    <w:p>
      <w:pPr>
        <w:pStyle w:val="BodyText"/>
        <w:spacing w:line="240" w:lineRule="auto" w:before="49"/>
        <w:ind w:right="148"/>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43,060,837.58</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17.30%</w:t>
            </w:r>
          </w:p>
        </w:tc>
      </w:tr>
    </w:tbl>
    <w:p>
      <w:pPr>
        <w:pStyle w:val="BodyText"/>
        <w:spacing w:line="240" w:lineRule="auto" w:before="49"/>
        <w:ind w:right="14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4"/>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11,330,746.20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康泰医学系统（秦皇岛）股份有限公司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11,025,641.06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深圳前海玺康医疗科技有限公司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10,529,914.15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山西星联盛业科技贸易有限公司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5,301,557.37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安徽荣旭信息科技有限公司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4,872,978.80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43,060,837.58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59"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销售费用较上年同期增加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主</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w w:val="95"/>
                <w:sz w:val="18"/>
              </w:rPr>
              <w:t>109,097,433.07</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79,784,372.57</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36.74%</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要是业务增长带来人工成本、股权激</w:t>
            </w:r>
          </w:p>
        </w:tc>
      </w:tr>
      <w:tr>
        <w:trPr>
          <w:trHeight w:val="354"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励成本等增加所致。</w:t>
            </w:r>
          </w:p>
        </w:tc>
      </w:tr>
      <w:tr>
        <w:trPr>
          <w:trHeight w:val="360"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管理费用较上年同期增加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主</w:t>
            </w:r>
          </w:p>
        </w:tc>
      </w:tr>
      <w:tr>
        <w:trPr>
          <w:trHeight w:val="619"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159,879,245.28</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83,584,520.69</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91.28%</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9"/>
              <w:jc w:val="left"/>
              <w:rPr>
                <w:rFonts w:ascii="宋体" w:hAnsi="宋体" w:cs="宋体" w:eastAsia="宋体" w:hint="default"/>
                <w:sz w:val="18"/>
                <w:szCs w:val="18"/>
              </w:rPr>
            </w:pPr>
            <w:r>
              <w:rPr>
                <w:rFonts w:ascii="宋体" w:hAnsi="宋体" w:cs="宋体" w:eastAsia="宋体" w:hint="default"/>
                <w:sz w:val="18"/>
                <w:szCs w:val="18"/>
              </w:rPr>
              <w:t>要是业务增长引起人工及运营经费 </w:t>
            </w:r>
            <w:r>
              <w:rPr>
                <w:rFonts w:ascii="宋体" w:hAnsi="宋体" w:cs="宋体" w:eastAsia="宋体" w:hint="default"/>
                <w:spacing w:val="-2"/>
                <w:sz w:val="18"/>
                <w:szCs w:val="18"/>
              </w:rPr>
              <w:t>增加、股权激励成本增加及创新型业</w:t>
            </w:r>
          </w:p>
        </w:tc>
      </w:tr>
      <w:tr>
        <w:trPr>
          <w:trHeight w:val="360"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务研发投入增加所致。</w:t>
            </w:r>
          </w:p>
        </w:tc>
      </w:tr>
      <w:tr>
        <w:trPr>
          <w:trHeight w:val="359"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财务费用较上年同期减少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主</w:t>
            </w:r>
          </w:p>
        </w:tc>
      </w:tr>
      <w:tr>
        <w:trPr>
          <w:trHeight w:val="618"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-74,914.95</w:t>
            </w:r>
            <w:r>
              <w:rPr>
                <w:rFonts w:ascii="Times New Roman"/>
                <w:sz w:val="18"/>
              </w:rPr>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-8,296,899.53</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-99.10%</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9" w:lineRule="auto" w:before="4"/>
              <w:ind w:left="24" w:right="182"/>
              <w:jc w:val="left"/>
              <w:rPr>
                <w:rFonts w:ascii="宋体" w:hAnsi="宋体" w:cs="宋体" w:eastAsia="宋体" w:hint="default"/>
                <w:sz w:val="18"/>
                <w:szCs w:val="18"/>
              </w:rPr>
            </w:pPr>
            <w:r>
              <w:rPr>
                <w:rFonts w:ascii="宋体" w:hAnsi="宋体" w:cs="宋体" w:eastAsia="宋体" w:hint="default"/>
                <w:sz w:val="18"/>
                <w:szCs w:val="18"/>
              </w:rPr>
              <w:t>要是定期存款减少而相应利息收入 减少以及本年借款利息支出增加所</w:t>
            </w:r>
          </w:p>
        </w:tc>
      </w:tr>
      <w:tr>
        <w:trPr>
          <w:trHeight w:val="360"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致。</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r>
        <w:rPr/>
        <w:pict>
          <v:group style="position:absolute;margin-left:291pt;margin-top:549.600037pt;width:63.15pt;height:12.15pt;mso-position-horizontal-relative:page;mso-position-vertical-relative:page;z-index:-988744" coordorigin="5820,10992" coordsize="1263,243">
            <v:shape style="position:absolute;left:5820;top:10992;width:1263;height:243" coordorigin="5820,10992" coordsize="1263,243" path="m5820,11234l7082,11234,7082,10992,5820,10992,5820,11234xe" filled="true" fillcolor="#ffffff" stroked="false">
              <v:path arrowok="t"/>
              <v:fill type="solid"/>
            </v:shape>
            <w10:wrap type="none"/>
          </v:group>
        </w:pict>
      </w: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2" w:right="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报告期内，公司在传统领域着力新产品的开发和老产品的升级，其中</w:t>
      </w:r>
      <w:r>
        <w:rPr>
          <w:rFonts w:ascii="Times New Roman" w:hAnsi="Times New Roman" w:cs="Times New Roman" w:eastAsia="Times New Roman" w:hint="default"/>
          <w:spacing w:val="-1"/>
        </w:rPr>
        <w:t>NIS</w:t>
      </w:r>
      <w:r>
        <w:rPr>
          <w:spacing w:val="-1"/>
        </w:rPr>
        <w:t>护理信息系统成为业界标杆，成功在三级甲等</w:t>
      </w:r>
    </w:p>
    <w:p>
      <w:pPr>
        <w:pStyle w:val="BodyText"/>
        <w:spacing w:line="230" w:lineRule="exact"/>
        <w:ind w:right="0"/>
        <w:jc w:val="both"/>
      </w:pPr>
      <w:r>
        <w:rPr>
          <w:spacing w:val="2"/>
        </w:rPr>
        <w:t>医院投入使用，转变了过去单纯护理服务的模式，形成管理</w:t>
      </w:r>
      <w:r>
        <w:rPr>
          <w:rFonts w:ascii="Times New Roman" w:hAnsi="Times New Roman" w:cs="Times New Roman" w:eastAsia="Times New Roman" w:hint="default"/>
          <w:spacing w:val="2"/>
        </w:rPr>
        <w:t>+</w:t>
      </w:r>
      <w:r>
        <w:rPr>
          <w:spacing w:val="2"/>
        </w:rPr>
        <w:t>绩效</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延伸的护理新模式，此外，在云化医技系统（云</w:t>
      </w:r>
    </w:p>
    <w:p>
      <w:pPr>
        <w:pStyle w:val="BodyText"/>
        <w:spacing w:line="307" w:lineRule="auto" w:before="63"/>
        <w:ind w:right="189"/>
        <w:jc w:val="both"/>
      </w:pPr>
      <w:r>
        <w:rPr>
          <w:rFonts w:ascii="Times New Roman" w:hAnsi="Times New Roman" w:cs="Times New Roman" w:eastAsia="Times New Roman" w:hint="default"/>
          <w:spacing w:val="-1"/>
        </w:rPr>
        <w:t>PACS+</w:t>
      </w:r>
      <w:r>
        <w:rPr>
          <w:spacing w:val="-1"/>
        </w:rPr>
        <w:t>），云化区域卫生信息平台、</w:t>
      </w:r>
      <w:r>
        <w:rPr>
          <w:rFonts w:ascii="Times New Roman" w:hAnsi="Times New Roman" w:cs="Times New Roman" w:eastAsia="Times New Roman" w:hint="default"/>
          <w:spacing w:val="-1"/>
        </w:rPr>
        <w:t>HIS</w:t>
      </w:r>
      <w:r>
        <w:rPr>
          <w:spacing w:val="-1"/>
        </w:rPr>
        <w:t>多元共性接口集、</w:t>
      </w:r>
      <w:r>
        <w:rPr>
          <w:rFonts w:ascii="Times New Roman" w:hAnsi="Times New Roman" w:cs="Times New Roman" w:eastAsia="Times New Roman" w:hint="default"/>
          <w:spacing w:val="-1"/>
        </w:rPr>
        <w:t>HRP</w:t>
      </w:r>
      <w:r>
        <w:rPr>
          <w:spacing w:val="-1"/>
        </w:rPr>
        <w:t>、六位一体社区卫生服务综合信息系统、多国语言版远程医</w:t>
      </w:r>
      <w:r>
        <w:rPr>
          <w:spacing w:val="-52"/>
        </w:rPr>
        <w:t> </w:t>
      </w:r>
      <w:r>
        <w:rPr>
          <w:spacing w:val="-52"/>
        </w:rPr>
      </w:r>
      <w:r>
        <w:rPr/>
        <w:t>疗信息平台等等方面都形成了新产品并形成了新效益。传统应用对于</w:t>
      </w:r>
      <w:r>
        <w:rPr>
          <w:rFonts w:ascii="Times New Roman" w:hAnsi="Times New Roman" w:cs="Times New Roman" w:eastAsia="Times New Roman" w:hint="default"/>
        </w:rPr>
        <w:t>HIS</w:t>
      </w:r>
      <w:r>
        <w:rPr/>
        <w:t>、</w:t>
      </w:r>
      <w:r>
        <w:rPr>
          <w:rFonts w:ascii="Times New Roman" w:hAnsi="Times New Roman" w:cs="Times New Roman" w:eastAsia="Times New Roman" w:hint="default"/>
        </w:rPr>
        <w:t>CIS</w:t>
      </w:r>
      <w:r>
        <w:rPr/>
        <w:t>、医学影像、</w:t>
      </w:r>
      <w:r>
        <w:rPr>
          <w:rFonts w:ascii="Times New Roman" w:hAnsi="Times New Roman" w:cs="Times New Roman" w:eastAsia="Times New Roman" w:hint="default"/>
        </w:rPr>
        <w:t>HRP</w:t>
      </w:r>
      <w:r>
        <w:rPr/>
        <w:t>、</w:t>
      </w:r>
      <w:r>
        <w:rPr>
          <w:rFonts w:ascii="Times New Roman" w:hAnsi="Times New Roman" w:cs="Times New Roman" w:eastAsia="Times New Roman" w:hint="default"/>
        </w:rPr>
        <w:t>BI</w:t>
      </w:r>
      <w:r>
        <w:rPr/>
        <w:t>等产品进行自发性升</w:t>
      </w:r>
      <w:r>
        <w:rPr>
          <w:spacing w:val="-27"/>
        </w:rPr>
        <w:t> </w:t>
      </w:r>
      <w:r>
        <w:rPr>
          <w:spacing w:val="-27"/>
        </w:rPr>
      </w:r>
      <w:r>
        <w:rPr>
          <w:spacing w:val="-2"/>
        </w:rPr>
        <w:t>级，发展打造卫宁智慧医院信息平台、基于家庭医生的社区卫生服务平台、区域疾病控制平台、卫宁区域健康档案整体解决</w:t>
      </w:r>
      <w:r>
        <w:rPr>
          <w:spacing w:val="-65"/>
        </w:rPr>
        <w:t> </w:t>
      </w:r>
      <w:r>
        <w:rPr>
          <w:spacing w:val="-65"/>
        </w:rPr>
      </w:r>
      <w:r>
        <w:rPr/>
        <w:t>方案，与各高等院校、专业研究机构、客户及政府部门合作，在重点客户中示范应用，拓宽应用范围，扩大服务影像力。</w:t>
      </w:r>
    </w:p>
    <w:p>
      <w:pPr>
        <w:pStyle w:val="BodyText"/>
        <w:spacing w:line="304" w:lineRule="auto" w:before="26"/>
        <w:ind w:right="93" w:firstLine="360"/>
        <w:jc w:val="left"/>
      </w:pPr>
      <w:r>
        <w:rPr>
          <w:spacing w:val="6"/>
        </w:rPr>
        <w:t>在不断优化传统应用、通用软件的基础上，增加了互联网行业的研发投入，支撑公司转型互联网</w:t>
      </w:r>
      <w:r>
        <w:rPr>
          <w:rFonts w:ascii="Times New Roman" w:hAnsi="Times New Roman" w:cs="Times New Roman" w:eastAsia="Times New Roman" w:hint="default"/>
          <w:spacing w:val="6"/>
        </w:rPr>
        <w:t>+</w:t>
      </w:r>
      <w:r>
        <w:rPr>
          <w:spacing w:val="6"/>
        </w:rPr>
        <w:t>健康服务业务和</w:t>
      </w:r>
      <w:r>
        <w:rPr/>
        <w:t> </w:t>
      </w:r>
      <w:r>
        <w:rPr>
          <w:rFonts w:ascii="Times New Roman" w:hAnsi="Times New Roman" w:cs="Times New Roman" w:eastAsia="Times New Roman" w:hint="default"/>
        </w:rPr>
        <w:t>“4+1”(</w:t>
      </w:r>
      <w:r>
        <w:rPr/>
        <w:t>即云医、云康、云药、云险</w:t>
      </w:r>
      <w:r>
        <w:rPr>
          <w:rFonts w:ascii="Times New Roman" w:hAnsi="Times New Roman" w:cs="Times New Roman" w:eastAsia="Times New Roman" w:hint="default"/>
        </w:rPr>
        <w:t>)</w:t>
      </w:r>
      <w:r>
        <w:rPr/>
        <w:t>战略发展。在互联网医疗行业中，</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和分级诊疗政策推动云医院项目落地，卫宁 云</w:t>
      </w:r>
      <w:r>
        <w:rPr>
          <w:rFonts w:ascii="Times New Roman" w:hAnsi="Times New Roman" w:cs="Times New Roman" w:eastAsia="Times New Roman" w:hint="default"/>
        </w:rPr>
        <w:t>HIS</w:t>
      </w:r>
      <w:r>
        <w:rPr/>
        <w:t>、纳里健康、卫宁云医院平台产品联接数百家医疗机构，市场化运营云医院；云康，推出康信、孕乐宝、检康、诊捷 </w:t>
      </w:r>
      <w:r>
        <w:rPr>
          <w:spacing w:val="-2"/>
        </w:rPr>
        <w:t>等健康服务平台的新产品，关注慢性病、诊疗服务的健康服务；公司和国药健康合作，对外投资钥世圈，开发了云医药平台</w:t>
      </w:r>
      <w:r>
        <w:rPr>
          <w:spacing w:val="-67"/>
        </w:rPr>
        <w:t> </w:t>
      </w:r>
      <w:r>
        <w:rPr>
          <w:spacing w:val="-67"/>
        </w:rPr>
      </w:r>
      <w:r>
        <w:rPr/>
        <w:t>提供线上药事服务，依托</w:t>
      </w:r>
      <w:r>
        <w:rPr>
          <w:rFonts w:ascii="Times New Roman" w:hAnsi="Times New Roman" w:cs="Times New Roman" w:eastAsia="Times New Roman" w:hint="default"/>
        </w:rPr>
        <w:t>"</w:t>
      </w:r>
      <w:r>
        <w:rPr/>
        <w:t>钥匙卡理赔直付平台</w:t>
      </w:r>
      <w:r>
        <w:rPr>
          <w:rFonts w:ascii="Times New Roman" w:hAnsi="Times New Roman" w:cs="Times New Roman" w:eastAsia="Times New Roman" w:hint="default"/>
        </w:rPr>
        <w:t>"</w:t>
      </w:r>
      <w:r>
        <w:rPr/>
        <w:t>提供线上医药支付服务；健康保险方面，公司参与发起设立互助加互联网财 产保险相互合作社，涉足互联网</w:t>
      </w:r>
      <w:r>
        <w:rPr>
          <w:rFonts w:ascii="Times New Roman" w:hAnsi="Times New Roman" w:cs="Times New Roman" w:eastAsia="Times New Roman" w:hint="default"/>
        </w:rPr>
        <w:t>+</w:t>
      </w:r>
      <w:r>
        <w:rPr/>
        <w:t>下的相互制保险服务和金融服务领域，以形成保险</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健康的全生态布局。公司借助产 </w:t>
      </w:r>
      <w:r>
        <w:rPr>
          <w:spacing w:val="-4"/>
        </w:rPr>
        <w:t>品驱动项目，项目推进网络医院、健康管理、药品服务、医保控费新型子行业的发展，建成线上线下一体化的，医疗、医药、</w:t>
      </w:r>
      <w:r>
        <w:rPr>
          <w:spacing w:val="-41"/>
        </w:rPr>
        <w:t> </w:t>
      </w:r>
      <w:r>
        <w:rPr>
          <w:spacing w:val="-41"/>
        </w:rPr>
      </w:r>
      <w:r>
        <w:rPr/>
        <w:t>健康、保险，四维一体的互联网模式下的新一代医疗健康信息服务体系。</w:t>
      </w:r>
    </w:p>
    <w:p>
      <w:pPr>
        <w:pStyle w:val="BodyText"/>
        <w:spacing w:line="300" w:lineRule="auto" w:before="28"/>
        <w:ind w:left="512" w:right="4233"/>
        <w:jc w:val="left"/>
      </w:pPr>
      <w:r>
        <w:rPr/>
        <w:t>报告期内，公司研发投入</w:t>
      </w:r>
      <w:r>
        <w:rPr>
          <w:rFonts w:ascii="Times New Roman" w:hAnsi="Times New Roman" w:cs="Times New Roman" w:eastAsia="Times New Roman" w:hint="default"/>
        </w:rPr>
        <w:t>8,924.70</w:t>
      </w:r>
      <w:r>
        <w:rPr/>
        <w:t>万元，占营业收入</w:t>
      </w:r>
      <w:r>
        <w:rPr>
          <w:rFonts w:ascii="Times New Roman" w:hAnsi="Times New Roman" w:cs="Times New Roman" w:eastAsia="Times New Roman" w:hint="default"/>
        </w:rPr>
        <w:t>11.85%</w:t>
      </w:r>
      <w:r>
        <w:rPr/>
        <w:t>。 报告期内，公司申请获得</w:t>
      </w:r>
      <w:r>
        <w:rPr>
          <w:rFonts w:ascii="Times New Roman" w:hAnsi="Times New Roman" w:cs="Times New Roman" w:eastAsia="Times New Roman" w:hint="default"/>
        </w:rPr>
        <w:t>58</w:t>
      </w:r>
      <w:r>
        <w:rPr/>
        <w:t>项计算机软件著作权，具体明细如下：</w:t>
      </w:r>
    </w:p>
    <w:tbl>
      <w:tblPr>
        <w:tblW w:w="0" w:type="auto"/>
        <w:jc w:val="left"/>
        <w:tblInd w:w="136" w:type="dxa"/>
        <w:tblLayout w:type="fixed"/>
        <w:tblCellMar>
          <w:top w:w="0" w:type="dxa"/>
          <w:left w:w="0" w:type="dxa"/>
          <w:bottom w:w="0" w:type="dxa"/>
          <w:right w:w="0" w:type="dxa"/>
        </w:tblCellMar>
        <w:tblLook w:val="01E0"/>
      </w:tblPr>
      <w:tblGrid>
        <w:gridCol w:w="624"/>
        <w:gridCol w:w="4063"/>
        <w:gridCol w:w="1277"/>
        <w:gridCol w:w="1418"/>
        <w:gridCol w:w="1188"/>
        <w:gridCol w:w="1087"/>
      </w:tblGrid>
      <w:tr>
        <w:trPr>
          <w:trHeight w:val="348" w:hRule="exact"/>
        </w:trPr>
        <w:tc>
          <w:tcPr>
            <w:tcW w:w="624"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063"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软件著作权名称</w:t>
            </w:r>
          </w:p>
        </w:tc>
        <w:tc>
          <w:tcPr>
            <w:tcW w:w="1277"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证书取得时间</w:t>
            </w:r>
          </w:p>
        </w:tc>
        <w:tc>
          <w:tcPr>
            <w:tcW w:w="1418"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0"/>
              <w:ind w:right="249"/>
              <w:jc w:val="right"/>
              <w:rPr>
                <w:rFonts w:ascii="宋体" w:hAnsi="宋体" w:cs="宋体" w:eastAsia="宋体" w:hint="default"/>
                <w:sz w:val="18"/>
                <w:szCs w:val="18"/>
              </w:rPr>
            </w:pPr>
            <w:r>
              <w:rPr>
                <w:rFonts w:ascii="宋体" w:hAnsi="宋体" w:cs="宋体" w:eastAsia="宋体" w:hint="default"/>
                <w:sz w:val="18"/>
                <w:szCs w:val="18"/>
              </w:rPr>
              <w:t>证书登记号</w:t>
            </w:r>
          </w:p>
        </w:tc>
        <w:tc>
          <w:tcPr>
            <w:tcW w:w="1188"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0"/>
              <w:ind w:left="228"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087"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0"/>
              <w:ind w:left="269" w:right="0"/>
              <w:jc w:val="left"/>
              <w:rPr>
                <w:rFonts w:ascii="宋体" w:hAnsi="宋体" w:cs="宋体" w:eastAsia="宋体" w:hint="default"/>
                <w:sz w:val="18"/>
                <w:szCs w:val="18"/>
              </w:rPr>
            </w:pPr>
            <w:r>
              <w:rPr>
                <w:rFonts w:ascii="宋体" w:hAnsi="宋体" w:cs="宋体" w:eastAsia="宋体" w:hint="default"/>
                <w:sz w:val="18"/>
                <w:szCs w:val="18"/>
              </w:rPr>
              <w:t>权利人</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单病种管理系统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2015-01-29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5"/>
              <w:jc w:val="right"/>
              <w:rPr>
                <w:rFonts w:ascii="Times New Roman" w:hAnsi="Times New Roman" w:cs="Times New Roman" w:eastAsia="Times New Roman" w:hint="default"/>
                <w:sz w:val="18"/>
                <w:szCs w:val="18"/>
              </w:rPr>
            </w:pPr>
            <w:r>
              <w:rPr>
                <w:rFonts w:ascii="Times New Roman"/>
                <w:sz w:val="18"/>
              </w:rPr>
              <w:t>2015SR016850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胸</w:t>
            </w:r>
            <w:r>
              <w:rPr>
                <w:rFonts w:ascii="宋体" w:hAnsi="宋体" w:cs="宋体" w:eastAsia="宋体" w:hint="default"/>
                <w:spacing w:val="-26"/>
                <w:sz w:val="18"/>
                <w:szCs w:val="18"/>
              </w:rPr>
              <w:t> </w:t>
            </w:r>
            <w:r>
              <w:rPr>
                <w:rFonts w:ascii="宋体" w:hAnsi="宋体" w:cs="宋体" w:eastAsia="宋体" w:hint="default"/>
                <w:sz w:val="18"/>
                <w:szCs w:val="18"/>
              </w:rPr>
              <w:t>部</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早</w:t>
            </w:r>
            <w:r>
              <w:rPr>
                <w:rFonts w:ascii="宋体" w:hAnsi="宋体" w:cs="宋体" w:eastAsia="宋体" w:hint="default"/>
                <w:spacing w:val="-26"/>
                <w:sz w:val="18"/>
                <w:szCs w:val="18"/>
              </w:rPr>
              <w:t> </w:t>
            </w:r>
            <w:r>
              <w:rPr>
                <w:rFonts w:ascii="宋体" w:hAnsi="宋体" w:cs="宋体" w:eastAsia="宋体" w:hint="default"/>
                <w:sz w:val="18"/>
                <w:szCs w:val="18"/>
              </w:rPr>
              <w:t>期</w:t>
            </w:r>
            <w:r>
              <w:rPr>
                <w:rFonts w:ascii="宋体" w:hAnsi="宋体" w:cs="宋体" w:eastAsia="宋体" w:hint="default"/>
                <w:spacing w:val="-23"/>
                <w:sz w:val="18"/>
                <w:szCs w:val="18"/>
              </w:rPr>
              <w:t> </w:t>
            </w:r>
            <w:r>
              <w:rPr>
                <w:rFonts w:ascii="宋体" w:hAnsi="宋体" w:cs="宋体" w:eastAsia="宋体" w:hint="default"/>
                <w:sz w:val="18"/>
                <w:szCs w:val="18"/>
              </w:rPr>
              <w:t>肺</w:t>
            </w:r>
            <w:r>
              <w:rPr>
                <w:rFonts w:ascii="宋体" w:hAnsi="宋体" w:cs="宋体" w:eastAsia="宋体" w:hint="default"/>
                <w:spacing w:val="-26"/>
                <w:sz w:val="18"/>
                <w:szCs w:val="18"/>
              </w:rPr>
              <w:t> </w:t>
            </w:r>
            <w:r>
              <w:rPr>
                <w:rFonts w:ascii="宋体" w:hAnsi="宋体" w:cs="宋体" w:eastAsia="宋体" w:hint="default"/>
                <w:sz w:val="18"/>
                <w:szCs w:val="18"/>
              </w:rPr>
              <w:t>癌</w:t>
            </w:r>
            <w:r>
              <w:rPr>
                <w:rFonts w:ascii="宋体" w:hAnsi="宋体" w:cs="宋体" w:eastAsia="宋体" w:hint="default"/>
                <w:spacing w:val="-26"/>
                <w:sz w:val="18"/>
                <w:szCs w:val="18"/>
              </w:rPr>
              <w:t> </w:t>
            </w:r>
            <w:r>
              <w:rPr>
                <w:rFonts w:ascii="宋体" w:hAnsi="宋体" w:cs="宋体" w:eastAsia="宋体" w:hint="default"/>
                <w:sz w:val="18"/>
                <w:szCs w:val="18"/>
              </w:rPr>
              <w:t>辅</w:t>
            </w:r>
            <w:r>
              <w:rPr>
                <w:rFonts w:ascii="宋体" w:hAnsi="宋体" w:cs="宋体" w:eastAsia="宋体" w:hint="default"/>
                <w:spacing w:val="-23"/>
                <w:sz w:val="18"/>
                <w:szCs w:val="18"/>
              </w:rPr>
              <w:t> </w:t>
            </w:r>
            <w:r>
              <w:rPr>
                <w:rFonts w:ascii="宋体" w:hAnsi="宋体" w:cs="宋体" w:eastAsia="宋体" w:hint="default"/>
                <w:sz w:val="18"/>
                <w:szCs w:val="18"/>
              </w:rPr>
              <w:t>助</w:t>
            </w:r>
            <w:r>
              <w:rPr>
                <w:rFonts w:ascii="宋体" w:hAnsi="宋体" w:cs="宋体" w:eastAsia="宋体" w:hint="default"/>
                <w:spacing w:val="-23"/>
                <w:sz w:val="18"/>
                <w:szCs w:val="18"/>
              </w:rPr>
              <w:t> </w:t>
            </w:r>
            <w:r>
              <w:rPr>
                <w:rFonts w:ascii="宋体" w:hAnsi="宋体" w:cs="宋体" w:eastAsia="宋体" w:hint="default"/>
                <w:sz w:val="18"/>
                <w:szCs w:val="18"/>
              </w:rPr>
              <w:t>诊</w:t>
            </w:r>
            <w:r>
              <w:rPr>
                <w:rFonts w:ascii="宋体" w:hAnsi="宋体" w:cs="宋体" w:eastAsia="宋体" w:hint="default"/>
                <w:spacing w:val="-26"/>
                <w:sz w:val="18"/>
                <w:szCs w:val="18"/>
              </w:rPr>
              <w:t> </w:t>
            </w:r>
            <w:r>
              <w:rPr>
                <w:rFonts w:ascii="宋体" w:hAnsi="宋体" w:cs="宋体" w:eastAsia="宋体" w:hint="default"/>
                <w:sz w:val="18"/>
                <w:szCs w:val="18"/>
              </w:rPr>
              <w:t>断</w:t>
            </w:r>
            <w:r>
              <w:rPr>
                <w:rFonts w:ascii="宋体" w:hAnsi="宋体" w:cs="宋体" w:eastAsia="宋体" w:hint="default"/>
                <w:spacing w:val="-26"/>
                <w:sz w:val="18"/>
                <w:szCs w:val="18"/>
              </w:rPr>
              <w:t> </w:t>
            </w:r>
            <w:r>
              <w:rPr>
                <w:rFonts w:ascii="宋体" w:hAnsi="宋体" w:cs="宋体" w:eastAsia="宋体" w:hint="default"/>
                <w:sz w:val="18"/>
                <w:szCs w:val="18"/>
              </w:rPr>
              <w:t>系</w:t>
            </w:r>
            <w:r>
              <w:rPr>
                <w:rFonts w:ascii="宋体" w:hAnsi="宋体" w:cs="宋体" w:eastAsia="宋体" w:hint="default"/>
                <w:spacing w:val="-23"/>
                <w:sz w:val="18"/>
                <w:szCs w:val="18"/>
              </w:rPr>
              <w:t> </w:t>
            </w:r>
            <w:r>
              <w:rPr>
                <w:rFonts w:ascii="宋体" w:hAnsi="宋体" w:cs="宋体" w:eastAsia="宋体" w:hint="default"/>
                <w:sz w:val="18"/>
                <w:szCs w:val="18"/>
              </w:rPr>
              <w:t>统</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简</w:t>
            </w:r>
            <w:r>
              <w:rPr>
                <w:rFonts w:ascii="宋体" w:hAnsi="宋体" w:cs="宋体" w:eastAsia="宋体" w:hint="default"/>
                <w:spacing w:val="-26"/>
                <w:sz w:val="18"/>
                <w:szCs w:val="18"/>
              </w:rPr>
              <w:t> </w:t>
            </w:r>
            <w:r>
              <w:rPr>
                <w:rFonts w:ascii="宋体" w:hAnsi="宋体" w:cs="宋体" w:eastAsia="宋体" w:hint="default"/>
                <w:sz w:val="18"/>
                <w:szCs w:val="18"/>
              </w:rPr>
              <w:t>称</w:t>
            </w:r>
            <w:r>
              <w:rPr>
                <w:rFonts w:ascii="宋体" w:hAnsi="宋体" w:cs="宋体" w:eastAsia="宋体" w:hint="default"/>
                <w:spacing w:val="-26"/>
                <w:sz w:val="18"/>
                <w:szCs w:val="18"/>
              </w:rPr>
              <w:t> </w:t>
            </w:r>
            <w:r>
              <w:rPr>
                <w:rFonts w:ascii="宋体" w:hAnsi="宋体" w:cs="宋体" w:eastAsia="宋体" w:hint="default"/>
                <w:sz w:val="18"/>
                <w:szCs w:val="18"/>
              </w:rPr>
              <w:t>：</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LungCAD]V1.0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5"/>
              <w:jc w:val="right"/>
              <w:rPr>
                <w:rFonts w:ascii="Times New Roman" w:hAnsi="Times New Roman" w:cs="Times New Roman" w:eastAsia="Times New Roman" w:hint="default"/>
                <w:sz w:val="18"/>
                <w:szCs w:val="18"/>
              </w:rPr>
            </w:pPr>
            <w:r>
              <w:rPr>
                <w:rFonts w:ascii="Times New Roman"/>
                <w:sz w:val="18"/>
              </w:rPr>
              <w:t>2015SR017281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0"/>
              <w:ind w:left="2" w:right="-1"/>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金仕达卫宁血液透析科室管理软件</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pacing w:val="12"/>
                <w:sz w:val="18"/>
                <w:szCs w:val="18"/>
              </w:rPr>
              <w:t>简称：</w:t>
            </w:r>
            <w:r>
              <w:rPr>
                <w:rFonts w:ascii="宋体" w:hAnsi="宋体" w:cs="宋体" w:eastAsia="宋体" w:hint="default"/>
                <w:spacing w:val="-67"/>
                <w:sz w:val="18"/>
                <w:szCs w:val="18"/>
              </w:rPr>
              <w:t> </w:t>
            </w:r>
            <w:r>
              <w:rPr>
                <w:rFonts w:ascii="宋体" w:hAnsi="宋体" w:cs="宋体" w:eastAsia="宋体" w:hint="default"/>
                <w:spacing w:val="9"/>
                <w:sz w:val="18"/>
                <w:szCs w:val="18"/>
              </w:rPr>
              <w:t>卫宁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HDIS]V1.0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5"/>
              <w:jc w:val="right"/>
              <w:rPr>
                <w:rFonts w:ascii="Times New Roman" w:hAnsi="Times New Roman" w:cs="Times New Roman" w:eastAsia="Times New Roman" w:hint="default"/>
                <w:sz w:val="18"/>
                <w:szCs w:val="18"/>
              </w:rPr>
            </w:pPr>
            <w:r>
              <w:rPr>
                <w:rFonts w:ascii="Times New Roman"/>
                <w:sz w:val="18"/>
              </w:rPr>
              <w:t>2015SR017286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社区家庭医生工作平台</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1"/>
                <w:sz w:val="18"/>
                <w:szCs w:val="18"/>
              </w:rPr>
              <w:t>简称：</w:t>
            </w:r>
            <w:r>
              <w:rPr>
                <w:rFonts w:ascii="宋体" w:hAnsi="宋体" w:cs="宋体" w:eastAsia="宋体" w:hint="default"/>
                <w:spacing w:val="-69"/>
                <w:sz w:val="18"/>
                <w:szCs w:val="18"/>
              </w:rPr>
              <w:t> </w:t>
            </w:r>
            <w:r>
              <w:rPr>
                <w:rFonts w:ascii="宋体" w:hAnsi="宋体" w:cs="宋体" w:eastAsia="宋体" w:hint="default"/>
                <w:spacing w:val="16"/>
                <w:sz w:val="18"/>
                <w:szCs w:val="18"/>
              </w:rPr>
              <w:t>家庭医生工作平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台</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5"/>
              <w:jc w:val="right"/>
              <w:rPr>
                <w:rFonts w:ascii="Times New Roman" w:hAnsi="Times New Roman" w:cs="Times New Roman" w:eastAsia="Times New Roman" w:hint="default"/>
                <w:sz w:val="18"/>
                <w:szCs w:val="18"/>
              </w:rPr>
            </w:pPr>
            <w:r>
              <w:rPr>
                <w:rFonts w:ascii="Times New Roman"/>
                <w:sz w:val="18"/>
              </w:rPr>
              <w:t>2015SR017226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健康风险评估系统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HRAS]V1.0</w:t>
            </w:r>
          </w:p>
        </w:tc>
        <w:tc>
          <w:tcPr>
            <w:tcW w:w="1277"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5"/>
              <w:jc w:val="right"/>
              <w:rPr>
                <w:rFonts w:ascii="Times New Roman" w:hAnsi="Times New Roman" w:cs="Times New Roman" w:eastAsia="Times New Roman" w:hint="default"/>
                <w:sz w:val="18"/>
                <w:szCs w:val="18"/>
              </w:rPr>
            </w:pPr>
            <w:r>
              <w:rPr>
                <w:rFonts w:ascii="Times New Roman"/>
                <w:sz w:val="18"/>
              </w:rPr>
              <w:t>2015SR017312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7"/>
              <w:jc w:val="left"/>
              <w:rPr>
                <w:rFonts w:ascii="宋体" w:hAnsi="宋体" w:cs="宋体" w:eastAsia="宋体" w:hint="default"/>
                <w:sz w:val="18"/>
                <w:szCs w:val="18"/>
              </w:rPr>
            </w:pPr>
            <w:r>
              <w:rPr>
                <w:rFonts w:ascii="宋体" w:hAnsi="宋体" w:cs="宋体" w:eastAsia="宋体" w:hint="default"/>
                <w:sz w:val="18"/>
                <w:szCs w:val="18"/>
              </w:rPr>
              <w:t>金仕达卫宁区域信息平台</w:t>
            </w:r>
            <w:r>
              <w:rPr>
                <w:rFonts w:ascii="Times New Roman" w:hAnsi="Times New Roman" w:cs="Times New Roman" w:eastAsia="Times New Roman" w:hint="default"/>
                <w:sz w:val="18"/>
                <w:szCs w:val="18"/>
              </w:rPr>
              <w:t>-</w:t>
            </w:r>
            <w:r>
              <w:rPr>
                <w:rFonts w:ascii="宋体" w:hAnsi="宋体" w:cs="宋体" w:eastAsia="宋体" w:hint="default"/>
                <w:sz w:val="18"/>
                <w:szCs w:val="18"/>
              </w:rPr>
              <w:t>患者交叉索引软件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Winning IHE</w:t>
            </w:r>
            <w:r>
              <w:rPr>
                <w:rFonts w:ascii="Times New Roman"/>
                <w:spacing w:val="-2"/>
                <w:sz w:val="18"/>
              </w:rPr>
              <w:t> </w:t>
            </w:r>
            <w:r>
              <w:rPr>
                <w:rFonts w:ascii="Times New Roman"/>
                <w:sz w:val="18"/>
              </w:rPr>
              <w:t>PIX]V1.0</w:t>
            </w:r>
          </w:p>
        </w:tc>
        <w:tc>
          <w:tcPr>
            <w:tcW w:w="1277" w:type="dxa"/>
            <w:tcBorders>
              <w:top w:val="single" w:sz="11" w:space="0" w:color="000000"/>
              <w:left w:val="single" w:sz="6" w:space="0" w:color="000000"/>
              <w:bottom w:val="single" w:sz="10" w:space="0" w:color="000000"/>
              <w:right w:val="single" w:sz="6" w:space="0" w:color="000000"/>
            </w:tcBorders>
          </w:tcPr>
          <w:p>
            <w:pPr>
              <w:pStyle w:val="TableParagraph"/>
              <w:spacing w:line="240" w:lineRule="auto" w:before="97"/>
              <w:ind w:left="4" w:right="0"/>
              <w:jc w:val="left"/>
              <w:rPr>
                <w:rFonts w:ascii="Times New Roman" w:hAnsi="Times New Roman" w:cs="Times New Roman" w:eastAsia="Times New Roman" w:hint="default"/>
                <w:sz w:val="18"/>
                <w:szCs w:val="18"/>
              </w:rPr>
            </w:pPr>
            <w:r>
              <w:rPr>
                <w:rFonts w:ascii="Times New Roman"/>
                <w:sz w:val="18"/>
              </w:rPr>
              <w:t>2015-03-05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5"/>
              <w:jc w:val="right"/>
              <w:rPr>
                <w:rFonts w:ascii="Times New Roman" w:hAnsi="Times New Roman" w:cs="Times New Roman" w:eastAsia="Times New Roman" w:hint="default"/>
                <w:sz w:val="18"/>
                <w:szCs w:val="18"/>
              </w:rPr>
            </w:pPr>
            <w:r>
              <w:rPr>
                <w:rFonts w:ascii="Times New Roman"/>
                <w:sz w:val="18"/>
              </w:rPr>
              <w:t>2015SR040053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医院成本核算管理系统</w:t>
            </w:r>
            <w:r>
              <w:rPr>
                <w:rFonts w:ascii="Times New Roman" w:hAnsi="Times New Roman" w:cs="Times New Roman" w:eastAsia="Times New Roman" w:hint="default"/>
                <w:sz w:val="18"/>
                <w:szCs w:val="18"/>
              </w:rPr>
              <w:t>V1.0</w:t>
            </w:r>
          </w:p>
        </w:tc>
        <w:tc>
          <w:tcPr>
            <w:tcW w:w="12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left="4" w:right="0"/>
              <w:jc w:val="left"/>
              <w:rPr>
                <w:rFonts w:ascii="Times New Roman" w:hAnsi="Times New Roman" w:cs="Times New Roman" w:eastAsia="Times New Roman" w:hint="default"/>
                <w:sz w:val="18"/>
                <w:szCs w:val="18"/>
              </w:rPr>
            </w:pPr>
            <w:r>
              <w:rPr>
                <w:rFonts w:ascii="Times New Roman"/>
                <w:sz w:val="18"/>
              </w:rPr>
              <w:t>2015-05-08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5"/>
              <w:jc w:val="right"/>
              <w:rPr>
                <w:rFonts w:ascii="Times New Roman" w:hAnsi="Times New Roman" w:cs="Times New Roman" w:eastAsia="Times New Roman" w:hint="default"/>
                <w:sz w:val="18"/>
                <w:szCs w:val="18"/>
              </w:rPr>
            </w:pPr>
            <w:r>
              <w:rPr>
                <w:rFonts w:ascii="Times New Roman"/>
                <w:sz w:val="18"/>
              </w:rPr>
              <w:t>2015SR077419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区域信息平台健康卡管理应用系统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简称：健康卡系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2015-06-02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5"/>
              <w:jc w:val="right"/>
              <w:rPr>
                <w:rFonts w:ascii="Times New Roman" w:hAnsi="Times New Roman" w:cs="Times New Roman" w:eastAsia="Times New Roman" w:hint="default"/>
                <w:sz w:val="18"/>
                <w:szCs w:val="18"/>
              </w:rPr>
            </w:pPr>
            <w:r>
              <w:rPr>
                <w:rFonts w:ascii="Times New Roman"/>
                <w:sz w:val="18"/>
              </w:rPr>
              <w:t>2015SR095559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9</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区域卫生信息平台双向转诊系统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简称：双向转诊系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2015-06-02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5"/>
              <w:jc w:val="right"/>
              <w:rPr>
                <w:rFonts w:ascii="Times New Roman" w:hAnsi="Times New Roman" w:cs="Times New Roman" w:eastAsia="Times New Roman" w:hint="default"/>
                <w:sz w:val="18"/>
                <w:szCs w:val="18"/>
              </w:rPr>
            </w:pPr>
            <w:r>
              <w:rPr>
                <w:rFonts w:ascii="Times New Roman"/>
                <w:sz w:val="18"/>
              </w:rPr>
              <w:t>2015SR095571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区域信息平台数据质量监管系统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简称：数据质量监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管系统</w:t>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2015-06-02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5"/>
              <w:jc w:val="right"/>
              <w:rPr>
                <w:rFonts w:ascii="Times New Roman" w:hAnsi="Times New Roman" w:cs="Times New Roman" w:eastAsia="Times New Roman" w:hint="default"/>
                <w:sz w:val="18"/>
                <w:szCs w:val="18"/>
              </w:rPr>
            </w:pPr>
            <w:r>
              <w:rPr>
                <w:rFonts w:ascii="Times New Roman"/>
                <w:sz w:val="18"/>
              </w:rPr>
              <w:t>2015SR095565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5"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区域电子病历系统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netemr]V1.0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2015-06-10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5"/>
              <w:jc w:val="right"/>
              <w:rPr>
                <w:rFonts w:ascii="Times New Roman" w:hAnsi="Times New Roman" w:cs="Times New Roman" w:eastAsia="Times New Roman" w:hint="default"/>
                <w:sz w:val="18"/>
                <w:szCs w:val="18"/>
              </w:rPr>
            </w:pPr>
            <w:r>
              <w:rPr>
                <w:rFonts w:ascii="Times New Roman"/>
                <w:sz w:val="18"/>
              </w:rPr>
              <w:t>2015SR103717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12</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药品采购配送平台</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2015-06-10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5"/>
              <w:jc w:val="right"/>
              <w:rPr>
                <w:rFonts w:ascii="Times New Roman" w:hAnsi="Times New Roman" w:cs="Times New Roman" w:eastAsia="Times New Roman" w:hint="default"/>
                <w:sz w:val="18"/>
                <w:szCs w:val="18"/>
              </w:rPr>
            </w:pPr>
            <w:r>
              <w:rPr>
                <w:rFonts w:ascii="Times New Roman"/>
                <w:sz w:val="18"/>
              </w:rPr>
              <w:t>2015SR103674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13</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金仕达卫宁远程教学信息管理软件</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简称</w:t>
            </w:r>
            <w:r>
              <w:rPr>
                <w:rFonts w:ascii="宋体" w:hAnsi="宋体" w:cs="宋体" w:eastAsia="宋体" w:hint="default"/>
                <w:spacing w:val="-72"/>
                <w:sz w:val="18"/>
                <w:szCs w:val="18"/>
              </w:rPr>
              <w:t>：</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L</w:t>
            </w:r>
            <w:r>
              <w:rPr>
                <w:rFonts w:ascii="Times New Roman" w:hAnsi="Times New Roman" w:cs="Times New Roman" w:eastAsia="Times New Roman" w:hint="default"/>
                <w:w w:val="99"/>
                <w:sz w:val="18"/>
                <w:szCs w:val="18"/>
              </w:rPr>
              <w:t>IS]</w:t>
            </w:r>
            <w:r>
              <w:rPr>
                <w:rFonts w:ascii="Times New Roman" w:hAnsi="Times New Roman" w:cs="Times New Roman" w:eastAsia="Times New Roman" w:hint="default"/>
                <w:spacing w:val="2"/>
                <w:w w:val="99"/>
                <w:sz w:val="18"/>
                <w:szCs w:val="18"/>
              </w:rPr>
              <w:t>V</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2015-06-19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5"/>
              <w:jc w:val="right"/>
              <w:rPr>
                <w:rFonts w:ascii="Times New Roman" w:hAnsi="Times New Roman" w:cs="Times New Roman" w:eastAsia="Times New Roman" w:hint="default"/>
                <w:sz w:val="18"/>
                <w:szCs w:val="18"/>
              </w:rPr>
            </w:pPr>
            <w:r>
              <w:rPr>
                <w:rFonts w:ascii="Times New Roman"/>
                <w:sz w:val="18"/>
              </w:rPr>
              <w:t>2015SR111314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14</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金仕达卫宁优孕宝软件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简称：优孕宝</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2015-08-08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75"/>
              <w:jc w:val="right"/>
              <w:rPr>
                <w:rFonts w:ascii="Times New Roman" w:hAnsi="Times New Roman" w:cs="Times New Roman" w:eastAsia="Times New Roman" w:hint="default"/>
                <w:sz w:val="18"/>
                <w:szCs w:val="18"/>
              </w:rPr>
            </w:pPr>
            <w:r>
              <w:rPr>
                <w:rFonts w:ascii="Times New Roman"/>
                <w:sz w:val="18"/>
              </w:rPr>
              <w:t>2015SR152108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624"/>
        <w:gridCol w:w="4063"/>
        <w:gridCol w:w="1277"/>
        <w:gridCol w:w="1418"/>
        <w:gridCol w:w="1188"/>
        <w:gridCol w:w="1087"/>
      </w:tblGrid>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15</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云影像软件</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2015-08-10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2015SR153761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16</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电子胶片与虚拟打印服务器应用软件</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2015-08-10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2015SR153758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17</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金仕达卫宁医院信息平台软件</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简称：医院信息平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台</w:t>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2015-08-19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2015SR160618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18</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金仕达卫宁基于云计算的智能提示信息系统</w:t>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2015-09-29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2015SR189339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19</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2"/>
                <w:sz w:val="18"/>
                <w:szCs w:val="18"/>
              </w:rPr>
              <w:t>金仕达卫宁基于云计算的医疗信息调阅分析系统</w:t>
            </w:r>
          </w:p>
          <w:p>
            <w:pPr>
              <w:pStyle w:val="TableParagraph"/>
              <w:spacing w:line="240" w:lineRule="auto" w:before="118"/>
              <w:ind w:left="2" w:right="0"/>
              <w:jc w:val="left"/>
              <w:rPr>
                <w:rFonts w:ascii="Times New Roman" w:hAnsi="Times New Roman" w:cs="Times New Roman" w:eastAsia="Times New Roman" w:hint="default"/>
                <w:sz w:val="18"/>
                <w:szCs w:val="18"/>
              </w:rPr>
            </w:pPr>
            <w:r>
              <w:rPr>
                <w:rFonts w:ascii="Times New Roman"/>
                <w:sz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2015-09-07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2015SR172610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2" w:right="-1"/>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金仕达卫宁基于云计算的</w:t>
            </w:r>
            <w:r>
              <w:rPr>
                <w:rFonts w:ascii="Times New Roman" w:hAnsi="Times New Roman" w:cs="Times New Roman" w:eastAsia="Times New Roman" w:hint="default"/>
                <w:spacing w:val="11"/>
                <w:sz w:val="18"/>
                <w:szCs w:val="18"/>
              </w:rPr>
              <w:t>HER</w:t>
            </w:r>
            <w:r>
              <w:rPr>
                <w:rFonts w:ascii="宋体" w:hAnsi="宋体" w:cs="宋体" w:eastAsia="宋体" w:hint="default"/>
                <w:spacing w:val="11"/>
                <w:sz w:val="18"/>
                <w:szCs w:val="18"/>
              </w:rPr>
              <w:t>共享调阅信息系统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2015-09-29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2015SR189314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21</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金仕达卫宁健康一体机管理系统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简称：健康一体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机</w:t>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2015-10-14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2015SR197179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22</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移动互联网健康管理系统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简称：康信</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2015SR222900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6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移动互联网健康管家系统（</w:t>
            </w:r>
            <w:r>
              <w:rPr>
                <w:rFonts w:ascii="Times New Roman" w:hAnsi="Times New Roman" w:cs="Times New Roman" w:eastAsia="Times New Roman" w:hint="default"/>
                <w:spacing w:val="4"/>
                <w:sz w:val="18"/>
                <w:szCs w:val="18"/>
              </w:rPr>
              <w:t>IOS</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简称：康信</w:t>
            </w:r>
            <w:r>
              <w:rPr>
                <w:rFonts w:ascii="Times New Roman" w:hAnsi="Times New Roman" w:cs="Times New Roman" w:eastAsia="Times New Roman" w:hint="default"/>
                <w:spacing w:val="4"/>
                <w:sz w:val="18"/>
                <w:szCs w:val="18"/>
              </w:rPr>
              <w:t>APP</w:t>
            </w:r>
          </w:p>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IOS</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2015-11-30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2015SR236630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25"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24</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金仕达卫宁移动床旁医生软件</w:t>
            </w:r>
            <w:r>
              <w:rPr>
                <w:rFonts w:ascii="Times New Roman" w:hAnsi="Times New Roman" w:cs="Times New Roman" w:eastAsia="Times New Roman" w:hint="default"/>
                <w:sz w:val="18"/>
                <w:szCs w:val="18"/>
              </w:rPr>
              <w:t>V1.0.1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2015-04-23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2015SR067385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江苏卫宁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25</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金仕达卫宁输液工作软件</w:t>
            </w:r>
            <w:r>
              <w:rPr>
                <w:rFonts w:ascii="Times New Roman" w:hAnsi="Times New Roman" w:cs="Times New Roman" w:eastAsia="Times New Roman" w:hint="default"/>
                <w:sz w:val="18"/>
                <w:szCs w:val="18"/>
              </w:rPr>
              <w:t>V1.0.1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2015-04-23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2015SR067312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江苏卫宁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26</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金仕达卫宁移动护理系统</w:t>
            </w:r>
            <w:r>
              <w:rPr>
                <w:rFonts w:ascii="Times New Roman" w:hAnsi="Times New Roman" w:cs="Times New Roman" w:eastAsia="Times New Roman" w:hint="default"/>
                <w:sz w:val="18"/>
                <w:szCs w:val="18"/>
              </w:rPr>
              <w:t>V2.0.1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2015-04-23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2015SR066270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江苏卫宁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27</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金仕达卫宁医讯通软件</w:t>
            </w:r>
            <w:r>
              <w:rPr>
                <w:rFonts w:ascii="Times New Roman" w:hAnsi="Times New Roman" w:cs="Times New Roman" w:eastAsia="Times New Roman" w:hint="default"/>
                <w:sz w:val="18"/>
                <w:szCs w:val="18"/>
              </w:rPr>
              <w:t>V1.0.1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2015-04-23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2015SR067301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江苏卫宁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28</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金仕达卫宁领导据测系统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2015-04-23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2015SR066271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江苏卫宁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29</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金仕达卫宁健康宣教系统</w:t>
            </w:r>
            <w:r>
              <w:rPr>
                <w:rFonts w:ascii="Times New Roman" w:hAnsi="Times New Roman" w:cs="Times New Roman" w:eastAsia="Times New Roman" w:hint="default"/>
                <w:sz w:val="18"/>
                <w:szCs w:val="18"/>
              </w:rPr>
              <w:t>V1.0.1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2015-04-23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2015SR067382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江苏卫宁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30</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金仕达卫宁家庭医生随访软件</w:t>
            </w:r>
            <w:r>
              <w:rPr>
                <w:rFonts w:ascii="Times New Roman" w:hAnsi="Times New Roman" w:cs="Times New Roman" w:eastAsia="Times New Roman" w:hint="default"/>
                <w:sz w:val="18"/>
                <w:szCs w:val="18"/>
              </w:rPr>
              <w:t>V1.1.1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2015-04-23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2015SR066266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江苏卫宁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31</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卫宁电子健康病历管理系统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简称：电子病历</w:t>
            </w:r>
            <w:r>
              <w:rPr>
                <w:rFonts w:ascii="Times New Roman" w:hAnsi="Times New Roman" w:cs="Times New Roman" w:eastAsia="Times New Roman" w:hint="default"/>
                <w:sz w:val="18"/>
                <w:szCs w:val="18"/>
              </w:rPr>
              <w:t>]V8.0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2015SR004660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32</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卫宁电子临床路径管理系统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简称：临床路径</w:t>
            </w:r>
            <w:r>
              <w:rPr>
                <w:rFonts w:ascii="Times New Roman" w:hAnsi="Times New Roman" w:cs="Times New Roman" w:eastAsia="Times New Roman" w:hint="default"/>
                <w:sz w:val="18"/>
                <w:szCs w:val="18"/>
              </w:rPr>
              <w:t>]V8.0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2015SR004664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33</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3"/>
              <w:jc w:val="left"/>
              <w:rPr>
                <w:rFonts w:ascii="宋体" w:hAnsi="宋体" w:cs="宋体" w:eastAsia="宋体" w:hint="default"/>
                <w:sz w:val="18"/>
                <w:szCs w:val="18"/>
              </w:rPr>
            </w:pPr>
            <w:r>
              <w:rPr>
                <w:rFonts w:ascii="宋体" w:hAnsi="宋体" w:cs="宋体" w:eastAsia="宋体" w:hint="default"/>
                <w:sz w:val="18"/>
                <w:szCs w:val="18"/>
              </w:rPr>
              <w:t>卫</w:t>
            </w:r>
            <w:r>
              <w:rPr>
                <w:rFonts w:ascii="宋体" w:hAnsi="宋体" w:cs="宋体" w:eastAsia="宋体" w:hint="default"/>
                <w:spacing w:val="-35"/>
                <w:sz w:val="18"/>
                <w:szCs w:val="18"/>
              </w:rPr>
              <w:t> </w:t>
            </w:r>
            <w:r>
              <w:rPr>
                <w:rFonts w:ascii="宋体" w:hAnsi="宋体" w:cs="宋体" w:eastAsia="宋体" w:hint="default"/>
                <w:sz w:val="18"/>
                <w:szCs w:val="18"/>
              </w:rPr>
              <w:t>宁</w:t>
            </w:r>
            <w:r>
              <w:rPr>
                <w:rFonts w:ascii="宋体" w:hAnsi="宋体" w:cs="宋体" w:eastAsia="宋体" w:hint="default"/>
                <w:spacing w:val="-35"/>
                <w:sz w:val="18"/>
                <w:szCs w:val="18"/>
              </w:rPr>
              <w:t> </w:t>
            </w:r>
            <w:r>
              <w:rPr>
                <w:rFonts w:ascii="宋体" w:hAnsi="宋体" w:cs="宋体" w:eastAsia="宋体" w:hint="default"/>
                <w:sz w:val="18"/>
                <w:szCs w:val="18"/>
              </w:rPr>
              <w:t>妇</w:t>
            </w:r>
            <w:r>
              <w:rPr>
                <w:rFonts w:ascii="宋体" w:hAnsi="宋体" w:cs="宋体" w:eastAsia="宋体" w:hint="default"/>
                <w:spacing w:val="-35"/>
                <w:sz w:val="18"/>
                <w:szCs w:val="18"/>
              </w:rPr>
              <w:t> </w:t>
            </w:r>
            <w:r>
              <w:rPr>
                <w:rFonts w:ascii="宋体" w:hAnsi="宋体" w:cs="宋体" w:eastAsia="宋体" w:hint="default"/>
                <w:sz w:val="18"/>
                <w:szCs w:val="18"/>
              </w:rPr>
              <w:t>幼</w:t>
            </w:r>
            <w:r>
              <w:rPr>
                <w:rFonts w:ascii="宋体" w:hAnsi="宋体" w:cs="宋体" w:eastAsia="宋体" w:hint="default"/>
                <w:spacing w:val="-38"/>
                <w:sz w:val="18"/>
                <w:szCs w:val="18"/>
              </w:rPr>
              <w:t> </w:t>
            </w:r>
            <w:r>
              <w:rPr>
                <w:rFonts w:ascii="宋体" w:hAnsi="宋体" w:cs="宋体" w:eastAsia="宋体" w:hint="default"/>
                <w:sz w:val="18"/>
                <w:szCs w:val="18"/>
              </w:rPr>
              <w:t>保</w:t>
            </w:r>
            <w:r>
              <w:rPr>
                <w:rFonts w:ascii="宋体" w:hAnsi="宋体" w:cs="宋体" w:eastAsia="宋体" w:hint="default"/>
                <w:spacing w:val="-35"/>
                <w:sz w:val="18"/>
                <w:szCs w:val="18"/>
              </w:rPr>
              <w:t> </w:t>
            </w:r>
            <w:r>
              <w:rPr>
                <w:rFonts w:ascii="宋体" w:hAnsi="宋体" w:cs="宋体" w:eastAsia="宋体" w:hint="default"/>
                <w:sz w:val="18"/>
                <w:szCs w:val="18"/>
              </w:rPr>
              <w:t>健</w:t>
            </w:r>
            <w:r>
              <w:rPr>
                <w:rFonts w:ascii="宋体" w:hAnsi="宋体" w:cs="宋体" w:eastAsia="宋体" w:hint="default"/>
                <w:spacing w:val="-35"/>
                <w:sz w:val="18"/>
                <w:szCs w:val="18"/>
              </w:rPr>
              <w:t> </w:t>
            </w:r>
            <w:r>
              <w:rPr>
                <w:rFonts w:ascii="宋体" w:hAnsi="宋体" w:cs="宋体" w:eastAsia="宋体" w:hint="default"/>
                <w:sz w:val="18"/>
                <w:szCs w:val="18"/>
              </w:rPr>
              <w:t>管</w:t>
            </w:r>
            <w:r>
              <w:rPr>
                <w:rFonts w:ascii="宋体" w:hAnsi="宋体" w:cs="宋体" w:eastAsia="宋体" w:hint="default"/>
                <w:spacing w:val="-38"/>
                <w:sz w:val="18"/>
                <w:szCs w:val="18"/>
              </w:rPr>
              <w:t> </w:t>
            </w:r>
            <w:r>
              <w:rPr>
                <w:rFonts w:ascii="宋体" w:hAnsi="宋体" w:cs="宋体" w:eastAsia="宋体" w:hint="default"/>
                <w:sz w:val="18"/>
                <w:szCs w:val="18"/>
              </w:rPr>
              <w:t>理</w:t>
            </w:r>
            <w:r>
              <w:rPr>
                <w:rFonts w:ascii="宋体" w:hAnsi="宋体" w:cs="宋体" w:eastAsia="宋体" w:hint="default"/>
                <w:spacing w:val="-35"/>
                <w:sz w:val="18"/>
                <w:szCs w:val="18"/>
              </w:rPr>
              <w:t> </w:t>
            </w:r>
            <w:r>
              <w:rPr>
                <w:rFonts w:ascii="宋体" w:hAnsi="宋体" w:cs="宋体" w:eastAsia="宋体" w:hint="default"/>
                <w:sz w:val="18"/>
                <w:szCs w:val="18"/>
              </w:rPr>
              <w:t>信</w:t>
            </w:r>
            <w:r>
              <w:rPr>
                <w:rFonts w:ascii="宋体" w:hAnsi="宋体" w:cs="宋体" w:eastAsia="宋体" w:hint="default"/>
                <w:spacing w:val="-35"/>
                <w:sz w:val="18"/>
                <w:szCs w:val="18"/>
              </w:rPr>
              <w:t> </w:t>
            </w:r>
            <w:r>
              <w:rPr>
                <w:rFonts w:ascii="宋体" w:hAnsi="宋体" w:cs="宋体" w:eastAsia="宋体" w:hint="default"/>
                <w:sz w:val="18"/>
                <w:szCs w:val="18"/>
              </w:rPr>
              <w:t>息</w:t>
            </w:r>
            <w:r>
              <w:rPr>
                <w:rFonts w:ascii="宋体" w:hAnsi="宋体" w:cs="宋体" w:eastAsia="宋体" w:hint="default"/>
                <w:spacing w:val="-38"/>
                <w:sz w:val="18"/>
                <w:szCs w:val="18"/>
              </w:rPr>
              <w:t> </w:t>
            </w:r>
            <w:r>
              <w:rPr>
                <w:rFonts w:ascii="宋体" w:hAnsi="宋体" w:cs="宋体" w:eastAsia="宋体" w:hint="default"/>
                <w:sz w:val="18"/>
                <w:szCs w:val="18"/>
              </w:rPr>
              <w:t>平</w:t>
            </w:r>
            <w:r>
              <w:rPr>
                <w:rFonts w:ascii="宋体" w:hAnsi="宋体" w:cs="宋体" w:eastAsia="宋体" w:hint="default"/>
                <w:spacing w:val="-35"/>
                <w:sz w:val="18"/>
                <w:szCs w:val="18"/>
              </w:rPr>
              <w:t> </w:t>
            </w:r>
            <w:r>
              <w:rPr>
                <w:rFonts w:ascii="宋体" w:hAnsi="宋体" w:cs="宋体" w:eastAsia="宋体" w:hint="default"/>
                <w:sz w:val="18"/>
                <w:szCs w:val="18"/>
              </w:rPr>
              <w:t>台</w:t>
            </w:r>
            <w:r>
              <w:rPr>
                <w:rFonts w:ascii="宋体" w:hAnsi="宋体" w:cs="宋体" w:eastAsia="宋体" w:hint="default"/>
                <w:spacing w:val="-35"/>
                <w:sz w:val="18"/>
                <w:szCs w:val="18"/>
              </w:rPr>
              <w:t> </w:t>
            </w:r>
            <w:r>
              <w:rPr>
                <w:rFonts w:ascii="宋体" w:hAnsi="宋体" w:cs="宋体" w:eastAsia="宋体" w:hint="default"/>
                <w:sz w:val="18"/>
                <w:szCs w:val="18"/>
              </w:rPr>
              <w:t>软</w:t>
            </w:r>
            <w:r>
              <w:rPr>
                <w:rFonts w:ascii="宋体" w:hAnsi="宋体" w:cs="宋体" w:eastAsia="宋体" w:hint="default"/>
                <w:spacing w:val="-35"/>
                <w:sz w:val="18"/>
                <w:szCs w:val="18"/>
              </w:rPr>
              <w:t> </w:t>
            </w:r>
            <w:r>
              <w:rPr>
                <w:rFonts w:ascii="宋体" w:hAnsi="宋体" w:cs="宋体" w:eastAsia="宋体" w:hint="default"/>
                <w:sz w:val="18"/>
                <w:szCs w:val="18"/>
              </w:rPr>
              <w:t>件</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简</w:t>
            </w:r>
            <w:r>
              <w:rPr>
                <w:rFonts w:ascii="宋体" w:hAnsi="宋体" w:cs="宋体" w:eastAsia="宋体" w:hint="default"/>
                <w:spacing w:val="-35"/>
                <w:sz w:val="18"/>
                <w:szCs w:val="18"/>
              </w:rPr>
              <w:t> </w:t>
            </w:r>
            <w:r>
              <w:rPr>
                <w:rFonts w:ascii="宋体" w:hAnsi="宋体" w:cs="宋体" w:eastAsia="宋体" w:hint="default"/>
                <w:sz w:val="18"/>
                <w:szCs w:val="18"/>
              </w:rPr>
              <w:t>称</w:t>
            </w:r>
            <w:r>
              <w:rPr>
                <w:rFonts w:ascii="宋体" w:hAnsi="宋体" w:cs="宋体" w:eastAsia="宋体" w:hint="default"/>
                <w:spacing w:val="-35"/>
                <w:sz w:val="18"/>
                <w:szCs w:val="18"/>
              </w:rPr>
              <w:t> </w:t>
            </w:r>
            <w:r>
              <w:rPr>
                <w:rFonts w:ascii="宋体" w:hAnsi="宋体" w:cs="宋体" w:eastAsia="宋体" w:hint="default"/>
                <w:sz w:val="18"/>
                <w:szCs w:val="18"/>
              </w:rPr>
              <w:t>：</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SXWN-MCHIS]V2.0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2015SR004541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34</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1"/>
              <w:jc w:val="left"/>
              <w:rPr>
                <w:rFonts w:ascii="宋体" w:hAnsi="宋体" w:cs="宋体" w:eastAsia="宋体" w:hint="default"/>
                <w:sz w:val="18"/>
                <w:szCs w:val="18"/>
              </w:rPr>
            </w:pPr>
            <w:r>
              <w:rPr>
                <w:rFonts w:ascii="宋体" w:hAnsi="宋体" w:cs="宋体" w:eastAsia="宋体" w:hint="default"/>
                <w:spacing w:val="8"/>
                <w:sz w:val="18"/>
                <w:szCs w:val="18"/>
              </w:rPr>
              <w:t>卫宁国家基本公共卫生服务管理信息系统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简称：</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SXWN-PHSMIS]V5.0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2015SR004545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35</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卫宁健康体检管理系统</w:t>
            </w:r>
            <w:r>
              <w:rPr>
                <w:rFonts w:ascii="Times New Roman" w:hAnsi="Times New Roman" w:cs="Times New Roman" w:eastAsia="Times New Roman" w:hint="default"/>
                <w:sz w:val="18"/>
                <w:szCs w:val="18"/>
              </w:rPr>
              <w:t>V7.0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2015SR004666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36</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3"/>
              <w:jc w:val="left"/>
              <w:rPr>
                <w:rFonts w:ascii="宋体" w:hAnsi="宋体" w:cs="宋体" w:eastAsia="宋体" w:hint="default"/>
                <w:sz w:val="18"/>
                <w:szCs w:val="18"/>
              </w:rPr>
            </w:pPr>
            <w:r>
              <w:rPr>
                <w:rFonts w:ascii="宋体" w:hAnsi="宋体" w:cs="宋体" w:eastAsia="宋体" w:hint="default"/>
                <w:sz w:val="18"/>
                <w:szCs w:val="18"/>
              </w:rPr>
              <w:t>卫</w:t>
            </w:r>
            <w:r>
              <w:rPr>
                <w:rFonts w:ascii="宋体" w:hAnsi="宋体" w:cs="宋体" w:eastAsia="宋体" w:hint="default"/>
                <w:spacing w:val="-35"/>
                <w:sz w:val="18"/>
                <w:szCs w:val="18"/>
              </w:rPr>
              <w:t> </w:t>
            </w:r>
            <w:r>
              <w:rPr>
                <w:rFonts w:ascii="宋体" w:hAnsi="宋体" w:cs="宋体" w:eastAsia="宋体" w:hint="default"/>
                <w:sz w:val="18"/>
                <w:szCs w:val="18"/>
              </w:rPr>
              <w:t>宁</w:t>
            </w:r>
            <w:r>
              <w:rPr>
                <w:rFonts w:ascii="宋体" w:hAnsi="宋体" w:cs="宋体" w:eastAsia="宋体" w:hint="default"/>
                <w:spacing w:val="-35"/>
                <w:sz w:val="18"/>
                <w:szCs w:val="18"/>
              </w:rPr>
              <w:t> </w:t>
            </w:r>
            <w:r>
              <w:rPr>
                <w:rFonts w:ascii="宋体" w:hAnsi="宋体" w:cs="宋体" w:eastAsia="宋体" w:hint="default"/>
                <w:sz w:val="18"/>
                <w:szCs w:val="18"/>
              </w:rPr>
              <w:t>区</w:t>
            </w:r>
            <w:r>
              <w:rPr>
                <w:rFonts w:ascii="宋体" w:hAnsi="宋体" w:cs="宋体" w:eastAsia="宋体" w:hint="default"/>
                <w:spacing w:val="-35"/>
                <w:sz w:val="18"/>
                <w:szCs w:val="18"/>
              </w:rPr>
              <w:t> </w:t>
            </w:r>
            <w:r>
              <w:rPr>
                <w:rFonts w:ascii="宋体" w:hAnsi="宋体" w:cs="宋体" w:eastAsia="宋体" w:hint="default"/>
                <w:sz w:val="18"/>
                <w:szCs w:val="18"/>
              </w:rPr>
              <w:t>域</w:t>
            </w:r>
            <w:r>
              <w:rPr>
                <w:rFonts w:ascii="宋体" w:hAnsi="宋体" w:cs="宋体" w:eastAsia="宋体" w:hint="default"/>
                <w:spacing w:val="-38"/>
                <w:sz w:val="18"/>
                <w:szCs w:val="18"/>
              </w:rPr>
              <w:t> </w:t>
            </w:r>
            <w:r>
              <w:rPr>
                <w:rFonts w:ascii="宋体" w:hAnsi="宋体" w:cs="宋体" w:eastAsia="宋体" w:hint="default"/>
                <w:sz w:val="18"/>
                <w:szCs w:val="18"/>
              </w:rPr>
              <w:t>医</w:t>
            </w:r>
            <w:r>
              <w:rPr>
                <w:rFonts w:ascii="宋体" w:hAnsi="宋体" w:cs="宋体" w:eastAsia="宋体" w:hint="default"/>
                <w:spacing w:val="-35"/>
                <w:sz w:val="18"/>
                <w:szCs w:val="18"/>
              </w:rPr>
              <w:t> </w:t>
            </w:r>
            <w:r>
              <w:rPr>
                <w:rFonts w:ascii="宋体" w:hAnsi="宋体" w:cs="宋体" w:eastAsia="宋体" w:hint="default"/>
                <w:sz w:val="18"/>
                <w:szCs w:val="18"/>
              </w:rPr>
              <w:t>疗</w:t>
            </w:r>
            <w:r>
              <w:rPr>
                <w:rFonts w:ascii="宋体" w:hAnsi="宋体" w:cs="宋体" w:eastAsia="宋体" w:hint="default"/>
                <w:spacing w:val="-35"/>
                <w:sz w:val="18"/>
                <w:szCs w:val="18"/>
              </w:rPr>
              <w:t> </w:t>
            </w:r>
            <w:r>
              <w:rPr>
                <w:rFonts w:ascii="宋体" w:hAnsi="宋体" w:cs="宋体" w:eastAsia="宋体" w:hint="default"/>
                <w:sz w:val="18"/>
                <w:szCs w:val="18"/>
              </w:rPr>
              <w:t>卫</w:t>
            </w:r>
            <w:r>
              <w:rPr>
                <w:rFonts w:ascii="宋体" w:hAnsi="宋体" w:cs="宋体" w:eastAsia="宋体" w:hint="default"/>
                <w:spacing w:val="-38"/>
                <w:sz w:val="18"/>
                <w:szCs w:val="18"/>
              </w:rPr>
              <w:t> </w:t>
            </w:r>
            <w:r>
              <w:rPr>
                <w:rFonts w:ascii="宋体" w:hAnsi="宋体" w:cs="宋体" w:eastAsia="宋体" w:hint="default"/>
                <w:sz w:val="18"/>
                <w:szCs w:val="18"/>
              </w:rPr>
              <w:t>生</w:t>
            </w:r>
            <w:r>
              <w:rPr>
                <w:rFonts w:ascii="宋体" w:hAnsi="宋体" w:cs="宋体" w:eastAsia="宋体" w:hint="default"/>
                <w:spacing w:val="-35"/>
                <w:sz w:val="18"/>
                <w:szCs w:val="18"/>
              </w:rPr>
              <w:t> </w:t>
            </w:r>
            <w:r>
              <w:rPr>
                <w:rFonts w:ascii="宋体" w:hAnsi="宋体" w:cs="宋体" w:eastAsia="宋体" w:hint="default"/>
                <w:sz w:val="18"/>
                <w:szCs w:val="18"/>
              </w:rPr>
              <w:t>管</w:t>
            </w:r>
            <w:r>
              <w:rPr>
                <w:rFonts w:ascii="宋体" w:hAnsi="宋体" w:cs="宋体" w:eastAsia="宋体" w:hint="default"/>
                <w:spacing w:val="-35"/>
                <w:sz w:val="18"/>
                <w:szCs w:val="18"/>
              </w:rPr>
              <w:t> </w:t>
            </w:r>
            <w:r>
              <w:rPr>
                <w:rFonts w:ascii="宋体" w:hAnsi="宋体" w:cs="宋体" w:eastAsia="宋体" w:hint="default"/>
                <w:sz w:val="18"/>
                <w:szCs w:val="18"/>
              </w:rPr>
              <w:t>理</w:t>
            </w:r>
            <w:r>
              <w:rPr>
                <w:rFonts w:ascii="宋体" w:hAnsi="宋体" w:cs="宋体" w:eastAsia="宋体" w:hint="default"/>
                <w:spacing w:val="-38"/>
                <w:sz w:val="18"/>
                <w:szCs w:val="18"/>
              </w:rPr>
              <w:t> </w:t>
            </w:r>
            <w:r>
              <w:rPr>
                <w:rFonts w:ascii="宋体" w:hAnsi="宋体" w:cs="宋体" w:eastAsia="宋体" w:hint="default"/>
                <w:sz w:val="18"/>
                <w:szCs w:val="18"/>
              </w:rPr>
              <w:t>信</w:t>
            </w:r>
            <w:r>
              <w:rPr>
                <w:rFonts w:ascii="宋体" w:hAnsi="宋体" w:cs="宋体" w:eastAsia="宋体" w:hint="default"/>
                <w:spacing w:val="-35"/>
                <w:sz w:val="18"/>
                <w:szCs w:val="18"/>
              </w:rPr>
              <w:t> </w:t>
            </w:r>
            <w:r>
              <w:rPr>
                <w:rFonts w:ascii="宋体" w:hAnsi="宋体" w:cs="宋体" w:eastAsia="宋体" w:hint="default"/>
                <w:sz w:val="18"/>
                <w:szCs w:val="18"/>
              </w:rPr>
              <w:t>息</w:t>
            </w:r>
            <w:r>
              <w:rPr>
                <w:rFonts w:ascii="宋体" w:hAnsi="宋体" w:cs="宋体" w:eastAsia="宋体" w:hint="default"/>
                <w:spacing w:val="-35"/>
                <w:sz w:val="18"/>
                <w:szCs w:val="18"/>
              </w:rPr>
              <w:t> </w:t>
            </w:r>
            <w:r>
              <w:rPr>
                <w:rFonts w:ascii="宋体" w:hAnsi="宋体" w:cs="宋体" w:eastAsia="宋体" w:hint="default"/>
                <w:sz w:val="18"/>
                <w:szCs w:val="18"/>
              </w:rPr>
              <w:t>系</w:t>
            </w:r>
            <w:r>
              <w:rPr>
                <w:rFonts w:ascii="宋体" w:hAnsi="宋体" w:cs="宋体" w:eastAsia="宋体" w:hint="default"/>
                <w:spacing w:val="-35"/>
                <w:sz w:val="18"/>
                <w:szCs w:val="18"/>
              </w:rPr>
              <w:t> </w:t>
            </w:r>
            <w:r>
              <w:rPr>
                <w:rFonts w:ascii="宋体" w:hAnsi="宋体" w:cs="宋体" w:eastAsia="宋体" w:hint="default"/>
                <w:sz w:val="18"/>
                <w:szCs w:val="18"/>
              </w:rPr>
              <w:t>统</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简</w:t>
            </w:r>
            <w:r>
              <w:rPr>
                <w:rFonts w:ascii="宋体" w:hAnsi="宋体" w:cs="宋体" w:eastAsia="宋体" w:hint="default"/>
                <w:spacing w:val="-35"/>
                <w:sz w:val="18"/>
                <w:szCs w:val="18"/>
              </w:rPr>
              <w:t> </w:t>
            </w:r>
            <w:r>
              <w:rPr>
                <w:rFonts w:ascii="宋体" w:hAnsi="宋体" w:cs="宋体" w:eastAsia="宋体" w:hint="default"/>
                <w:sz w:val="18"/>
                <w:szCs w:val="18"/>
              </w:rPr>
              <w:t>称</w:t>
            </w:r>
            <w:r>
              <w:rPr>
                <w:rFonts w:ascii="宋体" w:hAnsi="宋体" w:cs="宋体" w:eastAsia="宋体" w:hint="default"/>
                <w:spacing w:val="-35"/>
                <w:sz w:val="18"/>
                <w:szCs w:val="18"/>
              </w:rPr>
              <w:t> </w:t>
            </w:r>
            <w:r>
              <w:rPr>
                <w:rFonts w:ascii="宋体" w:hAnsi="宋体" w:cs="宋体" w:eastAsia="宋体" w:hint="default"/>
                <w:sz w:val="18"/>
                <w:szCs w:val="18"/>
              </w:rPr>
              <w:t>：</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SXWN-RHMIS]V2.0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2015SR004543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37</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卫宁消毒物品追溯管理系统</w:t>
            </w:r>
            <w:r>
              <w:rPr>
                <w:rFonts w:ascii="Times New Roman" w:hAnsi="Times New Roman" w:cs="Times New Roman" w:eastAsia="Times New Roman" w:hint="default"/>
                <w:sz w:val="18"/>
                <w:szCs w:val="18"/>
              </w:rPr>
              <w:t>V2.0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2015SR004670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38</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卫宁医院实验管理系统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LIS]V7.0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2015SR004656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39</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卫</w:t>
            </w:r>
            <w:r>
              <w:rPr>
                <w:rFonts w:ascii="宋体" w:hAnsi="宋体" w:cs="宋体" w:eastAsia="宋体" w:hint="default"/>
                <w:spacing w:val="-64"/>
                <w:sz w:val="18"/>
                <w:szCs w:val="18"/>
              </w:rPr>
              <w:t> </w:t>
            </w:r>
            <w:r>
              <w:rPr>
                <w:rFonts w:ascii="宋体" w:hAnsi="宋体" w:cs="宋体" w:eastAsia="宋体" w:hint="default"/>
                <w:sz w:val="18"/>
                <w:szCs w:val="18"/>
              </w:rPr>
              <w:t>宁</w:t>
            </w:r>
            <w:r>
              <w:rPr>
                <w:rFonts w:ascii="宋体" w:hAnsi="宋体" w:cs="宋体" w:eastAsia="宋体" w:hint="default"/>
                <w:spacing w:val="-64"/>
                <w:sz w:val="18"/>
                <w:szCs w:val="18"/>
              </w:rPr>
              <w:t> </w:t>
            </w:r>
            <w:r>
              <w:rPr>
                <w:rFonts w:ascii="宋体" w:hAnsi="宋体" w:cs="宋体" w:eastAsia="宋体" w:hint="default"/>
                <w:sz w:val="18"/>
                <w:szCs w:val="18"/>
              </w:rPr>
              <w:t>医</w:t>
            </w:r>
            <w:r>
              <w:rPr>
                <w:rFonts w:ascii="宋体" w:hAnsi="宋体" w:cs="宋体" w:eastAsia="宋体" w:hint="default"/>
                <w:spacing w:val="-64"/>
                <w:sz w:val="18"/>
                <w:szCs w:val="18"/>
              </w:rPr>
              <w:t> </w:t>
            </w:r>
            <w:r>
              <w:rPr>
                <w:rFonts w:ascii="宋体" w:hAnsi="宋体" w:cs="宋体" w:eastAsia="宋体" w:hint="default"/>
                <w:sz w:val="18"/>
                <w:szCs w:val="18"/>
              </w:rPr>
              <w:t>院</w:t>
            </w:r>
            <w:r>
              <w:rPr>
                <w:rFonts w:ascii="宋体" w:hAnsi="宋体" w:cs="宋体" w:eastAsia="宋体" w:hint="default"/>
                <w:spacing w:val="-64"/>
                <w:sz w:val="18"/>
                <w:szCs w:val="18"/>
              </w:rPr>
              <w:t> </w:t>
            </w:r>
            <w:r>
              <w:rPr>
                <w:rFonts w:ascii="宋体" w:hAnsi="宋体" w:cs="宋体" w:eastAsia="宋体" w:hint="default"/>
                <w:sz w:val="18"/>
                <w:szCs w:val="18"/>
              </w:rPr>
              <w:t>影</w:t>
            </w:r>
            <w:r>
              <w:rPr>
                <w:rFonts w:ascii="宋体" w:hAnsi="宋体" w:cs="宋体" w:eastAsia="宋体" w:hint="default"/>
                <w:spacing w:val="-64"/>
                <w:sz w:val="18"/>
                <w:szCs w:val="18"/>
              </w:rPr>
              <w:t> </w:t>
            </w:r>
            <w:r>
              <w:rPr>
                <w:rFonts w:ascii="宋体" w:hAnsi="宋体" w:cs="宋体" w:eastAsia="宋体" w:hint="default"/>
                <w:sz w:val="18"/>
                <w:szCs w:val="18"/>
              </w:rPr>
              <w:t>像</w:t>
            </w:r>
            <w:r>
              <w:rPr>
                <w:rFonts w:ascii="宋体" w:hAnsi="宋体" w:cs="宋体" w:eastAsia="宋体" w:hint="default"/>
                <w:spacing w:val="-64"/>
                <w:sz w:val="18"/>
                <w:szCs w:val="18"/>
              </w:rPr>
              <w:t> </w:t>
            </w:r>
            <w:r>
              <w:rPr>
                <w:rFonts w:ascii="宋体" w:hAnsi="宋体" w:cs="宋体" w:eastAsia="宋体" w:hint="default"/>
                <w:sz w:val="18"/>
                <w:szCs w:val="18"/>
              </w:rPr>
              <w:t>数</w:t>
            </w:r>
            <w:r>
              <w:rPr>
                <w:rFonts w:ascii="宋体" w:hAnsi="宋体" w:cs="宋体" w:eastAsia="宋体" w:hint="default"/>
                <w:spacing w:val="-64"/>
                <w:sz w:val="18"/>
                <w:szCs w:val="18"/>
              </w:rPr>
              <w:t> </w:t>
            </w:r>
            <w:r>
              <w:rPr>
                <w:rFonts w:ascii="宋体" w:hAnsi="宋体" w:cs="宋体" w:eastAsia="宋体" w:hint="default"/>
                <w:sz w:val="18"/>
                <w:szCs w:val="18"/>
              </w:rPr>
              <w:t>字</w:t>
            </w:r>
            <w:r>
              <w:rPr>
                <w:rFonts w:ascii="宋体" w:hAnsi="宋体" w:cs="宋体" w:eastAsia="宋体" w:hint="default"/>
                <w:spacing w:val="-64"/>
                <w:sz w:val="18"/>
                <w:szCs w:val="18"/>
              </w:rPr>
              <w:t> </w:t>
            </w:r>
            <w:r>
              <w:rPr>
                <w:rFonts w:ascii="宋体" w:hAnsi="宋体" w:cs="宋体" w:eastAsia="宋体" w:hint="default"/>
                <w:sz w:val="18"/>
                <w:szCs w:val="18"/>
              </w:rPr>
              <w:t>化</w:t>
            </w:r>
            <w:r>
              <w:rPr>
                <w:rFonts w:ascii="宋体" w:hAnsi="宋体" w:cs="宋体" w:eastAsia="宋体" w:hint="default"/>
                <w:spacing w:val="-64"/>
                <w:sz w:val="18"/>
                <w:szCs w:val="18"/>
              </w:rPr>
              <w:t> </w:t>
            </w:r>
            <w:r>
              <w:rPr>
                <w:rFonts w:ascii="宋体" w:hAnsi="宋体" w:cs="宋体" w:eastAsia="宋体" w:hint="default"/>
                <w:sz w:val="18"/>
                <w:szCs w:val="18"/>
              </w:rPr>
              <w:t>平</w:t>
            </w:r>
            <w:r>
              <w:rPr>
                <w:rFonts w:ascii="宋体" w:hAnsi="宋体" w:cs="宋体" w:eastAsia="宋体" w:hint="default"/>
                <w:spacing w:val="-64"/>
                <w:sz w:val="18"/>
                <w:szCs w:val="18"/>
              </w:rPr>
              <w:t> </w:t>
            </w:r>
            <w:r>
              <w:rPr>
                <w:rFonts w:ascii="宋体" w:hAnsi="宋体" w:cs="宋体" w:eastAsia="宋体" w:hint="default"/>
                <w:sz w:val="18"/>
                <w:szCs w:val="18"/>
              </w:rPr>
              <w:t>台</w:t>
            </w:r>
            <w:r>
              <w:rPr>
                <w:rFonts w:ascii="宋体" w:hAnsi="宋体" w:cs="宋体" w:eastAsia="宋体" w:hint="default"/>
                <w:spacing w:val="-64"/>
                <w:sz w:val="18"/>
                <w:szCs w:val="18"/>
              </w:rPr>
              <w:t> </w:t>
            </w:r>
            <w:r>
              <w:rPr>
                <w:rFonts w:ascii="宋体" w:hAnsi="宋体" w:cs="宋体" w:eastAsia="宋体" w:hint="default"/>
                <w:sz w:val="18"/>
                <w:szCs w:val="18"/>
              </w:rPr>
              <w:t>系</w:t>
            </w:r>
            <w:r>
              <w:rPr>
                <w:rFonts w:ascii="宋体" w:hAnsi="宋体" w:cs="宋体" w:eastAsia="宋体" w:hint="default"/>
                <w:spacing w:val="-64"/>
                <w:sz w:val="18"/>
                <w:szCs w:val="18"/>
              </w:rPr>
              <w:t> </w:t>
            </w:r>
            <w:r>
              <w:rPr>
                <w:rFonts w:ascii="宋体" w:hAnsi="宋体" w:cs="宋体" w:eastAsia="宋体" w:hint="default"/>
                <w:sz w:val="18"/>
                <w:szCs w:val="18"/>
              </w:rPr>
              <w:t>统</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简</w:t>
            </w:r>
            <w:r>
              <w:rPr>
                <w:rFonts w:ascii="宋体" w:hAnsi="宋体" w:cs="宋体" w:eastAsia="宋体" w:hint="default"/>
                <w:spacing w:val="-64"/>
                <w:sz w:val="18"/>
                <w:szCs w:val="18"/>
              </w:rPr>
              <w:t> </w:t>
            </w:r>
            <w:r>
              <w:rPr>
                <w:rFonts w:ascii="宋体" w:hAnsi="宋体" w:cs="宋体" w:eastAsia="宋体" w:hint="default"/>
                <w:sz w:val="18"/>
                <w:szCs w:val="18"/>
              </w:rPr>
              <w:t>称</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PACS</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系 统</w:t>
            </w:r>
            <w:r>
              <w:rPr>
                <w:rFonts w:ascii="Times New Roman" w:hAnsi="Times New Roman" w:cs="Times New Roman" w:eastAsia="Times New Roman" w:hint="default"/>
                <w:sz w:val="18"/>
                <w:szCs w:val="18"/>
              </w:rPr>
              <w:t>]V7.0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2015-01-09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2015SR004546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40</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卫宁输血科管理系统</w:t>
            </w:r>
            <w:r>
              <w:rPr>
                <w:rFonts w:ascii="Times New Roman" w:hAnsi="Times New Roman" w:cs="Times New Roman" w:eastAsia="Times New Roman" w:hint="default"/>
                <w:sz w:val="18"/>
                <w:szCs w:val="18"/>
              </w:rPr>
              <w:t>V5.0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2015-09-11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2015SR177064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41</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卫</w:t>
            </w:r>
            <w:r>
              <w:rPr>
                <w:rFonts w:ascii="宋体" w:hAnsi="宋体" w:cs="宋体" w:eastAsia="宋体" w:hint="default"/>
                <w:spacing w:val="-50"/>
                <w:sz w:val="18"/>
                <w:szCs w:val="18"/>
              </w:rPr>
              <w:t> </w:t>
            </w:r>
            <w:r>
              <w:rPr>
                <w:rFonts w:ascii="宋体" w:hAnsi="宋体" w:cs="宋体" w:eastAsia="宋体" w:hint="default"/>
                <w:sz w:val="18"/>
                <w:szCs w:val="18"/>
              </w:rPr>
              <w:t>宁</w:t>
            </w:r>
            <w:r>
              <w:rPr>
                <w:rFonts w:ascii="宋体" w:hAnsi="宋体" w:cs="宋体" w:eastAsia="宋体" w:hint="default"/>
                <w:spacing w:val="-50"/>
                <w:sz w:val="18"/>
                <w:szCs w:val="18"/>
              </w:rPr>
              <w:t> </w:t>
            </w:r>
            <w:r>
              <w:rPr>
                <w:rFonts w:ascii="宋体" w:hAnsi="宋体" w:cs="宋体" w:eastAsia="宋体" w:hint="default"/>
                <w:sz w:val="18"/>
                <w:szCs w:val="18"/>
              </w:rPr>
              <w:t>患</w:t>
            </w:r>
            <w:r>
              <w:rPr>
                <w:rFonts w:ascii="宋体" w:hAnsi="宋体" w:cs="宋体" w:eastAsia="宋体" w:hint="default"/>
                <w:spacing w:val="-50"/>
                <w:sz w:val="18"/>
                <w:szCs w:val="18"/>
              </w:rPr>
              <w:t> </w:t>
            </w:r>
            <w:r>
              <w:rPr>
                <w:rFonts w:ascii="宋体" w:hAnsi="宋体" w:cs="宋体" w:eastAsia="宋体" w:hint="default"/>
                <w:sz w:val="18"/>
                <w:szCs w:val="18"/>
              </w:rPr>
              <w:t>者</w:t>
            </w:r>
            <w:r>
              <w:rPr>
                <w:rFonts w:ascii="宋体" w:hAnsi="宋体" w:cs="宋体" w:eastAsia="宋体" w:hint="default"/>
                <w:spacing w:val="-50"/>
                <w:sz w:val="18"/>
                <w:szCs w:val="18"/>
              </w:rPr>
              <w:t> </w:t>
            </w:r>
            <w:r>
              <w:rPr>
                <w:rFonts w:ascii="宋体" w:hAnsi="宋体" w:cs="宋体" w:eastAsia="宋体" w:hint="default"/>
                <w:sz w:val="18"/>
                <w:szCs w:val="18"/>
              </w:rPr>
              <w:t>档</w:t>
            </w:r>
            <w:r>
              <w:rPr>
                <w:rFonts w:ascii="宋体" w:hAnsi="宋体" w:cs="宋体" w:eastAsia="宋体" w:hint="default"/>
                <w:spacing w:val="-50"/>
                <w:sz w:val="18"/>
                <w:szCs w:val="18"/>
              </w:rPr>
              <w:t> </w:t>
            </w:r>
            <w:r>
              <w:rPr>
                <w:rFonts w:ascii="宋体" w:hAnsi="宋体" w:cs="宋体" w:eastAsia="宋体" w:hint="default"/>
                <w:sz w:val="18"/>
                <w:szCs w:val="18"/>
              </w:rPr>
              <w:t>案</w:t>
            </w:r>
            <w:r>
              <w:rPr>
                <w:rFonts w:ascii="宋体" w:hAnsi="宋体" w:cs="宋体" w:eastAsia="宋体" w:hint="default"/>
                <w:spacing w:val="-47"/>
                <w:sz w:val="18"/>
                <w:szCs w:val="18"/>
              </w:rPr>
              <w:t> </w:t>
            </w:r>
            <w:r>
              <w:rPr>
                <w:rFonts w:ascii="宋体" w:hAnsi="宋体" w:cs="宋体" w:eastAsia="宋体" w:hint="default"/>
                <w:sz w:val="18"/>
                <w:szCs w:val="18"/>
              </w:rPr>
              <w:t>主</w:t>
            </w:r>
            <w:r>
              <w:rPr>
                <w:rFonts w:ascii="宋体" w:hAnsi="宋体" w:cs="宋体" w:eastAsia="宋体" w:hint="default"/>
                <w:spacing w:val="-50"/>
                <w:sz w:val="18"/>
                <w:szCs w:val="18"/>
              </w:rPr>
              <w:t> </w:t>
            </w:r>
            <w:r>
              <w:rPr>
                <w:rFonts w:ascii="宋体" w:hAnsi="宋体" w:cs="宋体" w:eastAsia="宋体" w:hint="default"/>
                <w:sz w:val="18"/>
                <w:szCs w:val="18"/>
              </w:rPr>
              <w:t>索</w:t>
            </w:r>
            <w:r>
              <w:rPr>
                <w:rFonts w:ascii="宋体" w:hAnsi="宋体" w:cs="宋体" w:eastAsia="宋体" w:hint="default"/>
                <w:spacing w:val="-50"/>
                <w:sz w:val="18"/>
                <w:szCs w:val="18"/>
              </w:rPr>
              <w:t> </w:t>
            </w:r>
            <w:r>
              <w:rPr>
                <w:rFonts w:ascii="宋体" w:hAnsi="宋体" w:cs="宋体" w:eastAsia="宋体" w:hint="default"/>
                <w:sz w:val="18"/>
                <w:szCs w:val="18"/>
              </w:rPr>
              <w:t>引</w:t>
            </w:r>
            <w:r>
              <w:rPr>
                <w:rFonts w:ascii="宋体" w:hAnsi="宋体" w:cs="宋体" w:eastAsia="宋体" w:hint="default"/>
                <w:spacing w:val="-50"/>
                <w:sz w:val="18"/>
                <w:szCs w:val="18"/>
              </w:rPr>
              <w:t> </w:t>
            </w:r>
            <w:r>
              <w:rPr>
                <w:rFonts w:ascii="宋体" w:hAnsi="宋体" w:cs="宋体" w:eastAsia="宋体" w:hint="default"/>
                <w:sz w:val="18"/>
                <w:szCs w:val="18"/>
              </w:rPr>
              <w:t>管</w:t>
            </w:r>
            <w:r>
              <w:rPr>
                <w:rFonts w:ascii="宋体" w:hAnsi="宋体" w:cs="宋体" w:eastAsia="宋体" w:hint="default"/>
                <w:spacing w:val="-47"/>
                <w:sz w:val="18"/>
                <w:szCs w:val="18"/>
              </w:rPr>
              <w:t> </w:t>
            </w:r>
            <w:r>
              <w:rPr>
                <w:rFonts w:ascii="宋体" w:hAnsi="宋体" w:cs="宋体" w:eastAsia="宋体" w:hint="default"/>
                <w:sz w:val="18"/>
                <w:szCs w:val="18"/>
              </w:rPr>
              <w:t>理</w:t>
            </w:r>
            <w:r>
              <w:rPr>
                <w:rFonts w:ascii="宋体" w:hAnsi="宋体" w:cs="宋体" w:eastAsia="宋体" w:hint="default"/>
                <w:spacing w:val="-47"/>
                <w:sz w:val="18"/>
                <w:szCs w:val="18"/>
              </w:rPr>
              <w:t> </w:t>
            </w:r>
            <w:r>
              <w:rPr>
                <w:rFonts w:ascii="宋体" w:hAnsi="宋体" w:cs="宋体" w:eastAsia="宋体" w:hint="default"/>
                <w:sz w:val="18"/>
                <w:szCs w:val="18"/>
              </w:rPr>
              <w:t>平</w:t>
            </w:r>
            <w:r>
              <w:rPr>
                <w:rFonts w:ascii="宋体" w:hAnsi="宋体" w:cs="宋体" w:eastAsia="宋体" w:hint="default"/>
                <w:spacing w:val="-50"/>
                <w:sz w:val="18"/>
                <w:szCs w:val="18"/>
              </w:rPr>
              <w:t> </w:t>
            </w:r>
            <w:r>
              <w:rPr>
                <w:rFonts w:ascii="宋体" w:hAnsi="宋体" w:cs="宋体" w:eastAsia="宋体" w:hint="default"/>
                <w:sz w:val="18"/>
                <w:szCs w:val="18"/>
              </w:rPr>
              <w:t>台</w:t>
            </w:r>
            <w:r>
              <w:rPr>
                <w:rFonts w:ascii="宋体" w:hAnsi="宋体" w:cs="宋体" w:eastAsia="宋体" w:hint="default"/>
                <w:spacing w:val="-50"/>
                <w:sz w:val="18"/>
                <w:szCs w:val="18"/>
              </w:rPr>
              <w:t> </w:t>
            </w:r>
            <w:r>
              <w:rPr>
                <w:rFonts w:ascii="宋体" w:hAnsi="宋体" w:cs="宋体" w:eastAsia="宋体" w:hint="default"/>
                <w:sz w:val="18"/>
                <w:szCs w:val="18"/>
              </w:rPr>
              <w:t>系</w:t>
            </w:r>
            <w:r>
              <w:rPr>
                <w:rFonts w:ascii="宋体" w:hAnsi="宋体" w:cs="宋体" w:eastAsia="宋体" w:hint="default"/>
                <w:spacing w:val="-50"/>
                <w:sz w:val="18"/>
                <w:szCs w:val="18"/>
              </w:rPr>
              <w:t> </w:t>
            </w:r>
            <w:r>
              <w:rPr>
                <w:rFonts w:ascii="宋体" w:hAnsi="宋体" w:cs="宋体" w:eastAsia="宋体" w:hint="default"/>
                <w:sz w:val="18"/>
                <w:szCs w:val="18"/>
              </w:rPr>
              <w:t>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简</w:t>
            </w:r>
            <w:r>
              <w:rPr>
                <w:rFonts w:ascii="宋体" w:hAnsi="宋体" w:cs="宋体" w:eastAsia="宋体" w:hint="default"/>
                <w:spacing w:val="-50"/>
                <w:sz w:val="18"/>
                <w:szCs w:val="18"/>
              </w:rPr>
              <w:t> </w:t>
            </w:r>
            <w:r>
              <w:rPr>
                <w:rFonts w:ascii="宋体" w:hAnsi="宋体" w:cs="宋体" w:eastAsia="宋体" w:hint="default"/>
                <w:sz w:val="18"/>
                <w:szCs w:val="18"/>
              </w:rPr>
              <w:t>称</w:t>
            </w:r>
            <w:r>
              <w:rPr>
                <w:rFonts w:ascii="宋体" w:hAnsi="宋体" w:cs="宋体" w:eastAsia="宋体" w:hint="default"/>
                <w:spacing w:val="-50"/>
                <w:sz w:val="18"/>
                <w:szCs w:val="18"/>
              </w:rPr>
              <w:t> </w:t>
            </w:r>
            <w:r>
              <w:rPr>
                <w:rFonts w:ascii="宋体" w:hAnsi="宋体" w:cs="宋体" w:eastAsia="宋体" w:hint="default"/>
                <w:sz w:val="18"/>
                <w:szCs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2015-09-14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2015SR177698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624"/>
        <w:gridCol w:w="4063"/>
        <w:gridCol w:w="1277"/>
        <w:gridCol w:w="1418"/>
        <w:gridCol w:w="1188"/>
        <w:gridCol w:w="1087"/>
      </w:tblGrid>
      <w:tr>
        <w:trPr>
          <w:trHeight w:val="386" w:hRule="exact"/>
        </w:trPr>
        <w:tc>
          <w:tcPr>
            <w:tcW w:w="624" w:type="dxa"/>
            <w:tcBorders>
              <w:top w:val="single" w:sz="6" w:space="0" w:color="000000"/>
              <w:left w:val="single" w:sz="6" w:space="0" w:color="000000"/>
              <w:bottom w:val="single" w:sz="6" w:space="0" w:color="000000"/>
              <w:right w:val="single" w:sz="6" w:space="0" w:color="000000"/>
            </w:tcBorders>
          </w:tcPr>
          <w:p>
            <w:pP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EMPI]V1.0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42</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卫</w:t>
            </w:r>
            <w:r>
              <w:rPr>
                <w:rFonts w:ascii="宋体" w:hAnsi="宋体" w:cs="宋体" w:eastAsia="宋体" w:hint="default"/>
                <w:spacing w:val="-62"/>
                <w:sz w:val="18"/>
                <w:szCs w:val="18"/>
              </w:rPr>
              <w:t> </w:t>
            </w:r>
            <w:r>
              <w:rPr>
                <w:rFonts w:ascii="宋体" w:hAnsi="宋体" w:cs="宋体" w:eastAsia="宋体" w:hint="default"/>
                <w:sz w:val="18"/>
                <w:szCs w:val="18"/>
              </w:rPr>
              <w:t>宁</w:t>
            </w:r>
            <w:r>
              <w:rPr>
                <w:rFonts w:ascii="宋体" w:hAnsi="宋体" w:cs="宋体" w:eastAsia="宋体" w:hint="default"/>
                <w:spacing w:val="-62"/>
                <w:sz w:val="18"/>
                <w:szCs w:val="18"/>
              </w:rPr>
              <w:t> </w:t>
            </w:r>
            <w:r>
              <w:rPr>
                <w:rFonts w:ascii="宋体" w:hAnsi="宋体" w:cs="宋体" w:eastAsia="宋体" w:hint="default"/>
                <w:sz w:val="18"/>
                <w:szCs w:val="18"/>
              </w:rPr>
              <w:t>信</w:t>
            </w:r>
            <w:r>
              <w:rPr>
                <w:rFonts w:ascii="宋体" w:hAnsi="宋体" w:cs="宋体" w:eastAsia="宋体" w:hint="default"/>
                <w:spacing w:val="-59"/>
                <w:sz w:val="18"/>
                <w:szCs w:val="18"/>
              </w:rPr>
              <w:t> </w:t>
            </w:r>
            <w:r>
              <w:rPr>
                <w:rFonts w:ascii="宋体" w:hAnsi="宋体" w:cs="宋体" w:eastAsia="宋体" w:hint="default"/>
                <w:sz w:val="18"/>
                <w:szCs w:val="18"/>
              </w:rPr>
              <w:t>息</w:t>
            </w:r>
            <w:r>
              <w:rPr>
                <w:rFonts w:ascii="宋体" w:hAnsi="宋体" w:cs="宋体" w:eastAsia="宋体" w:hint="default"/>
                <w:spacing w:val="-62"/>
                <w:sz w:val="18"/>
                <w:szCs w:val="18"/>
              </w:rPr>
              <w:t> </w:t>
            </w:r>
            <w:r>
              <w:rPr>
                <w:rFonts w:ascii="宋体" w:hAnsi="宋体" w:cs="宋体" w:eastAsia="宋体" w:hint="default"/>
                <w:sz w:val="18"/>
                <w:szCs w:val="18"/>
              </w:rPr>
              <w:t>平</w:t>
            </w:r>
            <w:r>
              <w:rPr>
                <w:rFonts w:ascii="宋体" w:hAnsi="宋体" w:cs="宋体" w:eastAsia="宋体" w:hint="default"/>
                <w:spacing w:val="-62"/>
                <w:sz w:val="18"/>
                <w:szCs w:val="18"/>
              </w:rPr>
              <w:t> </w:t>
            </w:r>
            <w:r>
              <w:rPr>
                <w:rFonts w:ascii="宋体" w:hAnsi="宋体" w:cs="宋体" w:eastAsia="宋体" w:hint="default"/>
                <w:sz w:val="18"/>
                <w:szCs w:val="18"/>
              </w:rPr>
              <w:t>台</w:t>
            </w:r>
            <w:r>
              <w:rPr>
                <w:rFonts w:ascii="宋体" w:hAnsi="宋体" w:cs="宋体" w:eastAsia="宋体" w:hint="default"/>
                <w:spacing w:val="-59"/>
                <w:sz w:val="18"/>
                <w:szCs w:val="18"/>
              </w:rPr>
              <w:t> </w:t>
            </w:r>
            <w:r>
              <w:rPr>
                <w:rFonts w:ascii="宋体" w:hAnsi="宋体" w:cs="宋体" w:eastAsia="宋体" w:hint="default"/>
                <w:sz w:val="18"/>
                <w:szCs w:val="18"/>
              </w:rPr>
              <w:t>术</w:t>
            </w:r>
            <w:r>
              <w:rPr>
                <w:rFonts w:ascii="宋体" w:hAnsi="宋体" w:cs="宋体" w:eastAsia="宋体" w:hint="default"/>
                <w:spacing w:val="-62"/>
                <w:sz w:val="18"/>
                <w:szCs w:val="18"/>
              </w:rPr>
              <w:t> </w:t>
            </w:r>
            <w:r>
              <w:rPr>
                <w:rFonts w:ascii="宋体" w:hAnsi="宋体" w:cs="宋体" w:eastAsia="宋体" w:hint="default"/>
                <w:sz w:val="18"/>
                <w:szCs w:val="18"/>
              </w:rPr>
              <w:t>语</w:t>
            </w:r>
            <w:r>
              <w:rPr>
                <w:rFonts w:ascii="宋体" w:hAnsi="宋体" w:cs="宋体" w:eastAsia="宋体" w:hint="default"/>
                <w:spacing w:val="-62"/>
                <w:sz w:val="18"/>
                <w:szCs w:val="18"/>
              </w:rPr>
              <w:t> </w:t>
            </w:r>
            <w:r>
              <w:rPr>
                <w:rFonts w:ascii="宋体" w:hAnsi="宋体" w:cs="宋体" w:eastAsia="宋体" w:hint="default"/>
                <w:sz w:val="18"/>
                <w:szCs w:val="18"/>
              </w:rPr>
              <w:t>及</w:t>
            </w:r>
            <w:r>
              <w:rPr>
                <w:rFonts w:ascii="宋体" w:hAnsi="宋体" w:cs="宋体" w:eastAsia="宋体" w:hint="default"/>
                <w:spacing w:val="-59"/>
                <w:sz w:val="18"/>
                <w:szCs w:val="18"/>
              </w:rPr>
              <w:t> </w:t>
            </w:r>
            <w:r>
              <w:rPr>
                <w:rFonts w:ascii="宋体" w:hAnsi="宋体" w:cs="宋体" w:eastAsia="宋体" w:hint="default"/>
                <w:sz w:val="18"/>
                <w:szCs w:val="18"/>
              </w:rPr>
              <w:t>主</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59"/>
                <w:sz w:val="18"/>
                <w:szCs w:val="18"/>
              </w:rPr>
              <w:t> </w:t>
            </w:r>
            <w:r>
              <w:rPr>
                <w:rFonts w:ascii="宋体" w:hAnsi="宋体" w:cs="宋体" w:eastAsia="宋体" w:hint="default"/>
                <w:sz w:val="18"/>
                <w:szCs w:val="18"/>
              </w:rPr>
              <w:t>据</w:t>
            </w:r>
            <w:r>
              <w:rPr>
                <w:rFonts w:ascii="宋体" w:hAnsi="宋体" w:cs="宋体" w:eastAsia="宋体" w:hint="default"/>
                <w:spacing w:val="-62"/>
                <w:sz w:val="18"/>
                <w:szCs w:val="18"/>
              </w:rPr>
              <w:t> </w:t>
            </w:r>
            <w:r>
              <w:rPr>
                <w:rFonts w:ascii="宋体" w:hAnsi="宋体" w:cs="宋体" w:eastAsia="宋体" w:hint="default"/>
                <w:sz w:val="18"/>
                <w:szCs w:val="18"/>
              </w:rPr>
              <w:t>管</w:t>
            </w:r>
            <w:r>
              <w:rPr>
                <w:rFonts w:ascii="宋体" w:hAnsi="宋体" w:cs="宋体" w:eastAsia="宋体" w:hint="default"/>
                <w:spacing w:val="-62"/>
                <w:sz w:val="18"/>
                <w:szCs w:val="18"/>
              </w:rPr>
              <w:t> </w:t>
            </w:r>
            <w:r>
              <w:rPr>
                <w:rFonts w:ascii="宋体" w:hAnsi="宋体" w:cs="宋体" w:eastAsia="宋体" w:hint="default"/>
                <w:sz w:val="18"/>
                <w:szCs w:val="18"/>
              </w:rPr>
              <w:t>理</w:t>
            </w:r>
            <w:r>
              <w:rPr>
                <w:rFonts w:ascii="宋体" w:hAnsi="宋体" w:cs="宋体" w:eastAsia="宋体" w:hint="default"/>
                <w:spacing w:val="-59"/>
                <w:sz w:val="18"/>
                <w:szCs w:val="18"/>
              </w:rPr>
              <w:t> </w:t>
            </w:r>
            <w:r>
              <w:rPr>
                <w:rFonts w:ascii="宋体" w:hAnsi="宋体" w:cs="宋体" w:eastAsia="宋体" w:hint="default"/>
                <w:sz w:val="18"/>
                <w:szCs w:val="18"/>
              </w:rPr>
              <w:t>系</w:t>
            </w:r>
            <w:r>
              <w:rPr>
                <w:rFonts w:ascii="宋体" w:hAnsi="宋体" w:cs="宋体" w:eastAsia="宋体" w:hint="default"/>
                <w:spacing w:val="-62"/>
                <w:sz w:val="18"/>
                <w:szCs w:val="18"/>
              </w:rPr>
              <w:t> </w:t>
            </w:r>
            <w:r>
              <w:rPr>
                <w:rFonts w:ascii="宋体" w:hAnsi="宋体" w:cs="宋体" w:eastAsia="宋体" w:hint="default"/>
                <w:sz w:val="18"/>
                <w:szCs w:val="18"/>
              </w:rPr>
              <w:t>统</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简</w:t>
            </w:r>
            <w:r>
              <w:rPr>
                <w:rFonts w:ascii="宋体" w:hAnsi="宋体" w:cs="宋体" w:eastAsia="宋体" w:hint="default"/>
                <w:spacing w:val="-62"/>
                <w:sz w:val="18"/>
                <w:szCs w:val="18"/>
              </w:rPr>
              <w:t> </w:t>
            </w:r>
            <w:r>
              <w:rPr>
                <w:rFonts w:ascii="宋体" w:hAnsi="宋体" w:cs="宋体" w:eastAsia="宋体" w:hint="default"/>
                <w:sz w:val="18"/>
                <w:szCs w:val="18"/>
              </w:rPr>
              <w:t>称</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STM]V1.0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2015-10-09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2015SR193458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43</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卫宁信息系统集成平台软件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ESB]V1.0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2015-10-09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2015SR193460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44</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卫宁信息平台单点登录系统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2015-10-09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2015SR193462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45</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卫宁门诊放疗管理系统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2015-10-09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2015SR193463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46</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w:t>
            </w:r>
            <w:r>
              <w:rPr>
                <w:rFonts w:ascii="宋体" w:hAnsi="宋体" w:cs="宋体" w:eastAsia="宋体" w:hint="default"/>
                <w:spacing w:val="-50"/>
                <w:sz w:val="18"/>
                <w:szCs w:val="18"/>
              </w:rPr>
              <w:t> </w:t>
            </w:r>
            <w:r>
              <w:rPr>
                <w:rFonts w:ascii="宋体" w:hAnsi="宋体" w:cs="宋体" w:eastAsia="宋体" w:hint="default"/>
                <w:sz w:val="18"/>
                <w:szCs w:val="18"/>
              </w:rPr>
              <w:t>宁</w:t>
            </w:r>
            <w:r>
              <w:rPr>
                <w:rFonts w:ascii="宋体" w:hAnsi="宋体" w:cs="宋体" w:eastAsia="宋体" w:hint="default"/>
                <w:spacing w:val="-50"/>
                <w:sz w:val="18"/>
                <w:szCs w:val="18"/>
              </w:rPr>
              <w:t> </w:t>
            </w:r>
            <w:r>
              <w:rPr>
                <w:rFonts w:ascii="宋体" w:hAnsi="宋体" w:cs="宋体" w:eastAsia="宋体" w:hint="default"/>
                <w:sz w:val="18"/>
                <w:szCs w:val="18"/>
              </w:rPr>
              <w:t>信</w:t>
            </w:r>
            <w:r>
              <w:rPr>
                <w:rFonts w:ascii="宋体" w:hAnsi="宋体" w:cs="宋体" w:eastAsia="宋体" w:hint="default"/>
                <w:spacing w:val="-50"/>
                <w:sz w:val="18"/>
                <w:szCs w:val="18"/>
              </w:rPr>
              <w:t> </w:t>
            </w:r>
            <w:r>
              <w:rPr>
                <w:rFonts w:ascii="宋体" w:hAnsi="宋体" w:cs="宋体" w:eastAsia="宋体" w:hint="default"/>
                <w:sz w:val="18"/>
                <w:szCs w:val="18"/>
              </w:rPr>
              <w:t>息</w:t>
            </w:r>
            <w:r>
              <w:rPr>
                <w:rFonts w:ascii="宋体" w:hAnsi="宋体" w:cs="宋体" w:eastAsia="宋体" w:hint="default"/>
                <w:spacing w:val="-50"/>
                <w:sz w:val="18"/>
                <w:szCs w:val="18"/>
              </w:rPr>
              <w:t> </w:t>
            </w:r>
            <w:r>
              <w:rPr>
                <w:rFonts w:ascii="宋体" w:hAnsi="宋体" w:cs="宋体" w:eastAsia="宋体" w:hint="default"/>
                <w:sz w:val="18"/>
                <w:szCs w:val="18"/>
              </w:rPr>
              <w:t>平</w:t>
            </w:r>
            <w:r>
              <w:rPr>
                <w:rFonts w:ascii="宋体" w:hAnsi="宋体" w:cs="宋体" w:eastAsia="宋体" w:hint="default"/>
                <w:spacing w:val="-50"/>
                <w:sz w:val="18"/>
                <w:szCs w:val="18"/>
              </w:rPr>
              <w:t> </w:t>
            </w:r>
            <w:r>
              <w:rPr>
                <w:rFonts w:ascii="宋体" w:hAnsi="宋体" w:cs="宋体" w:eastAsia="宋体" w:hint="default"/>
                <w:sz w:val="18"/>
                <w:szCs w:val="18"/>
              </w:rPr>
              <w:t>台</w:t>
            </w:r>
            <w:r>
              <w:rPr>
                <w:rFonts w:ascii="宋体" w:hAnsi="宋体" w:cs="宋体" w:eastAsia="宋体" w:hint="default"/>
                <w:spacing w:val="-47"/>
                <w:sz w:val="18"/>
                <w:szCs w:val="18"/>
              </w:rPr>
              <w:t> </w:t>
            </w: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宋体" w:hAnsi="宋体" w:cs="宋体" w:eastAsia="宋体" w:hint="default"/>
                <w:sz w:val="18"/>
                <w:szCs w:val="18"/>
              </w:rPr>
              <w:t>床</w:t>
            </w:r>
            <w:r>
              <w:rPr>
                <w:rFonts w:ascii="宋体" w:hAnsi="宋体" w:cs="宋体" w:eastAsia="宋体" w:hint="default"/>
                <w:spacing w:val="-50"/>
                <w:sz w:val="18"/>
                <w:szCs w:val="18"/>
              </w:rPr>
              <w:t> </w:t>
            </w:r>
            <w:r>
              <w:rPr>
                <w:rFonts w:ascii="宋体" w:hAnsi="宋体" w:cs="宋体" w:eastAsia="宋体" w:hint="default"/>
                <w:sz w:val="18"/>
                <w:szCs w:val="18"/>
              </w:rPr>
              <w:t>文</w:t>
            </w:r>
            <w:r>
              <w:rPr>
                <w:rFonts w:ascii="宋体" w:hAnsi="宋体" w:cs="宋体" w:eastAsia="宋体" w:hint="default"/>
                <w:spacing w:val="-50"/>
                <w:sz w:val="18"/>
                <w:szCs w:val="18"/>
              </w:rPr>
              <w:t> </w:t>
            </w:r>
            <w:r>
              <w:rPr>
                <w:rFonts w:ascii="宋体" w:hAnsi="宋体" w:cs="宋体" w:eastAsia="宋体" w:hint="default"/>
                <w:sz w:val="18"/>
                <w:szCs w:val="18"/>
              </w:rPr>
              <w:t>档</w:t>
            </w:r>
            <w:r>
              <w:rPr>
                <w:rFonts w:ascii="宋体" w:hAnsi="宋体" w:cs="宋体" w:eastAsia="宋体" w:hint="default"/>
                <w:spacing w:val="-47"/>
                <w:sz w:val="18"/>
                <w:szCs w:val="18"/>
              </w:rPr>
              <w:t> </w:t>
            </w:r>
            <w:r>
              <w:rPr>
                <w:rFonts w:ascii="宋体" w:hAnsi="宋体" w:cs="宋体" w:eastAsia="宋体" w:hint="default"/>
                <w:sz w:val="18"/>
                <w:szCs w:val="18"/>
              </w:rPr>
              <w:t>浏</w:t>
            </w:r>
            <w:r>
              <w:rPr>
                <w:rFonts w:ascii="宋体" w:hAnsi="宋体" w:cs="宋体" w:eastAsia="宋体" w:hint="default"/>
                <w:spacing w:val="-47"/>
                <w:sz w:val="18"/>
                <w:szCs w:val="18"/>
              </w:rPr>
              <w:t> </w:t>
            </w:r>
            <w:r>
              <w:rPr>
                <w:rFonts w:ascii="宋体" w:hAnsi="宋体" w:cs="宋体" w:eastAsia="宋体" w:hint="default"/>
                <w:sz w:val="18"/>
                <w:szCs w:val="18"/>
              </w:rPr>
              <w:t>览</w:t>
            </w:r>
            <w:r>
              <w:rPr>
                <w:rFonts w:ascii="宋体" w:hAnsi="宋体" w:cs="宋体" w:eastAsia="宋体" w:hint="default"/>
                <w:spacing w:val="-50"/>
                <w:sz w:val="18"/>
                <w:szCs w:val="18"/>
              </w:rPr>
              <w:t> </w:t>
            </w:r>
            <w:r>
              <w:rPr>
                <w:rFonts w:ascii="宋体" w:hAnsi="宋体" w:cs="宋体" w:eastAsia="宋体" w:hint="default"/>
                <w:sz w:val="18"/>
                <w:szCs w:val="18"/>
              </w:rPr>
              <w:t>器</w:t>
            </w:r>
            <w:r>
              <w:rPr>
                <w:rFonts w:ascii="宋体" w:hAnsi="宋体" w:cs="宋体" w:eastAsia="宋体" w:hint="default"/>
                <w:spacing w:val="-50"/>
                <w:sz w:val="18"/>
                <w:szCs w:val="18"/>
              </w:rPr>
              <w:t> </w:t>
            </w:r>
            <w:r>
              <w:rPr>
                <w:rFonts w:ascii="宋体" w:hAnsi="宋体" w:cs="宋体" w:eastAsia="宋体" w:hint="default"/>
                <w:sz w:val="18"/>
                <w:szCs w:val="18"/>
              </w:rPr>
              <w:t>系</w:t>
            </w:r>
            <w:r>
              <w:rPr>
                <w:rFonts w:ascii="宋体" w:hAnsi="宋体" w:cs="宋体" w:eastAsia="宋体" w:hint="default"/>
                <w:spacing w:val="-50"/>
                <w:sz w:val="18"/>
                <w:szCs w:val="18"/>
              </w:rPr>
              <w:t> </w:t>
            </w:r>
            <w:r>
              <w:rPr>
                <w:rFonts w:ascii="宋体" w:hAnsi="宋体" w:cs="宋体" w:eastAsia="宋体" w:hint="default"/>
                <w:sz w:val="18"/>
                <w:szCs w:val="18"/>
              </w:rPr>
              <w:t>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简</w:t>
            </w:r>
            <w:r>
              <w:rPr>
                <w:rFonts w:ascii="宋体" w:hAnsi="宋体" w:cs="宋体" w:eastAsia="宋体" w:hint="default"/>
                <w:spacing w:val="-50"/>
                <w:sz w:val="18"/>
                <w:szCs w:val="18"/>
              </w:rPr>
              <w:t> </w:t>
            </w:r>
            <w:r>
              <w:rPr>
                <w:rFonts w:ascii="宋体" w:hAnsi="宋体" w:cs="宋体" w:eastAsia="宋体" w:hint="default"/>
                <w:sz w:val="18"/>
                <w:szCs w:val="18"/>
              </w:rPr>
              <w:t>称</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Portal]V1.0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2015-10-09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2015SR193464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47</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卫宁信息平台统一身份认证系统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2015-10-09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2015SR193465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48</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卫宁临床数据中心平台系统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CDR]V1.0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2015SR223311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49</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1"/>
              <w:jc w:val="left"/>
              <w:rPr>
                <w:rFonts w:ascii="宋体" w:hAnsi="宋体" w:cs="宋体" w:eastAsia="宋体" w:hint="default"/>
                <w:sz w:val="18"/>
                <w:szCs w:val="18"/>
              </w:rPr>
            </w:pPr>
            <w:r>
              <w:rPr>
                <w:rFonts w:ascii="宋体" w:hAnsi="宋体" w:cs="宋体" w:eastAsia="宋体" w:hint="default"/>
                <w:spacing w:val="8"/>
                <w:sz w:val="18"/>
                <w:szCs w:val="18"/>
              </w:rPr>
              <w:t>卫宁基于云计算的医疗信息调阅分析系统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简称：</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RHIN]V1.0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2015SR223253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50</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卫宁区域卫生信息平台双向转诊系统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简称：双向转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诊系统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2015SR223216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51</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卫宁区域信息平台健康卡管理应用系统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简称：健康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卡系统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2015SR223185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52</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2" w:right="-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卫宁区域信息平台患者交叉索引系统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Winning</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Times New Roman" w:hAnsi="Times New Roman" w:cs="Times New Roman" w:eastAsia="Times New Roman" w:hint="default"/>
                <w:sz w:val="18"/>
                <w:szCs w:val="18"/>
              </w:rPr>
              <w:t>IHEPIX]V1.0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2015SR223182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53</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卫宁居民健康档案信息管理系统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简称：健康档案管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2015SR223179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54</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卫宁公共卫生信息管理系统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PHIS]V1.0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2015SR223106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55</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卫宁区域信息平台数据质量监管系统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简称：数据质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量监管系统</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2015SR223008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56</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1"/>
              <w:jc w:val="left"/>
              <w:rPr>
                <w:rFonts w:ascii="宋体" w:hAnsi="宋体" w:cs="宋体" w:eastAsia="宋体" w:hint="default"/>
                <w:sz w:val="18"/>
                <w:szCs w:val="18"/>
              </w:rPr>
            </w:pPr>
            <w:r>
              <w:rPr>
                <w:rFonts w:ascii="宋体" w:hAnsi="宋体" w:cs="宋体" w:eastAsia="宋体" w:hint="default"/>
                <w:spacing w:val="8"/>
                <w:sz w:val="18"/>
                <w:szCs w:val="18"/>
              </w:rPr>
              <w:t>卫宁区域信息平台医疗机构文档共享系统</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简称：</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Winning</w:t>
            </w:r>
            <w:r>
              <w:rPr>
                <w:rFonts w:ascii="Times New Roman"/>
                <w:spacing w:val="-3"/>
                <w:sz w:val="18"/>
              </w:rPr>
              <w:t> </w:t>
            </w:r>
            <w:r>
              <w:rPr>
                <w:rFonts w:ascii="Times New Roman"/>
                <w:sz w:val="18"/>
              </w:rPr>
              <w:t>IHEXDS]V1.0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2015SR222998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57</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卫宁社区家庭医生工作平台系统应用软件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庭医生工作平台</w:t>
            </w:r>
            <w:r>
              <w:rPr>
                <w:rFonts w:ascii="Times New Roman" w:hAnsi="Times New Roman" w:cs="Times New Roman" w:eastAsia="Times New Roman" w:hint="default"/>
                <w:sz w:val="18"/>
                <w:szCs w:val="18"/>
              </w:rPr>
              <w:t>]V1.0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2015SR222969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58</w:t>
            </w:r>
          </w:p>
        </w:tc>
        <w:tc>
          <w:tcPr>
            <w:tcW w:w="4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卫宁卫生综合管理平台系统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WHMP]V1.0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2015-11-16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2015SR222897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山西卫宁</w:t>
            </w:r>
          </w:p>
        </w:tc>
      </w:tr>
    </w:tbl>
    <w:p>
      <w:pPr>
        <w:pStyle w:val="BodyText"/>
        <w:spacing w:line="240" w:lineRule="auto" w:before="49"/>
        <w:ind w:right="148"/>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23.08%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89,247,024.25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53,797,836.42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42,341,744.32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12.14%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32,272,111.00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18,519,098.71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13,461,196.98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31.79%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16.70%</w:t>
            </w:r>
          </w:p>
        </w:tc>
      </w:tr>
    </w:tbl>
    <w:p>
      <w:pPr>
        <w:pStyle w:val="BodyText"/>
        <w:spacing w:line="240" w:lineRule="auto" w:before="49"/>
        <w:ind w:right="148"/>
        <w:jc w:val="left"/>
      </w:pPr>
      <w:r>
        <w:rPr/>
        <w:t>研发投入总额占营业收入的比重较上年发生显著变化的原因</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795,207,011.41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507,838,667.45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56.59%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715,746,935.29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465,003,713.49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53.92%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79,460,076.12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42,834,953.96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75,251.94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46,537,741.48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493,117,565.21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187,020,734.05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-493,042,313.27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-140,482,992.57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-250.96%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326,321,320.95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60,643,376.33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55,551,562.10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50,122,428.09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270,769,758.85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10,520,948.24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2,473.63%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-142,812,478.30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-87,127,090.37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-63.91%</w:t>
            </w:r>
          </w:p>
        </w:tc>
      </w:tr>
    </w:tbl>
    <w:p>
      <w:pPr>
        <w:pStyle w:val="BodyText"/>
        <w:spacing w:line="240" w:lineRule="auto" w:before="49"/>
        <w:ind w:right="148"/>
        <w:jc w:val="left"/>
      </w:pPr>
      <w:r>
        <w:rPr/>
        <w:t>相关数据同比发生重大变动的主要影响因素说明</w:t>
      </w:r>
    </w:p>
    <w:p>
      <w:pPr>
        <w:pStyle w:val="BodyText"/>
        <w:spacing w:line="240" w:lineRule="auto" w:before="115"/>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148"/>
        <w:jc w:val="left"/>
      </w:pPr>
      <w:r>
        <w:rPr>
          <w:rFonts w:ascii="Times New Roman" w:hAnsi="Times New Roman" w:cs="Times New Roman" w:eastAsia="Times New Roman" w:hint="default"/>
        </w:rPr>
        <w:t>1</w:t>
      </w:r>
      <w:r>
        <w:rPr/>
        <w:t>）经营活动现金流入较上年同期增加</w:t>
      </w:r>
      <w:r>
        <w:rPr>
          <w:rFonts w:ascii="Times New Roman" w:hAnsi="Times New Roman" w:cs="Times New Roman" w:eastAsia="Times New Roman" w:hint="default"/>
        </w:rPr>
        <w:t>56.59%</w:t>
      </w:r>
      <w:r>
        <w:rPr/>
        <w:t>，主要是公司业务增长以及收购子公司并表所致。</w:t>
      </w:r>
    </w:p>
    <w:p>
      <w:pPr>
        <w:pStyle w:val="BodyText"/>
        <w:spacing w:line="300" w:lineRule="auto" w:before="62"/>
        <w:ind w:right="148" w:firstLine="360"/>
        <w:jc w:val="left"/>
      </w:pPr>
      <w:r>
        <w:rPr>
          <w:rFonts w:ascii="Times New Roman" w:hAnsi="Times New Roman" w:cs="Times New Roman" w:eastAsia="Times New Roman" w:hint="default"/>
          <w:spacing w:val="-1"/>
        </w:rPr>
        <w:t>2</w:t>
      </w:r>
      <w:r>
        <w:rPr>
          <w:spacing w:val="-1"/>
        </w:rPr>
        <w:t>）经营活动现金流出较上年同期增加</w:t>
      </w:r>
      <w:r>
        <w:rPr>
          <w:rFonts w:ascii="Times New Roman" w:hAnsi="Times New Roman" w:cs="Times New Roman" w:eastAsia="Times New Roman" w:hint="default"/>
          <w:spacing w:val="-1"/>
        </w:rPr>
        <w:t>53.92%</w:t>
      </w:r>
      <w:r>
        <w:rPr>
          <w:spacing w:val="-1"/>
        </w:rPr>
        <w:t>，主要是购买商品、接受劳务支付的现金增加、人工成本增加以及收购子</w:t>
      </w:r>
      <w:r>
        <w:rPr/>
        <w:t> 公司并表所致。</w:t>
      </w:r>
    </w:p>
    <w:p>
      <w:pPr>
        <w:pStyle w:val="BodyText"/>
        <w:spacing w:line="240" w:lineRule="auto" w:before="31"/>
        <w:ind w:left="512" w:right="148"/>
        <w:jc w:val="left"/>
      </w:pPr>
      <w:r>
        <w:rPr>
          <w:rFonts w:ascii="Times New Roman" w:hAnsi="Times New Roman" w:cs="Times New Roman" w:eastAsia="Times New Roman" w:hint="default"/>
        </w:rPr>
        <w:t>3</w:t>
      </w:r>
      <w:r>
        <w:rPr/>
        <w:t>）投资活动现金流入较上年同期减少</w:t>
      </w:r>
      <w:r>
        <w:rPr>
          <w:rFonts w:ascii="Times New Roman" w:hAnsi="Times New Roman" w:cs="Times New Roman" w:eastAsia="Times New Roman" w:hint="default"/>
        </w:rPr>
        <w:t>99.84%</w:t>
      </w:r>
      <w:r>
        <w:rPr/>
        <w:t>，主要是收到与投资相关的保证金减少所致。</w:t>
      </w:r>
    </w:p>
    <w:p>
      <w:pPr>
        <w:pStyle w:val="BodyText"/>
        <w:spacing w:line="240" w:lineRule="auto" w:before="62"/>
        <w:ind w:left="512" w:right="148"/>
        <w:jc w:val="left"/>
      </w:pPr>
      <w:r>
        <w:rPr>
          <w:rFonts w:ascii="Times New Roman" w:hAnsi="Times New Roman" w:cs="Times New Roman" w:eastAsia="Times New Roman" w:hint="default"/>
        </w:rPr>
        <w:t>4</w:t>
      </w:r>
      <w:r>
        <w:rPr/>
        <w:t>）投资活动现金流出较上年同期增加</w:t>
      </w:r>
      <w:r>
        <w:rPr>
          <w:rFonts w:ascii="Times New Roman" w:hAnsi="Times New Roman" w:cs="Times New Roman" w:eastAsia="Times New Roman" w:hint="default"/>
        </w:rPr>
        <w:t>163.67%</w:t>
      </w:r>
      <w:r>
        <w:rPr/>
        <w:t>，主要是本报告期内购置总部基地大楼及对外投资支出增加所致。</w:t>
      </w:r>
    </w:p>
    <w:p>
      <w:pPr>
        <w:pStyle w:val="BodyText"/>
        <w:spacing w:line="300" w:lineRule="auto" w:before="63"/>
        <w:ind w:right="148" w:firstLine="360"/>
        <w:jc w:val="left"/>
      </w:pPr>
      <w:r>
        <w:rPr>
          <w:rFonts w:ascii="Times New Roman" w:hAnsi="Times New Roman" w:cs="Times New Roman" w:eastAsia="Times New Roman" w:hint="default"/>
        </w:rPr>
        <w:t>5</w:t>
      </w:r>
      <w:r>
        <w:rPr/>
        <w:t>）筹资活动现金流入较上年同期增加</w:t>
      </w:r>
      <w:r>
        <w:rPr>
          <w:rFonts w:ascii="Times New Roman" w:hAnsi="Times New Roman" w:cs="Times New Roman" w:eastAsia="Times New Roman" w:hint="default"/>
        </w:rPr>
        <w:t>438.10%</w:t>
      </w:r>
      <w:r>
        <w:rPr/>
        <w:t>，主要是本报告期内新增银行借款</w:t>
      </w:r>
      <w:r>
        <w:rPr>
          <w:rFonts w:ascii="Times New Roman" w:hAnsi="Times New Roman" w:cs="Times New Roman" w:eastAsia="Times New Roman" w:hint="default"/>
        </w:rPr>
        <w:t>1.5</w:t>
      </w:r>
      <w:r>
        <w:rPr/>
        <w:t>亿元以及收到的股票期权行权代扣 代缴的个人所得税增加所致。</w:t>
      </w:r>
    </w:p>
    <w:p>
      <w:pPr>
        <w:pStyle w:val="BodyText"/>
        <w:spacing w:line="340" w:lineRule="auto" w:before="31"/>
        <w:ind w:right="1208" w:firstLine="360"/>
        <w:jc w:val="left"/>
      </w:pPr>
      <w:r>
        <w:rPr>
          <w:rFonts w:ascii="Times New Roman" w:hAnsi="Times New Roman" w:cs="Times New Roman" w:eastAsia="Times New Roman" w:hint="default"/>
        </w:rPr>
        <w:t>6</w:t>
      </w:r>
      <w:r>
        <w:rPr/>
        <w:t>）现金及现金等价物净减少额较上年增加</w:t>
      </w:r>
      <w:r>
        <w:rPr>
          <w:rFonts w:ascii="Times New Roman" w:hAnsi="Times New Roman" w:cs="Times New Roman" w:eastAsia="Times New Roman" w:hint="default"/>
        </w:rPr>
        <w:t>63.91%</w:t>
      </w:r>
      <w:r>
        <w:rPr/>
        <w:t>，主要是本年购置总部基地大楼及对外投资支出所致。 报告期内公司经营活动产生的现金净流量与本年度净利润存在重大差异的原因说明</w:t>
      </w:r>
    </w:p>
    <w:p>
      <w:pPr>
        <w:pStyle w:val="BodyText"/>
        <w:spacing w:line="240" w:lineRule="auto" w:before="39"/>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8"/>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8"/>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3"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226,749,334.7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362,841,821.05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-16.72%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555,155,281.6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374,741,982.99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41,625,004.11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28,259,842.89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23,505,693.57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23,928,619.39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26,531,844.09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199,582,437.5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11.50%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379,642,558.00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361,050,000.00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3"/>
          <w:pgSz w:w="11910" w:h="16840"/>
          <w:pgMar w:footer="981" w:header="745" w:top="1060" w:bottom="1180" w:left="980" w:right="980"/>
          <w:pgNumType w:start="2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6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33,897.98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35,882.04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33,897.98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35,882.04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月，公司成功上市，募集资金净额为人民币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338,979,830.08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元，其中，承诺募投项目资金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138,410,000.00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元，超</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200,569,830.08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元，该募集资金到位情况已由中磊会计师事务所有限责任公司验证，并出具中磊验字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0067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号《验资报告</w:t>
            </w:r>
            <w:r>
              <w:rPr>
                <w:rFonts w:ascii="宋体" w:hAnsi="宋体" w:cs="宋体" w:eastAsia="宋体" w:hint="default"/>
                <w:spacing w:val="-92"/>
                <w:sz w:val="18"/>
                <w:szCs w:val="18"/>
              </w:rPr>
              <w:t>》</w:t>
            </w:r>
            <w:r>
              <w:rPr>
                <w:rFonts w:ascii="宋体" w:hAnsi="宋体" w:cs="宋体" w:eastAsia="宋体" w:hint="default"/>
                <w:sz w:val="18"/>
                <w:szCs w:val="18"/>
              </w:rPr>
              <w:t>。募集资金（</w:t>
            </w:r>
            <w:r>
              <w:rPr>
                <w:rFonts w:ascii="宋体" w:hAnsi="宋体" w:cs="宋体" w:eastAsia="宋体" w:hint="default"/>
                <w:spacing w:val="2"/>
                <w:sz w:val="18"/>
                <w:szCs w:val="18"/>
              </w:rPr>
              <w:t>含</w:t>
            </w:r>
            <w:r>
              <w:rPr>
                <w:rFonts w:ascii="宋体" w:hAnsi="宋体" w:cs="宋体" w:eastAsia="宋体" w:hint="default"/>
                <w:sz w:val="18"/>
                <w:szCs w:val="18"/>
              </w:rPr>
              <w:t>超募资金）总体使用情况：</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,959.46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p>
          <w:p>
            <w:pPr>
              <w:pStyle w:val="TableParagraph"/>
              <w:spacing w:line="300" w:lineRule="auto" w:before="62"/>
              <w:ind w:left="23" w:right="17"/>
              <w:jc w:val="left"/>
              <w:rPr>
                <w:rFonts w:ascii="宋体" w:hAnsi="宋体" w:cs="宋体" w:eastAsia="宋体" w:hint="default"/>
                <w:sz w:val="18"/>
                <w:szCs w:val="18"/>
              </w:rPr>
            </w:pPr>
            <w:r>
              <w:rPr>
                <w:rFonts w:ascii="宋体" w:hAnsi="宋体" w:cs="宋体" w:eastAsia="宋体" w:hint="default"/>
                <w:sz w:val="18"/>
                <w:szCs w:val="18"/>
              </w:rPr>
              <w:t>年使用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12,246.66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14,403.34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万元，共累计使用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35,882.04</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万元。（含募集资金专户利息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1,984.06 </w:t>
            </w:r>
            <w:r>
              <w:rPr>
                <w:rFonts w:ascii="宋体" w:hAnsi="宋体" w:cs="宋体" w:eastAsia="宋体" w:hint="default"/>
                <w:spacing w:val="-5"/>
                <w:sz w:val="18"/>
                <w:szCs w:val="18"/>
              </w:rPr>
              <w:t>万元）鉴</w:t>
            </w:r>
            <w:r>
              <w:rPr>
                <w:rFonts w:ascii="宋体" w:hAnsi="宋体" w:cs="宋体" w:eastAsia="宋体" w:hint="default"/>
                <w:sz w:val="18"/>
                <w:szCs w:val="18"/>
              </w:rPr>
              <w:t> 于，募集资金已全部使用完毕，公司于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月将募集资金专户全部注销。</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50"/>
        <w:gridCol w:w="737"/>
        <w:gridCol w:w="724"/>
        <w:gridCol w:w="716"/>
        <w:gridCol w:w="716"/>
        <w:gridCol w:w="719"/>
        <w:gridCol w:w="718"/>
        <w:gridCol w:w="718"/>
        <w:gridCol w:w="718"/>
        <w:gridCol w:w="719"/>
        <w:gridCol w:w="718"/>
        <w:gridCol w:w="709"/>
      </w:tblGrid>
      <w:tr>
        <w:trPr>
          <w:trHeight w:val="1651"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68"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85"/>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0"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1"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9" w:right="8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8" w:right="79" w:hanging="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医院信息管理系统 技术改造项目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5,044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5,044</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5,042.89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3,523.01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7,246.31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51"/>
        <w:gridCol w:w="737"/>
        <w:gridCol w:w="724"/>
        <w:gridCol w:w="716"/>
        <w:gridCol w:w="716"/>
        <w:gridCol w:w="694"/>
        <w:gridCol w:w="743"/>
        <w:gridCol w:w="718"/>
        <w:gridCol w:w="718"/>
        <w:gridCol w:w="719"/>
        <w:gridCol w:w="718"/>
        <w:gridCol w:w="709"/>
      </w:tblGrid>
      <w:tr>
        <w:trPr>
          <w:trHeight w:val="362" w:hRule="exact"/>
        </w:trPr>
        <w:tc>
          <w:tcPr>
            <w:tcW w:w="165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5"/>
              <w:jc w:val="left"/>
              <w:rPr>
                <w:rFonts w:ascii="宋体" w:hAnsi="宋体" w:cs="宋体" w:eastAsia="宋体" w:hint="default"/>
                <w:sz w:val="18"/>
                <w:szCs w:val="18"/>
              </w:rPr>
            </w:pPr>
            <w:r>
              <w:rPr>
                <w:rFonts w:ascii="宋体" w:hAnsi="宋体" w:cs="宋体" w:eastAsia="宋体" w:hint="default"/>
                <w:sz w:val="18"/>
                <w:szCs w:val="18"/>
              </w:rPr>
              <w:t>医技信息管理系统 技术改造项目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3,350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2,796.13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1,111.55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2,131.84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75"/>
              <w:jc w:val="left"/>
              <w:rPr>
                <w:rFonts w:ascii="宋体" w:hAnsi="宋体" w:cs="宋体" w:eastAsia="宋体" w:hint="default"/>
                <w:sz w:val="18"/>
                <w:szCs w:val="18"/>
              </w:rPr>
            </w:pPr>
            <w:r>
              <w:rPr>
                <w:rFonts w:ascii="宋体" w:hAnsi="宋体" w:cs="宋体" w:eastAsia="宋体" w:hint="default"/>
                <w:sz w:val="18"/>
                <w:szCs w:val="18"/>
              </w:rPr>
              <w:t>公共卫生信息系统 技术改造项目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3,649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3,649</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3,191.68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1,124.77</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2,125.46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5"/>
              <w:jc w:val="left"/>
              <w:rPr>
                <w:rFonts w:ascii="宋体" w:hAnsi="宋体" w:cs="宋体" w:eastAsia="宋体" w:hint="default"/>
                <w:sz w:val="18"/>
                <w:szCs w:val="18"/>
              </w:rPr>
            </w:pPr>
            <w:r>
              <w:rPr>
                <w:rFonts w:ascii="宋体" w:hAnsi="宋体" w:cs="宋体" w:eastAsia="宋体" w:hint="default"/>
                <w:sz w:val="18"/>
                <w:szCs w:val="18"/>
              </w:rPr>
              <w:t>营销服务体系建设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1,798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1,798</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1,798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13,841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13,841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12,828.7</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5,759.33</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11,503.6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5"/>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设立控股子公司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 海金仕达卫宁软件 科技有限公司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650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-636.07</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-1,203.3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支付北京宇信网景 信息技术有限公司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股权收购款及增 资款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3,600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3,600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6" w:right="0"/>
              <w:jc w:val="left"/>
              <w:rPr>
                <w:rFonts w:ascii="Times New Roman" w:hAnsi="Times New Roman" w:cs="Times New Roman" w:eastAsia="Times New Roman" w:hint="default"/>
                <w:sz w:val="18"/>
                <w:szCs w:val="18"/>
              </w:rPr>
            </w:pPr>
            <w:r>
              <w:rPr>
                <w:rFonts w:ascii="Times New Roman"/>
                <w:sz w:val="18"/>
              </w:rPr>
              <w:t>3,600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1,234.31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1,681.09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支付山西导通信息 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股权的部分收购款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9,188.04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9,188.04</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9,393.1</w:t>
            </w:r>
          </w:p>
          <w:p>
            <w:pPr>
              <w:pStyle w:val="TableParagraph"/>
              <w:spacing w:line="240" w:lineRule="auto" w:before="105"/>
              <w:ind w:right="50"/>
              <w:jc w:val="right"/>
              <w:rPr>
                <w:rFonts w:ascii="Times New Roman" w:hAnsi="Times New Roman" w:cs="Times New Roman" w:eastAsia="Times New Roman" w:hint="default"/>
                <w:sz w:val="18"/>
                <w:szCs w:val="18"/>
              </w:rPr>
            </w:pPr>
            <w:r>
              <w:rPr>
                <w:rFonts w:ascii="Times New Roman"/>
                <w:sz w:val="18"/>
              </w:rPr>
              <w:t>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2,477.98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4,137.7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7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21,438.0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21,438.0</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21,643.</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16</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3,076.22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4,615.49</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35,279.0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35,279.0</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34,471.</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86</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8,835.55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16,119.1</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r>
      <w:tr>
        <w:trPr>
          <w:trHeight w:val="2587" w:hRule="exact"/>
        </w:trPr>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报告期内，卫宁科技未达到预计收益的主要原因是：</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年成立时卫宁科技主要从事临床知识库应 用软件的开发、销售、服务业务，</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年以来，卫宁科技的开发、销售和服务工作逐步聚焦于基于 </w:t>
            </w:r>
            <w:r>
              <w:rPr>
                <w:rFonts w:ascii="宋体" w:hAnsi="宋体" w:cs="宋体" w:eastAsia="宋体" w:hint="default"/>
                <w:spacing w:val="-2"/>
                <w:sz w:val="18"/>
                <w:szCs w:val="18"/>
              </w:rPr>
              <w:t>临床知识库的医保支付监控审核平台应用领域。为了构建更为完善和丰富的临床知识库体系以及差异</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化的应用系统，满足医保监管政策和流程地方性差异导致的多样化需求，卫宁科技陆续投入大量资金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进行研发和市场推广工作，目前，卫宁科技已与多地社保机构、商业保险公司签订了合作合同，但由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于业务整体还处于拓展期，产生的收入相对较少，而前期投入较大，导致卫宁科技出现了亏损。随着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国家</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金保工程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二期项目的启动和医保监管需要，以及卫宁科技产品技术和市场推广的不断完善和加</w:t>
            </w:r>
            <w:r>
              <w:rPr>
                <w:rFonts w:ascii="宋体" w:hAnsi="宋体" w:cs="宋体" w:eastAsia="宋体" w:hint="default"/>
                <w:sz w:val="18"/>
                <w:szCs w:val="18"/>
              </w:rPr>
              <w:t> 强，产品市场前景良好。</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2.000015pt;width:478.75pt;height:688.4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0"/>
                  </w:tblGrid>
                  <w:tr>
                    <w:trPr>
                      <w:trHeight w:val="379"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26"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公司第一届董事会第二十一次会议审议通过了《关于公司对外投资设立合资公司的议案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w:t>
                        </w:r>
                      </w:p>
                    </w:tc>
                  </w:tr>
                  <w:tr>
                    <w:trPr>
                      <w:trHeight w:val="31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与赵蒙海均以货币资金方式共同出资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万元成立合资公司，其中公司使用超募资金出资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占合资公司注册资本的</w:t>
                        </w:r>
                        <w:r>
                          <w:rPr>
                            <w:rFonts w:ascii="宋体" w:hAnsi="宋体" w:cs="宋体" w:eastAsia="宋体" w:hint="default"/>
                            <w:spacing w:val="-51"/>
                            <w:sz w:val="18"/>
                            <w:szCs w:val="18"/>
                          </w:rPr>
                          <w:t> </w:t>
                        </w:r>
                        <w:r>
                          <w:rPr>
                            <w:rFonts w:ascii="Times New Roman" w:hAnsi="Times New Roman" w:cs="Times New Roman" w:eastAsia="Times New Roman" w:hint="default"/>
                            <w:spacing w:val="-6"/>
                            <w:sz w:val="18"/>
                            <w:szCs w:val="18"/>
                          </w:rPr>
                          <w:t>65%</w:t>
                        </w:r>
                        <w:r>
                          <w:rPr>
                            <w:rFonts w:ascii="宋体" w:hAnsi="宋体" w:cs="宋体" w:eastAsia="宋体" w:hint="default"/>
                            <w:spacing w:val="-6"/>
                            <w:sz w:val="18"/>
                            <w:szCs w:val="18"/>
                          </w:rPr>
                          <w:t>，并已于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日完成出资。合资公司上海金仕达卫宁软件科技</w:t>
                        </w:r>
                      </w:p>
                    </w:tc>
                  </w:tr>
                  <w:tr>
                    <w:trPr>
                      <w:trHeight w:val="33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日注册成立。</w:t>
                        </w:r>
                      </w:p>
                    </w:tc>
                  </w:tr>
                  <w:tr>
                    <w:trPr>
                      <w:trHeight w:val="33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日，公司第二届董事会第八次会议审议通过了《关于公司使用部分超募资金永久补</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z w:val="18"/>
                            <w:szCs w:val="18"/>
                          </w:rPr>
                          <w:t>，拟使用</w:t>
                        </w:r>
                        <w:r>
                          <w:rPr>
                            <w:rFonts w:ascii="宋体" w:hAnsi="宋体" w:cs="宋体" w:eastAsia="宋体" w:hint="default"/>
                            <w:spacing w:val="2"/>
                            <w:sz w:val="18"/>
                            <w:szCs w:val="18"/>
                          </w:rPr>
                          <w:t>超</w:t>
                        </w:r>
                        <w:r>
                          <w:rPr>
                            <w:rFonts w:ascii="宋体" w:hAnsi="宋体" w:cs="宋体" w:eastAsia="宋体" w:hint="default"/>
                            <w:sz w:val="18"/>
                            <w:szCs w:val="18"/>
                          </w:rPr>
                          <w:t>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w:t>
                        </w:r>
                        <w:r>
                          <w:rPr>
                            <w:rFonts w:ascii="宋体" w:hAnsi="宋体" w:cs="宋体" w:eastAsia="宋体" w:hint="default"/>
                            <w:spacing w:val="-3"/>
                            <w:sz w:val="18"/>
                            <w:szCs w:val="18"/>
                          </w:rPr>
                          <w:t>流</w:t>
                        </w:r>
                        <w:r>
                          <w:rPr>
                            <w:rFonts w:ascii="宋体" w:hAnsi="宋体" w:cs="宋体" w:eastAsia="宋体" w:hint="default"/>
                            <w:sz w:val="18"/>
                            <w:szCs w:val="18"/>
                          </w:rPr>
                          <w:t>动资金。</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司第二届</w:t>
                        </w:r>
                      </w:p>
                    </w:tc>
                  </w:tr>
                  <w:tr>
                    <w:trPr>
                      <w:trHeight w:val="30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董事会第十五次会议审议通过了《关于公司使用部分超募资金永久补充流动资金的议案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w:t>
                        </w:r>
                      </w:p>
                    </w:tc>
                  </w:tr>
                  <w:tr>
                    <w:trPr>
                      <w:trHeight w:val="33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tc>
                  </w:tr>
                  <w:tr>
                    <w:trPr>
                      <w:trHeight w:val="33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日，公司第二届董事会第十八次会议审议通过了《关于使用超募资金收购北京宇信网</w:t>
                        </w:r>
                      </w:p>
                    </w:tc>
                  </w:tr>
                  <w:tr>
                    <w:trPr>
                      <w:trHeight w:val="30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景信息技术有限公司部分股权并对其增资的议案</w:t>
                        </w:r>
                        <w:r>
                          <w:rPr>
                            <w:rFonts w:ascii="宋体" w:hAnsi="宋体" w:cs="宋体" w:eastAsia="宋体" w:hint="default"/>
                            <w:spacing w:val="-92"/>
                            <w:sz w:val="18"/>
                            <w:szCs w:val="18"/>
                          </w:rPr>
                          <w:t>》</w:t>
                        </w:r>
                        <w:r>
                          <w:rPr>
                            <w:rFonts w:ascii="宋体" w:hAnsi="宋体" w:cs="宋体" w:eastAsia="宋体" w:hint="default"/>
                            <w:spacing w:val="-156"/>
                            <w:sz w:val="18"/>
                            <w:szCs w:val="18"/>
                          </w:rPr>
                          <w:t>、</w:t>
                        </w:r>
                        <w:r>
                          <w:rPr>
                            <w:rFonts w:ascii="宋体" w:hAnsi="宋体" w:cs="宋体" w:eastAsia="宋体" w:hint="default"/>
                            <w:sz w:val="18"/>
                            <w:szCs w:val="18"/>
                          </w:rPr>
                          <w:t>《关于使</w:t>
                        </w:r>
                        <w:r>
                          <w:rPr>
                            <w:rFonts w:ascii="宋体" w:hAnsi="宋体" w:cs="宋体" w:eastAsia="宋体" w:hint="default"/>
                            <w:spacing w:val="2"/>
                            <w:sz w:val="18"/>
                            <w:szCs w:val="18"/>
                          </w:rPr>
                          <w:t>用</w:t>
                        </w:r>
                        <w:r>
                          <w:rPr>
                            <w:rFonts w:ascii="宋体" w:hAnsi="宋体" w:cs="宋体" w:eastAsia="宋体" w:hint="default"/>
                            <w:sz w:val="18"/>
                            <w:szCs w:val="18"/>
                          </w:rPr>
                          <w:t>超募资金及自有资金收购山西导通信息</w:t>
                        </w:r>
                      </w:p>
                    </w:tc>
                  </w:tr>
                  <w:tr>
                    <w:trPr>
                      <w:trHeight w:val="31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同意使用超募资金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元收购北京宇信网景信息技术有限公司</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w:t>
                        </w:r>
                        <w:r>
                          <w:rPr>
                            <w:rFonts w:ascii="宋体" w:hAnsi="宋体" w:cs="宋体" w:eastAsia="宋体" w:hint="default"/>
                            <w:spacing w:val="-3"/>
                            <w:sz w:val="18"/>
                            <w:szCs w:val="18"/>
                          </w:rPr>
                          <w:t>增</w:t>
                        </w:r>
                        <w:r>
                          <w:rPr>
                            <w:rFonts w:ascii="宋体" w:hAnsi="宋体" w:cs="宋体" w:eastAsia="宋体" w:hint="default"/>
                            <w:sz w:val="18"/>
                            <w:szCs w:val="18"/>
                          </w:rPr>
                          <w:t>资款</w:t>
                        </w:r>
                        <w:r>
                          <w:rPr>
                            <w:rFonts w:ascii="宋体" w:hAnsi="宋体" w:cs="宋体" w:eastAsia="宋体" w:hint="default"/>
                            <w:spacing w:val="-92"/>
                            <w:sz w:val="18"/>
                            <w:szCs w:val="18"/>
                          </w:rPr>
                          <w:t>）</w:t>
                        </w:r>
                        <w:r>
                          <w:rPr>
                            <w:rFonts w:ascii="宋体" w:hAnsi="宋体" w:cs="宋体" w:eastAsia="宋体" w:hint="default"/>
                            <w:sz w:val="18"/>
                            <w:szCs w:val="18"/>
                          </w:rPr>
                          <w:t>，上述资金支付完毕；</w:t>
                        </w:r>
                        <w:r>
                          <w:rPr>
                            <w:rFonts w:ascii="宋体" w:hAnsi="宋体" w:cs="宋体" w:eastAsia="宋体" w:hint="default"/>
                            <w:spacing w:val="2"/>
                            <w:sz w:val="18"/>
                            <w:szCs w:val="18"/>
                          </w:rPr>
                          <w:t>同</w:t>
                        </w:r>
                        <w:r>
                          <w:rPr>
                            <w:rFonts w:ascii="宋体" w:hAnsi="宋体" w:cs="宋体" w:eastAsia="宋体" w:hint="default"/>
                            <w:sz w:val="18"/>
                            <w:szCs w:val="18"/>
                          </w:rPr>
                          <w:t>意使用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00 </w:t>
                        </w:r>
                        <w:r>
                          <w:rPr>
                            <w:rFonts w:ascii="宋体" w:hAnsi="宋体" w:cs="宋体" w:eastAsia="宋体" w:hint="default"/>
                            <w:sz w:val="18"/>
                            <w:szCs w:val="18"/>
                          </w:rPr>
                          <w:t>万元收购山西</w:t>
                        </w:r>
                        <w:r>
                          <w:rPr>
                            <w:rFonts w:ascii="宋体" w:hAnsi="宋体" w:cs="宋体" w:eastAsia="宋体" w:hint="default"/>
                            <w:spacing w:val="-3"/>
                            <w:sz w:val="18"/>
                            <w:szCs w:val="18"/>
                          </w:rPr>
                          <w:t>导</w:t>
                        </w:r>
                        <w:r>
                          <w:rPr>
                            <w:rFonts w:ascii="宋体" w:hAnsi="宋体" w:cs="宋体" w:eastAsia="宋体" w:hint="default"/>
                            <w:sz w:val="18"/>
                            <w:szCs w:val="18"/>
                          </w:rPr>
                          <w:t>通信息科</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股权，其中以剩余超募资金及专户利息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9,188.04</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万元（其中超募资金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7,806.98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30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支付部分对价，剩余对价以公司自有资金支付，上述收购事项已经公司董事会（或股东大会）审议批</w:t>
                        </w:r>
                      </w:p>
                    </w:tc>
                  </w:tr>
                  <w:tr>
                    <w:trPr>
                      <w:trHeight w:val="31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准。公司已使用超募资金（含利息收入）</w:t>
                        </w:r>
                        <w:r>
                          <w:rPr>
                            <w:rFonts w:ascii="Times New Roman" w:hAnsi="Times New Roman" w:cs="Times New Roman" w:eastAsia="Times New Roman" w:hint="default"/>
                            <w:sz w:val="18"/>
                            <w:szCs w:val="18"/>
                          </w:rPr>
                          <w:t>9,393.16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万元支付股权转让款，超过承诺投资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205.12 </w:t>
                        </w:r>
                        <w:r>
                          <w:rPr>
                            <w:rFonts w:ascii="宋体" w:hAnsi="宋体" w:cs="宋体" w:eastAsia="宋体" w:hint="default"/>
                            <w:sz w:val="18"/>
                            <w:szCs w:val="18"/>
                          </w:rPr>
                          <w:t>万元</w:t>
                        </w:r>
                      </w:p>
                    </w:tc>
                  </w:tr>
                  <w:tr>
                    <w:trPr>
                      <w:trHeight w:val="30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主要原因是剩余募集资金及专户利息收入自股权收购公告日至股权实际支付日止期间产生的利息收</w:t>
                        </w:r>
                      </w:p>
                    </w:tc>
                  </w:tr>
                  <w:tr>
                    <w:trPr>
                      <w:trHeight w:val="331"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入。</w:t>
                        </w:r>
                      </w:p>
                    </w:tc>
                  </w:tr>
                  <w:tr>
                    <w:trPr>
                      <w:trHeight w:val="379"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日，超募资金（含利息收入）已全部使用完毕，超募资金专户已注销。</w:t>
                        </w:r>
                      </w:p>
                    </w:tc>
                  </w:tr>
                  <w:tr>
                    <w:trPr>
                      <w:trHeight w:val="323"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0" w:type="dxa"/>
                        <w:tcBorders>
                          <w:top w:val="nil" w:sz="6" w:space="0" w:color="auto"/>
                          <w:left w:val="single" w:sz="4" w:space="0" w:color="000000"/>
                          <w:bottom w:val="single" w:sz="4" w:space="0" w:color="000000"/>
                          <w:right w:val="single" w:sz="4" w:space="0" w:color="000000"/>
                        </w:tcBorders>
                      </w:tcPr>
                      <w:p>
                        <w:pPr/>
                      </w:p>
                    </w:tc>
                  </w:tr>
                  <w:tr>
                    <w:trPr>
                      <w:trHeight w:val="198" w:hRule="exact"/>
                    </w:trPr>
                    <w:tc>
                      <w:tcPr>
                        <w:tcW w:w="1650" w:type="dxa"/>
                        <w:vMerge/>
                        <w:tcBorders>
                          <w:left w:val="single" w:sz="4" w:space="0" w:color="000000"/>
                          <w:bottom w:val="nil" w:sz="6" w:space="0" w:color="auto"/>
                          <w:right w:val="single" w:sz="4" w:space="0" w:color="000000"/>
                        </w:tcBorders>
                        <w:shd w:val="clear" w:color="auto" w:fill="D3D3D3"/>
                      </w:tcPr>
                      <w:p>
                        <w:pPr/>
                      </w:p>
                    </w:tc>
                    <w:tc>
                      <w:tcPr>
                        <w:tcW w:w="7910" w:type="dxa"/>
                        <w:vMerge w:val="restart"/>
                        <w:tcBorders>
                          <w:top w:val="single" w:sz="4" w:space="0" w:color="000000"/>
                          <w:left w:val="single" w:sz="4" w:space="0" w:color="000000"/>
                          <w:right w:val="single" w:sz="4" w:space="0" w:color="000000"/>
                        </w:tcBorders>
                      </w:tcPr>
                      <w:p>
                        <w:pPr/>
                      </w:p>
                    </w:tc>
                  </w:tr>
                  <w:tr>
                    <w:trPr>
                      <w:trHeight w:val="203"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910" w:type="dxa"/>
                        <w:vMerge/>
                        <w:tcBorders>
                          <w:left w:val="single" w:sz="4" w:space="0" w:color="000000"/>
                          <w:bottom w:val="single" w:sz="4" w:space="0" w:color="000000"/>
                          <w:right w:val="single" w:sz="4" w:space="0" w:color="000000"/>
                        </w:tcBorders>
                      </w:tcPr>
                      <w:p>
                        <w:pPr/>
                      </w:p>
                    </w:tc>
                  </w:tr>
                  <w:tr>
                    <w:trPr>
                      <w:trHeight w:val="403"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9"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0" w:type="dxa"/>
                        <w:tcBorders>
                          <w:top w:val="nil" w:sz="6" w:space="0" w:color="auto"/>
                          <w:left w:val="single" w:sz="4" w:space="0" w:color="000000"/>
                          <w:bottom w:val="single" w:sz="4" w:space="0" w:color="000000"/>
                          <w:right w:val="single" w:sz="4" w:space="0" w:color="000000"/>
                        </w:tcBorders>
                      </w:tcPr>
                      <w:p>
                        <w:pPr/>
                      </w:p>
                    </w:tc>
                  </w:tr>
                  <w:tr>
                    <w:trPr>
                      <w:trHeight w:val="199" w:hRule="exact"/>
                    </w:trPr>
                    <w:tc>
                      <w:tcPr>
                        <w:tcW w:w="1650" w:type="dxa"/>
                        <w:vMerge/>
                        <w:tcBorders>
                          <w:left w:val="single" w:sz="4" w:space="0" w:color="000000"/>
                          <w:bottom w:val="nil" w:sz="6" w:space="0" w:color="auto"/>
                          <w:right w:val="single" w:sz="4" w:space="0" w:color="000000"/>
                        </w:tcBorders>
                        <w:shd w:val="clear" w:color="auto" w:fill="D3D3D3"/>
                      </w:tcPr>
                      <w:p>
                        <w:pPr/>
                      </w:p>
                    </w:tc>
                    <w:tc>
                      <w:tcPr>
                        <w:tcW w:w="7910" w:type="dxa"/>
                        <w:vMerge w:val="restart"/>
                        <w:tcBorders>
                          <w:top w:val="single" w:sz="4" w:space="0" w:color="000000"/>
                          <w:left w:val="single" w:sz="4" w:space="0" w:color="000000"/>
                          <w:right w:val="single" w:sz="4" w:space="0" w:color="000000"/>
                        </w:tcBorders>
                      </w:tcPr>
                      <w:p>
                        <w:pPr/>
                      </w:p>
                    </w:tc>
                  </w:tr>
                  <w:tr>
                    <w:trPr>
                      <w:trHeight w:val="204"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910" w:type="dxa"/>
                        <w:vMerge/>
                        <w:tcBorders>
                          <w:left w:val="single" w:sz="4" w:space="0" w:color="000000"/>
                          <w:bottom w:val="single" w:sz="4" w:space="0" w:color="000000"/>
                          <w:right w:val="single" w:sz="4" w:space="0" w:color="000000"/>
                        </w:tcBorders>
                      </w:tcPr>
                      <w:p>
                        <w:pPr/>
                      </w:p>
                    </w:tc>
                  </w:tr>
                  <w:tr>
                    <w:trPr>
                      <w:trHeight w:val="401"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3" w:hRule="exact"/>
                    </w:trPr>
                    <w:tc>
                      <w:tcPr>
                        <w:tcW w:w="1650" w:type="dxa"/>
                        <w:vMerge w:val="restart"/>
                        <w:tcBorders>
                          <w:top w:val="nil" w:sz="6" w:space="0" w:color="auto"/>
                          <w:left w:val="single" w:sz="4" w:space="0" w:color="000000"/>
                          <w:right w:val="single" w:sz="4" w:space="0" w:color="000000"/>
                        </w:tcBorders>
                        <w:shd w:val="clear" w:color="auto" w:fill="D3D3D3"/>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0" w:type="dxa"/>
                        <w:tcBorders>
                          <w:top w:val="nil" w:sz="6" w:space="0" w:color="auto"/>
                          <w:left w:val="single" w:sz="4" w:space="0" w:color="000000"/>
                          <w:bottom w:val="single" w:sz="4" w:space="0" w:color="000000"/>
                          <w:right w:val="single" w:sz="4" w:space="0" w:color="000000"/>
                        </w:tcBorders>
                      </w:tcPr>
                      <w:p>
                        <w:pPr/>
                      </w:p>
                    </w:tc>
                  </w:tr>
                  <w:tr>
                    <w:trPr>
                      <w:trHeight w:val="173" w:hRule="exact"/>
                    </w:trPr>
                    <w:tc>
                      <w:tcPr>
                        <w:tcW w:w="1650" w:type="dxa"/>
                        <w:vMerge/>
                        <w:tcBorders>
                          <w:left w:val="single" w:sz="4" w:space="0" w:color="000000"/>
                          <w:bottom w:val="nil" w:sz="6" w:space="0" w:color="auto"/>
                          <w:right w:val="single" w:sz="4" w:space="0" w:color="000000"/>
                        </w:tcBorders>
                        <w:shd w:val="clear" w:color="auto" w:fill="D3D3D3"/>
                      </w:tcPr>
                      <w:p>
                        <w:pPr/>
                      </w:p>
                    </w:tc>
                    <w:tc>
                      <w:tcPr>
                        <w:tcW w:w="7910" w:type="dxa"/>
                        <w:vMerge w:val="restart"/>
                        <w:tcBorders>
                          <w:top w:val="single" w:sz="4" w:space="0" w:color="000000"/>
                          <w:left w:val="single" w:sz="4" w:space="0" w:color="000000"/>
                          <w:right w:val="single" w:sz="4" w:space="0" w:color="000000"/>
                        </w:tcBorders>
                      </w:tcPr>
                      <w:p>
                        <w:pPr>
                          <w:pStyle w:val="TableParagraph"/>
                          <w:spacing w:line="328"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日，公司累计以自筹资金预先投入募投项目金额为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2,072.67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公司第一届董事会第十九次会议审议通过了《关于使用募集资金置换预先已投入募投项目的自筹资金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9"/>
                            <w:sz w:val="18"/>
                            <w:szCs w:val="18"/>
                          </w:rPr>
                          <w:t>的议案》，同意公司使用募集资金</w:t>
                        </w:r>
                        <w:r>
                          <w:rPr>
                            <w:rFonts w:ascii="宋体" w:hAnsi="宋体" w:cs="宋体" w:eastAsia="宋体" w:hint="default"/>
                            <w:sz w:val="18"/>
                            <w:szCs w:val="18"/>
                          </w:rPr>
                          <w:t> </w:t>
                        </w:r>
                        <w:r>
                          <w:rPr>
                            <w:rFonts w:ascii="Times New Roman" w:hAnsi="Times New Roman" w:cs="Times New Roman" w:eastAsia="Times New Roman" w:hint="default"/>
                            <w:sz w:val="18"/>
                            <w:szCs w:val="18"/>
                          </w:rPr>
                          <w:t>2,072.67</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万元置换预先已投入募投项目的自筹资金，并已实施完成</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7910" w:type="dxa"/>
                        <w:vMerge/>
                        <w:tcBorders>
                          <w:left w:val="single" w:sz="4" w:space="0" w:color="000000"/>
                          <w:right w:val="single" w:sz="4" w:space="0" w:color="000000"/>
                        </w:tcBorders>
                      </w:tcPr>
                      <w:p>
                        <w:pPr/>
                      </w:p>
                    </w:tc>
                  </w:tr>
                  <w:tr>
                    <w:trPr>
                      <w:trHeight w:val="581"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0" w:type="dxa"/>
                        <w:vMerge/>
                        <w:tcBorders>
                          <w:left w:val="single" w:sz="4" w:space="0" w:color="000000"/>
                          <w:bottom w:val="single" w:sz="4" w:space="0" w:color="000000"/>
                          <w:right w:val="single" w:sz="4" w:space="0" w:color="000000"/>
                        </w:tcBorders>
                      </w:tcPr>
                      <w:p>
                        <w:pPr/>
                      </w:p>
                    </w:tc>
                  </w:tr>
                  <w:tr>
                    <w:trPr>
                      <w:trHeight w:val="401"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7910" w:type="dxa"/>
                        <w:vMerge w:val="restart"/>
                        <w:tcBorders>
                          <w:top w:val="single" w:sz="4" w:space="0" w:color="000000"/>
                          <w:left w:val="single" w:sz="4" w:space="0" w:color="000000"/>
                          <w:right w:val="single" w:sz="4" w:space="0" w:color="000000"/>
                        </w:tcBorders>
                      </w:tcPr>
                      <w:p>
                        <w:pPr/>
                      </w:p>
                    </w:tc>
                  </w:tr>
                  <w:tr>
                    <w:trPr>
                      <w:trHeight w:val="357"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0" w:type="dxa"/>
                        <w:vMerge/>
                        <w:tcBorders>
                          <w:left w:val="single" w:sz="4" w:space="0" w:color="000000"/>
                          <w:bottom w:val="single" w:sz="4" w:space="0" w:color="000000"/>
                          <w:right w:val="single" w:sz="4" w:space="0" w:color="000000"/>
                        </w:tcBorders>
                      </w:tcPr>
                      <w:p>
                        <w:pPr/>
                      </w:p>
                    </w:tc>
                  </w:tr>
                  <w:tr>
                    <w:trPr>
                      <w:trHeight w:val="403"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日，公司四个承诺募投项目均已达到预定可使用状态。募投项目节余资金（含</w:t>
                        </w:r>
                      </w:p>
                    </w:tc>
                  </w:tr>
                  <w:tr>
                    <w:trPr>
                      <w:trHeight w:val="36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专户利息收入）</w:t>
                        </w:r>
                        <w:r>
                          <w:rPr>
                            <w:rFonts w:ascii="Times New Roman" w:hAnsi="Times New Roman" w:cs="Times New Roman" w:eastAsia="Times New Roman" w:hint="default"/>
                            <w:sz w:val="18"/>
                            <w:szCs w:val="18"/>
                          </w:rPr>
                          <w:t>1,393.22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万元。出现节余资金的主要原因是募集资金的利息收入（扣除手续费）以及</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4" w:right="0"/>
                          <w:jc w:val="left"/>
                          <w:rPr>
                            <w:rFonts w:ascii="宋体" w:hAnsi="宋体" w:cs="宋体" w:eastAsia="宋体" w:hint="default"/>
                            <w:sz w:val="18"/>
                            <w:szCs w:val="18"/>
                          </w:rPr>
                        </w:pPr>
                        <w:r>
                          <w:rPr>
                            <w:rFonts w:ascii="宋体" w:hAnsi="宋体" w:cs="宋体" w:eastAsia="宋体" w:hint="default"/>
                            <w:sz w:val="18"/>
                            <w:szCs w:val="18"/>
                          </w:rPr>
                          <w:t>募投项目建设过程中</w:t>
                        </w:r>
                        <w:r>
                          <w:rPr>
                            <w:rFonts w:ascii="宋体" w:hAnsi="宋体" w:cs="宋体" w:eastAsia="宋体" w:hint="default"/>
                            <w:spacing w:val="-77"/>
                            <w:sz w:val="18"/>
                            <w:szCs w:val="18"/>
                          </w:rPr>
                          <w:t>，</w:t>
                        </w:r>
                        <w:r>
                          <w:rPr>
                            <w:rFonts w:ascii="宋体" w:hAnsi="宋体" w:cs="宋体" w:eastAsia="宋体" w:hint="default"/>
                            <w:sz w:val="18"/>
                            <w:szCs w:val="18"/>
                          </w:rPr>
                          <w:t>公司充分发挥各募投项目的协同效应</w:t>
                        </w:r>
                        <w:r>
                          <w:rPr>
                            <w:rFonts w:ascii="宋体" w:hAnsi="宋体" w:cs="宋体" w:eastAsia="宋体" w:hint="default"/>
                            <w:spacing w:val="-77"/>
                            <w:sz w:val="18"/>
                            <w:szCs w:val="18"/>
                          </w:rPr>
                          <w:t>，</w:t>
                        </w:r>
                        <w:r>
                          <w:rPr>
                            <w:rFonts w:ascii="宋体" w:hAnsi="宋体" w:cs="宋体" w:eastAsia="宋体" w:hint="default"/>
                            <w:sz w:val="18"/>
                            <w:szCs w:val="18"/>
                          </w:rPr>
                          <w:t>对募投项目的研发和实施环节进行优化</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使得基础设施和固定资产投入较计划投入有一定幅度减少，从而减少了项目总开支。同时，在募投项</w:t>
                        </w:r>
                      </w:p>
                    </w:tc>
                  </w:tr>
                  <w:tr>
                    <w:trPr>
                      <w:trHeight w:val="257"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目建设过程中，公司坚持谨慎、节约的原则，对市场进行充分调研，在保证项目质量的前提下，对部</w:t>
                        </w:r>
                      </w:p>
                    </w:tc>
                  </w:tr>
                  <w:tr>
                    <w:trPr>
                      <w:trHeight w:val="331"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分设备集中采购，降低了采购成本。</w:t>
                        </w:r>
                      </w:p>
                    </w:tc>
                  </w:tr>
                  <w:tr>
                    <w:trPr>
                      <w:trHeight w:val="338"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日，公司第二届董事会第十六次会议审议通过了《关于募集资金投资项目节余资金永</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BodyText"/>
        <w:spacing w:line="240" w:lineRule="auto" w:before="44"/>
        <w:ind w:left="0" w:right="161"/>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8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0" w:right="16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44"/>
        <w:ind w:left="0" w:right="164"/>
        <w:jc w:val="right"/>
      </w:pPr>
      <w:r>
        <w:rPr/>
        <w:t>，</w:t>
      </w:r>
    </w:p>
    <w:p>
      <w:pPr>
        <w:spacing w:after="0" w:line="240" w:lineRule="auto"/>
        <w:jc w:val="right"/>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50"/>
        <w:gridCol w:w="7910"/>
      </w:tblGrid>
      <w:tr>
        <w:trPr>
          <w:trHeight w:val="319" w:hRule="exact"/>
        </w:trPr>
        <w:tc>
          <w:tcPr>
            <w:tcW w:w="1650" w:type="dxa"/>
            <w:vMerge w:val="restart"/>
            <w:tcBorders>
              <w:top w:val="single" w:sz="4" w:space="0" w:color="000000"/>
              <w:left w:val="single" w:sz="4" w:space="0" w:color="000000"/>
              <w:right w:val="single" w:sz="4" w:space="0" w:color="000000"/>
            </w:tcBorders>
            <w:shd w:val="clear" w:color="auto" w:fill="D3D3D3"/>
          </w:tcPr>
          <w:p>
            <w:pPr/>
          </w:p>
        </w:tc>
        <w:tc>
          <w:tcPr>
            <w:tcW w:w="7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公司将募投项目节余资金（含专户利息收入）</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22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用于永久</w:t>
            </w:r>
          </w:p>
        </w:tc>
      </w:tr>
      <w:tr>
        <w:trPr>
          <w:trHeight w:val="312" w:hRule="exact"/>
        </w:trPr>
        <w:tc>
          <w:tcPr>
            <w:tcW w:w="1650" w:type="dxa"/>
            <w:vMerge/>
            <w:tcBorders>
              <w:left w:val="single" w:sz="4" w:space="0" w:color="000000"/>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补充流动资金，并于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年募投项目结余资金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万元划出募集专户，超出承诺金额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16.96 </w:t>
            </w:r>
            <w:r>
              <w:rPr>
                <w:rFonts w:ascii="宋体" w:hAnsi="宋体" w:cs="宋体" w:eastAsia="宋体" w:hint="default"/>
                <w:sz w:val="18"/>
                <w:szCs w:val="18"/>
              </w:rPr>
              <w:t>万</w:t>
            </w:r>
          </w:p>
        </w:tc>
      </w:tr>
      <w:tr>
        <w:trPr>
          <w:trHeight w:val="312" w:hRule="exact"/>
        </w:trPr>
        <w:tc>
          <w:tcPr>
            <w:tcW w:w="1650" w:type="dxa"/>
            <w:vMerge/>
            <w:tcBorders>
              <w:left w:val="single" w:sz="4" w:space="0" w:color="000000"/>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元，主要原因是公司募投项目结余募集资金（含专户利息收入）自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日至补充流动资金</w:t>
            </w:r>
          </w:p>
        </w:tc>
      </w:tr>
      <w:tr>
        <w:trPr>
          <w:trHeight w:val="327" w:hRule="exact"/>
        </w:trPr>
        <w:tc>
          <w:tcPr>
            <w:tcW w:w="1650" w:type="dxa"/>
            <w:vMerge/>
            <w:tcBorders>
              <w:left w:val="single" w:sz="4" w:space="0" w:color="000000"/>
              <w:right w:val="single" w:sz="4" w:space="0" w:color="000000"/>
            </w:tcBorders>
            <w:shd w:val="clear" w:color="auto" w:fill="D3D3D3"/>
          </w:tcPr>
          <w:p>
            <w:pP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实际划款日止期间产生的利息收入。</w:t>
            </w:r>
          </w:p>
        </w:tc>
      </w:tr>
      <w:tr>
        <w:trPr>
          <w:trHeight w:val="378"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日，募集资金（含利息收入）已全部使用完毕，募集资金专户已注销。</w:t>
            </w: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165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9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7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165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7910" w:type="dxa"/>
            <w:tcBorders>
              <w:top w:val="nil" w:sz="6" w:space="0" w:color="auto"/>
              <w:left w:val="single" w:sz="4" w:space="0" w:color="000000"/>
              <w:bottom w:val="single" w:sz="4" w:space="0" w:color="000000"/>
              <w:right w:val="single" w:sz="4" w:space="0" w:color="000000"/>
            </w:tcBorders>
          </w:tcPr>
          <w:p>
            <w:pPr/>
          </w:p>
        </w:tc>
      </w:tr>
    </w:tbl>
    <w:p>
      <w:pPr>
        <w:pStyle w:val="BodyText"/>
        <w:spacing w:line="314" w:lineRule="auto" w:before="49"/>
        <w:ind w:right="148" w:firstLine="360"/>
        <w:jc w:val="left"/>
      </w:pPr>
      <w:r>
        <w:rPr>
          <w:spacing w:val="-2"/>
        </w:rPr>
        <w:t>特别提示：鉴于公司四个募投项目已在承诺期限内全部完工，并达到承诺收益；公司以部分超募资金对外投资的卫宁科</w:t>
      </w:r>
      <w:r>
        <w:rPr/>
        <w:t> 技、山西卫宁收益情况在定期报告相关章节已披露，所以公司</w:t>
      </w:r>
      <w:r>
        <w:rPr>
          <w:spacing w:val="-47"/>
        </w:rPr>
        <w:t> </w:t>
      </w:r>
      <w:r>
        <w:rPr>
          <w:rFonts w:ascii="Times New Roman" w:hAnsi="Times New Roman" w:cs="Times New Roman" w:eastAsia="Times New Roman" w:hint="default"/>
        </w:rPr>
        <w:t>IPO</w:t>
      </w:r>
      <w:r>
        <w:rPr>
          <w:rFonts w:ascii="Times New Roman" w:hAnsi="Times New Roman" w:cs="Times New Roman" w:eastAsia="Times New Roman" w:hint="default"/>
          <w:spacing w:val="-2"/>
        </w:rPr>
        <w:t> </w:t>
      </w:r>
      <w:r>
        <w:rPr/>
        <w:t>募集资金使用情况今后将不再单独披露。</w:t>
      </w:r>
    </w:p>
    <w:p>
      <w:pPr>
        <w:spacing w:line="240" w:lineRule="auto" w:before="6"/>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48"/>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8"/>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1"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50" w:space="4068"/>
            <w:col w:w="103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5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的技术开</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18"/>
              <w:jc w:val="both"/>
              <w:rPr>
                <w:rFonts w:ascii="宋体" w:hAnsi="宋体" w:cs="宋体" w:eastAsia="宋体" w:hint="default"/>
                <w:sz w:val="18"/>
                <w:szCs w:val="18"/>
              </w:rPr>
            </w:pPr>
            <w:r>
              <w:rPr>
                <w:rFonts w:ascii="宋体" w:hAnsi="宋体" w:cs="宋体" w:eastAsia="宋体" w:hint="default"/>
                <w:sz w:val="18"/>
                <w:szCs w:val="18"/>
              </w:rPr>
              <w:t>江苏金仕达 卫宁软件有 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08"/>
              <w:jc w:val="both"/>
              <w:rPr>
                <w:rFonts w:ascii="宋体" w:hAnsi="宋体" w:cs="宋体" w:eastAsia="宋体" w:hint="default"/>
                <w:sz w:val="18"/>
                <w:szCs w:val="18"/>
              </w:rPr>
            </w:pPr>
            <w:r>
              <w:rPr>
                <w:rFonts w:ascii="宋体" w:hAnsi="宋体" w:cs="宋体" w:eastAsia="宋体" w:hint="default"/>
                <w:sz w:val="18"/>
                <w:szCs w:val="18"/>
              </w:rPr>
              <w:t>发、设计和 制作、技术 咨询和技术</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116,225,472.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26,026,892.8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47,810,893.1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7" w:right="0"/>
              <w:jc w:val="center"/>
              <w:rPr>
                <w:rFonts w:ascii="Times New Roman" w:hAnsi="Times New Roman" w:cs="Times New Roman" w:eastAsia="Times New Roman" w:hint="default"/>
                <w:sz w:val="18"/>
                <w:szCs w:val="18"/>
              </w:rPr>
            </w:pPr>
            <w:r>
              <w:rPr>
                <w:rFonts w:ascii="Times New Roman"/>
                <w:sz w:val="18"/>
              </w:rPr>
              <w:t>5,391,584.60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54" w:right="0"/>
              <w:jc w:val="center"/>
              <w:rPr>
                <w:rFonts w:ascii="Times New Roman" w:hAnsi="Times New Roman" w:cs="Times New Roman" w:eastAsia="Times New Roman" w:hint="default"/>
                <w:sz w:val="18"/>
                <w:szCs w:val="18"/>
              </w:rPr>
            </w:pPr>
            <w:r>
              <w:rPr>
                <w:rFonts w:ascii="Times New Roman"/>
                <w:sz w:val="18"/>
              </w:rPr>
              <w:t>8,466,204.72</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服务及计算</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机配件的销</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售；计算机</w:t>
            </w:r>
          </w:p>
        </w:tc>
        <w:tc>
          <w:tcPr>
            <w:tcW w:w="1044"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网络信息系</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统集成的维</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护</w:t>
            </w:r>
          </w:p>
        </w:tc>
        <w:tc>
          <w:tcPr>
            <w:tcW w:w="1044"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开发、软件</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服务、网络</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18"/>
              <w:jc w:val="both"/>
              <w:rPr>
                <w:rFonts w:ascii="宋体" w:hAnsi="宋体" w:cs="宋体" w:eastAsia="宋体" w:hint="default"/>
                <w:sz w:val="18"/>
                <w:szCs w:val="18"/>
              </w:rPr>
            </w:pPr>
            <w:r>
              <w:rPr>
                <w:rFonts w:ascii="宋体" w:hAnsi="宋体" w:cs="宋体" w:eastAsia="宋体" w:hint="default"/>
                <w:sz w:val="18"/>
                <w:szCs w:val="18"/>
              </w:rPr>
              <w:t>山西金仕达 卫宁软件科 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系统集成； 批发零售科 教仪器、办 公用品、鞋</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pacing w:val="-1"/>
                <w:sz w:val="18"/>
              </w:rPr>
              <w:t>114,321,818.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81,800,073.9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93,357,621.8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24,927,655.2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5"/>
              <w:jc w:val="right"/>
              <w:rPr>
                <w:rFonts w:ascii="Times New Roman" w:hAnsi="Times New Roman" w:cs="Times New Roman" w:eastAsia="Times New Roman" w:hint="default"/>
                <w:sz w:val="18"/>
                <w:szCs w:val="18"/>
              </w:rPr>
            </w:pPr>
            <w:r>
              <w:rPr>
                <w:rFonts w:ascii="Times New Roman"/>
                <w:sz w:val="18"/>
              </w:rPr>
              <w:t>24,779,835.6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帽；监控；</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服装经营项</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计算机软硬</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件的研发、</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销售；计算</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机及辅助设</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8"/>
              <w:jc w:val="both"/>
              <w:rPr>
                <w:rFonts w:ascii="宋体" w:hAnsi="宋体" w:cs="宋体" w:eastAsia="宋体" w:hint="default"/>
                <w:sz w:val="18"/>
                <w:szCs w:val="18"/>
              </w:rPr>
            </w:pPr>
            <w:r>
              <w:rPr>
                <w:rFonts w:ascii="宋体" w:hAnsi="宋体" w:cs="宋体" w:eastAsia="宋体" w:hint="default"/>
                <w:sz w:val="18"/>
                <w:szCs w:val="18"/>
              </w:rPr>
              <w:t>上海金仕达 卫宁软件科 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备的销售； 计算机网络 信息系统集</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26,200,565.2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7" w:right="0"/>
              <w:jc w:val="left"/>
              <w:rPr>
                <w:rFonts w:ascii="Times New Roman" w:hAnsi="Times New Roman" w:cs="Times New Roman" w:eastAsia="Times New Roman" w:hint="default"/>
                <w:sz w:val="18"/>
                <w:szCs w:val="18"/>
              </w:rPr>
            </w:pPr>
            <w:r>
              <w:rPr>
                <w:rFonts w:ascii="Times New Roman"/>
                <w:sz w:val="18"/>
              </w:rPr>
              <w:t>5,440,418.12</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7" w:right="0"/>
              <w:jc w:val="left"/>
              <w:rPr>
                <w:rFonts w:ascii="Times New Roman" w:hAnsi="Times New Roman" w:cs="Times New Roman" w:eastAsia="Times New Roman" w:hint="default"/>
                <w:sz w:val="18"/>
                <w:szCs w:val="18"/>
              </w:rPr>
            </w:pPr>
            <w:r>
              <w:rPr>
                <w:rFonts w:ascii="Times New Roman"/>
                <w:sz w:val="18"/>
              </w:rPr>
              <w:t>4,179,279.91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-11,324,580.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-9,785,619.9</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成、技术开</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发、技术咨</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询和技术服</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组装计算</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机；计算机</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18"/>
              <w:jc w:val="both"/>
              <w:rPr>
                <w:rFonts w:ascii="宋体" w:hAnsi="宋体" w:cs="宋体" w:eastAsia="宋体" w:hint="default"/>
                <w:sz w:val="18"/>
                <w:szCs w:val="18"/>
              </w:rPr>
            </w:pPr>
            <w:r>
              <w:rPr>
                <w:rFonts w:ascii="宋体" w:hAnsi="宋体" w:cs="宋体" w:eastAsia="宋体" w:hint="default"/>
                <w:sz w:val="18"/>
                <w:szCs w:val="18"/>
              </w:rPr>
              <w:t>北京宇信网 景信息技术 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系统服务； 数据处理； 计算机维 修；基础软</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72,168,872.3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3"/>
              <w:jc w:val="right"/>
              <w:rPr>
                <w:rFonts w:ascii="Times New Roman" w:hAnsi="Times New Roman" w:cs="Times New Roman" w:eastAsia="Times New Roman" w:hint="default"/>
                <w:sz w:val="18"/>
                <w:szCs w:val="18"/>
              </w:rPr>
            </w:pPr>
            <w:r>
              <w:rPr>
                <w:rFonts w:ascii="Times New Roman"/>
                <w:sz w:val="18"/>
              </w:rPr>
              <w:t>49,388,135.1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66,672,749.1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14,885,552.2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5"/>
              <w:jc w:val="right"/>
              <w:rPr>
                <w:rFonts w:ascii="Times New Roman" w:hAnsi="Times New Roman" w:cs="Times New Roman" w:eastAsia="Times New Roman" w:hint="default"/>
                <w:sz w:val="18"/>
                <w:szCs w:val="18"/>
              </w:rPr>
            </w:pPr>
            <w:r>
              <w:rPr>
                <w:rFonts w:ascii="Times New Roman"/>
                <w:sz w:val="18"/>
              </w:rPr>
              <w:t>15,478,062.2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件服务；应</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用软件服</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务；销售计</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算机、软件</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及辅助设</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17"/>
              <w:jc w:val="left"/>
              <w:rPr>
                <w:rFonts w:ascii="宋体" w:hAnsi="宋体" w:cs="宋体" w:eastAsia="宋体" w:hint="default"/>
                <w:sz w:val="18"/>
                <w:szCs w:val="18"/>
              </w:rPr>
            </w:pPr>
            <w:r>
              <w:rPr>
                <w:rFonts w:ascii="宋体" w:hAnsi="宋体" w:cs="宋体" w:eastAsia="宋体" w:hint="default"/>
                <w:sz w:val="18"/>
                <w:szCs w:val="18"/>
              </w:rPr>
              <w:t>新疆金仕达 卫宁软件有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08"/>
              <w:jc w:val="left"/>
              <w:rPr>
                <w:rFonts w:ascii="宋体" w:hAnsi="宋体" w:cs="宋体" w:eastAsia="宋体" w:hint="default"/>
                <w:sz w:val="18"/>
                <w:szCs w:val="18"/>
              </w:rPr>
            </w:pPr>
            <w:r>
              <w:rPr>
                <w:rFonts w:ascii="宋体" w:hAnsi="宋体" w:cs="宋体" w:eastAsia="宋体" w:hint="default"/>
                <w:sz w:val="18"/>
                <w:szCs w:val="18"/>
              </w:rPr>
              <w:t>计算机软件 的开发、设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33,100,413.1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20,943,943.1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36,516,962.9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8,292,849.31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11,111,125.3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75.839996pt;margin-top:346.560028pt;width:159pt;height:33.25pt;mso-position-horizontal-relative:page;mso-position-vertical-relative:page;z-index:-988696" coordorigin="7517,6931" coordsize="3180,665">
            <v:group style="position:absolute;left:10675;top:7243;width:22;height:353" coordorigin="10675,7243" coordsize="22,353">
              <v:shape style="position:absolute;left:10675;top:7243;width:22;height:353" coordorigin="10675,7243" coordsize="22,353" path="m10675,7596l10697,7596,10697,7243,10675,7243,10675,7596xe" filled="true" fillcolor="#ffffff" stroked="false">
                <v:path arrowok="t"/>
                <v:fill type="solid"/>
              </v:shape>
            </v:group>
            <v:group style="position:absolute;left:7517;top:7243;width:24;height:353" coordorigin="7517,7243" coordsize="24,353">
              <v:shape style="position:absolute;left:7517;top:7243;width:24;height:353" coordorigin="7517,7243" coordsize="24,353" path="m7517,7596l7541,7596,7541,7243,7517,7243,7517,7596xe" filled="true" fillcolor="#ffffff" stroked="false">
                <v:path arrowok="t"/>
                <v:fill type="solid"/>
              </v:shape>
            </v:group>
            <v:group style="position:absolute;left:7541;top:6931;width:3135;height:312" coordorigin="7541,6931" coordsize="3135,312">
              <v:shape style="position:absolute;left:7541;top:6931;width:3135;height:312" coordorigin="7541,6931" coordsize="3135,312" path="m7541,6931l10675,6931,10675,7243,7541,7243,7541,6931xe" filled="true" fillcolor="#ffffff" stroked="false">
                <v:path arrowok="t"/>
                <v:fill type="solid"/>
              </v:shape>
            </v:group>
            <v:group style="position:absolute;left:7541;top:7243;width:3135;height:353" coordorigin="7541,7243" coordsize="3135,353">
              <v:shape style="position:absolute;left:7541;top:7243;width:3135;height:353" coordorigin="7541,7243" coordsize="3135,353" path="m7541,7243l10675,7243,10675,7596,7541,7596,7541,724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315"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计和制作，</w:t>
            </w:r>
          </w:p>
        </w:tc>
        <w:tc>
          <w:tcPr>
            <w:tcW w:w="1044"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计算机及辅</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助设备的销</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售，计算机</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系统集成服</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4"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48"/>
        <w:jc w:val="left"/>
      </w:pPr>
      <w:r>
        <w:rPr/>
        <w:t>报告期内取得和处置子公司的情况</w:t>
      </w:r>
    </w:p>
    <w:p>
      <w:pPr>
        <w:pStyle w:val="BodyText"/>
        <w:spacing w:line="240" w:lineRule="auto" w:before="115"/>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重庆金仕达卫宁软件有限公司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96"/>
              <w:jc w:val="left"/>
              <w:rPr>
                <w:rFonts w:ascii="宋体" w:hAnsi="宋体" w:cs="宋体" w:eastAsia="宋体" w:hint="default"/>
                <w:sz w:val="18"/>
                <w:szCs w:val="18"/>
              </w:rPr>
            </w:pPr>
            <w:r>
              <w:rPr>
                <w:rFonts w:ascii="宋体" w:hAnsi="宋体" w:cs="宋体" w:eastAsia="宋体" w:hint="default"/>
                <w:sz w:val="18"/>
                <w:szCs w:val="18"/>
              </w:rPr>
              <w:t>以自有资金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万元新设控股子公司， 公司持有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3"/>
              <w:jc w:val="both"/>
              <w:rPr>
                <w:rFonts w:ascii="宋体" w:hAnsi="宋体" w:cs="宋体" w:eastAsia="宋体" w:hint="default"/>
                <w:sz w:val="18"/>
                <w:szCs w:val="18"/>
              </w:rPr>
            </w:pPr>
            <w:r>
              <w:rPr>
                <w:rFonts w:ascii="宋体" w:hAnsi="宋体" w:cs="宋体" w:eastAsia="宋体" w:hint="default"/>
                <w:sz w:val="18"/>
                <w:szCs w:val="18"/>
              </w:rPr>
              <w:t>进一步强化公司在医疗健康信息化领域 的竞争优势和市场开拓及服务能力，提 升公司盈利能力和持续发展能力。</w:t>
            </w:r>
          </w:p>
        </w:tc>
      </w:tr>
      <w:tr>
        <w:trPr>
          <w:trHeight w:val="102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黑龙江金仕达卫宁软件有限公司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96"/>
              <w:jc w:val="left"/>
              <w:rPr>
                <w:rFonts w:ascii="宋体" w:hAnsi="宋体" w:cs="宋体" w:eastAsia="宋体" w:hint="default"/>
                <w:sz w:val="18"/>
                <w:szCs w:val="18"/>
              </w:rPr>
            </w:pPr>
            <w:r>
              <w:rPr>
                <w:rFonts w:ascii="宋体" w:hAnsi="宋体" w:cs="宋体" w:eastAsia="宋体" w:hint="default"/>
                <w:sz w:val="18"/>
                <w:szCs w:val="18"/>
              </w:rPr>
              <w:t>以自有资金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万元新设控股子公司， 公司持有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进一步强化公司在医疗健康信息化领域 的竞争优势和市场开拓及服务能力，提 升公司盈利能力和持续发展能力。</w:t>
            </w:r>
          </w:p>
        </w:tc>
      </w:tr>
      <w:tr>
        <w:trPr>
          <w:trHeight w:val="102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24"/>
              <w:jc w:val="left"/>
              <w:rPr>
                <w:rFonts w:ascii="宋体" w:hAnsi="宋体" w:cs="宋体" w:eastAsia="宋体" w:hint="default"/>
                <w:sz w:val="18"/>
                <w:szCs w:val="18"/>
              </w:rPr>
            </w:pPr>
            <w:r>
              <w:rPr>
                <w:rFonts w:ascii="宋体" w:hAnsi="宋体" w:cs="宋体" w:eastAsia="宋体" w:hint="default"/>
                <w:sz w:val="18"/>
                <w:szCs w:val="18"/>
              </w:rPr>
              <w:t>以自有资金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w:t>
            </w:r>
            <w:r>
              <w:rPr>
                <w:rFonts w:ascii="宋体" w:hAnsi="宋体" w:cs="宋体" w:eastAsia="宋体" w:hint="default"/>
                <w:spacing w:val="-77"/>
                <w:sz w:val="18"/>
                <w:szCs w:val="18"/>
              </w:rPr>
              <w:t>，</w:t>
            </w:r>
            <w:r>
              <w:rPr>
                <w:rFonts w:ascii="宋体" w:hAnsi="宋体" w:cs="宋体" w:eastAsia="宋体" w:hint="default"/>
                <w:sz w:val="18"/>
                <w:szCs w:val="18"/>
              </w:rPr>
              <w:t>另</w:t>
            </w:r>
            <w:r>
              <w:rPr>
                <w:rFonts w:ascii="宋体" w:hAnsi="宋体" w:cs="宋体" w:eastAsia="宋体" w:hint="default"/>
                <w:sz w:val="18"/>
                <w:szCs w:val="18"/>
              </w:rPr>
              <w:t> 增资</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公司合计持有</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2.76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4" w:right="93"/>
              <w:jc w:val="left"/>
              <w:rPr>
                <w:rFonts w:ascii="宋体" w:hAnsi="宋体" w:cs="宋体" w:eastAsia="宋体" w:hint="default"/>
                <w:sz w:val="18"/>
                <w:szCs w:val="18"/>
              </w:rPr>
            </w:pPr>
            <w:r>
              <w:rPr>
                <w:rFonts w:ascii="宋体" w:hAnsi="宋体" w:cs="宋体" w:eastAsia="宋体" w:hint="default"/>
                <w:sz w:val="18"/>
                <w:szCs w:val="18"/>
              </w:rPr>
              <w:t>进一步强化公司在医疗健康信息化领域 的竞争优势和市场开拓及服务能力，提</w:t>
            </w:r>
          </w:p>
          <w:p>
            <w:pPr>
              <w:pStyle w:val="TableParagraph"/>
              <w:spacing w:line="7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升公司盈利能力和持续发展能力。</w:t>
            </w:r>
          </w:p>
        </w:tc>
      </w:tr>
      <w:tr>
        <w:trPr>
          <w:trHeight w:val="355"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进一步强化公司在医疗健康信息化领域</w:t>
            </w:r>
          </w:p>
        </w:tc>
      </w:tr>
      <w:tr>
        <w:trPr>
          <w:trHeight w:val="317"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以自有资金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的竞争优势和市场开拓及服务能力，提</w:t>
            </w:r>
          </w:p>
        </w:tc>
      </w:tr>
      <w:tr>
        <w:trPr>
          <w:trHeight w:val="353"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升公司盈利能力和持续发展能力。</w:t>
            </w:r>
          </w:p>
        </w:tc>
      </w:tr>
      <w:tr>
        <w:trPr>
          <w:trHeight w:val="102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宁波金仕达卫宁软件有限公司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96"/>
              <w:jc w:val="left"/>
              <w:rPr>
                <w:rFonts w:ascii="宋体" w:hAnsi="宋体" w:cs="宋体" w:eastAsia="宋体" w:hint="default"/>
                <w:sz w:val="18"/>
                <w:szCs w:val="18"/>
              </w:rPr>
            </w:pPr>
            <w:r>
              <w:rPr>
                <w:rFonts w:ascii="宋体" w:hAnsi="宋体" w:cs="宋体" w:eastAsia="宋体" w:hint="default"/>
                <w:sz w:val="18"/>
                <w:szCs w:val="18"/>
              </w:rPr>
              <w:t>以自有资金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万元新设控股子公司， 公司持有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3"/>
              <w:jc w:val="both"/>
              <w:rPr>
                <w:rFonts w:ascii="宋体" w:hAnsi="宋体" w:cs="宋体" w:eastAsia="宋体" w:hint="default"/>
                <w:sz w:val="18"/>
                <w:szCs w:val="18"/>
              </w:rPr>
            </w:pPr>
            <w:r>
              <w:rPr>
                <w:rFonts w:ascii="宋体" w:hAnsi="宋体" w:cs="宋体" w:eastAsia="宋体" w:hint="default"/>
                <w:sz w:val="18"/>
                <w:szCs w:val="18"/>
              </w:rPr>
              <w:t>进一步强化公司在医疗健康信息化领域 的竞争优势和市场开拓及服务能力，提 升公司盈利能力和持续发展能力。</w:t>
            </w:r>
          </w:p>
        </w:tc>
      </w:tr>
    </w:tbl>
    <w:p>
      <w:pPr>
        <w:pStyle w:val="BodyText"/>
        <w:spacing w:line="357" w:lineRule="auto" w:before="49"/>
        <w:ind w:left="512" w:right="148" w:hanging="361"/>
        <w:jc w:val="left"/>
      </w:pPr>
      <w:r>
        <w:rPr/>
        <w:t>主要控股参股公司情况说明 </w:t>
      </w:r>
      <w:r>
        <w:rPr>
          <w:spacing w:val="-2"/>
        </w:rPr>
        <w:t>报告期内，公司主要有四家全资子公司：江苏金仕达卫宁软件有限公司、西安金仕达卫宁软件有限公司、山西金仕达卫</w:t>
      </w:r>
    </w:p>
    <w:p>
      <w:pPr>
        <w:pStyle w:val="BodyText"/>
        <w:spacing w:line="224" w:lineRule="exact"/>
        <w:ind w:right="0"/>
        <w:jc w:val="both"/>
      </w:pPr>
      <w:r>
        <w:rPr/>
        <w:t>宁软件科技有限公司及杭州东联软件有限公司，以及八家控股子公司：上海金仕达卫宁软件科技有限公司、北京宇信网景信</w:t>
      </w:r>
    </w:p>
    <w:p>
      <w:pPr>
        <w:pStyle w:val="BodyText"/>
        <w:spacing w:line="319" w:lineRule="auto" w:before="76"/>
        <w:ind w:right="149"/>
        <w:jc w:val="both"/>
      </w:pPr>
      <w:r>
        <w:rPr>
          <w:spacing w:val="-2"/>
        </w:rPr>
        <w:t>息技术有限公司、新疆金仕达卫宁软件有限公司、上海天健源达信息科技有限公司、重庆金仕达卫宁软件有限公司、黑龙江</w:t>
      </w:r>
      <w:r>
        <w:rPr>
          <w:spacing w:val="-65"/>
        </w:rPr>
        <w:t> </w:t>
      </w:r>
      <w:r>
        <w:rPr>
          <w:spacing w:val="-65"/>
        </w:rPr>
      </w:r>
      <w:r>
        <w:rPr/>
        <w:t>金仕达卫宁软件有限公司、浙江万鼎信息技术有限公司、宁波金仕达卫宁软件有限公司。 </w:t>
      </w:r>
    </w:p>
    <w:p>
      <w:pPr>
        <w:pStyle w:val="BodyText"/>
        <w:spacing w:line="316" w:lineRule="auto" w:before="17"/>
        <w:ind w:left="512" w:right="148"/>
        <w:jc w:val="left"/>
      </w:pPr>
      <w:r>
        <w:rPr>
          <w:rFonts w:ascii="宋体" w:hAnsi="宋体" w:cs="宋体" w:eastAsia="宋体" w:hint="default"/>
          <w:b/>
          <w:bCs/>
        </w:rPr>
        <w:t>1、江苏卫宁</w:t>
      </w:r>
      <w:r>
        <w:rPr>
          <w:rFonts w:ascii="宋体" w:hAnsi="宋体" w:cs="宋体" w:eastAsia="宋体" w:hint="default"/>
          <w:b/>
          <w:bCs/>
          <w:w w:val="99"/>
        </w:rPr>
        <w:t> </w:t>
      </w:r>
      <w:r>
        <w:rPr>
          <w:spacing w:val="-2"/>
        </w:rPr>
        <w:t>江苏卫宁成立于2010年7月2日，注册资本人民币1,500万元，法定代表人孙凯，营业执照注册号为320407000140589，住</w:t>
      </w:r>
    </w:p>
    <w:p>
      <w:pPr>
        <w:pStyle w:val="BodyText"/>
        <w:spacing w:line="316" w:lineRule="auto" w:before="19"/>
        <w:ind w:right="149"/>
        <w:jc w:val="both"/>
      </w:pPr>
      <w:r>
        <w:rPr>
          <w:spacing w:val="-2"/>
        </w:rPr>
        <w:t>所为常州市新北区太湖东路9－2号24楼，公司类型为有限公司（法人独资），经营范围为计算机软件的技术开发、设计和制</w:t>
      </w:r>
      <w:r>
        <w:rPr>
          <w:spacing w:val="-60"/>
        </w:rPr>
        <w:t> </w:t>
      </w:r>
      <w:r>
        <w:rPr>
          <w:spacing w:val="-60"/>
        </w:rPr>
      </w:r>
      <w:r>
        <w:rPr/>
        <w:t>作、技术咨询和技术服务及计算机配件的销售；计算机网络信息系统集成的维护。公司持有江苏卫宁100%股权。 </w:t>
      </w:r>
    </w:p>
    <w:p>
      <w:pPr>
        <w:pStyle w:val="BodyText"/>
        <w:spacing w:line="319" w:lineRule="auto" w:before="18"/>
        <w:ind w:left="512" w:right="143"/>
        <w:jc w:val="left"/>
      </w:pPr>
      <w:r>
        <w:rPr>
          <w:rFonts w:ascii="宋体" w:hAnsi="宋体" w:cs="宋体" w:eastAsia="宋体" w:hint="default"/>
          <w:b/>
          <w:bCs/>
        </w:rPr>
        <w:t>2、西安卫宁</w:t>
      </w:r>
      <w:r>
        <w:rPr>
          <w:rFonts w:ascii="宋体" w:hAnsi="宋体" w:cs="宋体" w:eastAsia="宋体" w:hint="default"/>
          <w:b/>
          <w:bCs/>
          <w:w w:val="99"/>
        </w:rPr>
        <w:t> </w:t>
      </w:r>
      <w:r>
        <w:rPr/>
        <w:t>西安卫宁成立于2012年11月1日，注册资本人民币500万元，法定代表人孙凯，统一社会信用代码为610100100562287，</w:t>
      </w:r>
    </w:p>
    <w:p>
      <w:pPr>
        <w:pStyle w:val="BodyText"/>
        <w:spacing w:line="316" w:lineRule="auto" w:before="17"/>
        <w:ind w:right="149"/>
        <w:jc w:val="both"/>
      </w:pPr>
      <w:r>
        <w:rPr>
          <w:spacing w:val="-2"/>
        </w:rPr>
        <w:t>住所为西安市莲湖区高新三路东财富中心2期1幢40704、40705室，公司类型为有限责任公司（法人独资），经营范围为计算</w:t>
      </w:r>
      <w:r>
        <w:rPr>
          <w:spacing w:val="-52"/>
        </w:rPr>
        <w:t> </w:t>
      </w:r>
      <w:r>
        <w:rPr>
          <w:spacing w:val="-52"/>
        </w:rPr>
      </w:r>
      <w:r>
        <w:rPr>
          <w:spacing w:val="-2"/>
        </w:rPr>
        <w:t>机软硬件的研发、销售；计算机及辅助设备的销售；计算机网络信息系统集成、技术开发、技术咨询和技术服务。公司持有</w:t>
      </w:r>
      <w:r>
        <w:rPr>
          <w:spacing w:val="-68"/>
        </w:rPr>
        <w:t> </w:t>
      </w:r>
      <w:r>
        <w:rPr>
          <w:spacing w:val="-68"/>
        </w:rPr>
      </w:r>
      <w:r>
        <w:rPr/>
        <w:t>西安卫宁100%股权。 </w:t>
      </w:r>
    </w:p>
    <w:p>
      <w:pPr>
        <w:pStyle w:val="BodyText"/>
        <w:spacing w:line="316" w:lineRule="auto" w:before="18"/>
        <w:ind w:left="512" w:right="143"/>
        <w:jc w:val="left"/>
      </w:pPr>
      <w:r>
        <w:rPr>
          <w:rFonts w:ascii="宋体" w:hAnsi="宋体" w:cs="宋体" w:eastAsia="宋体" w:hint="default"/>
          <w:b/>
          <w:bCs/>
        </w:rPr>
        <w:t>3、山西卫宁</w:t>
      </w:r>
      <w:r>
        <w:rPr>
          <w:rFonts w:ascii="宋体" w:hAnsi="宋体" w:cs="宋体" w:eastAsia="宋体" w:hint="default"/>
          <w:b/>
          <w:bCs/>
          <w:w w:val="99"/>
        </w:rPr>
        <w:t> </w:t>
      </w:r>
      <w:r>
        <w:rPr/>
        <w:t>山西卫宁成立于2000年7月11日，注册资本人民币500万元，法定代表人刘宁，统一社会信用代码为140000100090365，</w:t>
      </w:r>
    </w:p>
    <w:p>
      <w:pPr>
        <w:pStyle w:val="BodyText"/>
        <w:spacing w:line="316" w:lineRule="auto" w:before="19"/>
        <w:ind w:right="149"/>
        <w:jc w:val="both"/>
      </w:pPr>
      <w:r>
        <w:rPr>
          <w:spacing w:val="-2"/>
        </w:rPr>
        <w:t>住所为太原高新区高新街9号瑞杰科技中心8层，公司类型为有限责任公司（自然人投资或控股的法人独资），经营范围为计</w:t>
      </w:r>
      <w:r>
        <w:rPr>
          <w:spacing w:val="-62"/>
        </w:rPr>
        <w:t> </w:t>
      </w:r>
      <w:r>
        <w:rPr>
          <w:spacing w:val="-62"/>
        </w:rPr>
      </w:r>
      <w:r>
        <w:rPr>
          <w:spacing w:val="-2"/>
        </w:rPr>
        <w:t>算机软件开发、软件服务、网络系统集成；批发零售科教仪器、办公用品、鞋帽；监控；服装经营项目。公司持有山西卫宁</w:t>
      </w:r>
    </w:p>
    <w:p>
      <w:pPr>
        <w:spacing w:after="0" w:line="316" w:lineRule="auto"/>
        <w:jc w:val="both"/>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100%股权。 </w:t>
      </w:r>
    </w:p>
    <w:p>
      <w:pPr>
        <w:pStyle w:val="BodyText"/>
        <w:spacing w:line="319" w:lineRule="auto" w:before="76"/>
        <w:ind w:left="512" w:right="113"/>
        <w:jc w:val="left"/>
      </w:pPr>
      <w:r>
        <w:rPr>
          <w:rFonts w:ascii="宋体" w:hAnsi="宋体" w:cs="宋体" w:eastAsia="宋体" w:hint="default"/>
          <w:b/>
          <w:bCs/>
        </w:rPr>
        <w:t>4、杭州东联</w:t>
      </w:r>
      <w:r>
        <w:rPr>
          <w:rFonts w:ascii="宋体" w:hAnsi="宋体" w:cs="宋体" w:eastAsia="宋体" w:hint="default"/>
          <w:b/>
          <w:bCs/>
          <w:w w:val="99"/>
        </w:rPr>
        <w:t> </w:t>
      </w:r>
      <w:r>
        <w:rPr/>
        <w:t>杭州东联成立于1999年6月8日，注册资本人民币420万元，法定代表人李继东，统一社会信用代码为330108000038196，</w:t>
      </w:r>
    </w:p>
    <w:p>
      <w:pPr>
        <w:pStyle w:val="BodyText"/>
        <w:spacing w:line="316" w:lineRule="auto" w:before="17"/>
        <w:ind w:right="209"/>
        <w:jc w:val="both"/>
      </w:pPr>
      <w:r>
        <w:rPr>
          <w:spacing w:val="-2"/>
        </w:rPr>
        <w:t>住所为杭州市西湖区文三路90号杭州东部软件园科技大厦三楼A306室，企业类型：有限责任公司（法人独资），经营范围为</w:t>
      </w:r>
      <w:r>
        <w:rPr>
          <w:spacing w:val="-62"/>
        </w:rPr>
        <w:t> </w:t>
      </w:r>
      <w:r>
        <w:rPr>
          <w:spacing w:val="-62"/>
        </w:rPr>
      </w:r>
      <w:r>
        <w:rPr>
          <w:spacing w:val="-2"/>
        </w:rPr>
        <w:t>技术开发、技术服务；计算机软、硬件；设计、安装：计算机网络工程；批发、零售：计算机软、硬件；其他无需报经审批</w:t>
      </w:r>
      <w:r>
        <w:rPr>
          <w:spacing w:val="-70"/>
        </w:rPr>
        <w:t> </w:t>
      </w:r>
      <w:r>
        <w:rPr>
          <w:spacing w:val="-70"/>
        </w:rPr>
      </w:r>
      <w:r>
        <w:rPr/>
        <w:t>的一切合法项目。公司持有杭州东联100%股权。 </w:t>
      </w:r>
    </w:p>
    <w:p>
      <w:pPr>
        <w:pStyle w:val="BodyText"/>
        <w:spacing w:line="316" w:lineRule="auto" w:before="18"/>
        <w:ind w:left="512" w:right="203"/>
        <w:jc w:val="left"/>
      </w:pPr>
      <w:r>
        <w:rPr>
          <w:rFonts w:ascii="宋体" w:hAnsi="宋体" w:cs="宋体" w:eastAsia="宋体" w:hint="default"/>
          <w:b/>
          <w:bCs/>
        </w:rPr>
        <w:t>5、卫宁科技</w:t>
      </w:r>
      <w:r>
        <w:rPr>
          <w:rFonts w:ascii="宋体" w:hAnsi="宋体" w:cs="宋体" w:eastAsia="宋体" w:hint="default"/>
          <w:b/>
          <w:bCs/>
          <w:w w:val="99"/>
        </w:rPr>
        <w:t> </w:t>
      </w:r>
      <w:r>
        <w:rPr/>
        <w:t>卫宁科技成立于2012年4月9日，注册资本人民币4,000万元，其中公司占65%股权、赵蒙海等占35%股权，法定代表人周</w:t>
      </w:r>
    </w:p>
    <w:p>
      <w:pPr>
        <w:pStyle w:val="BodyText"/>
        <w:spacing w:line="316" w:lineRule="auto" w:before="19"/>
        <w:ind w:right="209"/>
        <w:jc w:val="both"/>
      </w:pPr>
      <w:r>
        <w:rPr/>
        <w:t>炜，统一社会信用代码为91310115593161044F，住所为上海市浦东新区环林东路799弄9号1层B168室，公司类型为有限责任</w:t>
      </w:r>
      <w:r>
        <w:rPr>
          <w:spacing w:val="-87"/>
        </w:rPr>
        <w:t> </w:t>
      </w:r>
      <w:r>
        <w:rPr>
          <w:spacing w:val="-87"/>
        </w:rPr>
      </w:r>
      <w:r>
        <w:rPr>
          <w:spacing w:val="-2"/>
        </w:rPr>
        <w:t>公司（国内合资），经营范围为计算机软硬件的开发、设计和制作，销售自产产品（除计算机信息系统安全专用产品），计</w:t>
      </w:r>
      <w:r>
        <w:rPr>
          <w:spacing w:val="-65"/>
        </w:rPr>
        <w:t> </w:t>
      </w:r>
      <w:r>
        <w:rPr>
          <w:spacing w:val="-65"/>
        </w:rPr>
      </w:r>
      <w:r>
        <w:rPr>
          <w:spacing w:val="-2"/>
        </w:rPr>
        <w:t>算机及辅助设备的销售，计算机网络信息系统集成及维护，并提供相关的技术开发、技术转让、技术咨询和技术服务。公司</w:t>
      </w:r>
      <w:r>
        <w:rPr>
          <w:spacing w:val="-67"/>
        </w:rPr>
        <w:t> </w:t>
      </w:r>
      <w:r>
        <w:rPr>
          <w:spacing w:val="-67"/>
        </w:rPr>
      </w:r>
      <w:r>
        <w:rPr/>
        <w:t>持有卫宁科技65%股权。 </w:t>
      </w:r>
    </w:p>
    <w:p>
      <w:pPr>
        <w:pStyle w:val="BodyText"/>
        <w:spacing w:line="316" w:lineRule="auto" w:before="18"/>
        <w:ind w:left="512" w:right="203"/>
        <w:jc w:val="left"/>
      </w:pPr>
      <w:r>
        <w:rPr>
          <w:rFonts w:ascii="宋体" w:hAnsi="宋体" w:cs="宋体" w:eastAsia="宋体" w:hint="default"/>
          <w:b/>
          <w:bCs/>
        </w:rPr>
        <w:t>6、宇信网景</w:t>
      </w:r>
      <w:r>
        <w:rPr>
          <w:rFonts w:ascii="宋体" w:hAnsi="宋体" w:cs="宋体" w:eastAsia="宋体" w:hint="default"/>
          <w:b/>
          <w:bCs/>
          <w:w w:val="99"/>
        </w:rPr>
        <w:t> </w:t>
      </w:r>
      <w:r>
        <w:rPr/>
        <w:t>宇信网景成立于2001年01月09日，注册资本为人民币2,000万元，其中公司占80%股权、孙毅平等占20%股权，法定代表</w:t>
      </w:r>
    </w:p>
    <w:p>
      <w:pPr>
        <w:pStyle w:val="BodyText"/>
        <w:spacing w:line="316" w:lineRule="auto" w:before="19"/>
        <w:ind w:right="113"/>
        <w:jc w:val="left"/>
      </w:pPr>
      <w:r>
        <w:rPr/>
        <w:t>人刘宁，统一社会信用代码为91110108802052080U，住所为北京市海淀区蓝靛厂金源时代购物中心B区2#B座903，公司类型</w:t>
      </w:r>
      <w:r>
        <w:rPr>
          <w:spacing w:val="-85"/>
        </w:rPr>
        <w:t> </w:t>
      </w:r>
      <w:r>
        <w:rPr>
          <w:spacing w:val="-85"/>
        </w:rPr>
      </w:r>
      <w:r>
        <w:rPr/>
        <w:t>为其他有限责任公司，经营范围为技术开发、技术转让、技术咨询、技术服务；组装计算机；计算机系统服务；数据处理； 计算机维修；基础软件服务；应用软件服务；销售计算机、软件及辅助设备。公司持有宇信网景80%股权。 </w:t>
      </w:r>
    </w:p>
    <w:p>
      <w:pPr>
        <w:pStyle w:val="BodyText"/>
        <w:spacing w:line="316" w:lineRule="auto" w:before="19"/>
        <w:ind w:left="512" w:right="203"/>
        <w:jc w:val="left"/>
      </w:pPr>
      <w:r>
        <w:rPr>
          <w:rFonts w:ascii="宋体" w:hAnsi="宋体" w:cs="宋体" w:eastAsia="宋体" w:hint="default"/>
          <w:b/>
          <w:bCs/>
        </w:rPr>
        <w:t>7、新疆卫宁</w:t>
      </w:r>
      <w:r>
        <w:rPr>
          <w:rFonts w:ascii="宋体" w:hAnsi="宋体" w:cs="宋体" w:eastAsia="宋体" w:hint="default"/>
          <w:b/>
          <w:bCs/>
          <w:w w:val="99"/>
        </w:rPr>
        <w:t> </w:t>
      </w:r>
      <w:r>
        <w:rPr/>
        <w:t>新疆卫宁成立于2014年3月25日，注册资本人民币1,000万元，其中公司占51%股权、新疆傲世博祥软件科技有限公司占</w:t>
      </w:r>
    </w:p>
    <w:p>
      <w:pPr>
        <w:pStyle w:val="BodyText"/>
        <w:spacing w:line="316" w:lineRule="auto" w:before="18"/>
        <w:ind w:right="209"/>
        <w:jc w:val="both"/>
      </w:pPr>
      <w:r>
        <w:rPr/>
        <w:t>49%股权，法定代表人肖朝明，统一社会信用代码为650100050206885，住所为上新疆乌鲁木齐市天山区新华北路165号中天</w:t>
      </w:r>
      <w:r>
        <w:rPr>
          <w:spacing w:val="-84"/>
        </w:rPr>
        <w:t> </w:t>
      </w:r>
      <w:r>
        <w:rPr>
          <w:spacing w:val="-84"/>
        </w:rPr>
      </w:r>
      <w:r>
        <w:rPr>
          <w:spacing w:val="-2"/>
        </w:rPr>
        <w:t>广场大厦42层J、K号，公司类型为其它有限责任公司，经营范围为计算机软件的开发、设计和制作，计算机及辅助设备的销</w:t>
      </w:r>
      <w:r>
        <w:rPr>
          <w:spacing w:val="-66"/>
        </w:rPr>
        <w:t> </w:t>
      </w:r>
      <w:r>
        <w:rPr>
          <w:spacing w:val="-66"/>
        </w:rPr>
      </w:r>
      <w:r>
        <w:rPr/>
        <w:t>售，计算机系统集成服务。公司持有新疆卫宁51%股权。 </w:t>
      </w:r>
    </w:p>
    <w:p>
      <w:pPr>
        <w:pStyle w:val="BodyText"/>
        <w:spacing w:line="319" w:lineRule="auto" w:before="18"/>
        <w:ind w:left="512" w:right="203"/>
        <w:jc w:val="left"/>
      </w:pPr>
      <w:r>
        <w:rPr>
          <w:rFonts w:ascii="宋体" w:hAnsi="宋体" w:cs="宋体" w:eastAsia="宋体" w:hint="default"/>
          <w:b/>
          <w:bCs/>
        </w:rPr>
        <w:t>8、上海天健</w:t>
      </w:r>
      <w:r>
        <w:rPr>
          <w:rFonts w:ascii="宋体" w:hAnsi="宋体" w:cs="宋体" w:eastAsia="宋体" w:hint="default"/>
          <w:b/>
          <w:bCs/>
          <w:w w:val="99"/>
        </w:rPr>
        <w:t> </w:t>
      </w:r>
      <w:r>
        <w:rPr/>
        <w:t>上海天健成立于2012年4月9日，注册资本人民币1,000万元，其中公司占51%股权、刘海清等占49%股权，法定代表人王</w:t>
      </w:r>
    </w:p>
    <w:p>
      <w:pPr>
        <w:pStyle w:val="BodyText"/>
        <w:spacing w:line="316" w:lineRule="auto" w:before="17"/>
        <w:ind w:right="122"/>
        <w:jc w:val="both"/>
      </w:pPr>
      <w:r>
        <w:rPr>
          <w:spacing w:val="-2"/>
        </w:rPr>
        <w:t>涛，统一社会信用代码为310108000502464，住所为江场三路76、78号622室，公司类型为其他有限责任公司，经营范围为在</w:t>
      </w:r>
      <w:r>
        <w:rPr>
          <w:spacing w:val="-46"/>
        </w:rPr>
        <w:t> </w:t>
      </w:r>
      <w:r>
        <w:rPr>
          <w:spacing w:val="-46"/>
        </w:rPr>
      </w:r>
      <w:r>
        <w:rPr>
          <w:spacing w:val="-2"/>
        </w:rPr>
        <w:t>信息、计算机科技专业领域内从事技术开发、技术咨询、技术转让、技术服务，计算机系统集成，网络工程，计算机软件开</w:t>
      </w:r>
      <w:r>
        <w:rPr>
          <w:spacing w:val="-66"/>
        </w:rPr>
        <w:t> </w:t>
      </w:r>
      <w:r>
        <w:rPr>
          <w:spacing w:val="-66"/>
        </w:rPr>
      </w:r>
      <w:r>
        <w:rPr>
          <w:spacing w:val="-4"/>
        </w:rPr>
        <w:t>发，计算机及软硬件、电子产品、通讯产品、办公用品的销售，从事货物及技术的进出口业务。公司持有上海天健51%股权。</w:t>
      </w:r>
      <w:r>
        <w:rPr/>
        <w:t> </w:t>
      </w:r>
    </w:p>
    <w:p>
      <w:pPr>
        <w:spacing w:line="316" w:lineRule="auto" w:before="18"/>
        <w:ind w:left="512" w:right="209" w:firstLine="0"/>
        <w:jc w:val="left"/>
        <w:rPr>
          <w:rFonts w:ascii="宋体" w:hAnsi="宋体" w:cs="宋体" w:eastAsia="宋体" w:hint="default"/>
          <w:sz w:val="18"/>
          <w:szCs w:val="18"/>
        </w:rPr>
      </w:pPr>
      <w:r>
        <w:rPr>
          <w:rFonts w:ascii="宋体" w:hAnsi="宋体" w:cs="宋体" w:eastAsia="宋体" w:hint="default"/>
          <w:b/>
          <w:bCs/>
          <w:sz w:val="18"/>
          <w:szCs w:val="18"/>
        </w:rPr>
        <w:t>9、重庆卫宁</w:t>
      </w:r>
      <w:r>
        <w:rPr>
          <w:rFonts w:ascii="宋体" w:hAnsi="宋体" w:cs="宋体" w:eastAsia="宋体" w:hint="default"/>
          <w:b/>
          <w:bCs/>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t>重</w:t>
      </w:r>
      <w:r>
        <w:rPr>
          <w:rFonts w:ascii="宋体" w:hAnsi="宋体" w:cs="宋体" w:eastAsia="宋体" w:hint="default"/>
          <w:spacing w:val="-62"/>
          <w:sz w:val="18"/>
          <w:szCs w:val="18"/>
        </w:rPr>
        <w:t> </w:t>
      </w:r>
      <w:r>
        <w:rPr>
          <w:rFonts w:ascii="宋体" w:hAnsi="宋体" w:cs="宋体" w:eastAsia="宋体" w:hint="default"/>
          <w:sz w:val="18"/>
          <w:szCs w:val="18"/>
        </w:rPr>
        <w:t>庆</w:t>
      </w:r>
      <w:r>
        <w:rPr>
          <w:rFonts w:ascii="宋体" w:hAnsi="宋体" w:cs="宋体" w:eastAsia="宋体" w:hint="default"/>
          <w:spacing w:val="-62"/>
          <w:sz w:val="18"/>
          <w:szCs w:val="18"/>
        </w:rPr>
        <w:t> </w:t>
      </w:r>
      <w:r>
        <w:rPr>
          <w:rFonts w:ascii="宋体" w:hAnsi="宋体" w:cs="宋体" w:eastAsia="宋体" w:hint="default"/>
          <w:sz w:val="18"/>
          <w:szCs w:val="18"/>
        </w:rPr>
        <w:t>卫</w:t>
      </w:r>
      <w:r>
        <w:rPr>
          <w:rFonts w:ascii="宋体" w:hAnsi="宋体" w:cs="宋体" w:eastAsia="宋体" w:hint="default"/>
          <w:spacing w:val="-62"/>
          <w:sz w:val="18"/>
          <w:szCs w:val="18"/>
        </w:rPr>
        <w:t> </w:t>
      </w:r>
      <w:r>
        <w:rPr>
          <w:rFonts w:ascii="宋体" w:hAnsi="宋体" w:cs="宋体" w:eastAsia="宋体" w:hint="default"/>
          <w:sz w:val="18"/>
          <w:szCs w:val="18"/>
        </w:rPr>
        <w:t>宁</w:t>
      </w:r>
      <w:r>
        <w:rPr>
          <w:rFonts w:ascii="宋体" w:hAnsi="宋体" w:cs="宋体" w:eastAsia="宋体" w:hint="default"/>
          <w:spacing w:val="-64"/>
          <w:sz w:val="18"/>
          <w:szCs w:val="18"/>
        </w:rPr>
        <w:t> </w:t>
      </w:r>
      <w:r>
        <w:rPr>
          <w:rFonts w:ascii="宋体" w:hAnsi="宋体" w:cs="宋体" w:eastAsia="宋体" w:hint="default"/>
          <w:sz w:val="18"/>
          <w:szCs w:val="18"/>
        </w:rPr>
        <w:t>成</w:t>
      </w:r>
      <w:r>
        <w:rPr>
          <w:rFonts w:ascii="宋体" w:hAnsi="宋体" w:cs="宋体" w:eastAsia="宋体" w:hint="default"/>
          <w:spacing w:val="-62"/>
          <w:sz w:val="18"/>
          <w:szCs w:val="18"/>
        </w:rPr>
        <w:t> </w:t>
      </w:r>
      <w:r>
        <w:rPr>
          <w:rFonts w:ascii="宋体" w:hAnsi="宋体" w:cs="宋体" w:eastAsia="宋体" w:hint="default"/>
          <w:sz w:val="18"/>
          <w:szCs w:val="18"/>
        </w:rPr>
        <w:t>立</w:t>
      </w:r>
      <w:r>
        <w:rPr>
          <w:rFonts w:ascii="宋体" w:hAnsi="宋体" w:cs="宋体" w:eastAsia="宋体" w:hint="default"/>
          <w:spacing w:val="-62"/>
          <w:sz w:val="18"/>
          <w:szCs w:val="18"/>
        </w:rPr>
        <w:t> </w:t>
      </w: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2</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日</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宋体" w:hAnsi="宋体" w:cs="宋体" w:eastAsia="宋体" w:hint="default"/>
          <w:sz w:val="18"/>
          <w:szCs w:val="18"/>
        </w:rPr>
        <w:t>册</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2"/>
          <w:sz w:val="18"/>
          <w:szCs w:val="18"/>
        </w:rPr>
        <w:t> </w:t>
      </w:r>
      <w:r>
        <w:rPr>
          <w:rFonts w:ascii="宋体" w:hAnsi="宋体" w:cs="宋体" w:eastAsia="宋体" w:hint="default"/>
          <w:sz w:val="18"/>
          <w:szCs w:val="18"/>
        </w:rPr>
        <w:t>本</w:t>
      </w:r>
      <w:r>
        <w:rPr>
          <w:rFonts w:ascii="宋体" w:hAnsi="宋体" w:cs="宋体" w:eastAsia="宋体" w:hint="default"/>
          <w:spacing w:val="-62"/>
          <w:sz w:val="18"/>
          <w:szCs w:val="18"/>
        </w:rPr>
        <w:t> </w:t>
      </w:r>
      <w:r>
        <w:rPr>
          <w:rFonts w:ascii="宋体" w:hAnsi="宋体" w:cs="宋体" w:eastAsia="宋体" w:hint="default"/>
          <w:sz w:val="18"/>
          <w:szCs w:val="18"/>
        </w:rPr>
        <w:t>人</w:t>
      </w:r>
      <w:r>
        <w:rPr>
          <w:rFonts w:ascii="宋体" w:hAnsi="宋体" w:cs="宋体" w:eastAsia="宋体" w:hint="default"/>
          <w:spacing w:val="-64"/>
          <w:sz w:val="18"/>
          <w:szCs w:val="18"/>
        </w:rPr>
        <w:t> </w:t>
      </w:r>
      <w:r>
        <w:rPr>
          <w:rFonts w:ascii="宋体" w:hAnsi="宋体" w:cs="宋体" w:eastAsia="宋体" w:hint="default"/>
          <w:sz w:val="18"/>
          <w:szCs w:val="18"/>
        </w:rPr>
        <w:t>民</w:t>
      </w:r>
      <w:r>
        <w:rPr>
          <w:rFonts w:ascii="宋体" w:hAnsi="宋体" w:cs="宋体" w:eastAsia="宋体" w:hint="default"/>
          <w:spacing w:val="-62"/>
          <w:sz w:val="18"/>
          <w:szCs w:val="18"/>
        </w:rPr>
        <w:t> </w:t>
      </w:r>
      <w:r>
        <w:rPr>
          <w:rFonts w:ascii="宋体" w:hAnsi="宋体" w:cs="宋体" w:eastAsia="宋体" w:hint="default"/>
          <w:sz w:val="18"/>
          <w:szCs w:val="18"/>
        </w:rPr>
        <w:t>币</w:t>
      </w:r>
      <w:r>
        <w:rPr>
          <w:rFonts w:ascii="宋体" w:hAnsi="宋体" w:cs="宋体" w:eastAsia="宋体" w:hint="default"/>
          <w:spacing w:val="-64"/>
          <w:sz w:val="18"/>
          <w:szCs w:val="18"/>
        </w:rPr>
        <w:t> </w:t>
      </w:r>
      <w:r>
        <w:rPr>
          <w:rFonts w:ascii="宋体" w:hAnsi="宋体" w:cs="宋体" w:eastAsia="宋体" w:hint="default"/>
          <w:sz w:val="18"/>
          <w:szCs w:val="18"/>
        </w:rPr>
        <w:t>1,000</w:t>
      </w:r>
      <w:r>
        <w:rPr>
          <w:rFonts w:ascii="宋体" w:hAnsi="宋体" w:cs="宋体" w:eastAsia="宋体" w:hint="default"/>
          <w:spacing w:val="-62"/>
          <w:sz w:val="18"/>
          <w:szCs w:val="18"/>
        </w:rPr>
        <w:t> </w:t>
      </w:r>
      <w:r>
        <w:rPr>
          <w:rFonts w:ascii="宋体" w:hAnsi="宋体" w:cs="宋体" w:eastAsia="宋体" w:hint="default"/>
          <w:sz w:val="18"/>
          <w:szCs w:val="18"/>
        </w:rPr>
        <w:t>万</w:t>
      </w:r>
      <w:r>
        <w:rPr>
          <w:rFonts w:ascii="宋体" w:hAnsi="宋体" w:cs="宋体" w:eastAsia="宋体" w:hint="default"/>
          <w:spacing w:val="-62"/>
          <w:sz w:val="18"/>
          <w:szCs w:val="18"/>
        </w:rPr>
        <w:t> </w:t>
      </w:r>
      <w:r>
        <w:rPr>
          <w:rFonts w:ascii="宋体" w:hAnsi="宋体" w:cs="宋体" w:eastAsia="宋体" w:hint="default"/>
          <w:sz w:val="18"/>
          <w:szCs w:val="18"/>
        </w:rPr>
        <w:t>元</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法</w:t>
      </w:r>
      <w:r>
        <w:rPr>
          <w:rFonts w:ascii="宋体" w:hAnsi="宋体" w:cs="宋体" w:eastAsia="宋体" w:hint="default"/>
          <w:spacing w:val="-62"/>
          <w:sz w:val="18"/>
          <w:szCs w:val="18"/>
        </w:rPr>
        <w:t> </w:t>
      </w:r>
      <w:r>
        <w:rPr>
          <w:rFonts w:ascii="宋体" w:hAnsi="宋体" w:cs="宋体" w:eastAsia="宋体" w:hint="default"/>
          <w:sz w:val="18"/>
          <w:szCs w:val="18"/>
        </w:rPr>
        <w:t>定</w:t>
      </w:r>
      <w:r>
        <w:rPr>
          <w:rFonts w:ascii="宋体" w:hAnsi="宋体" w:cs="宋体" w:eastAsia="宋体" w:hint="default"/>
          <w:spacing w:val="-64"/>
          <w:sz w:val="18"/>
          <w:szCs w:val="18"/>
        </w:rPr>
        <w:t> </w:t>
      </w:r>
      <w:r>
        <w:rPr>
          <w:rFonts w:ascii="宋体" w:hAnsi="宋体" w:cs="宋体" w:eastAsia="宋体" w:hint="default"/>
          <w:sz w:val="18"/>
          <w:szCs w:val="18"/>
        </w:rPr>
        <w:t>代</w:t>
      </w:r>
      <w:r>
        <w:rPr>
          <w:rFonts w:ascii="宋体" w:hAnsi="宋体" w:cs="宋体" w:eastAsia="宋体" w:hint="default"/>
          <w:spacing w:val="-62"/>
          <w:sz w:val="18"/>
          <w:szCs w:val="18"/>
        </w:rPr>
        <w:t> </w:t>
      </w:r>
      <w:r>
        <w:rPr>
          <w:rFonts w:ascii="宋体" w:hAnsi="宋体" w:cs="宋体" w:eastAsia="宋体" w:hint="default"/>
          <w:sz w:val="18"/>
          <w:szCs w:val="18"/>
        </w:rPr>
        <w:t>表</w:t>
      </w:r>
      <w:r>
        <w:rPr>
          <w:rFonts w:ascii="宋体" w:hAnsi="宋体" w:cs="宋体" w:eastAsia="宋体" w:hint="default"/>
          <w:spacing w:val="-62"/>
          <w:sz w:val="18"/>
          <w:szCs w:val="18"/>
        </w:rPr>
        <w:t> </w:t>
      </w:r>
      <w:r>
        <w:rPr>
          <w:rFonts w:ascii="宋体" w:hAnsi="宋体" w:cs="宋体" w:eastAsia="宋体" w:hint="default"/>
          <w:sz w:val="18"/>
          <w:szCs w:val="18"/>
        </w:rPr>
        <w:t>人</w:t>
      </w:r>
      <w:r>
        <w:rPr>
          <w:rFonts w:ascii="宋体" w:hAnsi="宋体" w:cs="宋体" w:eastAsia="宋体" w:hint="default"/>
          <w:spacing w:val="-64"/>
          <w:sz w:val="18"/>
          <w:szCs w:val="18"/>
        </w:rPr>
        <w:t> </w:t>
      </w:r>
      <w:r>
        <w:rPr>
          <w:rFonts w:ascii="宋体" w:hAnsi="宋体" w:cs="宋体" w:eastAsia="宋体" w:hint="default"/>
          <w:sz w:val="18"/>
          <w:szCs w:val="18"/>
        </w:rPr>
        <w:t>孙</w:t>
      </w:r>
      <w:r>
        <w:rPr>
          <w:rFonts w:ascii="宋体" w:hAnsi="宋体" w:cs="宋体" w:eastAsia="宋体" w:hint="default"/>
          <w:spacing w:val="-62"/>
          <w:sz w:val="18"/>
          <w:szCs w:val="18"/>
        </w:rPr>
        <w:t> </w:t>
      </w:r>
      <w:r>
        <w:rPr>
          <w:rFonts w:ascii="宋体" w:hAnsi="宋体" w:cs="宋体" w:eastAsia="宋体" w:hint="default"/>
          <w:sz w:val="18"/>
          <w:szCs w:val="18"/>
        </w:rPr>
        <w:t>嘉</w:t>
      </w:r>
      <w:r>
        <w:rPr>
          <w:rFonts w:ascii="宋体" w:hAnsi="宋体" w:cs="宋体" w:eastAsia="宋体" w:hint="default"/>
          <w:spacing w:val="-62"/>
          <w:sz w:val="18"/>
          <w:szCs w:val="18"/>
        </w:rPr>
        <w:t> </w:t>
      </w:r>
      <w:r>
        <w:rPr>
          <w:rFonts w:ascii="宋体" w:hAnsi="宋体" w:cs="宋体" w:eastAsia="宋体" w:hint="default"/>
          <w:sz w:val="18"/>
          <w:szCs w:val="18"/>
        </w:rPr>
        <w:t>明</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统</w:t>
      </w:r>
      <w:r>
        <w:rPr>
          <w:rFonts w:ascii="宋体" w:hAnsi="宋体" w:cs="宋体" w:eastAsia="宋体" w:hint="default"/>
          <w:spacing w:val="-62"/>
          <w:sz w:val="18"/>
          <w:szCs w:val="18"/>
        </w:rPr>
        <w:t> </w:t>
      </w: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社</w:t>
      </w:r>
      <w:r>
        <w:rPr>
          <w:rFonts w:ascii="宋体" w:hAnsi="宋体" w:cs="宋体" w:eastAsia="宋体" w:hint="default"/>
          <w:spacing w:val="-64"/>
          <w:sz w:val="18"/>
          <w:szCs w:val="18"/>
        </w:rPr>
        <w:t> </w:t>
      </w:r>
      <w:r>
        <w:rPr>
          <w:rFonts w:ascii="宋体" w:hAnsi="宋体" w:cs="宋体" w:eastAsia="宋体" w:hint="default"/>
          <w:sz w:val="18"/>
          <w:szCs w:val="18"/>
        </w:rPr>
        <w:t>会</w:t>
      </w:r>
      <w:r>
        <w:rPr>
          <w:rFonts w:ascii="宋体" w:hAnsi="宋体" w:cs="宋体" w:eastAsia="宋体" w:hint="default"/>
          <w:spacing w:val="-62"/>
          <w:sz w:val="18"/>
          <w:szCs w:val="18"/>
        </w:rPr>
        <w:t> </w:t>
      </w:r>
      <w:r>
        <w:rPr>
          <w:rFonts w:ascii="宋体" w:hAnsi="宋体" w:cs="宋体" w:eastAsia="宋体" w:hint="default"/>
          <w:sz w:val="18"/>
          <w:szCs w:val="18"/>
        </w:rPr>
        <w:t>信</w:t>
      </w:r>
      <w:r>
        <w:rPr>
          <w:rFonts w:ascii="宋体" w:hAnsi="宋体" w:cs="宋体" w:eastAsia="宋体" w:hint="default"/>
          <w:spacing w:val="-62"/>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代</w:t>
      </w:r>
      <w:r>
        <w:rPr>
          <w:rFonts w:ascii="宋体" w:hAnsi="宋体" w:cs="宋体" w:eastAsia="宋体" w:hint="default"/>
          <w:spacing w:val="-64"/>
          <w:sz w:val="18"/>
          <w:szCs w:val="18"/>
        </w:rPr>
        <w:t> </w:t>
      </w:r>
      <w:r>
        <w:rPr>
          <w:rFonts w:ascii="宋体" w:hAnsi="宋体" w:cs="宋体" w:eastAsia="宋体" w:hint="default"/>
          <w:sz w:val="18"/>
          <w:szCs w:val="18"/>
        </w:rPr>
        <w:t>码</w:t>
      </w:r>
      <w:r>
        <w:rPr>
          <w:rFonts w:ascii="宋体" w:hAnsi="宋体" w:cs="宋体" w:eastAsia="宋体" w:hint="default"/>
          <w:spacing w:val="-62"/>
          <w:sz w:val="18"/>
          <w:szCs w:val="18"/>
        </w:rPr>
        <w:t> </w:t>
      </w:r>
      <w:r>
        <w:rPr>
          <w:rFonts w:ascii="宋体" w:hAnsi="宋体" w:cs="宋体" w:eastAsia="宋体" w:hint="default"/>
          <w:sz w:val="18"/>
          <w:szCs w:val="18"/>
        </w:rPr>
        <w:t>为</w:t>
      </w:r>
    </w:p>
    <w:p>
      <w:pPr>
        <w:pStyle w:val="BodyText"/>
        <w:spacing w:line="316" w:lineRule="auto" w:before="19"/>
        <w:ind w:right="209"/>
        <w:jc w:val="both"/>
      </w:pPr>
      <w:r>
        <w:rPr>
          <w:spacing w:val="-2"/>
        </w:rPr>
        <w:t>91500000331580038A，住所为重庆市北碚区水土高新技术产业园云汉大道5号附214号，企业类型：有限责任公司，经营范围</w:t>
      </w:r>
      <w:r>
        <w:rPr>
          <w:spacing w:val="-42"/>
        </w:rPr>
        <w:t> </w:t>
      </w:r>
      <w:r>
        <w:rPr>
          <w:spacing w:val="-42"/>
        </w:rPr>
      </w:r>
      <w:r>
        <w:rPr>
          <w:spacing w:val="-2"/>
        </w:rPr>
        <w:t>为计算机软硬件的开发、设立、销售；计算机网络信息系统集成及技术开发、技术转让、技术咨询、技术服务。公司持有重</w:t>
      </w:r>
      <w:r>
        <w:rPr>
          <w:spacing w:val="-66"/>
        </w:rPr>
        <w:t> </w:t>
      </w:r>
      <w:r>
        <w:rPr>
          <w:spacing w:val="-66"/>
        </w:rPr>
      </w:r>
      <w:r>
        <w:rPr/>
        <w:t>庆卫宁51%股权。 </w:t>
      </w:r>
    </w:p>
    <w:p>
      <w:pPr>
        <w:spacing w:line="316" w:lineRule="auto" w:before="19"/>
        <w:ind w:left="512" w:right="209" w:firstLine="0"/>
        <w:jc w:val="left"/>
        <w:rPr>
          <w:rFonts w:ascii="宋体" w:hAnsi="宋体" w:cs="宋体" w:eastAsia="宋体" w:hint="default"/>
          <w:sz w:val="18"/>
          <w:szCs w:val="18"/>
        </w:rPr>
      </w:pPr>
      <w:r>
        <w:rPr>
          <w:rFonts w:ascii="宋体" w:hAnsi="宋体" w:cs="宋体" w:eastAsia="宋体" w:hint="default"/>
          <w:b/>
          <w:bCs/>
          <w:sz w:val="18"/>
          <w:szCs w:val="18"/>
        </w:rPr>
        <w:t>10、黑龙江卫宁</w:t>
      </w:r>
      <w:r>
        <w:rPr>
          <w:rFonts w:ascii="宋体" w:hAnsi="宋体" w:cs="宋体" w:eastAsia="宋体" w:hint="default"/>
          <w:b/>
          <w:bCs/>
          <w:w w:val="99"/>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t>黑</w:t>
      </w:r>
      <w:r>
        <w:rPr>
          <w:rFonts w:ascii="宋体" w:hAnsi="宋体" w:cs="宋体" w:eastAsia="宋体" w:hint="default"/>
          <w:spacing w:val="-64"/>
          <w:sz w:val="18"/>
          <w:szCs w:val="18"/>
        </w:rPr>
        <w:t> </w:t>
      </w:r>
      <w:r>
        <w:rPr>
          <w:rFonts w:ascii="宋体" w:hAnsi="宋体" w:cs="宋体" w:eastAsia="宋体" w:hint="default"/>
          <w:sz w:val="18"/>
          <w:szCs w:val="18"/>
        </w:rPr>
        <w:t>龙</w:t>
      </w:r>
      <w:r>
        <w:rPr>
          <w:rFonts w:ascii="宋体" w:hAnsi="宋体" w:cs="宋体" w:eastAsia="宋体" w:hint="default"/>
          <w:spacing w:val="-64"/>
          <w:sz w:val="18"/>
          <w:szCs w:val="18"/>
        </w:rPr>
        <w:t> </w:t>
      </w:r>
      <w:r>
        <w:rPr>
          <w:rFonts w:ascii="宋体" w:hAnsi="宋体" w:cs="宋体" w:eastAsia="宋体" w:hint="default"/>
          <w:sz w:val="18"/>
          <w:szCs w:val="18"/>
        </w:rPr>
        <w:t>江</w:t>
      </w:r>
      <w:r>
        <w:rPr>
          <w:rFonts w:ascii="宋体" w:hAnsi="宋体" w:cs="宋体" w:eastAsia="宋体" w:hint="default"/>
          <w:spacing w:val="-66"/>
          <w:sz w:val="18"/>
          <w:szCs w:val="18"/>
        </w:rPr>
        <w:t> </w:t>
      </w:r>
      <w:r>
        <w:rPr>
          <w:rFonts w:ascii="宋体" w:hAnsi="宋体" w:cs="宋体" w:eastAsia="宋体" w:hint="default"/>
          <w:sz w:val="18"/>
          <w:szCs w:val="18"/>
        </w:rPr>
        <w:t>卫</w:t>
      </w:r>
      <w:r>
        <w:rPr>
          <w:rFonts w:ascii="宋体" w:hAnsi="宋体" w:cs="宋体" w:eastAsia="宋体" w:hint="default"/>
          <w:spacing w:val="-64"/>
          <w:sz w:val="18"/>
          <w:szCs w:val="18"/>
        </w:rPr>
        <w:t> </w:t>
      </w:r>
      <w:r>
        <w:rPr>
          <w:rFonts w:ascii="宋体" w:hAnsi="宋体" w:cs="宋体" w:eastAsia="宋体" w:hint="default"/>
          <w:sz w:val="18"/>
          <w:szCs w:val="18"/>
        </w:rPr>
        <w:t>宁</w:t>
      </w:r>
      <w:r>
        <w:rPr>
          <w:rFonts w:ascii="宋体" w:hAnsi="宋体" w:cs="宋体" w:eastAsia="宋体" w:hint="default"/>
          <w:spacing w:val="-66"/>
          <w:sz w:val="18"/>
          <w:szCs w:val="18"/>
        </w:rPr>
        <w:t> </w:t>
      </w:r>
      <w:r>
        <w:rPr>
          <w:rFonts w:ascii="宋体" w:hAnsi="宋体" w:cs="宋体" w:eastAsia="宋体" w:hint="default"/>
          <w:sz w:val="18"/>
          <w:szCs w:val="18"/>
        </w:rPr>
        <w:t>成</w:t>
      </w:r>
      <w:r>
        <w:rPr>
          <w:rFonts w:ascii="宋体" w:hAnsi="宋体" w:cs="宋体" w:eastAsia="宋体" w:hint="default"/>
          <w:spacing w:val="-64"/>
          <w:sz w:val="18"/>
          <w:szCs w:val="18"/>
        </w:rPr>
        <w:t> </w:t>
      </w:r>
      <w:r>
        <w:rPr>
          <w:rFonts w:ascii="宋体" w:hAnsi="宋体" w:cs="宋体" w:eastAsia="宋体" w:hint="default"/>
          <w:sz w:val="18"/>
          <w:szCs w:val="18"/>
        </w:rPr>
        <w:t>立</w:t>
      </w:r>
      <w:r>
        <w:rPr>
          <w:rFonts w:ascii="宋体" w:hAnsi="宋体" w:cs="宋体" w:eastAsia="宋体" w:hint="default"/>
          <w:spacing w:val="-66"/>
          <w:sz w:val="18"/>
          <w:szCs w:val="18"/>
        </w:rPr>
        <w:t> </w:t>
      </w: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3</w:t>
      </w:r>
      <w:r>
        <w:rPr>
          <w:rFonts w:ascii="宋体" w:hAnsi="宋体" w:cs="宋体" w:eastAsia="宋体" w:hint="default"/>
          <w:spacing w:val="-66"/>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4</w:t>
      </w:r>
      <w:r>
        <w:rPr>
          <w:rFonts w:ascii="宋体" w:hAnsi="宋体" w:cs="宋体" w:eastAsia="宋体" w:hint="default"/>
          <w:spacing w:val="-66"/>
          <w:sz w:val="18"/>
          <w:szCs w:val="18"/>
        </w:rPr>
        <w:t> </w:t>
      </w:r>
      <w:r>
        <w:rPr>
          <w:rFonts w:ascii="宋体" w:hAnsi="宋体" w:cs="宋体" w:eastAsia="宋体" w:hint="default"/>
          <w:sz w:val="18"/>
          <w:szCs w:val="18"/>
        </w:rPr>
        <w:t>日</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宋体" w:hAnsi="宋体" w:cs="宋体" w:eastAsia="宋体" w:hint="default"/>
          <w:sz w:val="18"/>
          <w:szCs w:val="18"/>
        </w:rPr>
        <w:t>册</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人</w:t>
      </w:r>
      <w:r>
        <w:rPr>
          <w:rFonts w:ascii="宋体" w:hAnsi="宋体" w:cs="宋体" w:eastAsia="宋体" w:hint="default"/>
          <w:spacing w:val="-64"/>
          <w:sz w:val="18"/>
          <w:szCs w:val="18"/>
        </w:rPr>
        <w:t> </w:t>
      </w:r>
      <w:r>
        <w:rPr>
          <w:rFonts w:ascii="宋体" w:hAnsi="宋体" w:cs="宋体" w:eastAsia="宋体" w:hint="default"/>
          <w:sz w:val="18"/>
          <w:szCs w:val="18"/>
        </w:rPr>
        <w:t>民</w:t>
      </w:r>
      <w:r>
        <w:rPr>
          <w:rFonts w:ascii="宋体" w:hAnsi="宋体" w:cs="宋体" w:eastAsia="宋体" w:hint="default"/>
          <w:spacing w:val="-64"/>
          <w:sz w:val="18"/>
          <w:szCs w:val="18"/>
        </w:rPr>
        <w:t> </w:t>
      </w:r>
      <w:r>
        <w:rPr>
          <w:rFonts w:ascii="宋体" w:hAnsi="宋体" w:cs="宋体" w:eastAsia="宋体" w:hint="default"/>
          <w:sz w:val="18"/>
          <w:szCs w:val="18"/>
        </w:rPr>
        <w:t>币</w:t>
      </w:r>
      <w:r>
        <w:rPr>
          <w:rFonts w:ascii="宋体" w:hAnsi="宋体" w:cs="宋体" w:eastAsia="宋体" w:hint="default"/>
          <w:spacing w:val="-66"/>
          <w:sz w:val="18"/>
          <w:szCs w:val="18"/>
        </w:rPr>
        <w:t> </w:t>
      </w:r>
      <w:r>
        <w:rPr>
          <w:rFonts w:ascii="宋体" w:hAnsi="宋体" w:cs="宋体" w:eastAsia="宋体" w:hint="default"/>
          <w:sz w:val="18"/>
          <w:szCs w:val="18"/>
        </w:rPr>
        <w:t>1,000</w:t>
      </w:r>
      <w:r>
        <w:rPr>
          <w:rFonts w:ascii="宋体" w:hAnsi="宋体" w:cs="宋体" w:eastAsia="宋体" w:hint="default"/>
          <w:spacing w:val="-66"/>
          <w:sz w:val="18"/>
          <w:szCs w:val="18"/>
        </w:rPr>
        <w:t> </w:t>
      </w:r>
      <w:r>
        <w:rPr>
          <w:rFonts w:ascii="宋体" w:hAnsi="宋体" w:cs="宋体" w:eastAsia="宋体" w:hint="default"/>
          <w:sz w:val="18"/>
          <w:szCs w:val="18"/>
        </w:rPr>
        <w:t>万</w:t>
      </w:r>
      <w:r>
        <w:rPr>
          <w:rFonts w:ascii="宋体" w:hAnsi="宋体" w:cs="宋体" w:eastAsia="宋体" w:hint="default"/>
          <w:spacing w:val="-64"/>
          <w:sz w:val="18"/>
          <w:szCs w:val="18"/>
        </w:rPr>
        <w:t> </w:t>
      </w:r>
      <w:r>
        <w:rPr>
          <w:rFonts w:ascii="宋体" w:hAnsi="宋体" w:cs="宋体" w:eastAsia="宋体" w:hint="default"/>
          <w:sz w:val="18"/>
          <w:szCs w:val="18"/>
        </w:rPr>
        <w:t>元</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法</w:t>
      </w:r>
      <w:r>
        <w:rPr>
          <w:rFonts w:ascii="宋体" w:hAnsi="宋体" w:cs="宋体" w:eastAsia="宋体" w:hint="default"/>
          <w:spacing w:val="-66"/>
          <w:sz w:val="18"/>
          <w:szCs w:val="18"/>
        </w:rPr>
        <w:t> </w:t>
      </w:r>
      <w:r>
        <w:rPr>
          <w:rFonts w:ascii="宋体" w:hAnsi="宋体" w:cs="宋体" w:eastAsia="宋体" w:hint="default"/>
          <w:sz w:val="18"/>
          <w:szCs w:val="18"/>
        </w:rPr>
        <w:t>定</w:t>
      </w:r>
      <w:r>
        <w:rPr>
          <w:rFonts w:ascii="宋体" w:hAnsi="宋体" w:cs="宋体" w:eastAsia="宋体" w:hint="default"/>
          <w:spacing w:val="-64"/>
          <w:sz w:val="18"/>
          <w:szCs w:val="18"/>
        </w:rPr>
        <w:t> </w:t>
      </w:r>
      <w:r>
        <w:rPr>
          <w:rFonts w:ascii="宋体" w:hAnsi="宋体" w:cs="宋体" w:eastAsia="宋体" w:hint="default"/>
          <w:sz w:val="18"/>
          <w:szCs w:val="18"/>
        </w:rPr>
        <w:t>代</w:t>
      </w:r>
      <w:r>
        <w:rPr>
          <w:rFonts w:ascii="宋体" w:hAnsi="宋体" w:cs="宋体" w:eastAsia="宋体" w:hint="default"/>
          <w:spacing w:val="-66"/>
          <w:sz w:val="18"/>
          <w:szCs w:val="18"/>
        </w:rPr>
        <w:t> </w:t>
      </w:r>
      <w:r>
        <w:rPr>
          <w:rFonts w:ascii="宋体" w:hAnsi="宋体" w:cs="宋体" w:eastAsia="宋体" w:hint="default"/>
          <w:sz w:val="18"/>
          <w:szCs w:val="18"/>
        </w:rPr>
        <w:t>表</w:t>
      </w:r>
      <w:r>
        <w:rPr>
          <w:rFonts w:ascii="宋体" w:hAnsi="宋体" w:cs="宋体" w:eastAsia="宋体" w:hint="default"/>
          <w:spacing w:val="-64"/>
          <w:sz w:val="18"/>
          <w:szCs w:val="18"/>
        </w:rPr>
        <w:t> </w:t>
      </w:r>
      <w:r>
        <w:rPr>
          <w:rFonts w:ascii="宋体" w:hAnsi="宋体" w:cs="宋体" w:eastAsia="宋体" w:hint="default"/>
          <w:sz w:val="18"/>
          <w:szCs w:val="18"/>
        </w:rPr>
        <w:t>人</w:t>
      </w:r>
      <w:r>
        <w:rPr>
          <w:rFonts w:ascii="宋体" w:hAnsi="宋体" w:cs="宋体" w:eastAsia="宋体" w:hint="default"/>
          <w:spacing w:val="-66"/>
          <w:sz w:val="18"/>
          <w:szCs w:val="18"/>
        </w:rPr>
        <w:t> </w:t>
      </w:r>
      <w:r>
        <w:rPr>
          <w:rFonts w:ascii="宋体" w:hAnsi="宋体" w:cs="宋体" w:eastAsia="宋体" w:hint="default"/>
          <w:sz w:val="18"/>
          <w:szCs w:val="18"/>
        </w:rPr>
        <w:t>沈</w:t>
      </w:r>
      <w:r>
        <w:rPr>
          <w:rFonts w:ascii="宋体" w:hAnsi="宋体" w:cs="宋体" w:eastAsia="宋体" w:hint="default"/>
          <w:spacing w:val="-64"/>
          <w:sz w:val="18"/>
          <w:szCs w:val="18"/>
        </w:rPr>
        <w:t> </w:t>
      </w:r>
      <w:r>
        <w:rPr>
          <w:rFonts w:ascii="宋体" w:hAnsi="宋体" w:cs="宋体" w:eastAsia="宋体" w:hint="default"/>
          <w:sz w:val="18"/>
          <w:szCs w:val="18"/>
        </w:rPr>
        <w:t>宇</w:t>
      </w:r>
      <w:r>
        <w:rPr>
          <w:rFonts w:ascii="宋体" w:hAnsi="宋体" w:cs="宋体" w:eastAsia="宋体" w:hint="default"/>
          <w:spacing w:val="-66"/>
          <w:sz w:val="18"/>
          <w:szCs w:val="18"/>
        </w:rPr>
        <w:t> </w:t>
      </w:r>
      <w:r>
        <w:rPr>
          <w:rFonts w:ascii="宋体" w:hAnsi="宋体" w:cs="宋体" w:eastAsia="宋体" w:hint="default"/>
          <w:sz w:val="18"/>
          <w:szCs w:val="18"/>
        </w:rPr>
        <w:t>青</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统</w:t>
      </w:r>
      <w:r>
        <w:rPr>
          <w:rFonts w:ascii="宋体" w:hAnsi="宋体" w:cs="宋体" w:eastAsia="宋体" w:hint="default"/>
          <w:spacing w:val="-66"/>
          <w:sz w:val="18"/>
          <w:szCs w:val="18"/>
        </w:rPr>
        <w:t> </w:t>
      </w:r>
      <w:r>
        <w:rPr>
          <w:rFonts w:ascii="宋体" w:hAnsi="宋体" w:cs="宋体" w:eastAsia="宋体" w:hint="default"/>
          <w:sz w:val="18"/>
          <w:szCs w:val="18"/>
        </w:rPr>
        <w:t>一</w:t>
      </w:r>
      <w:r>
        <w:rPr>
          <w:rFonts w:ascii="宋体" w:hAnsi="宋体" w:cs="宋体" w:eastAsia="宋体" w:hint="default"/>
          <w:spacing w:val="-64"/>
          <w:sz w:val="18"/>
          <w:szCs w:val="18"/>
        </w:rPr>
        <w:t> </w:t>
      </w:r>
      <w:r>
        <w:rPr>
          <w:rFonts w:ascii="宋体" w:hAnsi="宋体" w:cs="宋体" w:eastAsia="宋体" w:hint="default"/>
          <w:sz w:val="18"/>
          <w:szCs w:val="18"/>
        </w:rPr>
        <w:t>社</w:t>
      </w:r>
      <w:r>
        <w:rPr>
          <w:rFonts w:ascii="宋体" w:hAnsi="宋体" w:cs="宋体" w:eastAsia="宋体" w:hint="default"/>
          <w:spacing w:val="-66"/>
          <w:sz w:val="18"/>
          <w:szCs w:val="18"/>
        </w:rPr>
        <w:t> </w:t>
      </w:r>
      <w:r>
        <w:rPr>
          <w:rFonts w:ascii="宋体" w:hAnsi="宋体" w:cs="宋体" w:eastAsia="宋体" w:hint="default"/>
          <w:sz w:val="18"/>
          <w:szCs w:val="18"/>
        </w:rPr>
        <w:t>会</w:t>
      </w:r>
      <w:r>
        <w:rPr>
          <w:rFonts w:ascii="宋体" w:hAnsi="宋体" w:cs="宋体" w:eastAsia="宋体" w:hint="default"/>
          <w:spacing w:val="-64"/>
          <w:sz w:val="18"/>
          <w:szCs w:val="18"/>
        </w:rPr>
        <w:t> </w:t>
      </w:r>
      <w:r>
        <w:rPr>
          <w:rFonts w:ascii="宋体" w:hAnsi="宋体" w:cs="宋体" w:eastAsia="宋体" w:hint="default"/>
          <w:sz w:val="18"/>
          <w:szCs w:val="18"/>
        </w:rPr>
        <w:t>信</w:t>
      </w:r>
      <w:r>
        <w:rPr>
          <w:rFonts w:ascii="宋体" w:hAnsi="宋体" w:cs="宋体" w:eastAsia="宋体" w:hint="default"/>
          <w:spacing w:val="-66"/>
          <w:sz w:val="18"/>
          <w:szCs w:val="18"/>
        </w:rPr>
        <w:t> </w:t>
      </w: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代</w:t>
      </w:r>
      <w:r>
        <w:rPr>
          <w:rFonts w:ascii="宋体" w:hAnsi="宋体" w:cs="宋体" w:eastAsia="宋体" w:hint="default"/>
          <w:spacing w:val="-66"/>
          <w:sz w:val="18"/>
          <w:szCs w:val="18"/>
        </w:rPr>
        <w:t> </w:t>
      </w:r>
      <w:r>
        <w:rPr>
          <w:rFonts w:ascii="宋体" w:hAnsi="宋体" w:cs="宋体" w:eastAsia="宋体" w:hint="default"/>
          <w:sz w:val="18"/>
          <w:szCs w:val="18"/>
        </w:rPr>
        <w:t>码</w:t>
      </w:r>
      <w:r>
        <w:rPr>
          <w:rFonts w:ascii="宋体" w:hAnsi="宋体" w:cs="宋体" w:eastAsia="宋体" w:hint="default"/>
          <w:spacing w:val="-64"/>
          <w:sz w:val="18"/>
          <w:szCs w:val="18"/>
        </w:rPr>
        <w:t> </w:t>
      </w:r>
      <w:r>
        <w:rPr>
          <w:rFonts w:ascii="宋体" w:hAnsi="宋体" w:cs="宋体" w:eastAsia="宋体" w:hint="default"/>
          <w:sz w:val="18"/>
          <w:szCs w:val="18"/>
        </w:rPr>
        <w:t>为</w:t>
      </w:r>
    </w:p>
    <w:p>
      <w:pPr>
        <w:pStyle w:val="BodyText"/>
        <w:spacing w:line="316" w:lineRule="auto" w:before="18"/>
        <w:ind w:right="209"/>
        <w:jc w:val="both"/>
      </w:pPr>
      <w:r>
        <w:rPr>
          <w:spacing w:val="-2"/>
        </w:rPr>
        <w:t>230607000074387，住所为黑龙江省大庆市高新区中科创业园C座2303A-2310室，企业类型：其他有限责任公司，经营范围为</w:t>
      </w:r>
      <w:r>
        <w:rPr>
          <w:spacing w:val="-40"/>
        </w:rPr>
        <w:t> </w:t>
      </w:r>
      <w:r>
        <w:rPr>
          <w:spacing w:val="-40"/>
        </w:rPr>
      </w:r>
      <w:r>
        <w:rPr>
          <w:spacing w:val="-2"/>
        </w:rPr>
        <w:t>计算机软件的开发、设计、销售，计算机及辅助设备的销售，计算机网络信息系统集成的维护及技术咨询、技术服务。公司</w:t>
      </w:r>
      <w:r>
        <w:rPr>
          <w:spacing w:val="-67"/>
        </w:rPr>
        <w:t> </w:t>
      </w:r>
      <w:r>
        <w:rPr>
          <w:spacing w:val="-67"/>
        </w:rPr>
      </w:r>
      <w:r>
        <w:rPr/>
        <w:t>持有黑龙江卫宁51%股权。 </w:t>
      </w:r>
    </w:p>
    <w:p>
      <w:pPr>
        <w:pStyle w:val="BodyText"/>
        <w:spacing w:line="319" w:lineRule="auto" w:before="18"/>
        <w:ind w:left="512" w:right="113"/>
        <w:jc w:val="left"/>
      </w:pPr>
      <w:r>
        <w:rPr>
          <w:rFonts w:ascii="宋体" w:hAnsi="宋体" w:cs="宋体" w:eastAsia="宋体" w:hint="default"/>
          <w:b/>
          <w:bCs/>
        </w:rPr>
        <w:t>11、浙江万鼎</w:t>
      </w:r>
      <w:r>
        <w:rPr>
          <w:rFonts w:ascii="宋体" w:hAnsi="宋体" w:cs="宋体" w:eastAsia="宋体" w:hint="default"/>
          <w:b/>
          <w:bCs/>
          <w:w w:val="99"/>
        </w:rPr>
        <w:t> </w:t>
      </w:r>
      <w:r>
        <w:rPr>
          <w:spacing w:val="-3"/>
        </w:rPr>
        <w:t>浙江万鼎成立于2005年6月2日，注册资本人民币2,102万元，法定代表人李继东，统一社会信用代码为330108000012780，</w:t>
      </w:r>
    </w:p>
    <w:p>
      <w:pPr>
        <w:pStyle w:val="BodyText"/>
        <w:spacing w:line="316" w:lineRule="auto" w:before="17"/>
        <w:ind w:right="113"/>
        <w:jc w:val="left"/>
      </w:pPr>
      <w:r>
        <w:rPr/>
        <w:t>住所为杭州市滨江区长河街道滨安路688号2幢E楼一层109室，企业类型：有限责任公司，经营范围为技术开发、技术服务、 </w:t>
      </w:r>
      <w:r>
        <w:rPr>
          <w:spacing w:val="-2"/>
        </w:rPr>
        <w:t>成果转让；计算机软、硬件，通信设备，计算机信息技术；批发、零售；计算机软、硬件；其他无需报经审批的一切合法项</w:t>
      </w:r>
      <w:r>
        <w:rPr>
          <w:spacing w:val="-68"/>
        </w:rPr>
        <w:t> </w:t>
      </w:r>
      <w:r>
        <w:rPr>
          <w:spacing w:val="-68"/>
        </w:rPr>
      </w:r>
      <w:r>
        <w:rPr/>
        <w:t>目。公司持有浙江万鼎92.76%股权。 </w:t>
      </w:r>
    </w:p>
    <w:p>
      <w:pPr>
        <w:pStyle w:val="BodyText"/>
        <w:spacing w:line="316" w:lineRule="auto" w:before="18"/>
        <w:ind w:left="512" w:right="111"/>
        <w:jc w:val="left"/>
      </w:pPr>
      <w:r>
        <w:rPr>
          <w:rFonts w:ascii="宋体" w:hAnsi="宋体" w:cs="宋体" w:eastAsia="宋体" w:hint="default"/>
          <w:b/>
          <w:bCs/>
        </w:rPr>
        <w:t>12、宁波卫宁</w:t>
      </w:r>
      <w:r>
        <w:rPr>
          <w:rFonts w:ascii="宋体" w:hAnsi="宋体" w:cs="宋体" w:eastAsia="宋体" w:hint="default"/>
          <w:b/>
          <w:bCs/>
          <w:w w:val="99"/>
        </w:rPr>
        <w:t> </w:t>
      </w:r>
      <w:r>
        <w:rPr>
          <w:spacing w:val="-4"/>
        </w:rPr>
        <w:t>宁波卫宁成立于2015年5月21日，注册资本人民币1,000万元，法定代表人孙嘉明，统一社会信用代码为330215000113881，</w:t>
      </w:r>
    </w:p>
    <w:p>
      <w:pPr>
        <w:spacing w:after="0" w:line="316" w:lineRule="auto"/>
        <w:jc w:val="left"/>
        <w:sectPr>
          <w:pgSz w:w="11910" w:h="16840"/>
          <w:pgMar w:header="745" w:footer="981" w:top="1060" w:bottom="1180" w:left="980" w:right="920"/>
        </w:sectPr>
      </w:pPr>
    </w:p>
    <w:p>
      <w:pPr>
        <w:spacing w:line="240" w:lineRule="auto" w:before="9"/>
        <w:rPr>
          <w:rFonts w:ascii="宋体" w:hAnsi="宋体" w:cs="宋体" w:eastAsia="宋体" w:hint="default"/>
          <w:sz w:val="25"/>
          <w:szCs w:val="25"/>
        </w:rPr>
      </w:pPr>
    </w:p>
    <w:p>
      <w:pPr>
        <w:pStyle w:val="BodyText"/>
        <w:spacing w:line="316" w:lineRule="auto" w:before="44"/>
        <w:ind w:right="93"/>
        <w:jc w:val="left"/>
      </w:pPr>
      <w:r>
        <w:rPr>
          <w:spacing w:val="-2"/>
        </w:rPr>
        <w:t>住所为宁波高新区江南路1528号15-4，企业类型：有限责任公司，经营范围为计算机软件的开发、设计、制作、销售，计算</w:t>
      </w:r>
      <w:r>
        <w:rPr>
          <w:spacing w:val="-59"/>
        </w:rPr>
        <w:t> </w:t>
      </w:r>
      <w:r>
        <w:rPr>
          <w:spacing w:val="-59"/>
        </w:rPr>
      </w:r>
      <w:r>
        <w:rPr/>
        <w:t>机及辅助设备的销售；计算机网络信息系统集成的维护及技术咨询、技术服务。公司持有宁波卫宁51%股权。</w:t>
      </w:r>
    </w:p>
    <w:p>
      <w:pPr>
        <w:spacing w:line="240" w:lineRule="auto" w:before="11"/>
        <w:rPr>
          <w:rFonts w:ascii="宋体" w:hAnsi="宋体" w:cs="宋体" w:eastAsia="宋体" w:hint="default"/>
          <w:sz w:val="20"/>
          <w:szCs w:val="20"/>
        </w:rPr>
      </w:pPr>
    </w:p>
    <w:p>
      <w:pPr>
        <w:pStyle w:val="Heading2"/>
        <w:spacing w:line="240" w:lineRule="auto"/>
        <w:ind w:right="9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4"/>
        <w:spacing w:line="240" w:lineRule="auto" w:before="0"/>
        <w:ind w:right="93"/>
        <w:jc w:val="left"/>
        <w:rPr>
          <w:b w:val="0"/>
          <w:bCs w:val="0"/>
        </w:rPr>
      </w:pPr>
      <w:r>
        <w:rPr/>
        <w:t>（一）公司所处行业格局和发展趋势</w:t>
      </w:r>
      <w:r>
        <w:rPr>
          <w:b w:val="0"/>
          <w:bCs w:val="0"/>
        </w:rPr>
      </w:r>
    </w:p>
    <w:p>
      <w:pPr>
        <w:pStyle w:val="BodyText"/>
        <w:spacing w:line="309" w:lineRule="auto" w:before="76"/>
        <w:ind w:right="93" w:firstLine="36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月，李克强总理在第十二届全国人民代表大会第三次会议上宣布</w:t>
      </w:r>
      <w:r>
        <w:rPr>
          <w:rFonts w:ascii="Times New Roman" w:hAnsi="Times New Roman" w:cs="Times New Roman" w:eastAsia="Times New Roman" w:hint="default"/>
        </w:rPr>
        <w:t>2015</w:t>
      </w:r>
      <w:r>
        <w:rPr/>
        <w:t>年政府工作报告，其中提出政府在医疗卫 </w:t>
      </w:r>
      <w:r>
        <w:rPr>
          <w:spacing w:val="-4"/>
        </w:rPr>
        <w:t>生领域的工作重点，包括加强重特大疾病医疗救助、加快健全基本医疗卫生制度等内容：继续推进基层医改、医保支付改革、</w:t>
      </w:r>
      <w:r>
        <w:rPr>
          <w:spacing w:val="-46"/>
        </w:rPr>
        <w:t> </w:t>
      </w:r>
      <w:r>
        <w:rPr>
          <w:spacing w:val="-46"/>
        </w:rPr>
      </w:r>
      <w:r>
        <w:rPr/>
        <w:t>药价市场机制、公立医院改革、鼓励社会办医、加强重特大疾病医疗救助、实时临时救助制度、加快基本医疗卫生制度等。 李克强总理还提出，</w:t>
      </w:r>
      <w:r>
        <w:rPr>
          <w:rFonts w:ascii="Times New Roman" w:hAnsi="Times New Roman" w:cs="Times New Roman" w:eastAsia="Times New Roman" w:hint="default"/>
        </w:rPr>
        <w:t>“</w:t>
      </w:r>
      <w:r>
        <w:rPr/>
        <w:t>制定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行动计划，推动移动互联网、云计算、大数据、物联网等与现代制造业结合，促进电子 商务、工业互联网和互联网金融健康发展，引导互联网企业拓展国际市场。</w:t>
      </w:r>
      <w:r>
        <w:rPr>
          <w:rFonts w:ascii="Times New Roman" w:hAnsi="Times New Roman" w:cs="Times New Roman" w:eastAsia="Times New Roman" w:hint="default"/>
        </w:rPr>
        <w:t>”</w:t>
      </w:r>
    </w:p>
    <w:p>
      <w:pPr>
        <w:pStyle w:val="BodyText"/>
        <w:spacing w:line="309" w:lineRule="auto" w:before="5"/>
        <w:ind w:right="18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月，国务院办公厅印发的《关于深化医药卫生体制改革</w:t>
      </w:r>
      <w:r>
        <w:rPr>
          <w:rFonts w:ascii="Times New Roman" w:hAnsi="Times New Roman" w:cs="Times New Roman" w:eastAsia="Times New Roman" w:hint="default"/>
        </w:rPr>
        <w:t>2014</w:t>
      </w:r>
      <w:r>
        <w:rPr/>
        <w:t>年工作总结和</w:t>
      </w:r>
      <w:r>
        <w:rPr>
          <w:rFonts w:ascii="Times New Roman" w:hAnsi="Times New Roman" w:cs="Times New Roman" w:eastAsia="Times New Roman" w:hint="default"/>
        </w:rPr>
        <w:t>2015</w:t>
      </w:r>
      <w:r>
        <w:rPr/>
        <w:t>年重点工作任务的通知》，提出 </w:t>
      </w:r>
      <w:r>
        <w:rPr>
          <w:spacing w:val="-2"/>
        </w:rPr>
        <w:t>全面摊开县级公立医院综合改革、扩大城市公立医院综合改革试点、大力推进分级诊疗、促进社会办医加快发展等，并明确</w:t>
      </w:r>
      <w:r>
        <w:rPr>
          <w:spacing w:val="-64"/>
        </w:rPr>
        <w:t> </w:t>
      </w:r>
      <w:r>
        <w:rPr>
          <w:spacing w:val="-64"/>
        </w:rPr>
      </w:r>
      <w:r>
        <w:rPr/>
        <w:t>要求</w:t>
      </w:r>
      <w:r>
        <w:rPr>
          <w:rFonts w:ascii="Times New Roman" w:hAnsi="Times New Roman" w:cs="Times New Roman" w:eastAsia="Times New Roman" w:hint="default"/>
        </w:rPr>
        <w:t>2015</w:t>
      </w:r>
      <w:r>
        <w:rPr/>
        <w:t>年所有公立医院改革试点城市和综合医改试点省都要开展分级诊疗试点工作。</w:t>
      </w:r>
    </w:p>
    <w:p>
      <w:pPr>
        <w:pStyle w:val="BodyText"/>
        <w:spacing w:line="300" w:lineRule="auto" w:before="5"/>
        <w:ind w:right="103"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月，国务院办公厅印发《关于促进社会办医加快发展若干政策措施》，该文从进一步放宽准入、拓宽挏资渠道、</w:t>
      </w:r>
      <w:r>
        <w:rPr/>
        <w:t> 促进资源流动和共享、优化发展环境等四个方面，提出尽可能细化的政策措施、并鼓励地方开展差异化探索。</w:t>
      </w:r>
    </w:p>
    <w:p>
      <w:pPr>
        <w:pStyle w:val="BodyText"/>
        <w:spacing w:line="300" w:lineRule="auto" w:before="31"/>
        <w:ind w:right="189" w:firstLine="360"/>
        <w:jc w:val="both"/>
      </w:pPr>
      <w:r>
        <w:rPr/>
        <w:t>在医疗卫生信息化行业，参考</w:t>
      </w:r>
      <w:r>
        <w:rPr>
          <w:rFonts w:ascii="Times New Roman" w:hAnsi="Times New Roman" w:cs="Times New Roman" w:eastAsia="Times New Roman" w:hint="default"/>
        </w:rPr>
        <w:t>IDC</w:t>
      </w:r>
      <w:r>
        <w:rPr/>
        <w:t>等研究机构的行业发展研究报告，目前</w:t>
      </w:r>
      <w:r>
        <w:rPr>
          <w:rFonts w:ascii="Times New Roman" w:hAnsi="Times New Roman" w:cs="Times New Roman" w:eastAsia="Times New Roman" w:hint="default"/>
        </w:rPr>
        <w:t>HIT</w:t>
      </w:r>
      <w:r>
        <w:rPr/>
        <w:t>的年复合增长率为</w:t>
      </w:r>
      <w:r>
        <w:rPr>
          <w:rFonts w:ascii="Times New Roman" w:hAnsi="Times New Roman" w:cs="Times New Roman" w:eastAsia="Times New Roman" w:hint="default"/>
        </w:rPr>
        <w:t>14.53%</w:t>
      </w:r>
      <w:r>
        <w:rPr/>
        <w:t>，预计</w:t>
      </w:r>
      <w:r>
        <w:rPr>
          <w:rFonts w:ascii="Times New Roman" w:hAnsi="Times New Roman" w:cs="Times New Roman" w:eastAsia="Times New Roman" w:hint="default"/>
        </w:rPr>
        <w:t>2017</w:t>
      </w:r>
      <w:r>
        <w:rPr/>
        <w:t>年市 场总份额为</w:t>
      </w:r>
      <w:r>
        <w:rPr>
          <w:rFonts w:ascii="Times New Roman" w:hAnsi="Times New Roman" w:cs="Times New Roman" w:eastAsia="Times New Roman" w:hint="default"/>
        </w:rPr>
        <w:t>336.35</w:t>
      </w:r>
      <w:r>
        <w:rPr/>
        <w:t>亿元，另外，通过研究发现，</w:t>
      </w:r>
      <w:r>
        <w:rPr>
          <w:rFonts w:ascii="Times New Roman" w:hAnsi="Times New Roman" w:cs="Times New Roman" w:eastAsia="Times New Roman" w:hint="default"/>
        </w:rPr>
        <w:t>HIT</w:t>
      </w:r>
      <w:r>
        <w:rPr/>
        <w:t>领域中异军突起的是区域卫生信息化和公共卫生信息化的发展，按照国</w:t>
      </w:r>
      <w:r>
        <w:rPr>
          <w:spacing w:val="-73"/>
        </w:rPr>
        <w:t> </w:t>
      </w:r>
      <w:r>
        <w:rPr>
          <w:spacing w:val="-73"/>
        </w:rPr>
      </w:r>
      <w:r>
        <w:rPr/>
        <w:t>家卫计委发布的</w:t>
      </w:r>
      <w:r>
        <w:rPr>
          <w:rFonts w:ascii="Times New Roman" w:hAnsi="Times New Roman" w:cs="Times New Roman" w:eastAsia="Times New Roman" w:hint="default"/>
        </w:rPr>
        <w:t>“46312</w:t>
      </w:r>
      <w:r>
        <w:rPr/>
        <w:t>规划</w:t>
      </w:r>
      <w:r>
        <w:rPr>
          <w:rFonts w:ascii="Times New Roman" w:hAnsi="Times New Roman" w:cs="Times New Roman" w:eastAsia="Times New Roman" w:hint="default"/>
        </w:rPr>
        <w:t>”</w:t>
      </w:r>
      <w:r>
        <w:rPr/>
        <w:t>以及一系列鼓励性政策，全国将建立国家、省、市、县四级健康数据平台，平均市级机构预算</w:t>
      </w:r>
      <w:r>
        <w:rPr>
          <w:spacing w:val="-67"/>
        </w:rPr>
        <w:t> </w:t>
      </w:r>
      <w:r>
        <w:rPr>
          <w:spacing w:val="-67"/>
        </w:rPr>
      </w:r>
      <w:r>
        <w:rPr/>
        <w:t>约</w:t>
      </w:r>
      <w:r>
        <w:rPr>
          <w:rFonts w:ascii="Times New Roman" w:hAnsi="Times New Roman" w:cs="Times New Roman" w:eastAsia="Times New Roman" w:hint="default"/>
        </w:rPr>
        <w:t>3,000</w:t>
      </w:r>
      <w:r>
        <w:rPr/>
        <w:t>万元，全国目前该市场尚有较大空白，后期市场空间巨大。此外，在医院信息化领域，随着国家推动开展的医院电</w:t>
      </w:r>
      <w:r>
        <w:rPr>
          <w:spacing w:val="-45"/>
        </w:rPr>
        <w:t> </w:t>
      </w:r>
      <w:r>
        <w:rPr>
          <w:spacing w:val="-45"/>
        </w:rPr>
      </w:r>
      <w:r>
        <w:rPr>
          <w:spacing w:val="-2"/>
        </w:rPr>
        <w:t>子病历应用等级评审和互联互通测试的深入，各级各类医疗卫生机构开展了新一轮的医院信息化建设，估计</w:t>
      </w:r>
      <w:r>
        <w:rPr>
          <w:rFonts w:ascii="Times New Roman" w:hAnsi="Times New Roman" w:cs="Times New Roman" w:eastAsia="Times New Roman" w:hint="default"/>
          <w:spacing w:val="-2"/>
        </w:rPr>
        <w:t>2016</w:t>
      </w:r>
      <w:r>
        <w:rPr>
          <w:spacing w:val="-2"/>
        </w:rPr>
        <w:t>年的市场增</w:t>
      </w:r>
      <w:r>
        <w:rPr>
          <w:spacing w:val="-61"/>
        </w:rPr>
        <w:t> </w:t>
      </w:r>
      <w:r>
        <w:rPr>
          <w:spacing w:val="-61"/>
        </w:rPr>
      </w:r>
      <w:r>
        <w:rPr/>
        <w:t>长会远超过预期。</w:t>
      </w:r>
    </w:p>
    <w:p>
      <w:pPr>
        <w:pStyle w:val="BodyText"/>
        <w:spacing w:line="304" w:lineRule="auto" w:before="31"/>
        <w:ind w:right="93"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29</w:t>
      </w:r>
      <w:r>
        <w:rPr>
          <w:spacing w:val="-2"/>
        </w:rPr>
        <w:t>日，在北京召开了中国共产党第十八届中央委员会第五次全体会议，会议审议的《中共中央关于制</w:t>
      </w:r>
      <w:r>
        <w:rPr/>
        <w:t> 定国民经济和社会发展第十三个五年规划的建议》中指出：</w:t>
      </w:r>
      <w:r>
        <w:rPr>
          <w:rFonts w:ascii="Times New Roman" w:hAnsi="Times New Roman" w:cs="Times New Roman" w:eastAsia="Times New Roman" w:hint="default"/>
        </w:rPr>
        <w:t>1</w:t>
      </w:r>
      <w:r>
        <w:rPr/>
        <w:t>、健全医疗保险制度，实施城乡居民大病保险制度，发挥医保</w:t>
      </w:r>
      <w:r>
        <w:rPr>
          <w:spacing w:val="-84"/>
        </w:rPr>
        <w:t> </w:t>
      </w:r>
      <w:r>
        <w:rPr>
          <w:spacing w:val="-84"/>
        </w:rPr>
      </w:r>
      <w:r>
        <w:rPr/>
        <w:t>控费作用，同时鼓励发展补充医疗保险和商业健康保险，鼓励商业保险机构参与医保经办；</w:t>
      </w:r>
      <w:r>
        <w:rPr>
          <w:rFonts w:ascii="Times New Roman" w:hAnsi="Times New Roman" w:cs="Times New Roman" w:eastAsia="Times New Roman" w:hint="default"/>
        </w:rPr>
        <w:t>2</w:t>
      </w:r>
      <w:r>
        <w:rPr/>
        <w:t>、完善基本药物制度，促进中</w:t>
      </w:r>
      <w:r>
        <w:rPr>
          <w:spacing w:val="-84"/>
        </w:rPr>
        <w:t> </w:t>
      </w:r>
      <w:r>
        <w:rPr/>
        <w:t>西医并重，理顺药品价格，提高药品质量；</w:t>
      </w:r>
      <w:r>
        <w:rPr>
          <w:rFonts w:ascii="Times New Roman" w:hAnsi="Times New Roman" w:cs="Times New Roman" w:eastAsia="Times New Roman" w:hint="default"/>
        </w:rPr>
        <w:t>3</w:t>
      </w:r>
      <w:r>
        <w:rPr/>
        <w:t>、积极应对老龄化问题，建设以居家为基础、社区为依托、机构为补充的多层</w:t>
      </w:r>
      <w:r>
        <w:rPr>
          <w:spacing w:val="-84"/>
        </w:rPr>
        <w:t> </w:t>
      </w:r>
      <w:r>
        <w:rPr>
          <w:spacing w:val="-84"/>
        </w:rPr>
      </w:r>
      <w:r>
        <w:rPr/>
        <w:t>次养老服务体系，推动医疗卫生和养老服务相结合，探索建立长期护理保险制度。全面放开养老服务市场，通过购买服务、 </w:t>
      </w:r>
      <w:r>
        <w:rPr>
          <w:spacing w:val="-2"/>
        </w:rPr>
        <w:t>股权合作等方式支持各类市场主体增加养老服务和产品供给。在此基础上，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月，国家卫计委按照中央要求研究编制</w:t>
      </w:r>
    </w:p>
    <w:p>
      <w:pPr>
        <w:pStyle w:val="BodyText"/>
        <w:spacing w:line="300" w:lineRule="auto" w:before="9"/>
        <w:ind w:left="512" w:right="93" w:hanging="361"/>
        <w:jc w:val="left"/>
      </w:pPr>
      <w:r>
        <w:rPr/>
        <w:t>《</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健康中国建设规划》，将规划打造为今后</w:t>
      </w:r>
      <w:r>
        <w:rPr>
          <w:rFonts w:ascii="Times New Roman" w:hAnsi="Times New Roman" w:cs="Times New Roman" w:eastAsia="Times New Roman" w:hint="default"/>
        </w:rPr>
        <w:t>5</w:t>
      </w:r>
      <w:r>
        <w:rPr/>
        <w:t>年推进健康中国建设的纲领性文件。 </w:t>
      </w:r>
      <w:r>
        <w:rPr>
          <w:spacing w:val="-2"/>
        </w:rPr>
        <w:t>从国家宏观政策可以看出，未来医疗卫生信息化行业的市场发展将继续围绕深化医疗体制改革的主要命题，政府希望通</w:t>
      </w:r>
    </w:p>
    <w:p>
      <w:pPr>
        <w:pStyle w:val="BodyText"/>
        <w:spacing w:line="314" w:lineRule="auto" w:before="31"/>
        <w:ind w:right="93"/>
        <w:jc w:val="left"/>
      </w:pPr>
      <w:r>
        <w:rPr>
          <w:spacing w:val="-2"/>
        </w:rPr>
        <w:t>过鼓励社会民间资本办医，从根本上解决医疗供需不平衡的矛盾；针对现有医疗机构，通过推行分级诊疗、加强基层医疗服</w:t>
      </w:r>
      <w:r>
        <w:rPr>
          <w:spacing w:val="-64"/>
        </w:rPr>
        <w:t> </w:t>
      </w:r>
      <w:r>
        <w:rPr>
          <w:spacing w:val="-64"/>
        </w:rPr>
      </w:r>
      <w:r>
        <w:rPr>
          <w:spacing w:val="-2"/>
        </w:rPr>
        <w:t>务建设、放开医师多点执业综合性改变就医流程，调动与盘活稀奇医疗资源，充分发挥现有医疗资源的功能价值，保障公民</w:t>
      </w:r>
      <w:r>
        <w:rPr>
          <w:spacing w:val="-65"/>
        </w:rPr>
        <w:t> </w:t>
      </w:r>
      <w:r>
        <w:rPr>
          <w:spacing w:val="-65"/>
        </w:rPr>
      </w:r>
      <w:r>
        <w:rPr>
          <w:spacing w:val="-2"/>
        </w:rPr>
        <w:t>享有平等就医的权益；另外借助互联网的流通优势，通过网售处方药，进一步贯彻医药分家的政策规定，保证民众购买优质</w:t>
      </w:r>
      <w:r>
        <w:rPr>
          <w:spacing w:val="-65"/>
        </w:rPr>
        <w:t> </w:t>
      </w:r>
      <w:r>
        <w:rPr>
          <w:spacing w:val="-65"/>
        </w:rPr>
      </w:r>
      <w:r>
        <w:rPr>
          <w:spacing w:val="-4"/>
        </w:rPr>
        <w:t>保量的价格合理的药品；在医疗支付环节，鼓励商业健康险或商业医疗保险介入，以补充国家医保不足与解决政府执政负担，</w:t>
      </w:r>
      <w:r>
        <w:rPr>
          <w:spacing w:val="-44"/>
        </w:rPr>
        <w:t> </w:t>
      </w:r>
      <w:r>
        <w:rPr>
          <w:spacing w:val="-44"/>
        </w:rPr>
      </w:r>
      <w:r>
        <w:rPr>
          <w:spacing w:val="-2"/>
        </w:rPr>
        <w:t>同时达到保险控费，疾病预防等目标，最后针对我国严峻的人口老龄化问题，政府大力推行医养结合，中医药进行慢病管理</w:t>
      </w:r>
      <w:r>
        <w:rPr>
          <w:spacing w:val="-65"/>
        </w:rPr>
        <w:t> </w:t>
      </w:r>
      <w:r>
        <w:rPr>
          <w:spacing w:val="-65"/>
        </w:rPr>
      </w:r>
      <w:r>
        <w:rPr>
          <w:spacing w:val="-4"/>
        </w:rPr>
        <w:t>等政策，借助社会资源，解决养老难题，让老人老有所养，老有所依。此外，政府还强调大力发展中国创新式制造战略目标，</w:t>
      </w:r>
      <w:r>
        <w:rPr>
          <w:spacing w:val="-44"/>
        </w:rPr>
        <w:t> </w:t>
      </w:r>
      <w:r>
        <w:rPr>
          <w:spacing w:val="-44"/>
        </w:rPr>
      </w:r>
      <w:r>
        <w:rPr>
          <w:spacing w:val="-2"/>
        </w:rPr>
        <w:t>拟通过高新技术、智能设备、</w:t>
      </w:r>
      <w:r>
        <w:rPr>
          <w:rFonts w:ascii="Times New Roman" w:hAnsi="Times New Roman" w:cs="Times New Roman" w:eastAsia="Times New Roman" w:hint="default"/>
          <w:spacing w:val="-2"/>
        </w:rPr>
        <w:t>IT</w:t>
      </w:r>
      <w:r>
        <w:rPr>
          <w:spacing w:val="-2"/>
        </w:rPr>
        <w:t>信息化手段完善并推动医疗体制成功改革，这都为医疗健康服务业的未来发展铺设了良好的</w:t>
      </w:r>
      <w:r>
        <w:rPr>
          <w:spacing w:val="-52"/>
        </w:rPr>
        <w:t> </w:t>
      </w:r>
      <w:r>
        <w:rPr>
          <w:spacing w:val="-52"/>
        </w:rPr>
      </w:r>
      <w:r>
        <w:rPr/>
        <w:t>环境和方向。</w:t>
      </w:r>
    </w:p>
    <w:p>
      <w:pPr>
        <w:pStyle w:val="BodyText"/>
        <w:spacing w:line="300" w:lineRule="auto" w:before="20"/>
        <w:ind w:right="18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月，公司名称正式由</w:t>
      </w:r>
      <w:r>
        <w:rPr>
          <w:rFonts w:ascii="Times New Roman" w:hAnsi="Times New Roman" w:cs="Times New Roman" w:eastAsia="Times New Roman" w:hint="default"/>
        </w:rPr>
        <w:t>“</w:t>
      </w:r>
      <w:r>
        <w:rPr/>
        <w:t>上海金仕达卫宁软件股份有限公司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卫宁健康科技集团股份有限公司</w:t>
      </w:r>
      <w:r>
        <w:rPr>
          <w:rFonts w:ascii="Times New Roman" w:hAnsi="Times New Roman" w:cs="Times New Roman" w:eastAsia="Times New Roman" w:hint="default"/>
        </w:rPr>
        <w:t>”</w:t>
      </w:r>
      <w:r>
        <w:rPr/>
        <w:t>，证券简称 </w:t>
      </w:r>
      <w:r>
        <w:rPr>
          <w:spacing w:val="-1"/>
        </w:rPr>
        <w:t>由</w:t>
      </w:r>
      <w:r>
        <w:rPr>
          <w:rFonts w:ascii="Times New Roman" w:hAnsi="Times New Roman" w:cs="Times New Roman" w:eastAsia="Times New Roman" w:hint="default"/>
          <w:spacing w:val="-1"/>
        </w:rPr>
        <w:t>“</w:t>
      </w:r>
      <w:r>
        <w:rPr>
          <w:spacing w:val="-1"/>
        </w:rPr>
        <w:t>卫宁软件</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卫宁健康</w:t>
      </w:r>
      <w:r>
        <w:rPr>
          <w:rFonts w:ascii="Times New Roman" w:hAnsi="Times New Roman" w:cs="Times New Roman" w:eastAsia="Times New Roman" w:hint="default"/>
          <w:spacing w:val="-1"/>
        </w:rPr>
        <w:t>”</w:t>
      </w:r>
      <w:r>
        <w:rPr>
          <w:spacing w:val="-1"/>
        </w:rPr>
        <w:t>，是公司发展战略的重要变革和创新，旨在透过公司长期在医疗健康信息服务业的发展，进</w:t>
      </w:r>
      <w:r>
        <w:rPr>
          <w:spacing w:val="-79"/>
        </w:rPr>
        <w:t> </w:t>
      </w:r>
      <w:r>
        <w:rPr>
          <w:spacing w:val="-79"/>
        </w:rPr>
      </w:r>
      <w:r>
        <w:rPr/>
        <w:t>一步顺应时代的发展和社会的需求，通过互联网</w:t>
      </w:r>
      <w:r>
        <w:rPr>
          <w:rFonts w:ascii="Times New Roman" w:hAnsi="Times New Roman" w:cs="Times New Roman" w:eastAsia="Times New Roman" w:hint="default"/>
        </w:rPr>
        <w:t>+</w:t>
      </w:r>
      <w:r>
        <w:rPr/>
        <w:t>的技术和思维，与健康服务业深度融合，促进健康服务行业的互联网化，</w:t>
      </w:r>
    </w:p>
    <w:p>
      <w:pPr>
        <w:spacing w:after="0" w:line="300"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促进健康服务事业的提升，为社会带来更大价值，也为企业发展带来新的引擎。</w:t>
      </w:r>
    </w:p>
    <w:p>
      <w:pPr>
        <w:spacing w:line="319" w:lineRule="auto" w:before="76"/>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（二）公司所处行业的市场竞争形势</w:t>
      </w:r>
      <w:r>
        <w:rPr>
          <w:rFonts w:ascii="宋体" w:hAnsi="宋体" w:cs="宋体" w:eastAsia="宋体" w:hint="default"/>
          <w:b/>
          <w:bCs/>
          <w:w w:val="99"/>
          <w:sz w:val="18"/>
          <w:szCs w:val="18"/>
        </w:rPr>
        <w:t> </w:t>
      </w:r>
      <w:r>
        <w:rPr>
          <w:rFonts w:ascii="宋体" w:hAnsi="宋体" w:cs="宋体" w:eastAsia="宋体" w:hint="default"/>
          <w:spacing w:val="-1"/>
          <w:sz w:val="18"/>
          <w:szCs w:val="18"/>
        </w:rPr>
        <w:t>在医疗卫生信息化行业，公司面临的市场竞争未发生重大变革，主要的</w:t>
      </w:r>
      <w:r>
        <w:rPr>
          <w:rFonts w:ascii="Times New Roman" w:hAnsi="Times New Roman" w:cs="Times New Roman" w:eastAsia="Times New Roman" w:hint="default"/>
          <w:spacing w:val="-1"/>
          <w:sz w:val="18"/>
          <w:szCs w:val="18"/>
        </w:rPr>
        <w:t>HIT</w:t>
      </w:r>
      <w:r>
        <w:rPr>
          <w:rFonts w:ascii="宋体" w:hAnsi="宋体" w:cs="宋体" w:eastAsia="宋体" w:hint="default"/>
          <w:spacing w:val="-1"/>
          <w:sz w:val="18"/>
          <w:szCs w:val="18"/>
        </w:rPr>
        <w:t>厂商仍是主要竞争对手，在细分领域中，医</w:t>
      </w:r>
    </w:p>
    <w:p>
      <w:pPr>
        <w:pStyle w:val="BodyText"/>
        <w:spacing w:line="314" w:lineRule="auto"/>
        <w:ind w:right="93"/>
        <w:jc w:val="left"/>
      </w:pPr>
      <w:r>
        <w:rPr>
          <w:spacing w:val="-2"/>
        </w:rPr>
        <w:t>院信息化公司通过上市后的快速发展，已经取得了市场的领先地位，且在可预见的将来，公司将在此领域加大投入，增强产</w:t>
      </w:r>
      <w:r>
        <w:rPr>
          <w:spacing w:val="-64"/>
        </w:rPr>
        <w:t> </w:t>
      </w:r>
      <w:r>
        <w:rPr>
          <w:spacing w:val="-64"/>
        </w:rPr>
      </w:r>
      <w:r>
        <w:rPr>
          <w:spacing w:val="-2"/>
        </w:rPr>
        <w:t>品研发能力，在全国范围设立更广泛的研发服务中心，提高销售和服务水平，深化客户挖掘，有信心继续保持龙头地位；在</w:t>
      </w:r>
      <w:r>
        <w:rPr>
          <w:spacing w:val="-67"/>
        </w:rPr>
        <w:t> </w:t>
      </w:r>
      <w:r>
        <w:rPr>
          <w:spacing w:val="-67"/>
        </w:rPr>
      </w:r>
      <w:r>
        <w:rPr/>
        <w:t>公共卫生服务方面，公司</w:t>
      </w:r>
      <w:r>
        <w:rPr>
          <w:rFonts w:ascii="Times New Roman" w:hAnsi="Times New Roman" w:cs="Times New Roman" w:eastAsia="Times New Roman" w:hint="default"/>
        </w:rPr>
        <w:t>2015</w:t>
      </w:r>
      <w:r>
        <w:rPr/>
        <w:t>年来通过人才引进等策略，加大了公共卫生信息化类的咨询、售前、销售、产品研发等工作， </w:t>
      </w:r>
      <w:r>
        <w:rPr>
          <w:spacing w:val="-2"/>
        </w:rPr>
        <w:t>业绩较以往已有较大提升，人才的积累和引进以及新产品的开发促使公司在此领域将更具竞争力。同时，在大健康行业，随</w:t>
      </w:r>
      <w:r>
        <w:rPr>
          <w:spacing w:val="-66"/>
        </w:rPr>
        <w:t> </w:t>
      </w:r>
      <w:r>
        <w:rPr>
          <w:spacing w:val="-66"/>
        </w:rPr>
      </w:r>
      <w:r>
        <w:rPr>
          <w:spacing w:val="-2"/>
        </w:rPr>
        <w:t>着国家政策的引导，更多如互联网公司、地产公司、保险公司等非传统医疗信息行业的企业也纷纷加入到市场竞争当中，行</w:t>
      </w:r>
      <w:r>
        <w:rPr>
          <w:spacing w:val="-66"/>
        </w:rPr>
        <w:t> </w:t>
      </w:r>
      <w:r>
        <w:rPr>
          <w:spacing w:val="-66"/>
        </w:rPr>
      </w:r>
      <w:r>
        <w:rPr>
          <w:spacing w:val="-2"/>
        </w:rPr>
        <w:t>业竞争愈演愈烈。这过程中企业之间的横向、上下游兼并收购及延伸发展将会越来越多，在此情况下，公司以传统产业的信</w:t>
      </w:r>
      <w:r>
        <w:rPr>
          <w:spacing w:val="-65"/>
        </w:rPr>
        <w:t> </w:t>
      </w:r>
      <w:r>
        <w:rPr>
          <w:spacing w:val="-65"/>
        </w:rPr>
      </w:r>
      <w:r>
        <w:rPr>
          <w:spacing w:val="-2"/>
        </w:rPr>
        <w:t>息化、市场份额、业务理解深度以及对健康服务业认知的深度为优势，通过转化原有用户、市场以及技术，促进线上线下服</w:t>
      </w:r>
      <w:r>
        <w:rPr>
          <w:spacing w:val="-67"/>
        </w:rPr>
        <w:t> </w:t>
      </w:r>
      <w:r>
        <w:rPr>
          <w:spacing w:val="-67"/>
        </w:rPr>
      </w:r>
      <w:r>
        <w:rPr/>
        <w:t>务的有机结合为手段，从医疗机构围墙内向围墙外进军，并与优质的线下服务资源充分整合，具有更强的竞争优势。</w:t>
      </w:r>
    </w:p>
    <w:p>
      <w:pPr>
        <w:pStyle w:val="Heading4"/>
        <w:spacing w:line="240" w:lineRule="auto" w:before="20"/>
        <w:ind w:right="93"/>
        <w:jc w:val="left"/>
        <w:rPr>
          <w:b w:val="0"/>
          <w:bCs w:val="0"/>
        </w:rPr>
      </w:pPr>
      <w:r>
        <w:rPr/>
        <w:t>（三）公司既定的发展战略以及</w:t>
      </w:r>
      <w:r>
        <w:rPr>
          <w:rFonts w:ascii="Times New Roman" w:hAnsi="Times New Roman" w:cs="Times New Roman" w:eastAsia="Times New Roman" w:hint="default"/>
        </w:rPr>
        <w:t>2016</w:t>
      </w:r>
      <w:r>
        <w:rPr/>
        <w:t>年经营计划</w:t>
      </w:r>
      <w:r>
        <w:rPr>
          <w:b w:val="0"/>
          <w:bCs w:val="0"/>
        </w:rPr>
      </w:r>
    </w:p>
    <w:p>
      <w:pPr>
        <w:pStyle w:val="BodyText"/>
        <w:spacing w:line="300" w:lineRule="auto" w:before="62"/>
        <w:ind w:left="512" w:right="185"/>
        <w:jc w:val="left"/>
      </w:pPr>
      <w:r>
        <w:rPr>
          <w:rFonts w:ascii="Times New Roman" w:hAnsi="Times New Roman" w:cs="Times New Roman" w:eastAsia="Times New Roman" w:hint="default"/>
          <w:b/>
          <w:bCs/>
        </w:rPr>
        <w:t>1</w:t>
      </w:r>
      <w:r>
        <w:rPr>
          <w:rFonts w:ascii="宋体" w:hAnsi="宋体" w:cs="宋体" w:eastAsia="宋体" w:hint="default"/>
          <w:b/>
          <w:bCs/>
        </w:rPr>
        <w:t>、公司既定的发展战略</w:t>
      </w:r>
      <w:r>
        <w:rPr>
          <w:rFonts w:ascii="宋体" w:hAnsi="宋体" w:cs="宋体" w:eastAsia="宋体" w:hint="default"/>
          <w:b/>
          <w:bCs/>
          <w:w w:val="99"/>
        </w:rPr>
        <w:t> </w:t>
      </w:r>
      <w:r>
        <w:rPr>
          <w:spacing w:val="-1"/>
        </w:rPr>
        <w:t>以做大做强</w:t>
      </w:r>
      <w:r>
        <w:rPr>
          <w:rFonts w:ascii="Times New Roman" w:hAnsi="Times New Roman" w:cs="Times New Roman" w:eastAsia="Times New Roman" w:hint="default"/>
          <w:spacing w:val="-1"/>
        </w:rPr>
        <w:t>HIT</w:t>
      </w:r>
      <w:r>
        <w:rPr>
          <w:spacing w:val="-1"/>
        </w:rPr>
        <w:t>为基础，积极布局和转型健康服务业发展，建设</w:t>
      </w:r>
      <w:r>
        <w:rPr>
          <w:rFonts w:ascii="Times New Roman" w:hAnsi="Times New Roman" w:cs="Times New Roman" w:eastAsia="Times New Roman" w:hint="default"/>
          <w:spacing w:val="-1"/>
        </w:rPr>
        <w:t>4+1</w:t>
      </w:r>
      <w:r>
        <w:rPr>
          <w:spacing w:val="-1"/>
        </w:rPr>
        <w:t>云服务体系（云医、云药、云康、云险</w:t>
      </w:r>
      <w:r>
        <w:rPr>
          <w:rFonts w:ascii="Times New Roman" w:hAnsi="Times New Roman" w:cs="Times New Roman" w:eastAsia="Times New Roman" w:hint="default"/>
          <w:spacing w:val="-1"/>
        </w:rPr>
        <w:t>+</w:t>
      </w:r>
      <w:r>
        <w:rPr>
          <w:spacing w:val="-1"/>
        </w:rPr>
        <w:t>创新服务平</w:t>
      </w:r>
    </w:p>
    <w:p>
      <w:pPr>
        <w:pStyle w:val="BodyText"/>
        <w:spacing w:line="300" w:lineRule="auto" w:before="13"/>
        <w:ind w:right="93"/>
        <w:jc w:val="left"/>
      </w:pPr>
      <w:r>
        <w:rPr>
          <w:spacing w:val="-2"/>
        </w:rPr>
        <w:t>台），形成区域为重点，整合为依托，线上线下一体化为标志，集互联网</w:t>
      </w:r>
      <w:r>
        <w:rPr>
          <w:rFonts w:ascii="Times New Roman" w:hAnsi="Times New Roman" w:cs="Times New Roman" w:eastAsia="Times New Roman" w:hint="default"/>
          <w:spacing w:val="-2"/>
        </w:rPr>
        <w:t>+</w:t>
      </w:r>
      <w:r>
        <w:rPr>
          <w:spacing w:val="-2"/>
        </w:rPr>
        <w:t>（医疗、药品、保险）为特征的健康服务新模式，</w:t>
      </w:r>
      <w:r>
        <w:rPr>
          <w:spacing w:val="-76"/>
        </w:rPr>
        <w:t> </w:t>
      </w:r>
      <w:r>
        <w:rPr>
          <w:spacing w:val="-76"/>
        </w:rPr>
      </w:r>
      <w:r>
        <w:rPr/>
        <w:t>实现公司由软件服务向健康服务的发展转变。</w:t>
      </w:r>
    </w:p>
    <w:p>
      <w:pPr>
        <w:pStyle w:val="Heading4"/>
        <w:spacing w:line="240" w:lineRule="auto" w:before="31"/>
        <w:ind w:right="9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年经营计划</w:t>
      </w:r>
      <w:r>
        <w:rPr>
          <w:b w:val="0"/>
          <w:bCs w:val="0"/>
        </w:rPr>
      </w:r>
    </w:p>
    <w:p>
      <w:pPr>
        <w:pStyle w:val="Heading4"/>
        <w:spacing w:line="316" w:lineRule="auto" w:before="63"/>
        <w:ind w:left="152" w:right="189" w:firstLine="360"/>
        <w:jc w:val="both"/>
        <w:rPr>
          <w:b w:val="0"/>
          <w:bCs w:val="0"/>
        </w:rPr>
      </w:pPr>
      <w:r>
        <w:rPr/>
        <w:t>（重要提示：该经营计划不构成公司对投资者的业绩承诺，投资者应对此保持足够的风险意识，并且应当理解经营计</w:t>
      </w:r>
      <w:r>
        <w:rPr>
          <w:w w:val="99"/>
        </w:rPr>
        <w:t> </w:t>
      </w:r>
      <w:r>
        <w:rPr/>
        <w:t>划与业绩承诺之间的差异）</w:t>
      </w:r>
      <w:r>
        <w:rPr>
          <w:b w:val="0"/>
          <w:bCs w:val="0"/>
        </w:rPr>
      </w:r>
    </w:p>
    <w:p>
      <w:pPr>
        <w:pStyle w:val="BodyText"/>
        <w:spacing w:line="309" w:lineRule="auto" w:before="18"/>
        <w:ind w:right="189" w:firstLine="360"/>
        <w:jc w:val="both"/>
      </w:pPr>
      <w:r>
        <w:rPr/>
        <w:t>（</w:t>
      </w:r>
      <w:r>
        <w:rPr>
          <w:rFonts w:ascii="Times New Roman" w:hAnsi="Times New Roman" w:cs="Times New Roman" w:eastAsia="Times New Roman" w:hint="default"/>
        </w:rPr>
        <w:t>1</w:t>
      </w:r>
      <w:r>
        <w:rPr/>
        <w:t>）强化发展传统优势业务，面向医疗卫生机构提供以</w:t>
      </w:r>
      <w:r>
        <w:rPr>
          <w:rFonts w:ascii="Times New Roman" w:hAnsi="Times New Roman" w:cs="Times New Roman" w:eastAsia="Times New Roman" w:hint="default"/>
        </w:rPr>
        <w:t>B2B</w:t>
      </w:r>
      <w:r>
        <w:rPr/>
        <w:t>为核心的服务，重点涵盖医院类、公共卫生类、平台集成 </w:t>
      </w:r>
      <w:r>
        <w:rPr>
          <w:spacing w:val="-2"/>
        </w:rPr>
        <w:t>类的全系列产品和服务，通过产品交付和维保服务取得业绩和利润的增长，保障业务以超出行业均值的速度高速增长，基于</w:t>
      </w:r>
      <w:r>
        <w:rPr>
          <w:spacing w:val="-63"/>
        </w:rPr>
        <w:t> </w:t>
      </w:r>
      <w:r>
        <w:rPr>
          <w:spacing w:val="-63"/>
        </w:rPr>
      </w:r>
      <w:r>
        <w:rPr/>
        <w:t>用户需求开发新产品，并促使新产品销售增长不低于传统产品销售。</w:t>
      </w:r>
    </w:p>
    <w:p>
      <w:pPr>
        <w:pStyle w:val="BodyText"/>
        <w:spacing w:line="300" w:lineRule="auto" w:before="24"/>
        <w:ind w:right="192" w:firstLine="360"/>
        <w:jc w:val="both"/>
      </w:pPr>
      <w:r>
        <w:rPr/>
        <w:t>（</w:t>
      </w:r>
      <w:r>
        <w:rPr>
          <w:rFonts w:ascii="Times New Roman" w:hAnsi="Times New Roman" w:cs="Times New Roman" w:eastAsia="Times New Roman" w:hint="default"/>
        </w:rPr>
        <w:t>2</w:t>
      </w:r>
      <w:r>
        <w:rPr/>
        <w:t>）优化产品和服务能力，进一步提升产品的质量和用户满意度，在打造新产品的同时，注重对旧产品的升级和适应 性的改造，充分发掘原有用户的升级潜力，着力提升用户感受度。</w:t>
      </w:r>
    </w:p>
    <w:p>
      <w:pPr>
        <w:pStyle w:val="BodyText"/>
        <w:spacing w:line="300" w:lineRule="auto" w:before="31"/>
        <w:ind w:right="189" w:firstLine="360"/>
        <w:jc w:val="both"/>
      </w:pPr>
      <w:r>
        <w:rPr/>
        <w:t>（</w:t>
      </w:r>
      <w:r>
        <w:rPr>
          <w:rFonts w:ascii="Times New Roman" w:hAnsi="Times New Roman" w:cs="Times New Roman" w:eastAsia="Times New Roman" w:hint="default"/>
        </w:rPr>
        <w:t>3</w:t>
      </w:r>
      <w:r>
        <w:rPr/>
        <w:t>）积极布局和转型健康服务业发展，建设</w:t>
      </w:r>
      <w:r>
        <w:rPr>
          <w:rFonts w:ascii="Times New Roman" w:hAnsi="Times New Roman" w:cs="Times New Roman" w:eastAsia="Times New Roman" w:hint="default"/>
        </w:rPr>
        <w:t>4+1</w:t>
      </w:r>
      <w:r>
        <w:rPr/>
        <w:t>云服务体系，云医</w:t>
      </w:r>
      <w:r>
        <w:rPr>
          <w:rFonts w:ascii="Times New Roman" w:hAnsi="Times New Roman" w:cs="Times New Roman" w:eastAsia="Times New Roman" w:hint="default"/>
        </w:rPr>
        <w:t>——</w:t>
      </w:r>
      <w:r>
        <w:rPr/>
        <w:t>医疗健康服务、云险</w:t>
      </w:r>
      <w:r>
        <w:rPr>
          <w:rFonts w:ascii="Times New Roman" w:hAnsi="Times New Roman" w:cs="Times New Roman" w:eastAsia="Times New Roman" w:hint="default"/>
        </w:rPr>
        <w:t>——</w:t>
      </w:r>
      <w:r>
        <w:rPr/>
        <w:t>保险服务、云药</w:t>
      </w:r>
      <w:r>
        <w:rPr>
          <w:rFonts w:ascii="Times New Roman" w:hAnsi="Times New Roman" w:cs="Times New Roman" w:eastAsia="Times New Roman" w:hint="default"/>
        </w:rPr>
        <w:t>—— </w:t>
      </w:r>
      <w:r>
        <w:rPr>
          <w:spacing w:val="-2"/>
        </w:rPr>
        <w:t>药品服务、云康</w:t>
      </w:r>
      <w:r>
        <w:rPr>
          <w:rFonts w:ascii="Times New Roman" w:hAnsi="Times New Roman" w:cs="Times New Roman" w:eastAsia="Times New Roman" w:hint="default"/>
          <w:spacing w:val="-2"/>
        </w:rPr>
        <w:t>——</w:t>
      </w:r>
      <w:r>
        <w:rPr>
          <w:spacing w:val="-2"/>
        </w:rPr>
        <w:t>患者服务，建设一个创新服务平台，衔接四朵云、管理四朵云、运营四朵云、服务四朵云，通过各方资</w:t>
      </w:r>
      <w:r>
        <w:rPr>
          <w:spacing w:val="-66"/>
        </w:rPr>
        <w:t> </w:t>
      </w:r>
      <w:r>
        <w:rPr>
          <w:spacing w:val="-66"/>
        </w:rPr>
      </w:r>
      <w:r>
        <w:rPr/>
        <w:t>源及服务的线上线下联动配套机制，并产生联动增值价值。</w:t>
      </w:r>
    </w:p>
    <w:p>
      <w:pPr>
        <w:pStyle w:val="BodyText"/>
        <w:spacing w:line="300" w:lineRule="auto" w:before="31"/>
        <w:ind w:right="103" w:firstLine="360"/>
        <w:jc w:val="both"/>
      </w:pPr>
      <w:r>
        <w:rPr>
          <w:spacing w:val="-2"/>
        </w:rPr>
        <w:t>（</w:t>
      </w:r>
      <w:r>
        <w:rPr>
          <w:rFonts w:ascii="Times New Roman" w:hAnsi="Times New Roman" w:cs="Times New Roman" w:eastAsia="Times New Roman" w:hint="default"/>
          <w:spacing w:val="-2"/>
        </w:rPr>
        <w:t>4</w:t>
      </w:r>
      <w:r>
        <w:rPr>
          <w:spacing w:val="-2"/>
        </w:rPr>
        <w:t>）进一步转变公司集团化运营及管理模式，完善管理组织架构、落实并实施相关规定、制度等方法，在产品、市场、</w:t>
      </w:r>
      <w:r>
        <w:rPr/>
        <w:t> 销售、服务等方面实现整合，在业务上形成联动和协作，发挥集团管理网格化的优势，提升区域及整体的核心竞争力。</w:t>
      </w:r>
    </w:p>
    <w:p>
      <w:pPr>
        <w:pStyle w:val="Heading4"/>
        <w:spacing w:line="240" w:lineRule="auto" w:before="31"/>
        <w:ind w:right="93"/>
        <w:jc w:val="left"/>
        <w:rPr>
          <w:b w:val="0"/>
          <w:bCs w:val="0"/>
        </w:rPr>
      </w:pPr>
      <w:r>
        <w:rPr/>
        <w:t>（四）公司可能面对的风险</w:t>
      </w:r>
      <w:r>
        <w:rPr>
          <w:b w:val="0"/>
          <w:bCs w:val="0"/>
        </w:rPr>
      </w:r>
    </w:p>
    <w:p>
      <w:pPr>
        <w:spacing w:line="300" w:lineRule="auto" w:before="76"/>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、公司规模的迅速扩张带来人才上的瓶颈</w:t>
      </w:r>
      <w:r>
        <w:rPr>
          <w:rFonts w:ascii="宋体" w:hAnsi="宋体" w:cs="宋体" w:eastAsia="宋体" w:hint="default"/>
          <w:b/>
          <w:bCs/>
          <w:w w:val="99"/>
          <w:sz w:val="18"/>
          <w:szCs w:val="18"/>
        </w:rPr>
        <w:t> </w:t>
      </w:r>
      <w:r>
        <w:rPr>
          <w:rFonts w:ascii="宋体" w:hAnsi="宋体" w:cs="宋体" w:eastAsia="宋体" w:hint="default"/>
          <w:spacing w:val="-2"/>
          <w:sz w:val="18"/>
          <w:szCs w:val="18"/>
        </w:rPr>
        <w:t>高端人才比较紧缺仍然是公司目前存在的主要困难，特别是高端研发人员扩张速度跟不上公司业务规模的扩张，导致公</w:t>
      </w:r>
    </w:p>
    <w:p>
      <w:pPr>
        <w:pStyle w:val="BodyText"/>
        <w:spacing w:line="316" w:lineRule="auto" w:before="31"/>
        <w:ind w:left="512" w:right="93" w:hanging="361"/>
        <w:jc w:val="left"/>
      </w:pPr>
      <w:r>
        <w:rPr/>
        <w:t>司潜在的新用户的需求得不到很好的满足，这可能会使公司失去一些市场机会。 </w:t>
      </w:r>
      <w:r>
        <w:rPr>
          <w:spacing w:val="-2"/>
        </w:rPr>
        <w:t>随着公司产品线扩充、市场扩大和客户增加，公司目前面临的最大问题是人才，特别是研发和销售类的高端人才较难招</w:t>
      </w:r>
    </w:p>
    <w:p>
      <w:pPr>
        <w:pStyle w:val="BodyText"/>
        <w:spacing w:line="360" w:lineRule="auto" w:before="18"/>
        <w:ind w:left="512" w:right="93" w:hanging="361"/>
        <w:jc w:val="left"/>
      </w:pPr>
      <w:r>
        <w:rPr/>
        <w:t>聘，这可能会导致公司目前的一些潜在项目流失。 </w:t>
      </w:r>
      <w:r>
        <w:rPr>
          <w:spacing w:val="-2"/>
        </w:rPr>
        <w:t>应对措施：公司已在合肥、常州以及西安设立区域研发中心，未来还将根据发展需要在其他地区设立区域研发中心。公</w:t>
      </w:r>
    </w:p>
    <w:p>
      <w:pPr>
        <w:pStyle w:val="BodyText"/>
        <w:spacing w:line="236" w:lineRule="exact"/>
        <w:ind w:right="93"/>
        <w:jc w:val="left"/>
      </w:pPr>
      <w:r>
        <w:rPr/>
        <w:t>司报告期末员工数量为</w:t>
      </w:r>
      <w:r>
        <w:rPr>
          <w:rFonts w:ascii="Times New Roman" w:hAnsi="Times New Roman" w:cs="Times New Roman" w:eastAsia="Times New Roman" w:hint="default"/>
        </w:rPr>
        <w:t>2,358</w:t>
      </w:r>
      <w:r>
        <w:rPr/>
        <w:t>名，预计在未来几年内公司的总人数将扩张到</w:t>
      </w:r>
      <w:r>
        <w:rPr>
          <w:rFonts w:ascii="Times New Roman" w:hAnsi="Times New Roman" w:cs="Times New Roman" w:eastAsia="Times New Roman" w:hint="default"/>
        </w:rPr>
        <w:t>4,000</w:t>
      </w:r>
      <w:r>
        <w:rPr/>
        <w:t>名以上，因此一方面建立多层次培训体系和</w:t>
      </w:r>
    </w:p>
    <w:p>
      <w:pPr>
        <w:pStyle w:val="BodyText"/>
        <w:spacing w:line="316" w:lineRule="auto" w:before="62"/>
        <w:ind w:right="93"/>
        <w:jc w:val="left"/>
      </w:pPr>
      <w:r>
        <w:rPr>
          <w:spacing w:val="-2"/>
        </w:rPr>
        <w:t>薪酬体系，满足研发技术类的人才需求，另一方面，开展营销服务体系的建设，构筑全国性的销售服务体系，实现客户的近</w:t>
      </w:r>
      <w:r>
        <w:rPr>
          <w:spacing w:val="-67"/>
        </w:rPr>
        <w:t> </w:t>
      </w:r>
      <w:r>
        <w:rPr>
          <w:spacing w:val="-67"/>
        </w:rPr>
      </w:r>
      <w:r>
        <w:rPr/>
        <w:t>距离本地化服务。</w:t>
      </w:r>
    </w:p>
    <w:p>
      <w:pPr>
        <w:spacing w:line="300" w:lineRule="auto" w:before="57"/>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、新技术、新需求带来的不确定性风险</w:t>
      </w:r>
      <w:r>
        <w:rPr>
          <w:rFonts w:ascii="宋体" w:hAnsi="宋体" w:cs="宋体" w:eastAsia="宋体" w:hint="default"/>
          <w:b/>
          <w:bCs/>
          <w:w w:val="99"/>
          <w:sz w:val="18"/>
          <w:szCs w:val="18"/>
        </w:rPr>
        <w:t> </w:t>
      </w:r>
      <w:r>
        <w:rPr>
          <w:rFonts w:ascii="宋体" w:hAnsi="宋体" w:cs="宋体" w:eastAsia="宋体" w:hint="default"/>
          <w:spacing w:val="-2"/>
          <w:sz w:val="18"/>
          <w:szCs w:val="18"/>
        </w:rPr>
        <w:t>基于云计算的软件服务模式、大数据处理系统、临床决策系统等快速发展，这些系统所涉及的技术，都是比较新型的技</w:t>
      </w:r>
    </w:p>
    <w:p>
      <w:pPr>
        <w:pStyle w:val="BodyText"/>
        <w:spacing w:line="316" w:lineRule="auto" w:before="31"/>
        <w:ind w:left="512" w:right="93" w:hanging="361"/>
        <w:jc w:val="left"/>
      </w:pPr>
      <w:r>
        <w:rPr/>
        <w:t>术，这些技术是否能产生良好的效果，具有不确定性风险。 </w:t>
      </w:r>
      <w:r>
        <w:rPr>
          <w:spacing w:val="-2"/>
        </w:rPr>
        <w:t>应对措施：产品及研发部预研各种技术，进行概念验证和典型用户示范，并与各高等院校、专业研究机构、客户及政府</w:t>
      </w:r>
    </w:p>
    <w:p>
      <w:pPr>
        <w:pStyle w:val="BodyText"/>
        <w:spacing w:line="240" w:lineRule="auto" w:before="18"/>
        <w:ind w:right="0"/>
        <w:jc w:val="left"/>
      </w:pPr>
      <w:r>
        <w:rPr/>
        <w:t>部门合作，将新技术、新需求有效应用于各个示范应用点，然后争取得到行业权威机构的支持和认可，进一步扩大推广应用</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范围。</w:t>
      </w:r>
    </w:p>
    <w:p>
      <w:pPr>
        <w:spacing w:line="300" w:lineRule="auto" w:before="76"/>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、行业竞争进一步加剧的风险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医疗信息化行业处于快速发展阶段，国内外市场参与者不断增加，竞争也将越来越激烈，鉴于行业广阔的发展前景和国</w:t>
      </w:r>
    </w:p>
    <w:p>
      <w:pPr>
        <w:pStyle w:val="BodyText"/>
        <w:spacing w:line="316" w:lineRule="auto" w:before="31"/>
        <w:ind w:right="93"/>
        <w:jc w:val="left"/>
      </w:pPr>
      <w:r>
        <w:rPr>
          <w:spacing w:val="-2"/>
        </w:rPr>
        <w:t>内资本市场的进一步开放，缺乏竞争力和核心优势的企业将会被市场淘汰。如果公司不能紧跟行业发展方向，提高公司的竞</w:t>
      </w:r>
      <w:r>
        <w:rPr>
          <w:spacing w:val="-63"/>
        </w:rPr>
        <w:t> </w:t>
      </w:r>
      <w:r>
        <w:rPr>
          <w:spacing w:val="-63"/>
        </w:rPr>
      </w:r>
      <w:r>
        <w:rPr/>
        <w:t>争力和核心优势，将无法适应激烈的行业竞争。</w:t>
      </w:r>
    </w:p>
    <w:p>
      <w:pPr>
        <w:pStyle w:val="BodyText"/>
        <w:spacing w:line="316" w:lineRule="auto" w:before="59"/>
        <w:ind w:right="189" w:firstLine="360"/>
        <w:jc w:val="both"/>
      </w:pPr>
      <w:r>
        <w:rPr>
          <w:spacing w:val="-2"/>
        </w:rPr>
        <w:t>应对措施：公司需采取更加积极的经营管理措施，加大研发投入，密切跟踪行业发展趋势和前沿创新技术，并积极关注</w:t>
      </w:r>
      <w:r>
        <w:rPr/>
        <w:t> </w:t>
      </w:r>
      <w:r>
        <w:rPr>
          <w:spacing w:val="-2"/>
        </w:rPr>
        <w:t>行业竞争所带来的整合机遇，从而维持并加强公司在用户数量、用户粘性及技术方面的核心竞争优势，促进公司持续健康发</w:t>
      </w:r>
      <w:r>
        <w:rPr>
          <w:spacing w:val="-63"/>
        </w:rPr>
        <w:t> </w:t>
      </w:r>
      <w:r>
        <w:rPr>
          <w:spacing w:val="-63"/>
        </w:rPr>
      </w:r>
      <w:r>
        <w:rPr/>
        <w:t>展。</w:t>
      </w:r>
    </w:p>
    <w:p>
      <w:pPr>
        <w:spacing w:line="300" w:lineRule="auto" w:before="57"/>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、公司规模扩张带来的管理风险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公司自上市以来，持续快速发展，借助资本市场带来的良好效应，公司资产、业务、机构和人员都得到进一步扩张，加</w:t>
      </w:r>
    </w:p>
    <w:p>
      <w:pPr>
        <w:pStyle w:val="BodyText"/>
        <w:spacing w:line="316" w:lineRule="auto" w:before="31"/>
        <w:ind w:right="189"/>
        <w:jc w:val="both"/>
      </w:pPr>
      <w:r>
        <w:rPr>
          <w:spacing w:val="-2"/>
        </w:rPr>
        <w:t>上并购脚步的加快及涉及大健康新领域，未来公司在机制建立、战略规划、组织设计、运营管理、资金管理和内部控制等方</w:t>
      </w:r>
      <w:r>
        <w:rPr>
          <w:spacing w:val="-65"/>
        </w:rPr>
        <w:t> </w:t>
      </w:r>
      <w:r>
        <w:rPr>
          <w:spacing w:val="-65"/>
        </w:rPr>
      </w:r>
      <w:r>
        <w:rPr>
          <w:spacing w:val="-2"/>
        </w:rPr>
        <w:t>面的管理水平将面临更大的挑战。公司若不能及时提高管理能力和水平，做好企业内部治理，储备经营和管理人才，公司将</w:t>
      </w:r>
      <w:r>
        <w:rPr>
          <w:spacing w:val="-64"/>
        </w:rPr>
        <w:t> </w:t>
      </w:r>
      <w:r>
        <w:rPr>
          <w:spacing w:val="-64"/>
        </w:rPr>
      </w:r>
      <w:r>
        <w:rPr/>
        <w:t>面临一定的管理风险。</w:t>
      </w:r>
    </w:p>
    <w:p>
      <w:pPr>
        <w:pStyle w:val="BodyText"/>
        <w:spacing w:line="316" w:lineRule="auto" w:before="18"/>
        <w:ind w:right="189" w:firstLine="360"/>
        <w:jc w:val="both"/>
      </w:pPr>
      <w:r>
        <w:rPr>
          <w:spacing w:val="-2"/>
        </w:rPr>
        <w:t>应对措施：公司将完善自身的管理体系和提升管理能力，建立规范的法人治理结构以及经营管理制度，不断创新管理机</w:t>
      </w:r>
      <w:r>
        <w:rPr/>
        <w:t> </w:t>
      </w:r>
      <w:r>
        <w:rPr>
          <w:spacing w:val="-2"/>
        </w:rPr>
        <w:t>制，改变管理思维，经营单位独立核算，做好绩效考核，形成公司特有的、且适合公司的经营管理经验，应对公司扩张带来</w:t>
      </w:r>
      <w:r>
        <w:rPr>
          <w:spacing w:val="-68"/>
        </w:rPr>
        <w:t> </w:t>
      </w:r>
      <w:r>
        <w:rPr>
          <w:spacing w:val="-68"/>
        </w:rPr>
      </w:r>
      <w:r>
        <w:rPr/>
        <w:t>的管理风险。</w:t>
      </w:r>
    </w:p>
    <w:p>
      <w:pPr>
        <w:spacing w:line="300" w:lineRule="auto" w:before="18"/>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、收款及经营业绩的季节性波动风险</w:t>
      </w:r>
      <w:r>
        <w:rPr>
          <w:rFonts w:ascii="宋体" w:hAnsi="宋体" w:cs="宋体" w:eastAsia="宋体" w:hint="default"/>
          <w:b/>
          <w:bCs/>
          <w:w w:val="99"/>
          <w:sz w:val="18"/>
          <w:szCs w:val="18"/>
        </w:rPr>
        <w:t> </w:t>
      </w:r>
      <w:r>
        <w:rPr>
          <w:rFonts w:ascii="宋体" w:hAnsi="宋体" w:cs="宋体" w:eastAsia="宋体" w:hint="default"/>
          <w:sz w:val="18"/>
          <w:szCs w:val="18"/>
        </w:rPr>
        <w:t>由于公司客户以国内的公立医院、卫生管理部门等机构为主，其对信息产品的采购一般遵守较为严格的预算管理制度，</w:t>
      </w:r>
    </w:p>
    <w:p>
      <w:pPr>
        <w:pStyle w:val="BodyText"/>
        <w:spacing w:line="314" w:lineRule="auto" w:before="31"/>
        <w:ind w:right="103"/>
        <w:jc w:val="left"/>
      </w:pPr>
      <w:r>
        <w:rPr>
          <w:spacing w:val="-4"/>
        </w:rPr>
        <w:t>通常在每年上半年制定投资计划，需要通过预算、审批、招标、合同签订等流程，许多项目还需要纳入财政预算、政府采购，</w:t>
      </w:r>
      <w:r>
        <w:rPr>
          <w:spacing w:val="-44"/>
        </w:rPr>
        <w:t> </w:t>
      </w:r>
      <w:r>
        <w:rPr>
          <w:spacing w:val="-44"/>
        </w:rPr>
      </w:r>
      <w:r>
        <w:rPr>
          <w:spacing w:val="-2"/>
        </w:rPr>
        <w:t>周期相对较长。公司客户年度资本开支主要集中在下半年尤其是第四季度，对公司的项目验收和付款也集中在下半年。由于</w:t>
      </w:r>
      <w:r>
        <w:rPr>
          <w:spacing w:val="-63"/>
        </w:rPr>
        <w:t> </w:t>
      </w:r>
      <w:r>
        <w:rPr>
          <w:spacing w:val="-63"/>
        </w:rPr>
      </w:r>
      <w:r>
        <w:rPr>
          <w:spacing w:val="-2"/>
        </w:rPr>
        <w:t>受上述因素的影响，导致公司营业收入、净利润、经营性现金流量呈不均衡的季节性分布：最近三年，公司上半年收款一般</w:t>
      </w:r>
      <w:r>
        <w:rPr>
          <w:spacing w:val="-67"/>
        </w:rPr>
        <w:t> </w:t>
      </w:r>
      <w:r>
        <w:rPr>
          <w:spacing w:val="-67"/>
        </w:rPr>
      </w:r>
      <w:r>
        <w:rPr/>
        <w:t>只占全年的</w:t>
      </w:r>
      <w:r>
        <w:rPr>
          <w:rFonts w:ascii="Times New Roman" w:hAnsi="Times New Roman" w:cs="Times New Roman" w:eastAsia="Times New Roman" w:hint="default"/>
        </w:rPr>
        <w:t>20%-30%</w:t>
      </w:r>
      <w:r>
        <w:rPr/>
        <w:t>，而第四季度能达到全年的</w:t>
      </w:r>
      <w:r>
        <w:rPr>
          <w:rFonts w:ascii="Times New Roman" w:hAnsi="Times New Roman" w:cs="Times New Roman" w:eastAsia="Times New Roman" w:hint="default"/>
        </w:rPr>
        <w:t>50%</w:t>
      </w:r>
      <w:r>
        <w:rPr/>
        <w:t>以上；公司的收入和利润存在一定的季节性，软件及技术服务收入、净 利润在上、下半年分别占比平均约为</w:t>
      </w:r>
      <w:r>
        <w:rPr>
          <w:rFonts w:ascii="Times New Roman" w:hAnsi="Times New Roman" w:cs="Times New Roman" w:eastAsia="Times New Roman" w:hint="default"/>
        </w:rPr>
        <w:t>35%</w:t>
      </w:r>
      <w:r>
        <w:rPr/>
        <w:t>、</w:t>
      </w:r>
      <w:r>
        <w:rPr>
          <w:rFonts w:ascii="Times New Roman" w:hAnsi="Times New Roman" w:cs="Times New Roman" w:eastAsia="Times New Roman" w:hint="default"/>
        </w:rPr>
        <w:t>65%</w:t>
      </w:r>
      <w:r>
        <w:rPr/>
        <w:t>。投资者不宜以公司季度或者半年度业绩作为投资判断的主要依据。</w:t>
      </w:r>
    </w:p>
    <w:p>
      <w:pPr>
        <w:pStyle w:val="BodyText"/>
        <w:spacing w:line="316" w:lineRule="auto" w:before="42"/>
        <w:ind w:right="93" w:firstLine="360"/>
        <w:jc w:val="left"/>
      </w:pPr>
      <w:r>
        <w:rPr>
          <w:spacing w:val="-2"/>
        </w:rPr>
        <w:t>应对措施：公司将加大市场工作力度，及时了解、掌握和引导客户的投资计划，在不违反相关规定的前提下尽早介入项</w:t>
      </w:r>
      <w:r>
        <w:rPr/>
        <w:t> </w:t>
      </w:r>
      <w:r>
        <w:rPr>
          <w:spacing w:val="-4"/>
        </w:rPr>
        <w:t>目前期规划工作，同时合理调配人力资源，使得项目实施尽量能够均衡开展，减少因自身因素造成的项目实施时间集中问题；</w:t>
      </w:r>
      <w:r>
        <w:rPr>
          <w:spacing w:val="-44"/>
        </w:rPr>
        <w:t> </w:t>
      </w:r>
      <w:r>
        <w:rPr>
          <w:spacing w:val="-44"/>
        </w:rPr>
      </w:r>
      <w:r>
        <w:rPr/>
        <w:t>同时，加大收款考核力度，与客户保持及时有效沟通，减少因人为因素造成的收款时间集中问题。</w:t>
      </w:r>
    </w:p>
    <w:p>
      <w:pPr>
        <w:spacing w:line="240" w:lineRule="auto" w:before="11"/>
        <w:rPr>
          <w:rFonts w:ascii="宋体" w:hAnsi="宋体" w:cs="宋体" w:eastAsia="宋体" w:hint="default"/>
          <w:sz w:val="20"/>
          <w:szCs w:val="20"/>
        </w:rPr>
      </w:pPr>
    </w:p>
    <w:p>
      <w:pPr>
        <w:pStyle w:val="Heading2"/>
        <w:spacing w:line="240" w:lineRule="auto"/>
        <w:ind w:right="93"/>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介绍公司未来发展战略、医保控费业务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情况等。</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介绍公司未来发展战略、医保控费和互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联网医疗业务情况等。</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年度业绩网上说明会。</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年度报告主要经营业绩 及公司未来发展战略、创新业务规划 等。</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年第一季度报告主要经</w:t>
            </w:r>
          </w:p>
        </w:tc>
      </w:tr>
    </w:tbl>
    <w:p>
      <w:pPr>
        <w:spacing w:after="0" w:line="240" w:lineRule="auto"/>
        <w:jc w:val="left"/>
        <w:rPr>
          <w:rFonts w:ascii="宋体" w:hAnsi="宋体" w:cs="宋体" w:eastAsia="宋体" w:hint="default"/>
          <w:sz w:val="18"/>
          <w:szCs w:val="18"/>
        </w:rPr>
        <w:sectPr>
          <w:footerReference w:type="default" r:id="rId14"/>
          <w:pgSz w:w="11910" w:h="16840"/>
          <w:pgMar w:footer="981" w:header="745" w:top="1060" w:bottom="1180" w:left="980" w:right="94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674" w:hRule="exact"/>
        </w:trPr>
        <w:tc>
          <w:tcPr>
            <w:tcW w:w="2179"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pacing w:val="-5"/>
                <w:sz w:val="18"/>
                <w:szCs w:val="18"/>
              </w:rPr>
              <w:t>营业绩及公司未来发展战略、创新业务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规划等。</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介绍公司未来发展战略、创新业务规划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及进展情况等。</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年第三季度报告主要经 </w:t>
            </w:r>
            <w:r>
              <w:rPr>
                <w:rFonts w:ascii="宋体" w:hAnsi="宋体" w:cs="宋体" w:eastAsia="宋体" w:hint="default"/>
                <w:spacing w:val="-5"/>
                <w:sz w:val="18"/>
                <w:szCs w:val="18"/>
              </w:rPr>
              <w:t>营业绩及公司未来发展战略、创新业务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规划及进展情况等。</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介绍公司非公开发行情况。</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介绍公司非公开发行情况。</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介绍公司非公开发行情况。</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468"/>
        <w:jc w:val="center"/>
        <w:rPr>
          <w:b w:val="0"/>
          <w:bCs w:val="0"/>
        </w:rPr>
      </w:pPr>
      <w:bookmarkStart w:name="_TOC_250006" w:id="5"/>
      <w:r>
        <w:rPr/>
        <w:t>第五节</w:t>
      </w:r>
      <w:r>
        <w:rPr>
          <w:spacing w:val="-3"/>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报告期内普通股利润分配政策，特别是现金分红政策的制定、执行或调整情况</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93" w:firstLine="360"/>
        <w:jc w:val="left"/>
      </w:pPr>
      <w:r>
        <w:rPr>
          <w:rFonts w:ascii="Times New Roman" w:hAnsi="Times New Roman" w:cs="Times New Roman" w:eastAsia="Times New Roman" w:hint="default"/>
          <w:spacing w:val="-2"/>
        </w:rPr>
        <w:t>1</w:t>
      </w:r>
      <w:r>
        <w:rPr>
          <w:spacing w:val="-2"/>
        </w:rPr>
        <w:t>、报告期内，公司严格执行《公司章程》等有关现金分红政策，</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日召开的第二届董事会第二十八次会议和</w:t>
      </w:r>
      <w:r>
        <w:rPr/>
        <w:t> </w:t>
      </w:r>
      <w:r>
        <w:rPr>
          <w:spacing w:val="-2"/>
        </w:rPr>
        <w:t>第二届监事会第二十九次会议分别审议通过了《关于公司</w:t>
      </w:r>
      <w:r>
        <w:rPr>
          <w:rFonts w:ascii="Times New Roman" w:hAnsi="Times New Roman" w:cs="Times New Roman" w:eastAsia="Times New Roman" w:hint="default"/>
          <w:spacing w:val="-2"/>
        </w:rPr>
        <w:t>2014</w:t>
      </w:r>
      <w:r>
        <w:rPr>
          <w:spacing w:val="-2"/>
        </w:rPr>
        <w:t>年度利润分配及资本公积转增股本预案的议案》，公司拟以未</w:t>
      </w:r>
      <w:r>
        <w:rPr>
          <w:spacing w:val="-63"/>
        </w:rPr>
        <w:t> </w:t>
      </w:r>
      <w:r>
        <w:rPr>
          <w:spacing w:val="-63"/>
        </w:rPr>
      </w:r>
      <w:r>
        <w:rPr>
          <w:spacing w:val="-3"/>
        </w:rPr>
        <w:t>来实施</w:t>
      </w:r>
      <w:r>
        <w:rPr>
          <w:rFonts w:ascii="Times New Roman" w:hAnsi="Times New Roman" w:cs="Times New Roman" w:eastAsia="Times New Roman" w:hint="default"/>
          <w:spacing w:val="-3"/>
        </w:rPr>
        <w:t>2014</w:t>
      </w:r>
      <w:r>
        <w:rPr>
          <w:spacing w:val="-3"/>
        </w:rPr>
        <w:t>年度权益分配方案时股权登记日的总股本为基数，向全体股东每</w:t>
      </w:r>
      <w:r>
        <w:rPr>
          <w:rFonts w:ascii="Times New Roman" w:hAnsi="Times New Roman" w:cs="Times New Roman" w:eastAsia="Times New Roman" w:hint="default"/>
          <w:spacing w:val="-3"/>
        </w:rPr>
        <w:t>10</w:t>
      </w:r>
      <w:r>
        <w:rPr>
          <w:spacing w:val="-3"/>
        </w:rPr>
        <w:t>股送</w:t>
      </w:r>
      <w:r>
        <w:rPr>
          <w:rFonts w:ascii="Times New Roman" w:hAnsi="Times New Roman" w:cs="Times New Roman" w:eastAsia="Times New Roman" w:hint="default"/>
          <w:spacing w:val="-3"/>
        </w:rPr>
        <w:t>5</w:t>
      </w:r>
      <w:r>
        <w:rPr>
          <w:spacing w:val="-3"/>
        </w:rPr>
        <w:t>股并派发现金股利人民币</w:t>
      </w:r>
      <w:r>
        <w:rPr>
          <w:rFonts w:ascii="Times New Roman" w:hAnsi="Times New Roman" w:cs="Times New Roman" w:eastAsia="Times New Roman" w:hint="default"/>
          <w:spacing w:val="-3"/>
        </w:rPr>
        <w:t>1.3</w:t>
      </w:r>
      <w:r>
        <w:rPr>
          <w:spacing w:val="-3"/>
        </w:rPr>
        <w:t>元（含税）；</w:t>
      </w:r>
      <w:r>
        <w:rPr>
          <w:spacing w:val="-46"/>
        </w:rPr>
        <w:t> </w:t>
      </w:r>
      <w:r>
        <w:rPr>
          <w:spacing w:val="-46"/>
        </w:rPr>
      </w:r>
      <w:r>
        <w:rPr/>
        <w:t>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股，公司独立董事对此事项发表了同意意见；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2014</w:t>
      </w:r>
      <w:r>
        <w:rPr/>
        <w:t>年度</w:t>
      </w:r>
      <w:r>
        <w:rPr>
          <w:spacing w:val="-87"/>
        </w:rPr>
        <w:t> </w:t>
      </w:r>
      <w:r>
        <w:rPr>
          <w:spacing w:val="-87"/>
        </w:rPr>
      </w:r>
      <w:r>
        <w:rPr>
          <w:spacing w:val="-2"/>
        </w:rPr>
        <w:t>股东大会审议通过了《关于公司</w:t>
      </w:r>
      <w:r>
        <w:rPr>
          <w:rFonts w:ascii="Times New Roman" w:hAnsi="Times New Roman" w:cs="Times New Roman" w:eastAsia="Times New Roman" w:hint="default"/>
          <w:spacing w:val="-2"/>
        </w:rPr>
        <w:t>2014</w:t>
      </w:r>
      <w:r>
        <w:rPr>
          <w:spacing w:val="-2"/>
        </w:rPr>
        <w:t>年度利润分配及资本公积转增股本方案的议案》，以公司未来实施</w:t>
      </w:r>
      <w:r>
        <w:rPr>
          <w:rFonts w:ascii="Times New Roman" w:hAnsi="Times New Roman" w:cs="Times New Roman" w:eastAsia="Times New Roman" w:hint="default"/>
          <w:spacing w:val="-2"/>
        </w:rPr>
        <w:t>2014</w:t>
      </w:r>
      <w:r>
        <w:rPr>
          <w:spacing w:val="-2"/>
        </w:rPr>
        <w:t>年度权益分配方</w:t>
      </w:r>
      <w:r>
        <w:rPr>
          <w:spacing w:val="-62"/>
        </w:rPr>
        <w:t> </w:t>
      </w:r>
      <w:r>
        <w:rPr>
          <w:spacing w:val="-62"/>
        </w:rPr>
      </w:r>
      <w:r>
        <w:rPr/>
        <w:t>案时股权登记日的总股本（</w:t>
      </w:r>
      <w:r>
        <w:rPr>
          <w:rFonts w:ascii="Times New Roman" w:hAnsi="Times New Roman" w:cs="Times New Roman" w:eastAsia="Times New Roman" w:hint="default"/>
        </w:rPr>
        <w:t>218,537,943</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股并派发现金股利人民币</w:t>
      </w:r>
      <w:r>
        <w:rPr>
          <w:rFonts w:ascii="Times New Roman" w:hAnsi="Times New Roman" w:cs="Times New Roman" w:eastAsia="Times New Roman" w:hint="default"/>
        </w:rPr>
        <w:t>1.3</w:t>
      </w:r>
      <w:r>
        <w:rPr/>
        <w:t>元（含税</w:t>
      </w:r>
      <w:r>
        <w:rPr>
          <w:rFonts w:ascii="Times New Roman" w:hAnsi="Times New Roman" w:cs="Times New Roman" w:eastAsia="Times New Roman" w:hint="default"/>
        </w:rPr>
        <w:t>)</w:t>
      </w:r>
      <w:r>
        <w:rPr/>
        <w:t>，合计派</w:t>
      </w:r>
      <w:r>
        <w:rPr>
          <w:spacing w:val="-24"/>
        </w:rPr>
        <w:t> </w:t>
      </w:r>
      <w:r>
        <w:rPr>
          <w:spacing w:val="-24"/>
        </w:rPr>
      </w:r>
      <w:r>
        <w:rPr/>
        <w:t>发现金</w:t>
      </w:r>
      <w:r>
        <w:rPr>
          <w:rFonts w:ascii="Times New Roman" w:hAnsi="Times New Roman" w:cs="Times New Roman" w:eastAsia="Times New Roman" w:hint="default"/>
        </w:rPr>
        <w:t>28,409,932.59</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股，共计送转增</w:t>
      </w:r>
      <w:r>
        <w:rPr>
          <w:rFonts w:ascii="Times New Roman" w:hAnsi="Times New Roman" w:cs="Times New Roman" w:eastAsia="Times New Roman" w:hint="default"/>
        </w:rPr>
        <w:t>327,806,914</w:t>
      </w:r>
      <w:r>
        <w:rPr/>
        <w:t>股。上述</w:t>
      </w:r>
      <w:r>
        <w:rPr>
          <w:rFonts w:ascii="Times New Roman" w:hAnsi="Times New Roman" w:cs="Times New Roman" w:eastAsia="Times New Roman" w:hint="default"/>
        </w:rPr>
        <w:t>2014</w:t>
      </w:r>
      <w:r>
        <w:rPr/>
        <w:t>年 度权益分派已于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日实施完毕。</w:t>
      </w:r>
    </w:p>
    <w:p>
      <w:pPr>
        <w:pStyle w:val="BodyText"/>
        <w:spacing w:line="300" w:lineRule="auto" w:before="13"/>
        <w:ind w:right="19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日，公司召开了第三届董事会第十二次会议，审议通过了《关于公司</w:t>
      </w:r>
      <w:r>
        <w:rPr>
          <w:rFonts w:ascii="Times New Roman" w:hAnsi="Times New Roman" w:cs="Times New Roman" w:eastAsia="Times New Roman" w:hint="default"/>
          <w:spacing w:val="-2"/>
        </w:rPr>
        <w:t>2015</w:t>
      </w:r>
      <w:r>
        <w:rPr>
          <w:spacing w:val="-2"/>
        </w:rPr>
        <w:t>年度利润分配及资本公积转增</w:t>
      </w:r>
      <w:r>
        <w:rPr/>
        <w:t> </w:t>
      </w:r>
      <w:r>
        <w:rPr>
          <w:spacing w:val="-2"/>
        </w:rPr>
        <w:t>股本预案的议案》，公司拟以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日总股本</w:t>
      </w:r>
      <w:r>
        <w:rPr>
          <w:rFonts w:ascii="Times New Roman" w:hAnsi="Times New Roman" w:cs="Times New Roman" w:eastAsia="Times New Roman" w:hint="default"/>
          <w:spacing w:val="-2"/>
        </w:rPr>
        <w:t>580,306,696</w:t>
      </w:r>
      <w:r>
        <w:rPr>
          <w:spacing w:val="-2"/>
        </w:rPr>
        <w:t>股为基数，向全体股东每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3</w:t>
      </w:r>
      <w:r>
        <w:rPr>
          <w:spacing w:val="-2"/>
        </w:rPr>
        <w:t>股并派发现金股利人民币</w:t>
      </w:r>
      <w:r>
        <w:rPr>
          <w:rFonts w:ascii="Times New Roman" w:hAnsi="Times New Roman" w:cs="Times New Roman" w:eastAsia="Times New Roman" w:hint="default"/>
          <w:spacing w:val="-2"/>
        </w:rPr>
        <w:t>0.8</w:t>
      </w:r>
      <w:r>
        <w:rPr>
          <w:rFonts w:ascii="Times New Roman" w:hAnsi="Times New Roman" w:cs="Times New Roman" w:eastAsia="Times New Roman" w:hint="default"/>
        </w:rPr>
        <w:t> </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股。公司独立董事对此事项发表了同意意见，该事项尚需提交公</w:t>
      </w:r>
      <w:r>
        <w:rPr>
          <w:spacing w:val="-85"/>
        </w:rPr>
        <w:t> </w:t>
      </w:r>
      <w:r>
        <w:rPr>
          <w:spacing w:val="-85"/>
        </w:rPr>
      </w:r>
      <w:r>
        <w:rPr/>
        <w:t>司</w:t>
      </w:r>
      <w:r>
        <w:rPr>
          <w:rFonts w:ascii="Times New Roman" w:hAnsi="Times New Roman" w:cs="Times New Roman" w:eastAsia="Times New Roman" w:hint="default"/>
        </w:rPr>
        <w:t>2015</w:t>
      </w:r>
      <w:r>
        <w:rPr/>
        <w:t>年度股东大会审议。</w:t>
      </w: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3"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5"/>
        <w:ind w:right="93"/>
        <w:jc w:val="left"/>
      </w:pPr>
      <w:r>
        <w:rPr/>
        <w:t>公司报告期利润分配预案及资本公积金转增股本预案与公司章程和分红管理办法等的相关规定一致</w:t>
      </w:r>
    </w:p>
    <w:p>
      <w:pPr>
        <w:pStyle w:val="BodyText"/>
        <w:spacing w:line="350" w:lineRule="auto" w:before="115"/>
        <w:ind w:right="3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6"/>
        <w:gridCol w:w="5851"/>
      </w:tblGrid>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580,306,696</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46,424,535.68</w:t>
            </w:r>
          </w:p>
        </w:tc>
      </w:tr>
      <w:tr>
        <w:trPr>
          <w:trHeight w:val="403"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211,114,526.55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21.05%</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公司第三届董事会第十二次会议审议通过的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年度利润分配及资本公积转增股本预案为：以截止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 股本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580,306,696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股送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股并派发现金股利人民币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元（含税）；同时，以资本公积金向全体</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股。公司独立董事对此事项发表了同意意见，该事项尚需提交公司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w:t>
            </w:r>
          </w:p>
        </w:tc>
      </w:tr>
    </w:tbl>
    <w:p>
      <w:pPr>
        <w:pStyle w:val="BodyText"/>
        <w:spacing w:line="240" w:lineRule="auto" w:before="49"/>
        <w:ind w:right="0"/>
        <w:jc w:val="both"/>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Heading4"/>
        <w:spacing w:line="240" w:lineRule="auto" w:before="101"/>
        <w:ind w:right="148"/>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年度利润分配方案及资本公积金转增股本方案</w:t>
      </w:r>
      <w:r>
        <w:rPr>
          <w:b w:val="0"/>
          <w:bCs w:val="0"/>
        </w:rPr>
      </w:r>
    </w:p>
    <w:p>
      <w:pPr>
        <w:pStyle w:val="BodyText"/>
        <w:spacing w:line="300" w:lineRule="auto" w:before="103"/>
        <w:ind w:right="152"/>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日召开的第二届董事会第十六次会议和第二届监事会第十七次会议分别审议通过了《关于公司</w:t>
      </w:r>
      <w:r>
        <w:rPr>
          <w:rFonts w:ascii="Times New Roman" w:hAnsi="Times New Roman" w:cs="Times New Roman" w:eastAsia="Times New Roman" w:hint="default"/>
          <w:spacing w:val="-2"/>
        </w:rPr>
        <w:t>2013</w:t>
      </w:r>
      <w:r>
        <w:rPr>
          <w:spacing w:val="-2"/>
        </w:rPr>
        <w:t>年度利润分配</w:t>
      </w:r>
      <w:r>
        <w:rPr>
          <w:spacing w:val="-57"/>
        </w:rPr>
        <w:t> </w:t>
      </w:r>
      <w:r>
        <w:rPr>
          <w:spacing w:val="-57"/>
        </w:rPr>
      </w:r>
      <w:r>
        <w:rPr/>
        <w:t>及资本公积转增股本预案的议案》，公司董事会作出了充分论证和说明，独立董事发表了独立意见；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w:t>
      </w:r>
      <w:r>
        <w:rPr>
          <w:spacing w:val="-85"/>
        </w:rPr>
        <w:t> </w:t>
      </w:r>
      <w:r>
        <w:rPr>
          <w:spacing w:val="-85"/>
        </w:rPr>
      </w:r>
      <w:r>
        <w:rPr>
          <w:rFonts w:ascii="Times New Roman" w:hAnsi="Times New Roman" w:cs="Times New Roman" w:eastAsia="Times New Roman" w:hint="default"/>
        </w:rPr>
        <w:t>2013</w:t>
      </w:r>
      <w:r>
        <w:rPr/>
        <w:t>年度股东大会审议通过了《关于公司</w:t>
      </w:r>
      <w:r>
        <w:rPr>
          <w:rFonts w:ascii="Times New Roman" w:hAnsi="Times New Roman" w:cs="Times New Roman" w:eastAsia="Times New Roman" w:hint="default"/>
        </w:rPr>
        <w:t>2013</w:t>
      </w:r>
      <w:r>
        <w:rPr/>
        <w:t>年度利润分配及资本公积转增股本方案的议案》，以公司</w:t>
      </w:r>
      <w:r>
        <w:rPr>
          <w:rFonts w:ascii="Times New Roman" w:hAnsi="Times New Roman" w:cs="Times New Roman" w:eastAsia="Times New Roman" w:hint="default"/>
        </w:rPr>
        <w:t>2013</w:t>
      </w:r>
      <w:r>
        <w:rPr/>
        <w:t>年末的总股本</w:t>
      </w:r>
    </w:p>
    <w:p>
      <w:pPr>
        <w:pStyle w:val="BodyText"/>
        <w:spacing w:line="300" w:lineRule="auto" w:before="13"/>
        <w:ind w:right="149"/>
        <w:jc w:val="both"/>
      </w:pPr>
      <w:r>
        <w:rPr>
          <w:rFonts w:ascii="Times New Roman" w:hAnsi="Times New Roman" w:cs="Times New Roman" w:eastAsia="Times New Roman" w:hint="default"/>
        </w:rPr>
        <w:t>107,967,100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2.00</w:t>
      </w:r>
      <w:r>
        <w:rPr/>
        <w:t>元（含税），合计派发现金</w:t>
      </w:r>
      <w:r>
        <w:rPr>
          <w:rFonts w:ascii="Times New Roman" w:hAnsi="Times New Roman" w:cs="Times New Roman" w:eastAsia="Times New Roman" w:hint="default"/>
        </w:rPr>
        <w:t>21,593,420</w:t>
      </w:r>
      <w:r>
        <w:rPr/>
        <w:t>元，剩余未分配利</w:t>
      </w:r>
      <w:r>
        <w:rPr>
          <w:spacing w:val="-48"/>
        </w:rPr>
        <w:t> </w:t>
      </w:r>
      <w:r>
        <w:rPr>
          <w:spacing w:val="-48"/>
        </w:rPr>
      </w:r>
      <w:r>
        <w:rPr/>
        <w:t>润结转下一年度。同时，以资本公积金向全体股东每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107,967,100</w:t>
      </w:r>
      <w:r>
        <w:rPr/>
        <w:t>股，转增后公司总股本将增加至</w:t>
      </w:r>
      <w:r>
        <w:rPr>
          <w:spacing w:val="-9"/>
        </w:rPr>
        <w:t> </w:t>
      </w:r>
      <w:r>
        <w:rPr>
          <w:spacing w:val="-9"/>
        </w:rPr>
      </w:r>
      <w:r>
        <w:rPr>
          <w:rFonts w:ascii="Times New Roman" w:hAnsi="Times New Roman" w:cs="Times New Roman" w:eastAsia="Times New Roman" w:hint="default"/>
        </w:rPr>
        <w:t>215,934,200</w:t>
      </w:r>
      <w:r>
        <w:rPr/>
        <w:t>股。上述2013年度权益分派已于2014年4月11日实施完毕。</w:t>
      </w:r>
    </w:p>
    <w:p>
      <w:pPr>
        <w:pStyle w:val="Heading4"/>
        <w:spacing w:line="240" w:lineRule="auto" w:before="51"/>
        <w:ind w:right="148"/>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年度利润分配及资本公积转增股本方案</w:t>
      </w:r>
      <w:r>
        <w:rPr>
          <w:b w:val="0"/>
          <w:bCs w:val="0"/>
        </w:rPr>
      </w:r>
    </w:p>
    <w:p>
      <w:pPr>
        <w:pStyle w:val="BodyText"/>
        <w:spacing w:line="300" w:lineRule="auto" w:before="103"/>
        <w:ind w:right="14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日召开的第二届董事会第二十八次会议和第二届监事会第二十九次会议分别审议通过了《关于公司</w:t>
      </w:r>
      <w:r>
        <w:rPr>
          <w:rFonts w:ascii="Times New Roman" w:hAnsi="Times New Roman" w:cs="Times New Roman" w:eastAsia="Times New Roman" w:hint="default"/>
        </w:rPr>
        <w:t>2014</w:t>
      </w:r>
      <w:r>
        <w:rPr/>
        <w:t>年度利</w:t>
      </w:r>
      <w:r>
        <w:rPr>
          <w:spacing w:val="-86"/>
        </w:rPr>
        <w:t> </w:t>
      </w:r>
      <w:r>
        <w:rPr>
          <w:spacing w:val="-86"/>
        </w:rPr>
      </w:r>
      <w:r>
        <w:rPr>
          <w:spacing w:val="-2"/>
        </w:rPr>
        <w:t>润分配及资本公积转增股本预案的议案》，公司拟以未来实施</w:t>
      </w:r>
      <w:r>
        <w:rPr>
          <w:rFonts w:ascii="Times New Roman" w:hAnsi="Times New Roman" w:cs="Times New Roman" w:eastAsia="Times New Roman" w:hint="default"/>
          <w:spacing w:val="-2"/>
        </w:rPr>
        <w:t>2014</w:t>
      </w:r>
      <w:r>
        <w:rPr>
          <w:spacing w:val="-2"/>
        </w:rPr>
        <w:t>年度权益分配方案时股权登记日的总股本为基数，向全体</w:t>
      </w:r>
      <w:r>
        <w:rPr>
          <w:spacing w:val="-63"/>
        </w:rPr>
        <w:t> </w:t>
      </w:r>
      <w:r>
        <w:rPr>
          <w:spacing w:val="-63"/>
        </w:rPr>
      </w:r>
      <w:r>
        <w:rPr>
          <w:spacing w:val="-1"/>
        </w:rPr>
        <w:t>股东每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5</w:t>
      </w:r>
      <w:r>
        <w:rPr>
          <w:spacing w:val="-1"/>
        </w:rPr>
        <w:t>股并派发现金股利人民币</w:t>
      </w:r>
      <w:r>
        <w:rPr>
          <w:rFonts w:ascii="Times New Roman" w:hAnsi="Times New Roman" w:cs="Times New Roman" w:eastAsia="Times New Roman" w:hint="default"/>
          <w:spacing w:val="-1"/>
        </w:rPr>
        <w:t>1.3</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股，公司独立董事对</w:t>
      </w:r>
      <w:r>
        <w:rPr>
          <w:spacing w:val="-74"/>
        </w:rPr>
        <w:t> </w:t>
      </w:r>
      <w:r>
        <w:rPr>
          <w:spacing w:val="-74"/>
        </w:rPr>
      </w:r>
      <w:r>
        <w:rPr/>
        <w:t>此事项发表了同意意见；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2014</w:t>
      </w:r>
      <w:r>
        <w:rPr/>
        <w:t>年度股东大会审议通过了《关于公司</w:t>
      </w:r>
      <w:r>
        <w:rPr>
          <w:rFonts w:ascii="Times New Roman" w:hAnsi="Times New Roman" w:cs="Times New Roman" w:eastAsia="Times New Roman" w:hint="default"/>
        </w:rPr>
        <w:t>2014</w:t>
      </w:r>
      <w:r>
        <w:rPr/>
        <w:t>年度利润分配及资本公积转增</w:t>
      </w:r>
      <w:r>
        <w:rPr>
          <w:spacing w:val="-87"/>
        </w:rPr>
        <w:t> </w:t>
      </w:r>
      <w:r>
        <w:rPr>
          <w:spacing w:val="-2"/>
        </w:rPr>
        <w:t>股本方案的议案》，以公司未来实施</w:t>
      </w:r>
      <w:r>
        <w:rPr>
          <w:rFonts w:ascii="Times New Roman" w:hAnsi="Times New Roman" w:cs="Times New Roman" w:eastAsia="Times New Roman" w:hint="default"/>
          <w:spacing w:val="-2"/>
        </w:rPr>
        <w:t>2014</w:t>
      </w:r>
      <w:r>
        <w:rPr>
          <w:spacing w:val="-2"/>
        </w:rPr>
        <w:t>年度权益分配方案时股权登记日的总股本（</w:t>
      </w:r>
      <w:r>
        <w:rPr>
          <w:rFonts w:ascii="Times New Roman" w:hAnsi="Times New Roman" w:cs="Times New Roman" w:eastAsia="Times New Roman" w:hint="default"/>
          <w:spacing w:val="-2"/>
        </w:rPr>
        <w:t>218,537,943</w:t>
      </w:r>
      <w:r>
        <w:rPr>
          <w:spacing w:val="-2"/>
        </w:rPr>
        <w:t>股）为基数，向全体股东每</w:t>
      </w:r>
      <w:r>
        <w:rPr>
          <w:spacing w:val="-52"/>
        </w:rPr>
        <w:t> </w:t>
      </w:r>
      <w:r>
        <w:rPr>
          <w:spacing w:val="-52"/>
        </w:rPr>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5</w:t>
      </w:r>
      <w:r>
        <w:rPr>
          <w:spacing w:val="-1"/>
        </w:rPr>
        <w:t>股并派发现金股利人民币</w:t>
      </w:r>
      <w:r>
        <w:rPr>
          <w:rFonts w:ascii="Times New Roman" w:hAnsi="Times New Roman" w:cs="Times New Roman" w:eastAsia="Times New Roman" w:hint="default"/>
          <w:spacing w:val="-1"/>
        </w:rPr>
        <w:t>1.3</w:t>
      </w:r>
      <w:r>
        <w:rPr>
          <w:spacing w:val="-1"/>
        </w:rPr>
        <w:t>元（含税</w:t>
      </w:r>
      <w:r>
        <w:rPr>
          <w:rFonts w:ascii="Times New Roman" w:hAnsi="Times New Roman" w:cs="Times New Roman" w:eastAsia="Times New Roman" w:hint="default"/>
          <w:spacing w:val="-1"/>
        </w:rPr>
        <w:t>)</w:t>
      </w:r>
      <w:r>
        <w:rPr>
          <w:spacing w:val="-1"/>
        </w:rPr>
        <w:t>，合计派发现金</w:t>
      </w:r>
      <w:r>
        <w:rPr>
          <w:rFonts w:ascii="Times New Roman" w:hAnsi="Times New Roman" w:cs="Times New Roman" w:eastAsia="Times New Roman" w:hint="default"/>
          <w:spacing w:val="-1"/>
        </w:rPr>
        <w:t>28,409,932.59</w:t>
      </w:r>
      <w:r>
        <w:rPr>
          <w:spacing w:val="-1"/>
        </w:rPr>
        <w:t>元（含税）；同时，以资本公积金向全体股东每</w:t>
      </w:r>
    </w:p>
    <w:p>
      <w:pPr>
        <w:pStyle w:val="BodyText"/>
        <w:spacing w:line="240" w:lineRule="auto" w:before="13"/>
        <w:ind w:right="0"/>
        <w:jc w:val="both"/>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股，共计送转增</w:t>
      </w:r>
      <w:r>
        <w:rPr>
          <w:rFonts w:ascii="Times New Roman" w:hAnsi="Times New Roman" w:cs="Times New Roman" w:eastAsia="Times New Roman" w:hint="default"/>
        </w:rPr>
        <w:t>327,806,914</w:t>
      </w:r>
      <w:r>
        <w:rPr/>
        <w:t>股。上述</w:t>
      </w:r>
      <w:r>
        <w:rPr>
          <w:rFonts w:ascii="Times New Roman" w:hAnsi="Times New Roman" w:cs="Times New Roman" w:eastAsia="Times New Roman" w:hint="default"/>
        </w:rPr>
        <w:t>2014</w:t>
      </w:r>
      <w:r>
        <w:rPr/>
        <w:t>年度权益分派已于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日实施完毕。</w:t>
      </w:r>
    </w:p>
    <w:p>
      <w:pPr>
        <w:pStyle w:val="Heading4"/>
        <w:spacing w:line="240" w:lineRule="auto" w:before="103"/>
        <w:ind w:right="148"/>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年度利润分配及资本公积转增股本预案</w:t>
      </w:r>
      <w:r>
        <w:rPr>
          <w:b w:val="0"/>
          <w:bCs w:val="0"/>
        </w:rPr>
      </w:r>
    </w:p>
    <w:p>
      <w:pPr>
        <w:pStyle w:val="BodyText"/>
        <w:spacing w:line="300" w:lineRule="auto" w:before="62"/>
        <w:ind w:right="14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日召开的第三届董事会第十二次会议和第三届监事会第十二次会议分别审议通过了《关于公司</w:t>
      </w:r>
      <w:r>
        <w:rPr>
          <w:rFonts w:ascii="Times New Roman" w:hAnsi="Times New Roman" w:cs="Times New Roman" w:eastAsia="Times New Roman" w:hint="default"/>
        </w:rPr>
        <w:t>2015</w:t>
      </w:r>
      <w:r>
        <w:rPr/>
        <w:t>年度利 </w:t>
      </w:r>
      <w:r>
        <w:rPr>
          <w:spacing w:val="-2"/>
        </w:rPr>
        <w:t>润分配及资本公积转增股本预案的议案》，公司拟以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日总股本</w:t>
      </w:r>
      <w:r>
        <w:rPr>
          <w:rFonts w:ascii="Times New Roman" w:hAnsi="Times New Roman" w:cs="Times New Roman" w:eastAsia="Times New Roman" w:hint="default"/>
          <w:spacing w:val="-2"/>
        </w:rPr>
        <w:t>580,306,696</w:t>
      </w:r>
      <w:r>
        <w:rPr>
          <w:spacing w:val="-2"/>
        </w:rPr>
        <w:t>股为基数，向全体股东每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3</w:t>
      </w:r>
      <w:r>
        <w:rPr>
          <w:spacing w:val="-2"/>
        </w:rPr>
        <w:t>股并</w:t>
      </w:r>
      <w:r>
        <w:rPr>
          <w:spacing w:val="-48"/>
        </w:rPr>
        <w:t> </w:t>
      </w:r>
      <w:r>
        <w:rPr>
          <w:spacing w:val="-48"/>
        </w:rPr>
      </w:r>
      <w:r>
        <w:rPr>
          <w:spacing w:val="-1"/>
        </w:rPr>
        <w:t>派发现金股利人民币</w:t>
      </w:r>
      <w:r>
        <w:rPr>
          <w:rFonts w:ascii="Times New Roman" w:hAnsi="Times New Roman" w:cs="Times New Roman" w:eastAsia="Times New Roman" w:hint="default"/>
          <w:spacing w:val="-1"/>
        </w:rPr>
        <w:t>0.8</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w:t>
      </w:r>
      <w:r>
        <w:rPr>
          <w:spacing w:val="-1"/>
        </w:rPr>
        <w:t>股。公司独立董事对此事项发表了同意意</w:t>
      </w:r>
      <w:r>
        <w:rPr>
          <w:spacing w:val="-77"/>
        </w:rPr>
        <w:t> </w:t>
      </w:r>
      <w:r>
        <w:rPr>
          <w:spacing w:val="-77"/>
        </w:rPr>
      </w:r>
      <w:r>
        <w:rPr/>
        <w:t>见，该事项尚需提交</w:t>
      </w:r>
      <w:r>
        <w:rPr>
          <w:rFonts w:ascii="Times New Roman" w:hAnsi="Times New Roman" w:cs="Times New Roman" w:eastAsia="Times New Roman" w:hint="default"/>
        </w:rPr>
        <w:t>2015</w:t>
      </w:r>
      <w:r>
        <w:rPr/>
        <w:t>年度股东大会审议。</w:t>
      </w:r>
    </w:p>
    <w:p>
      <w:pPr>
        <w:pStyle w:val="BodyText"/>
        <w:spacing w:line="240" w:lineRule="auto" w:before="53"/>
        <w:ind w:right="0"/>
        <w:jc w:val="both"/>
      </w:pPr>
      <w:r>
        <w:rPr/>
        <w:t>公司近三年（包括本报告期）普通股现金分红情况表</w:t>
      </w:r>
    </w:p>
    <w:p>
      <w:pPr>
        <w:pStyle w:val="BodyText"/>
        <w:spacing w:line="240" w:lineRule="auto" w:before="115"/>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54"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1"/>
              <w:ind w:left="612"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71"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72" w:right="72"/>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1"/>
              <w:ind w:left="432" w:right="69"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1"/>
              <w:ind w:left="432" w:right="69"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46,424,535.68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152,503,714.77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28,409,932.59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120,971,589.46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21,593,420.00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80,604,028.76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148"/>
        <w:jc w:val="left"/>
      </w:pPr>
      <w:r>
        <w:rPr/>
        <w:t>公司报告期内盈利且母公司可供普通股股东分配利润为正但未提出普通股现金红利分配预案</w:t>
      </w:r>
    </w:p>
    <w:p>
      <w:pPr>
        <w:pStyle w:val="BodyText"/>
        <w:spacing w:line="240" w:lineRule="auto" w:before="115"/>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980"/>
        </w:sectPr>
      </w:pPr>
    </w:p>
    <w:p>
      <w:pPr>
        <w:spacing w:line="240" w:lineRule="auto" w:before="8"/>
        <w:rPr>
          <w:rFonts w:ascii="宋体" w:hAnsi="宋体" w:cs="宋体" w:eastAsia="宋体" w:hint="default"/>
          <w:sz w:val="23"/>
          <w:szCs w:val="23"/>
        </w:rPr>
      </w:pPr>
      <w:r>
        <w:rPr/>
        <w:pict>
          <v:group style="position:absolute;margin-left:311.279999pt;margin-top:352.200012pt;width:55.8pt;height:407.65pt;mso-position-horizontal-relative:page;mso-position-vertical-relative:page;z-index:-988672" coordorigin="6226,7044" coordsize="1116,8153">
            <v:group style="position:absolute;left:6226;top:7044;width:1116;height:8153" coordorigin="6226,7044" coordsize="1116,8153">
              <v:shape style="position:absolute;left:6226;top:7044;width:1116;height:8153" coordorigin="6226,7044" coordsize="1116,8153" path="m6226,7044l7342,7044,7342,15197,6226,15197,6226,7044xe" filled="true" fillcolor="#ffffff" stroked="false">
                <v:path arrowok="t"/>
                <v:fill type="solid"/>
              </v:shape>
            </v:group>
            <v:group style="position:absolute;left:6250;top:7044;width:1071;height:353" coordorigin="6250,7044" coordsize="1071,353">
              <v:shape style="position:absolute;left:6250;top:7044;width:1071;height:353" coordorigin="6250,7044" coordsize="1071,353" path="m6250,7044l7320,7044,7320,7397,6250,7397,6250,7044xe" filled="true" fillcolor="#ffffff" stroked="false">
                <v:path arrowok="t"/>
                <v:fill type="solid"/>
              </v:shape>
            </v:group>
            <v:group style="position:absolute;left:6250;top:7397;width:1071;height:312" coordorigin="6250,7397" coordsize="1071,312">
              <v:shape style="position:absolute;left:6250;top:7397;width:1071;height:312" coordorigin="6250,7397" coordsize="1071,312" path="m6250,7397l7320,7397,7320,7709,6250,7709,6250,7397xe" filled="true" fillcolor="#ffffff" stroked="false">
                <v:path arrowok="t"/>
                <v:fill type="solid"/>
              </v:shape>
            </v:group>
            <v:group style="position:absolute;left:6250;top:7709;width:1071;height:312" coordorigin="6250,7709" coordsize="1071,312">
              <v:shape style="position:absolute;left:6250;top:7709;width:1071;height:312" coordorigin="6250,7709" coordsize="1071,312" path="m6250,7709l7320,7709,7320,8021,6250,8021,6250,7709xe" filled="true" fillcolor="#ffffff" stroked="false">
                <v:path arrowok="t"/>
                <v:fill type="solid"/>
              </v:shape>
            </v:group>
            <v:group style="position:absolute;left:6250;top:8021;width:1071;height:312" coordorigin="6250,8021" coordsize="1071,312">
              <v:shape style="position:absolute;left:6250;top:8021;width:1071;height:312" coordorigin="6250,8021" coordsize="1071,312" path="m6250,8021l7320,8021,7320,8333,6250,8333,6250,8021xe" filled="true" fillcolor="#ffffff" stroked="false">
                <v:path arrowok="t"/>
                <v:fill type="solid"/>
              </v:shape>
            </v:group>
            <v:group style="position:absolute;left:6250;top:8333;width:1071;height:312" coordorigin="6250,8333" coordsize="1071,312">
              <v:shape style="position:absolute;left:6250;top:8333;width:1071;height:312" coordorigin="6250,8333" coordsize="1071,312" path="m6250,8333l7320,8333,7320,8645,6250,8645,6250,8333xe" filled="true" fillcolor="#ffffff" stroked="false">
                <v:path arrowok="t"/>
                <v:fill type="solid"/>
              </v:shape>
            </v:group>
            <v:group style="position:absolute;left:6250;top:8645;width:1071;height:312" coordorigin="6250,8645" coordsize="1071,312">
              <v:shape style="position:absolute;left:6250;top:8645;width:1071;height:312" coordorigin="6250,8645" coordsize="1071,312" path="m6250,8645l7320,8645,7320,8957,6250,8957,6250,8645xe" filled="true" fillcolor="#ffffff" stroked="false">
                <v:path arrowok="t"/>
                <v:fill type="solid"/>
              </v:shape>
            </v:group>
            <v:group style="position:absolute;left:6250;top:8957;width:1071;height:312" coordorigin="6250,8957" coordsize="1071,312">
              <v:shape style="position:absolute;left:6250;top:8957;width:1071;height:312" coordorigin="6250,8957" coordsize="1071,312" path="m6250,8957l7320,8957,7320,9269,6250,9269,6250,8957xe" filled="true" fillcolor="#ffffff" stroked="false">
                <v:path arrowok="t"/>
                <v:fill type="solid"/>
              </v:shape>
            </v:group>
            <v:group style="position:absolute;left:6250;top:9269;width:1071;height:312" coordorigin="6250,9269" coordsize="1071,312">
              <v:shape style="position:absolute;left:6250;top:9269;width:1071;height:312" coordorigin="6250,9269" coordsize="1071,312" path="m6250,9269l7320,9269,7320,9581,6250,9581,6250,9269xe" filled="true" fillcolor="#ffffff" stroked="false">
                <v:path arrowok="t"/>
                <v:fill type="solid"/>
              </v:shape>
            </v:group>
            <v:group style="position:absolute;left:6250;top:9581;width:1071;height:312" coordorigin="6250,9581" coordsize="1071,312">
              <v:shape style="position:absolute;left:6250;top:9581;width:1071;height:312" coordorigin="6250,9581" coordsize="1071,312" path="m6250,9581l7320,9581,7320,9893,6250,9893,6250,9581xe" filled="true" fillcolor="#ffffff" stroked="false">
                <v:path arrowok="t"/>
                <v:fill type="solid"/>
              </v:shape>
            </v:group>
            <v:group style="position:absolute;left:6250;top:9893;width:1071;height:312" coordorigin="6250,9893" coordsize="1071,312">
              <v:shape style="position:absolute;left:6250;top:9893;width:1071;height:312" coordorigin="6250,9893" coordsize="1071,312" path="m6250,9893l7320,9893,7320,10205,6250,10205,6250,9893xe" filled="true" fillcolor="#ffffff" stroked="false">
                <v:path arrowok="t"/>
                <v:fill type="solid"/>
              </v:shape>
            </v:group>
            <v:group style="position:absolute;left:6250;top:10205;width:1071;height:312" coordorigin="6250,10205" coordsize="1071,312">
              <v:shape style="position:absolute;left:6250;top:10205;width:1071;height:312" coordorigin="6250,10205" coordsize="1071,312" path="m6250,10205l7320,10205,7320,10517,6250,10517,6250,10205xe" filled="true" fillcolor="#ffffff" stroked="false">
                <v:path arrowok="t"/>
                <v:fill type="solid"/>
              </v:shape>
            </v:group>
            <v:group style="position:absolute;left:6250;top:10517;width:1071;height:312" coordorigin="6250,10517" coordsize="1071,312">
              <v:shape style="position:absolute;left:6250;top:10517;width:1071;height:312" coordorigin="6250,10517" coordsize="1071,312" path="m6250,10517l7320,10517,7320,10829,6250,10829,6250,10517xe" filled="true" fillcolor="#ffffff" stroked="false">
                <v:path arrowok="t"/>
                <v:fill type="solid"/>
              </v:shape>
            </v:group>
            <v:group style="position:absolute;left:6250;top:10829;width:1071;height:312" coordorigin="6250,10829" coordsize="1071,312">
              <v:shape style="position:absolute;left:6250;top:10829;width:1071;height:312" coordorigin="6250,10829" coordsize="1071,312" path="m6250,10829l7320,10829,7320,11141,6250,11141,6250,10829xe" filled="true" fillcolor="#ffffff" stroked="false">
                <v:path arrowok="t"/>
                <v:fill type="solid"/>
              </v:shape>
            </v:group>
            <v:group style="position:absolute;left:6250;top:11141;width:1071;height:312" coordorigin="6250,11141" coordsize="1071,312">
              <v:shape style="position:absolute;left:6250;top:11141;width:1071;height:312" coordorigin="6250,11141" coordsize="1071,312" path="m6250,11141l7320,11141,7320,11453,6250,11453,6250,11141xe" filled="true" fillcolor="#ffffff" stroked="false">
                <v:path arrowok="t"/>
                <v:fill type="solid"/>
              </v:shape>
            </v:group>
            <v:group style="position:absolute;left:6250;top:11453;width:1071;height:312" coordorigin="6250,11453" coordsize="1071,312">
              <v:shape style="position:absolute;left:6250;top:11453;width:1071;height:312" coordorigin="6250,11453" coordsize="1071,312" path="m6250,11453l7320,11453,7320,11765,6250,11765,6250,11453xe" filled="true" fillcolor="#ffffff" stroked="false">
                <v:path arrowok="t"/>
                <v:fill type="solid"/>
              </v:shape>
            </v:group>
            <v:group style="position:absolute;left:6250;top:11765;width:1071;height:312" coordorigin="6250,11765" coordsize="1071,312">
              <v:shape style="position:absolute;left:6250;top:11765;width:1071;height:312" coordorigin="6250,11765" coordsize="1071,312" path="m6250,11765l7320,11765,7320,12077,6250,12077,6250,11765xe" filled="true" fillcolor="#ffffff" stroked="false">
                <v:path arrowok="t"/>
                <v:fill type="solid"/>
              </v:shape>
            </v:group>
            <v:group style="position:absolute;left:6250;top:12077;width:1071;height:312" coordorigin="6250,12077" coordsize="1071,312">
              <v:shape style="position:absolute;left:6250;top:12077;width:1071;height:312" coordorigin="6250,12077" coordsize="1071,312" path="m6250,12077l7320,12077,7320,12389,6250,12389,6250,12077xe" filled="true" fillcolor="#ffffff" stroked="false">
                <v:path arrowok="t"/>
                <v:fill type="solid"/>
              </v:shape>
            </v:group>
            <v:group style="position:absolute;left:6250;top:12389;width:1071;height:312" coordorigin="6250,12389" coordsize="1071,312">
              <v:shape style="position:absolute;left:6250;top:12389;width:1071;height:312" coordorigin="6250,12389" coordsize="1071,312" path="m6250,12389l7320,12389,7320,12701,6250,12701,6250,12389xe" filled="true" fillcolor="#ffffff" stroked="false">
                <v:path arrowok="t"/>
                <v:fill type="solid"/>
              </v:shape>
            </v:group>
            <v:group style="position:absolute;left:6250;top:12701;width:1071;height:312" coordorigin="6250,12701" coordsize="1071,312">
              <v:shape style="position:absolute;left:6250;top:12701;width:1071;height:312" coordorigin="6250,12701" coordsize="1071,312" path="m6250,12701l7320,12701,7320,13013,6250,13013,6250,12701xe" filled="true" fillcolor="#ffffff" stroked="false">
                <v:path arrowok="t"/>
                <v:fill type="solid"/>
              </v:shape>
            </v:group>
            <v:group style="position:absolute;left:6250;top:13013;width:1071;height:312" coordorigin="6250,13013" coordsize="1071,312">
              <v:shape style="position:absolute;left:6250;top:13013;width:1071;height:312" coordorigin="6250,13013" coordsize="1071,312" path="m6250,13013l7320,13013,7320,13325,6250,13325,6250,13013xe" filled="true" fillcolor="#ffffff" stroked="false">
                <v:path arrowok="t"/>
                <v:fill type="solid"/>
              </v:shape>
            </v:group>
            <v:group style="position:absolute;left:6250;top:13325;width:1071;height:312" coordorigin="6250,13325" coordsize="1071,312">
              <v:shape style="position:absolute;left:6250;top:13325;width:1071;height:312" coordorigin="6250,13325" coordsize="1071,312" path="m6250,13325l7320,13325,7320,13637,6250,13637,6250,13325xe" filled="true" fillcolor="#ffffff" stroked="false">
                <v:path arrowok="t"/>
                <v:fill type="solid"/>
              </v:shape>
            </v:group>
            <v:group style="position:absolute;left:6250;top:13637;width:1071;height:312" coordorigin="6250,13637" coordsize="1071,312">
              <v:shape style="position:absolute;left:6250;top:13637;width:1071;height:312" coordorigin="6250,13637" coordsize="1071,312" path="m6250,13637l7320,13637,7320,13949,6250,13949,6250,13637xe" filled="true" fillcolor="#ffffff" stroked="false">
                <v:path arrowok="t"/>
                <v:fill type="solid"/>
              </v:shape>
            </v:group>
            <v:group style="position:absolute;left:6250;top:13949;width:1071;height:312" coordorigin="6250,13949" coordsize="1071,312">
              <v:shape style="position:absolute;left:6250;top:13949;width:1071;height:312" coordorigin="6250,13949" coordsize="1071,312" path="m6250,13949l7320,13949,7320,14261,6250,14261,6250,13949xe" filled="true" fillcolor="#ffffff" stroked="false">
                <v:path arrowok="t"/>
                <v:fill type="solid"/>
              </v:shape>
            </v:group>
            <v:group style="position:absolute;left:6250;top:14261;width:1071;height:312" coordorigin="6250,14261" coordsize="1071,312">
              <v:shape style="position:absolute;left:6250;top:14261;width:1071;height:312" coordorigin="6250,14261" coordsize="1071,312" path="m6250,14261l7320,14261,7320,14573,6250,14573,6250,14261xe" filled="true" fillcolor="#ffffff" stroked="false">
                <v:path arrowok="t"/>
                <v:fill type="solid"/>
              </v:shape>
            </v:group>
            <v:group style="position:absolute;left:6250;top:14573;width:1071;height:312" coordorigin="6250,14573" coordsize="1071,312">
              <v:shape style="position:absolute;left:6250;top:14573;width:1071;height:312" coordorigin="6250,14573" coordsize="1071,312" path="m6250,14573l7320,14573,7320,14885,6250,14885,6250,14573xe" filled="true" fillcolor="#ffffff" stroked="false">
                <v:path arrowok="t"/>
                <v:fill type="solid"/>
              </v:shape>
            </v:group>
            <v:group style="position:absolute;left:6250;top:14885;width:1071;height:312" coordorigin="6250,14885" coordsize="1071,312">
              <v:shape style="position:absolute;left:6250;top:14885;width:1071;height:312" coordorigin="6250,14885" coordsize="1071,312" path="m6250,14885l7320,14885,7320,15197,6250,15197,6250,14885xe" filled="true" fillcolor="#ffffff" stroked="false">
                <v:path arrowok="t"/>
                <v:fill type="solid"/>
              </v:shape>
            </v:group>
            <w10:wrap type="none"/>
          </v:group>
        </w:pict>
      </w:r>
    </w:p>
    <w:p>
      <w:pPr>
        <w:pStyle w:val="Heading2"/>
        <w:spacing w:line="240" w:lineRule="auto" w:before="26"/>
        <w:ind w:right="148"/>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48"/>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6"/>
        </w:rPr>
        <w:t> </w:t>
      </w:r>
      <w:r>
        <w:rPr>
          <w:spacing w:val="-66"/>
        </w:rPr>
      </w:r>
      <w:r>
        <w:rPr/>
        <w:t>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2837" w:type="dxa"/>
            <w:vMerge w:val="restart"/>
            <w:tcBorders>
              <w:top w:val="single" w:sz="4" w:space="0" w:color="000000"/>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公司承诺自</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上述承诺已</w:t>
            </w: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本次股票复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履行完毕，且</w:t>
            </w:r>
          </w:p>
        </w:tc>
      </w:tr>
      <w:tr>
        <w:trPr>
          <w:trHeight w:val="430" w:hRule="exact"/>
        </w:trPr>
        <w:tc>
          <w:tcPr>
            <w:tcW w:w="2837" w:type="dxa"/>
            <w:vMerge/>
            <w:tcBorders>
              <w:left w:val="single" w:sz="4" w:space="0" w:color="000000"/>
              <w:bottom w:val="nil" w:sz="6" w:space="0" w:color="auto"/>
              <w:right w:val="single" w:sz="4" w:space="0" w:color="000000"/>
            </w:tcBorders>
            <w:shd w:val="clear" w:color="auto" w:fill="D3D3D3"/>
          </w:tcPr>
          <w:p>
            <w:pPr/>
          </w:p>
        </w:tc>
        <w:tc>
          <w:tcPr>
            <w:tcW w:w="1123" w:type="dxa"/>
            <w:vMerge w:val="restart"/>
            <w:tcBorders>
              <w:top w:val="nil" w:sz="6" w:space="0" w:color="auto"/>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卫宁健康科 技集团股份 有限公司</w:t>
            </w:r>
          </w:p>
        </w:tc>
        <w:tc>
          <w:tcPr>
            <w:tcW w:w="1128" w:type="dxa"/>
            <w:vMerge w:val="restart"/>
            <w:tcBorders>
              <w:top w:val="nil" w:sz="6" w:space="0" w:color="auto"/>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6" w:right="189"/>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126" w:type="dxa"/>
            <w:vMerge w:val="restart"/>
            <w:tcBorders>
              <w:top w:val="nil" w:sz="6" w:space="0" w:color="auto"/>
              <w:left w:val="single" w:sz="4" w:space="0" w:color="000000"/>
              <w:right w:val="single" w:sz="4" w:space="0" w:color="000000"/>
            </w:tcBorders>
          </w:tcPr>
          <w:p>
            <w:pPr>
              <w:pStyle w:val="TableParagraph"/>
              <w:spacing w:line="307" w:lineRule="auto" w:before="10"/>
              <w:ind w:left="24" w:right="7"/>
              <w:jc w:val="left"/>
              <w:rPr>
                <w:rFonts w:ascii="宋体" w:hAnsi="宋体" w:cs="宋体" w:eastAsia="宋体" w:hint="default"/>
                <w:sz w:val="18"/>
                <w:szCs w:val="18"/>
              </w:rPr>
            </w:pPr>
            <w:r>
              <w:rPr>
                <w:rFonts w:ascii="宋体" w:hAnsi="宋体" w:cs="宋体" w:eastAsia="宋体" w:hint="default"/>
                <w:sz w:val="18"/>
                <w:szCs w:val="18"/>
              </w:rPr>
              <w:t>牌之日（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起六个月内 不再筹划重</w:t>
            </w:r>
          </w:p>
        </w:tc>
        <w:tc>
          <w:tcPr>
            <w:tcW w:w="1126" w:type="dxa"/>
            <w:vMerge w:val="restart"/>
            <w:tcBorders>
              <w:top w:val="nil" w:sz="6" w:space="0" w:color="auto"/>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vMerge w:val="restart"/>
            <w:tcBorders>
              <w:top w:val="nil" w:sz="6" w:space="0" w:color="auto"/>
              <w:left w:val="single" w:sz="4" w:space="0" w:color="000000"/>
              <w:right w:val="single" w:sz="4" w:space="0" w:color="000000"/>
            </w:tcBorders>
          </w:tcPr>
          <w:p>
            <w:pPr>
              <w:pStyle w:val="TableParagraph"/>
              <w:spacing w:line="316" w:lineRule="auto" w:before="10"/>
              <w:ind w:left="24" w:right="-8"/>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述承诺人严 格信守承诺， 未发现违反</w:t>
            </w:r>
          </w:p>
        </w:tc>
      </w:tr>
      <w:tr>
        <w:trPr>
          <w:trHeight w:val="394" w:hRule="exact"/>
        </w:trPr>
        <w:tc>
          <w:tcPr>
            <w:tcW w:w="2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25" w:hRule="exact"/>
        </w:trPr>
        <w:tc>
          <w:tcPr>
            <w:tcW w:w="2837" w:type="dxa"/>
            <w:vMerge w:val="restart"/>
            <w:tcBorders>
              <w:top w:val="nil" w:sz="6" w:space="0" w:color="auto"/>
              <w:left w:val="single" w:sz="4" w:space="0" w:color="000000"/>
              <w:right w:val="single" w:sz="4" w:space="0" w:color="000000"/>
            </w:tcBorders>
            <w:shd w:val="clear" w:color="auto" w:fill="D3D3D3"/>
          </w:tcPr>
          <w:p>
            <w:pPr/>
          </w:p>
        </w:tc>
        <w:tc>
          <w:tcPr>
            <w:tcW w:w="1123" w:type="dxa"/>
            <w:vMerge/>
            <w:tcBorders>
              <w:left w:val="single" w:sz="4" w:space="0" w:color="000000"/>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大资产重组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上述承诺的</w:t>
            </w: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5" w:hRule="exact"/>
        </w:trPr>
        <w:tc>
          <w:tcPr>
            <w:tcW w:w="2837" w:type="dxa"/>
            <w:vMerge w:val="restart"/>
            <w:tcBorders>
              <w:top w:val="single" w:sz="4" w:space="0" w:color="000000"/>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（一）避免同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一）避免同业</w:t>
            </w: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发行人控股</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际控制人周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股东、实际控</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炜、王英夫妇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制人关于公</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刘宁、孙凯、</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关于避免同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司对外担保</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张士英、陈建</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和资金往来</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国、贾按师、</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的承诺：长</w:t>
            </w:r>
          </w:p>
        </w:tc>
        <w:tc>
          <w:tcPr>
            <w:tcW w:w="1106" w:type="dxa"/>
            <w:tcBorders>
              <w:top w:val="nil" w:sz="6" w:space="0" w:color="auto"/>
              <w:left w:val="single" w:sz="4" w:space="0" w:color="000000"/>
              <w:bottom w:val="nil" w:sz="6" w:space="0" w:color="auto"/>
              <w:right w:val="single" w:sz="4" w:space="0" w:color="000000"/>
            </w:tcBorders>
          </w:tcPr>
          <w:p>
            <w:pPr/>
          </w:p>
        </w:tc>
      </w:tr>
      <w:tr>
        <w:trPr>
          <w:trHeight w:val="1040" w:hRule="exact"/>
        </w:trPr>
        <w:tc>
          <w:tcPr>
            <w:tcW w:w="2837" w:type="dxa"/>
            <w:vMerge/>
            <w:tcBorders>
              <w:left w:val="single" w:sz="4" w:space="0" w:color="000000"/>
              <w:bottom w:val="nil" w:sz="6" w:space="0" w:color="auto"/>
              <w:right w:val="single" w:sz="4" w:space="0" w:color="000000"/>
            </w:tcBorders>
            <w:shd w:val="clear" w:color="auto" w:fill="D3D3D3"/>
          </w:tcPr>
          <w:p>
            <w:pPr/>
          </w:p>
        </w:tc>
        <w:tc>
          <w:tcPr>
            <w:tcW w:w="1123" w:type="dxa"/>
            <w:vMerge w:val="restart"/>
            <w:tcBorders>
              <w:top w:val="nil" w:sz="6" w:space="0" w:color="auto"/>
              <w:left w:val="single" w:sz="4" w:space="0" w:color="000000"/>
              <w:right w:val="single" w:sz="4" w:space="0" w:color="000000"/>
            </w:tcBorders>
          </w:tcPr>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z w:val="18"/>
                <w:szCs w:val="18"/>
              </w:rPr>
              <w:t>凌红、胡美 珍、范钧、曾 刚琴、韩伟、 黄晓怡、靳 茂、周洪、付 春林、付晖、 黄克华、孙超 仁、邓荣华、</w:t>
            </w:r>
          </w:p>
        </w:tc>
        <w:tc>
          <w:tcPr>
            <w:tcW w:w="1128" w:type="dxa"/>
            <w:vMerge w:val="restart"/>
            <w:tcBorders>
              <w:top w:val="nil" w:sz="6" w:space="0" w:color="auto"/>
              <w:left w:val="single" w:sz="4" w:space="0" w:color="000000"/>
              <w:right w:val="single" w:sz="4" w:space="0" w:color="000000"/>
            </w:tcBorders>
          </w:tcPr>
          <w:p>
            <w:pPr>
              <w:pStyle w:val="TableParagraph"/>
              <w:spacing w:line="312" w:lineRule="auto" w:before="153"/>
              <w:ind w:left="26"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、关于同业 竞争、关联交 易、资金占用 方面的承诺；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、其他承诺</w:t>
            </w:r>
          </w:p>
          <w:p>
            <w:pPr>
              <w:pStyle w:val="TableParagraph"/>
              <w:spacing w:line="300" w:lineRule="auto" w:before="3"/>
              <w:ind w:left="26"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、股份限售 承诺。</w:t>
            </w:r>
          </w:p>
        </w:tc>
        <w:tc>
          <w:tcPr>
            <w:tcW w:w="1126" w:type="dxa"/>
            <w:vMerge w:val="restart"/>
            <w:tcBorders>
              <w:top w:val="nil" w:sz="6" w:space="0" w:color="auto"/>
              <w:left w:val="single" w:sz="4" w:space="0" w:color="000000"/>
              <w:right w:val="single" w:sz="4" w:space="0" w:color="000000"/>
            </w:tcBorders>
          </w:tcPr>
          <w:p>
            <w:pPr>
              <w:pStyle w:val="TableParagraph"/>
              <w:spacing w:line="312" w:lineRule="auto" w:before="16"/>
              <w:ind w:left="24" w:right="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w:t>
            </w:r>
            <w:r>
              <w:rPr>
                <w:rFonts w:ascii="宋体" w:hAnsi="宋体" w:cs="宋体" w:eastAsia="宋体" w:hint="default"/>
                <w:sz w:val="18"/>
                <w:szCs w:val="18"/>
              </w:rPr>
              <w:t> 司控股股东、 实际控制人 周炜、王英夫</w:t>
            </w:r>
          </w:p>
          <w:p>
            <w:pPr>
              <w:pStyle w:val="TableParagraph"/>
              <w:spacing w:line="185" w:lineRule="exact" w:before="22"/>
              <w:ind w:left="24" w:right="0"/>
              <w:jc w:val="left"/>
              <w:rPr>
                <w:rFonts w:ascii="宋体" w:hAnsi="宋体" w:cs="宋体" w:eastAsia="宋体" w:hint="default"/>
                <w:sz w:val="18"/>
                <w:szCs w:val="18"/>
              </w:rPr>
            </w:pPr>
            <w:r>
              <w:rPr>
                <w:rFonts w:ascii="宋体" w:hAnsi="宋体" w:cs="宋体" w:eastAsia="宋体" w:hint="default"/>
                <w:sz w:val="18"/>
                <w:szCs w:val="18"/>
              </w:rPr>
              <w:t>妇向公司出</w:t>
            </w:r>
          </w:p>
          <w:p>
            <w:pPr>
              <w:pStyle w:val="TableParagraph"/>
              <w:spacing w:line="15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具了避免同</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2"/>
                <w:sz w:val="18"/>
                <w:szCs w:val="18"/>
              </w:rPr>
              <w:t>业竞争的《承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诺函》。</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、持</w:t>
            </w:r>
          </w:p>
        </w:tc>
        <w:tc>
          <w:tcPr>
            <w:tcW w:w="112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314" w:lineRule="auto" w:before="16"/>
              <w:ind w:left="24" w:right="93"/>
              <w:jc w:val="left"/>
              <w:rPr>
                <w:rFonts w:ascii="宋体" w:hAnsi="宋体" w:cs="宋体" w:eastAsia="宋体" w:hint="default"/>
                <w:sz w:val="18"/>
                <w:szCs w:val="18"/>
              </w:rPr>
            </w:pPr>
            <w:r>
              <w:rPr>
                <w:rFonts w:ascii="宋体" w:hAnsi="宋体" w:cs="宋体" w:eastAsia="宋体" w:hint="default"/>
                <w:spacing w:val="-16"/>
                <w:sz w:val="18"/>
                <w:szCs w:val="18"/>
              </w:rPr>
              <w:t>期。（三）首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次公开发行 前股东所持 股份的流通 限制和自愿 锁定股份的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公司控股股</w:t>
            </w:r>
          </w:p>
        </w:tc>
        <w:tc>
          <w:tcPr>
            <w:tcW w:w="1106" w:type="dxa"/>
            <w:vMerge w:val="restart"/>
            <w:tcBorders>
              <w:top w:val="nil" w:sz="6" w:space="0" w:color="auto"/>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24"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守承诺，未发</w:t>
            </w:r>
            <w:r>
              <w:rPr>
                <w:rFonts w:ascii="宋体" w:hAnsi="宋体" w:cs="宋体" w:eastAsia="宋体" w:hint="default"/>
                <w:sz w:val="18"/>
                <w:szCs w:val="18"/>
              </w:rPr>
              <w:t> 现违反上述 承诺的情况。</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065" w:hRule="exact"/>
        </w:trPr>
        <w:tc>
          <w:tcPr>
            <w:tcW w:w="2837" w:type="dxa"/>
            <w:vMerge w:val="restart"/>
            <w:tcBorders>
              <w:top w:val="nil" w:sz="6" w:space="0" w:color="auto"/>
              <w:left w:val="single" w:sz="4" w:space="0" w:color="000000"/>
              <w:right w:val="single" w:sz="4" w:space="0" w:color="000000"/>
            </w:tcBorders>
            <w:shd w:val="clear" w:color="auto" w:fill="D3D3D3"/>
          </w:tcPr>
          <w:p>
            <w:pPr/>
          </w:p>
        </w:tc>
        <w:tc>
          <w:tcPr>
            <w:tcW w:w="1123" w:type="dxa"/>
            <w:vMerge/>
            <w:tcBorders>
              <w:left w:val="single" w:sz="4" w:space="0" w:color="000000"/>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陈军华、熊海</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股超过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pacing w:val="-3"/>
                <w:sz w:val="18"/>
                <w:szCs w:val="18"/>
              </w:rPr>
              <w:t>东周炜、王英</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浪、艾国光、</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其他主要股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夫妇和股东</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汪国亮、阚家</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东关于避免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刘宁三十六</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平、李继东</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他股东十二</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宋体" w:hAnsi="宋体" w:cs="宋体" w:eastAsia="宋体" w:hint="default"/>
                <w:sz w:val="18"/>
                <w:szCs w:val="18"/>
              </w:rPr>
              <w:t>、同</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司持股超过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时，担任公司</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的其他主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要股东刘宁、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孙凯、张士</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员的周炜、刘</w:t>
            </w: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英、陈建国、</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宁、孙凯、靳</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贾按师均分</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茂、张士英、</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别向公司出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黄克华还承</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具了避免同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诺：除前述锁</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定期外，在其</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任职期间每</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发行人控股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份不超过其</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制人关于公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所持有发行</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司对外担保</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人股份总数</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和资金往来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的百分之二</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十五，离职后</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六个月内，不</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本公司控股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转让其所持</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制人周炜、王</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股份。在首次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英夫妇就关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于公司对外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担保和资金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往来作出《关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于严格执行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【证监发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个月内不得</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转让其直接</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号】文有关规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定的承诺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股份；在首次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2"/>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（三</w:t>
            </w:r>
            <w:r>
              <w:rPr>
                <w:rFonts w:ascii="宋体" w:hAnsi="宋体" w:cs="宋体" w:eastAsia="宋体" w:hint="default"/>
                <w:spacing w:val="-5"/>
                <w:sz w:val="18"/>
                <w:szCs w:val="18"/>
              </w:rPr>
              <w:t>）</w:t>
            </w:r>
            <w:r>
              <w:rPr>
                <w:rFonts w:ascii="宋体" w:hAnsi="宋体" w:cs="宋体" w:eastAsia="宋体" w:hint="default"/>
                <w:sz w:val="18"/>
                <w:szCs w:val="18"/>
              </w:rPr>
              <w:t>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前股东所持</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股份的流通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限制和自愿</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锁定股份的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离职的，自申</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起十二个月</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周炜、王英夫</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内不得转让</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妇和股东刘</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其直接持有</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宁承诺：自发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行人股票上</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公司董事周</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市之日起三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炜之关联方</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十六个月内，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王英还承诺：</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在周炜担任</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公司董事、监</w:t>
            </w: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理其直接或</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事或高级管</w:t>
            </w: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5"/>
              <w:jc w:val="center"/>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其持有的公</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司股份按照</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对公司董事、</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发行人回购</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其直接或者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股份减持的</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规定执行。</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（四）主要股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东关于承担</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发行人相关</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税收补缴责</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 w:right="0"/>
              <w:jc w:val="center"/>
              <w:rPr>
                <w:rFonts w:ascii="宋体" w:hAnsi="宋体" w:cs="宋体" w:eastAsia="宋体" w:hint="default"/>
                <w:sz w:val="18"/>
                <w:szCs w:val="18"/>
              </w:rPr>
            </w:pPr>
            <w:r>
              <w:rPr>
                <w:rFonts w:ascii="宋体" w:hAnsi="宋体" w:cs="宋体" w:eastAsia="宋体" w:hint="default"/>
                <w:sz w:val="18"/>
                <w:szCs w:val="18"/>
              </w:rPr>
              <w:t>司股东孙凯、</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任的承诺：长</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张士英、陈建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国、贾按师、</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凌红、胡美</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珍、范钧、曾</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刚琴、韩伟、</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黄晓怡、靳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茂、周洪、付</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春林、付晖、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黄克华、孙超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仁、邓荣华、</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陈军华、熊海</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浪、艾国光、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汪国亮、阚家</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平、李继东均</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承诺：自股票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理其直接或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发行人回购</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其直接或者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559998pt;margin-top:72.480011pt;width:55.8pt;height:686.4pt;mso-position-horizontal-relative:page;mso-position-vertical-relative:page;z-index:-988648" coordorigin="7351,1450" coordsize="1116,13728">
            <v:shape style="position:absolute;left:7351;top:1450;width:1116;height:13728" coordorigin="7351,1450" coordsize="1116,13728" path="m7351,1450l8467,1450,8467,15178,7351,15178,7351,14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9"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84"/>
              <w:jc w:val="center"/>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3</w:t>
            </w:r>
            <w:r>
              <w:rPr>
                <w:rFonts w:ascii="宋体" w:hAnsi="宋体" w:cs="宋体" w:eastAsia="宋体" w:hint="default"/>
                <w:sz w:val="18"/>
                <w:szCs w:val="18"/>
              </w:rPr>
              <w:t>、同时</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5"/>
              <w:jc w:val="center"/>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的周炜、刘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宁、孙凯、靳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茂、张士英、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黄克华还承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诺：除前述锁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定期外，在其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任职期间每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份不超过其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所持有发行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人股份总数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的百分之二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十五，离职后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转让其所持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股份。在首次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之日起十八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个月内不得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转让其直接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股份；在首次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起第七个月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至第十二个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起十二个月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内不得转让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其直接持有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公司董事周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炜之关联方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王英还承诺：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在周炜担任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事或高级管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（四）主要股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东关于承担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税收补缴责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任的承诺周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炜、王英和刘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宁作为发行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人及主要股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东，就发行人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成立以来所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涉及的企业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所得税缴纳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事项，出具了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《承诺书</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承诺如果税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务机关认定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已享受减免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的企业所得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税税款，则该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等需要补交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的税款将由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承诺人周炜、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刘宁、王英按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照其持有的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权比例共同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卫宁健康科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截至本报告</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9"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技集团股份</w:t>
            </w: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激励计划：承</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日至本次股</w:t>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0"/>
              <w:jc w:val="center"/>
              <w:rPr>
                <w:rFonts w:ascii="宋体" w:hAnsi="宋体" w:cs="宋体" w:eastAsia="宋体" w:hint="default"/>
                <w:sz w:val="18"/>
                <w:szCs w:val="18"/>
              </w:rPr>
            </w:pPr>
            <w:r>
              <w:rPr>
                <w:rFonts w:ascii="宋体" w:hAnsi="宋体" w:cs="宋体" w:eastAsia="宋体" w:hint="default"/>
                <w:sz w:val="18"/>
                <w:szCs w:val="18"/>
              </w:rPr>
              <w:t>诺持股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权激励计划</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5"/>
              <w:jc w:val="center"/>
              <w:rPr>
                <w:rFonts w:ascii="宋体" w:hAnsi="宋体" w:cs="宋体" w:eastAsia="宋体" w:hint="default"/>
                <w:sz w:val="18"/>
                <w:szCs w:val="18"/>
              </w:rPr>
            </w:pPr>
            <w:r>
              <w:rPr>
                <w:rFonts w:ascii="宋体" w:hAnsi="宋体" w:cs="宋体" w:eastAsia="宋体" w:hint="default"/>
                <w:sz w:val="18"/>
                <w:szCs w:val="18"/>
              </w:rPr>
              <w:t>上的主要股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终止或有效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5"/>
                <w:sz w:val="18"/>
                <w:szCs w:val="18"/>
              </w:rPr>
              <w:t>守承诺，未发</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东或实际控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期结束。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现违反上述</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制人及其配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8"/>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偶均未参与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本激励计划；</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公司承诺不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为激励对象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依本激励计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划获取有关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权益提供贷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款以及其他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财务资助，包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括为其贷款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提供担保。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激励计划：承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0"/>
              <w:jc w:val="center"/>
              <w:rPr>
                <w:rFonts w:ascii="宋体" w:hAnsi="宋体" w:cs="宋体" w:eastAsia="宋体" w:hint="default"/>
                <w:sz w:val="18"/>
                <w:szCs w:val="18"/>
              </w:rPr>
            </w:pPr>
            <w:r>
              <w:rPr>
                <w:rFonts w:ascii="宋体" w:hAnsi="宋体" w:cs="宋体" w:eastAsia="宋体" w:hint="default"/>
                <w:sz w:val="18"/>
                <w:szCs w:val="18"/>
              </w:rPr>
              <w:t>诺持股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5"/>
              <w:jc w:val="center"/>
              <w:rPr>
                <w:rFonts w:ascii="宋体" w:hAnsi="宋体" w:cs="宋体" w:eastAsia="宋体" w:hint="default"/>
                <w:sz w:val="18"/>
                <w:szCs w:val="18"/>
              </w:rPr>
            </w:pPr>
            <w:r>
              <w:rPr>
                <w:rFonts w:ascii="宋体" w:hAnsi="宋体" w:cs="宋体" w:eastAsia="宋体" w:hint="default"/>
                <w:sz w:val="18"/>
                <w:szCs w:val="18"/>
              </w:rPr>
              <w:t>上的主要股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东或实际控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制人及其配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卫宁健康科 技集团股份 有限公司</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
              <w:jc w:val="left"/>
              <w:rPr>
                <w:rFonts w:ascii="宋体" w:hAnsi="宋体" w:cs="宋体" w:eastAsia="宋体" w:hint="default"/>
                <w:sz w:val="18"/>
                <w:szCs w:val="18"/>
              </w:rPr>
            </w:pPr>
            <w:r>
              <w:rPr>
                <w:rFonts w:ascii="宋体" w:hAnsi="宋体" w:cs="宋体" w:eastAsia="宋体" w:hint="default"/>
                <w:sz w:val="18"/>
                <w:szCs w:val="18"/>
              </w:rPr>
              <w:t>偶均未参与 本激励计划； 公司承诺不 为激励对象 依本激励计 划获取有关</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4" w:right="137"/>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 股权激励计 划终止或有 效期结束。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守承诺，未发</w:t>
            </w:r>
            <w:r>
              <w:rPr>
                <w:rFonts w:ascii="宋体" w:hAnsi="宋体" w:cs="宋体" w:eastAsia="宋体" w:hint="default"/>
                <w:sz w:val="18"/>
                <w:szCs w:val="18"/>
              </w:rPr>
              <w:t> 现违反上述 承诺的情况。</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权益提供贷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款以及其他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财务资助，包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括为其贷款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提供担保。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5"/>
              <w:jc w:val="center"/>
              <w:rPr>
                <w:rFonts w:ascii="宋体" w:hAnsi="宋体" w:cs="宋体" w:eastAsia="宋体" w:hint="default"/>
                <w:sz w:val="18"/>
                <w:szCs w:val="18"/>
              </w:rPr>
            </w:pPr>
            <w:r>
              <w:rPr>
                <w:rFonts w:ascii="宋体" w:hAnsi="宋体" w:cs="宋体" w:eastAsia="宋体" w:hint="default"/>
                <w:sz w:val="18"/>
                <w:szCs w:val="18"/>
              </w:rPr>
              <w:t>为进一步保</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卫宁健康科 技集团股份 有限公司</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障公司股东 </w:t>
            </w:r>
            <w:r>
              <w:rPr>
                <w:rFonts w:ascii="宋体" w:hAnsi="宋体" w:cs="宋体" w:eastAsia="宋体" w:hint="default"/>
                <w:spacing w:val="-2"/>
                <w:sz w:val="18"/>
                <w:szCs w:val="18"/>
              </w:rPr>
              <w:t>权益，公司对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未来三年股 东分红回报 进行了详细 </w:t>
            </w:r>
            <w:r>
              <w:rPr>
                <w:rFonts w:ascii="宋体" w:hAnsi="宋体" w:cs="宋体" w:eastAsia="宋体" w:hint="default"/>
                <w:spacing w:val="-2"/>
                <w:sz w:val="18"/>
                <w:szCs w:val="18"/>
              </w:rPr>
              <w:t>规划，制定了</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《未来三年</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守承诺，未发</w:t>
            </w:r>
            <w:r>
              <w:rPr>
                <w:rFonts w:ascii="宋体" w:hAnsi="宋体" w:cs="宋体" w:eastAsia="宋体" w:hint="default"/>
                <w:sz w:val="18"/>
                <w:szCs w:val="18"/>
              </w:rPr>
              <w:t> 现违反上述 承诺的情况。</w:t>
            </w:r>
          </w:p>
        </w:tc>
      </w:tr>
      <w:tr>
        <w:trPr>
          <w:trHeight w:val="319"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股东回报规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559998pt;margin-top:72.480011pt;width:55.8pt;height:686.4pt;mso-position-horizontal-relative:page;mso-position-vertical-relative:page;z-index:-988624" coordorigin="7351,1450" coordsize="1116,13728">
            <v:shape style="position:absolute;left:7351;top:1450;width:1116;height:13728" coordorigin="7351,1450" coordsize="1116,13728" path="m7351,1450l8467,1450,8467,15178,7351,15178,7351,14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92"/>
                <w:sz w:val="18"/>
                <w:szCs w:val="18"/>
              </w:rPr>
              <w:t>》</w:t>
            </w:r>
            <w:r>
              <w:rPr>
                <w:rFonts w:ascii="宋体" w:hAnsi="宋体" w:cs="宋体" w:eastAsia="宋体" w:hint="default"/>
                <w:sz w:val="18"/>
                <w:szCs w:val="18"/>
              </w:rPr>
              <w:t>。该规划主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要内容如下：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、公司可以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采用现金、股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票、现金与股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票相结合或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者法律、法规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允许的其他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方式分配利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润。具备现金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分红条件的，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公司优先考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虑现金分红。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、未来三年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内，公司将积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极采取现金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方式分配利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润，在符合相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及公司章程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和制度的有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关规定和条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件下，每年以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配的利润不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低于当年归</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可供分配利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续三年以现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金方式累计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不少于最近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三年实现的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年均可分配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5"/>
              <w:jc w:val="left"/>
              <w:rPr>
                <w:rFonts w:ascii="宋体" w:hAnsi="宋体" w:cs="宋体" w:eastAsia="宋体" w:hint="default"/>
                <w:sz w:val="18"/>
                <w:szCs w:val="18"/>
              </w:rPr>
            </w:pPr>
            <w:r>
              <w:rPr>
                <w:rFonts w:ascii="宋体" w:hAnsi="宋体" w:cs="宋体" w:eastAsia="宋体" w:hint="default"/>
                <w:sz w:val="18"/>
                <w:szCs w:val="18"/>
              </w:rPr>
              <w:t>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、在符合分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红条件情况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下，公司董事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会可以根据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公司的资金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状况提议公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81" w:header="745" w:top="1060" w:bottom="1180" w:left="980" w:right="980"/>
          <w:pgNumType w:start="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司进行中期 利润分配。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761"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z w:val="18"/>
                <w:szCs w:val="18"/>
              </w:rPr>
              <w:t>周炜、王英、 刘宁</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公司股东股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人周炜、王英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承诺：自本承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诺函出具之 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4" w:right="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 不通过证券 交易所的证 券交易系统 减持卫宁软 件股份，若违 反上述承诺， 减持股份所 得全部归卫 宁软件所有。 公司股东刘 宁承诺：自本 承诺函出具 之日至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2"/>
                <w:sz w:val="18"/>
                <w:szCs w:val="18"/>
              </w:rPr>
              <w:t>日，不通过证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券交易所的 证券交易系 统减持卫宁 </w:t>
            </w:r>
            <w:r>
              <w:rPr>
                <w:rFonts w:ascii="宋体" w:hAnsi="宋体" w:cs="宋体" w:eastAsia="宋体" w:hint="default"/>
                <w:spacing w:val="-2"/>
                <w:sz w:val="18"/>
                <w:szCs w:val="18"/>
              </w:rPr>
              <w:t>软件股份，若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 </w:t>
            </w:r>
            <w:r>
              <w:rPr>
                <w:rFonts w:ascii="宋体" w:hAnsi="宋体" w:cs="宋体" w:eastAsia="宋体" w:hint="default"/>
                <w:spacing w:val="-2"/>
                <w:sz w:val="18"/>
                <w:szCs w:val="18"/>
              </w:rPr>
              <w:t>诺，减持股份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所得全部归 卫宁软件所 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守承诺，未发</w:t>
            </w:r>
            <w:r>
              <w:rPr>
                <w:rFonts w:ascii="宋体" w:hAnsi="宋体" w:cs="宋体" w:eastAsia="宋体" w:hint="default"/>
                <w:sz w:val="18"/>
                <w:szCs w:val="18"/>
              </w:rPr>
              <w:t> 现违反上述 承诺的情况。</w:t>
            </w:r>
          </w:p>
        </w:tc>
      </w:tr>
      <w:tr>
        <w:trPr>
          <w:trHeight w:val="348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6" w:right="189"/>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本人周炜于</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314" w:lineRule="auto" w:before="62"/>
              <w:ind w:left="24" w:right="17"/>
              <w:jc w:val="left"/>
              <w:rPr>
                <w:rFonts w:ascii="宋体" w:hAnsi="宋体" w:cs="宋体" w:eastAsia="宋体" w:hint="default"/>
                <w:sz w:val="18"/>
                <w:szCs w:val="18"/>
              </w:rPr>
            </w:pPr>
            <w:r>
              <w:rPr>
                <w:rFonts w:ascii="宋体" w:hAnsi="宋体" w:cs="宋体" w:eastAsia="宋体" w:hint="default"/>
                <w:sz w:val="18"/>
                <w:szCs w:val="18"/>
              </w:rPr>
              <w:t>日通过二级 市场增持公 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股，拟计划在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p>
            <w:pPr>
              <w:pStyle w:val="TableParagraph"/>
              <w:spacing w:line="312" w:lineRule="auto" w:before="1"/>
              <w:ind w:left="24" w:right="17"/>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月，自本次增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持之日起并 含本次计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8"/>
              <w:jc w:val="left"/>
              <w:rPr>
                <w:rFonts w:ascii="宋体" w:hAnsi="宋体" w:cs="宋体" w:eastAsia="宋体" w:hint="default"/>
                <w:sz w:val="18"/>
                <w:szCs w:val="18"/>
              </w:rPr>
            </w:pPr>
            <w:r>
              <w:rPr>
                <w:rFonts w:ascii="宋体" w:hAnsi="宋体" w:cs="宋体" w:eastAsia="宋体" w:hint="default"/>
                <w:sz w:val="18"/>
                <w:szCs w:val="18"/>
              </w:rPr>
              <w:t>上述承诺已 </w:t>
            </w:r>
            <w:r>
              <w:rPr>
                <w:rFonts w:ascii="宋体" w:hAnsi="宋体" w:cs="宋体" w:eastAsia="宋体" w:hint="default"/>
                <w:spacing w:val="-5"/>
                <w:sz w:val="18"/>
                <w:szCs w:val="18"/>
              </w:rPr>
              <w:t>履行完毕，且</w:t>
            </w:r>
            <w:r>
              <w:rPr>
                <w:rFonts w:ascii="宋体" w:hAnsi="宋体" w:cs="宋体" w:eastAsia="宋体" w:hint="default"/>
                <w:sz w:val="18"/>
                <w:szCs w:val="18"/>
              </w:rPr>
              <w:t> </w:t>
            </w:r>
            <w:r>
              <w:rPr>
                <w:rFonts w:ascii="宋体" w:hAnsi="宋体" w:cs="宋体" w:eastAsia="宋体" w:hint="default"/>
                <w:spacing w:val="-5"/>
                <w:sz w:val="18"/>
                <w:szCs w:val="18"/>
              </w:rPr>
              <w:t>报告期内，上</w:t>
            </w:r>
            <w:r>
              <w:rPr>
                <w:rFonts w:ascii="宋体" w:hAnsi="宋体" w:cs="宋体" w:eastAsia="宋体" w:hint="default"/>
                <w:sz w:val="18"/>
                <w:szCs w:val="18"/>
              </w:rPr>
              <w:t> 述承诺人严 格信守承诺， 未发现违反 上述承诺的 情况。</w:t>
            </w:r>
          </w:p>
        </w:tc>
      </w:tr>
    </w:tbl>
    <w:p>
      <w:pPr>
        <w:spacing w:after="0" w:line="316"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算</w:t>
            </w:r>
            <w:r>
              <w:rPr>
                <w:rFonts w:ascii="宋体" w:hAnsi="宋体" w:cs="宋体" w:eastAsia="宋体" w:hint="default"/>
                <w:spacing w:val="-92"/>
                <w:sz w:val="18"/>
                <w:szCs w:val="18"/>
              </w:rPr>
              <w:t>）</w:t>
            </w:r>
            <w:r>
              <w:rPr>
                <w:rFonts w:ascii="宋体" w:hAnsi="宋体" w:cs="宋体" w:eastAsia="宋体" w:hint="default"/>
                <w:sz w:val="18"/>
                <w:szCs w:val="18"/>
              </w:rPr>
              <w:t>，根据中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国证监会和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易所的规定，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券交易所证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券交易系统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允许的方式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限于集中竞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价和大宗交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92"/>
                <w:sz w:val="18"/>
                <w:szCs w:val="18"/>
              </w:rPr>
              <w:t>）</w:t>
            </w:r>
            <w:r>
              <w:rPr>
                <w:rFonts w:ascii="宋体" w:hAnsi="宋体" w:cs="宋体" w:eastAsia="宋体" w:hint="default"/>
                <w:sz w:val="18"/>
                <w:szCs w:val="18"/>
              </w:rPr>
              <w:t>，以不超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100,000,000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元（含本次增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持股份金额）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份，增持价格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不高于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股，增持所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需资金由本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人自筹取得。</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披露了《关于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维护公司二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级市场股价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1"/>
              <w:jc w:val="left"/>
              <w:rPr>
                <w:rFonts w:ascii="宋体" w:hAnsi="宋体" w:cs="宋体" w:eastAsia="宋体" w:hint="default"/>
                <w:sz w:val="18"/>
                <w:szCs w:val="18"/>
              </w:rPr>
            </w:pPr>
            <w:r>
              <w:rPr>
                <w:rFonts w:ascii="宋体" w:hAnsi="宋体" w:cs="宋体" w:eastAsia="宋体" w:hint="default"/>
                <w:sz w:val="18"/>
                <w:szCs w:val="18"/>
              </w:rPr>
              <w:t>稳定措施的 </w:t>
            </w:r>
            <w:r>
              <w:rPr>
                <w:rFonts w:ascii="宋体" w:hAnsi="宋体" w:cs="宋体" w:eastAsia="宋体" w:hint="default"/>
                <w:spacing w:val="-16"/>
                <w:sz w:val="18"/>
                <w:szCs w:val="18"/>
              </w:rPr>
              <w:t>公告》，基于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4" w:right="19"/>
              <w:jc w:val="left"/>
              <w:rPr>
                <w:rFonts w:ascii="宋体" w:hAnsi="宋体" w:cs="宋体" w:eastAsia="宋体" w:hint="default"/>
                <w:sz w:val="18"/>
                <w:szCs w:val="18"/>
              </w:rPr>
            </w:pPr>
            <w:r>
              <w:rPr>
                <w:rFonts w:ascii="宋体" w:hAnsi="宋体" w:cs="宋体" w:eastAsia="宋体" w:hint="default"/>
                <w:sz w:val="18"/>
                <w:szCs w:val="18"/>
              </w:rPr>
              <w:t>上述承诺已 </w:t>
            </w:r>
            <w:r>
              <w:rPr>
                <w:rFonts w:ascii="宋体" w:hAnsi="宋体" w:cs="宋体" w:eastAsia="宋体" w:hint="default"/>
                <w:spacing w:val="-5"/>
                <w:sz w:val="18"/>
                <w:szCs w:val="18"/>
              </w:rPr>
              <w:t>履行完毕，且</w:t>
            </w:r>
          </w:p>
        </w:tc>
      </w:tr>
      <w:tr>
        <w:trPr>
          <w:trHeight w:val="1248"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4" w:lineRule="auto"/>
              <w:ind w:left="24" w:right="7"/>
              <w:jc w:val="left"/>
              <w:rPr>
                <w:rFonts w:ascii="宋体" w:hAnsi="宋体" w:cs="宋体" w:eastAsia="宋体" w:hint="default"/>
                <w:sz w:val="18"/>
                <w:szCs w:val="18"/>
              </w:rPr>
            </w:pPr>
            <w:r>
              <w:rPr>
                <w:rFonts w:ascii="宋体" w:hAnsi="宋体" w:cs="宋体" w:eastAsia="宋体" w:hint="default"/>
                <w:sz w:val="18"/>
                <w:szCs w:val="18"/>
              </w:rPr>
              <w:t>刘宁、靳茂、 徐春华、王利</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对公司未来</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z w:val="18"/>
                <w:szCs w:val="18"/>
              </w:rPr>
              <w:t>发展前景充 </w:t>
            </w:r>
            <w:r>
              <w:rPr>
                <w:rFonts w:ascii="宋体" w:hAnsi="宋体" w:cs="宋体" w:eastAsia="宋体" w:hint="default"/>
                <w:spacing w:val="-2"/>
                <w:sz w:val="18"/>
                <w:szCs w:val="18"/>
              </w:rPr>
              <w:t>满信心，认为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目前公司的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4" w:right="-8"/>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述承诺人严 格信守承诺， 未发现违反</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价值已被低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上述承诺的</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估，具备投资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245"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机会，同时深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知维护一个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长期稳健繁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荣的资本市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场对上市公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司乃至整个</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实体经济的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重要意义，积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极响应证监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号《关于上市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公司大股东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人员增持本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关事项的通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知》要求，公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司副董事长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刘宁先生、副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总经理徐春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华先生、财务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负责人王利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先生将择机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通过证券公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司、基金管理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公司定向资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产管理等方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一定数量的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事、副总经理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兼董事会秘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书靳茂先生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将择机通过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二级市场买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入等方式增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持公司一定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增持所需资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金为自有资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0"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0"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6"/>
        <w:ind w:right="148"/>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48"/>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48"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月，公司以自有资金</w:t>
      </w:r>
      <w:r>
        <w:rPr>
          <w:rFonts w:ascii="Times New Roman" w:hAnsi="Times New Roman" w:cs="Times New Roman" w:eastAsia="Times New Roman" w:hint="default"/>
        </w:rPr>
        <w:t>510</w:t>
      </w:r>
      <w:r>
        <w:rPr/>
        <w:t>万元投资设立控股子公司重庆金仕达卫宁软件有限公司，公司持有</w:t>
      </w:r>
      <w:r>
        <w:rPr>
          <w:rFonts w:ascii="Times New Roman" w:hAnsi="Times New Roman" w:cs="Times New Roman" w:eastAsia="Times New Roman" w:hint="default"/>
        </w:rPr>
        <w:t>51%</w:t>
      </w:r>
      <w:r>
        <w:rPr/>
        <w:t>股权，重庆 卫宁于本报告期纳入合并报表范围。</w:t>
      </w:r>
    </w:p>
    <w:p>
      <w:pPr>
        <w:pStyle w:val="BodyText"/>
        <w:spacing w:line="300" w:lineRule="auto" w:before="31"/>
        <w:ind w:right="148"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月，公司以自有资金</w:t>
      </w:r>
      <w:r>
        <w:rPr>
          <w:rFonts w:ascii="Times New Roman" w:hAnsi="Times New Roman" w:cs="Times New Roman" w:eastAsia="Times New Roman" w:hint="default"/>
        </w:rPr>
        <w:t>510</w:t>
      </w:r>
      <w:r>
        <w:rPr/>
        <w:t>万元投资设立控股子公司黑龙江金仕达卫宁软件有限公司，公司持有</w:t>
      </w:r>
      <w:r>
        <w:rPr>
          <w:rFonts w:ascii="Times New Roman" w:hAnsi="Times New Roman" w:cs="Times New Roman" w:eastAsia="Times New Roman" w:hint="default"/>
        </w:rPr>
        <w:t>51%</w:t>
      </w:r>
      <w:r>
        <w:rPr/>
        <w:t>股权，黑 龙江卫宁于本报告期纳入合并报表范围。</w:t>
      </w:r>
    </w:p>
    <w:p>
      <w:pPr>
        <w:pStyle w:val="BodyText"/>
        <w:spacing w:line="240" w:lineRule="auto" w:before="31"/>
        <w:ind w:left="512" w:right="148"/>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月，公司以自有资金</w:t>
      </w:r>
      <w:r>
        <w:rPr>
          <w:rFonts w:ascii="Times New Roman" w:hAnsi="Times New Roman" w:cs="Times New Roman" w:eastAsia="Times New Roman" w:hint="default"/>
          <w:spacing w:val="2"/>
        </w:rPr>
        <w:t>2,450</w:t>
      </w:r>
      <w:r>
        <w:rPr>
          <w:spacing w:val="2"/>
        </w:rPr>
        <w:t>万元收购浙江万鼎信息技术有限公司</w:t>
      </w:r>
      <w:r>
        <w:rPr>
          <w:rFonts w:ascii="Times New Roman" w:hAnsi="Times New Roman" w:cs="Times New Roman" w:eastAsia="Times New Roman" w:hint="default"/>
          <w:spacing w:val="2"/>
        </w:rPr>
        <w:t>90%</w:t>
      </w:r>
      <w:r>
        <w:rPr>
          <w:spacing w:val="2"/>
        </w:rPr>
        <w:t>股权，另增资800万元，公司合计持有</w:t>
      </w:r>
    </w:p>
    <w:p>
      <w:pPr>
        <w:pStyle w:val="BodyText"/>
        <w:spacing w:line="240" w:lineRule="auto" w:before="62"/>
        <w:ind w:right="148"/>
        <w:jc w:val="left"/>
      </w:pPr>
      <w:r>
        <w:rPr/>
        <w:t>92.76%股权，浙江万鼎于本报告期纳入合并报表范围。</w:t>
      </w:r>
    </w:p>
    <w:p>
      <w:pPr>
        <w:pStyle w:val="BodyText"/>
        <w:spacing w:line="240" w:lineRule="auto" w:before="76"/>
        <w:ind w:left="512"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月，公司以自有资金</w:t>
      </w:r>
      <w:r>
        <w:rPr>
          <w:rFonts w:ascii="Times New Roman" w:hAnsi="Times New Roman" w:cs="Times New Roman" w:eastAsia="Times New Roman" w:hint="default"/>
        </w:rPr>
        <w:t>4,000</w:t>
      </w:r>
      <w:r>
        <w:rPr/>
        <w:t>万元收购杭州东联软件有限公司</w:t>
      </w:r>
      <w:r>
        <w:rPr>
          <w:rFonts w:ascii="Times New Roman" w:hAnsi="Times New Roman" w:cs="Times New Roman" w:eastAsia="Times New Roman" w:hint="default"/>
        </w:rPr>
        <w:t>100%</w:t>
      </w:r>
      <w:r>
        <w:rPr/>
        <w:t>股权，杭州东联于本报告期纳入合并报表范</w:t>
      </w:r>
    </w:p>
    <w:p>
      <w:pPr>
        <w:pStyle w:val="BodyText"/>
        <w:spacing w:line="240" w:lineRule="auto" w:before="63"/>
        <w:ind w:right="148"/>
        <w:jc w:val="left"/>
      </w:pPr>
      <w:r>
        <w:rPr/>
        <w:t>围。</w:t>
      </w:r>
    </w:p>
    <w:p>
      <w:pPr>
        <w:pStyle w:val="BodyText"/>
        <w:spacing w:line="240" w:lineRule="auto" w:before="76"/>
        <w:ind w:left="512" w:right="148"/>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月，公司以自有资金</w:t>
      </w:r>
      <w:r>
        <w:rPr>
          <w:rFonts w:ascii="Times New Roman" w:hAnsi="Times New Roman" w:cs="Times New Roman" w:eastAsia="Times New Roman" w:hint="default"/>
        </w:rPr>
        <w:t>510</w:t>
      </w:r>
      <w:r>
        <w:rPr/>
        <w:t>万元投资设立控股子公司宁波金仕达卫宁软件有限公司，公司持有</w:t>
      </w:r>
      <w:r>
        <w:rPr>
          <w:rFonts w:ascii="Times New Roman" w:hAnsi="Times New Roman" w:cs="Times New Roman" w:eastAsia="Times New Roman" w:hint="default"/>
        </w:rPr>
        <w:t>51%</w:t>
      </w:r>
      <w:r>
        <w:rPr/>
        <w:t>股权，宁波</w:t>
      </w:r>
    </w:p>
    <w:p>
      <w:pPr>
        <w:pStyle w:val="BodyText"/>
        <w:spacing w:line="240" w:lineRule="auto" w:before="62"/>
        <w:ind w:right="148"/>
        <w:jc w:val="left"/>
      </w:pPr>
      <w:r>
        <w:rPr/>
        <w:t>卫宁于本报告期纳入合并报表范围。</w:t>
      </w:r>
    </w:p>
    <w:p>
      <w:pPr>
        <w:pStyle w:val="BodyText"/>
        <w:spacing w:line="300" w:lineRule="auto" w:before="76"/>
        <w:ind w:right="148" w:firstLine="36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月，公司之全资子公司江苏卫宁以自有资金</w:t>
      </w:r>
      <w:r>
        <w:rPr>
          <w:rFonts w:ascii="Times New Roman" w:hAnsi="Times New Roman" w:cs="Times New Roman" w:eastAsia="Times New Roman" w:hint="default"/>
        </w:rPr>
        <w:t>6,380</w:t>
      </w:r>
      <w:r>
        <w:rPr/>
        <w:t>万元收购天津津微首佳软件技术有限公司</w:t>
      </w:r>
      <w:r>
        <w:rPr>
          <w:rFonts w:ascii="Times New Roman" w:hAnsi="Times New Roman" w:cs="Times New Roman" w:eastAsia="Times New Roman" w:hint="default"/>
        </w:rPr>
        <w:t>60%</w:t>
      </w:r>
      <w:r>
        <w:rPr/>
        <w:t>的股权，津 微首佳于本报告期纳入合并报表范围。</w:t>
      </w:r>
    </w:p>
    <w:p>
      <w:pPr>
        <w:spacing w:line="240" w:lineRule="auto" w:before="11"/>
        <w:rPr>
          <w:rFonts w:ascii="宋体" w:hAnsi="宋体" w:cs="宋体" w:eastAsia="宋体" w:hint="default"/>
          <w:sz w:val="21"/>
          <w:szCs w:val="21"/>
        </w:rPr>
      </w:pPr>
    </w:p>
    <w:p>
      <w:pPr>
        <w:pStyle w:val="Heading2"/>
        <w:spacing w:line="240" w:lineRule="auto"/>
        <w:ind w:right="148"/>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王殷、欧维义、朱艺伟</w:t>
            </w:r>
          </w:p>
        </w:tc>
      </w:tr>
    </w:tbl>
    <w:p>
      <w:pPr>
        <w:pStyle w:val="BodyText"/>
        <w:spacing w:line="240" w:lineRule="auto" w:before="49"/>
        <w:ind w:right="148"/>
        <w:jc w:val="left"/>
      </w:pPr>
      <w:r>
        <w:rPr/>
        <w:t>是否改聘会计师事务所</w:t>
      </w:r>
    </w:p>
    <w:p>
      <w:pPr>
        <w:pStyle w:val="BodyText"/>
        <w:spacing w:line="340" w:lineRule="auto" w:before="114"/>
        <w:ind w:right="5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8"/>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48"/>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148"/>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48"/>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报告期内，公司控股股东、实际控制人不存在未履行法院生效判决，不存在数额较大债务到期未清偿等不良诚信状况。</w:t>
      </w:r>
    </w:p>
    <w:p>
      <w:pPr>
        <w:spacing w:line="240" w:lineRule="auto" w:before="8"/>
        <w:rPr>
          <w:rFonts w:ascii="宋体" w:hAnsi="宋体" w:cs="宋体" w:eastAsia="宋体" w:hint="default"/>
          <w:sz w:val="19"/>
          <w:szCs w:val="19"/>
        </w:rPr>
      </w:pPr>
    </w:p>
    <w:p>
      <w:pPr>
        <w:pStyle w:val="Heading2"/>
        <w:spacing w:line="240" w:lineRule="auto"/>
        <w:ind w:right="148"/>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4"/>
        <w:spacing w:line="240" w:lineRule="auto" w:before="101"/>
        <w:ind w:right="148"/>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年股权激励计划实施情况</w:t>
      </w:r>
      <w:r>
        <w:rPr>
          <w:b w:val="0"/>
          <w:bCs w:val="0"/>
        </w:rPr>
      </w:r>
    </w:p>
    <w:p>
      <w:pPr>
        <w:pStyle w:val="BodyText"/>
        <w:spacing w:line="300" w:lineRule="auto" w:before="62"/>
        <w:ind w:right="15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日，公司第三届董事会第二次会议和第三届监事会第二次会议分别审议通过了《关于公司</w:t>
      </w:r>
      <w:r>
        <w:rPr>
          <w:rFonts w:ascii="Times New Roman" w:hAnsi="Times New Roman" w:cs="Times New Roman" w:eastAsia="Times New Roman" w:hint="default"/>
        </w:rPr>
        <w:t>2012</w:t>
      </w:r>
      <w:r>
        <w:rPr/>
        <w:t>年股票期权 激励计划所涉激励对象、期权数量和行权价格调整的议案》等议案，鉴于公司</w:t>
      </w:r>
      <w:r>
        <w:rPr>
          <w:rFonts w:ascii="Times New Roman" w:hAnsi="Times New Roman" w:cs="Times New Roman" w:eastAsia="Times New Roman" w:hint="default"/>
        </w:rPr>
        <w:t>2014</w:t>
      </w:r>
      <w:r>
        <w:rPr/>
        <w:t>年度权益分派的实施（每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股派发</w:t>
      </w:r>
      <w:r>
        <w:rPr>
          <w:spacing w:val="-86"/>
        </w:rPr>
        <w:t> </w:t>
      </w:r>
      <w:r>
        <w:rPr>
          <w:spacing w:val="-86"/>
        </w:rPr>
      </w:r>
      <w:r>
        <w:rPr>
          <w:spacing w:val="-1"/>
        </w:rPr>
        <w:t>现金股利</w:t>
      </w:r>
      <w:r>
        <w:rPr>
          <w:rFonts w:ascii="Times New Roman" w:hAnsi="Times New Roman" w:cs="Times New Roman" w:eastAsia="Times New Roman" w:hint="default"/>
          <w:spacing w:val="-1"/>
        </w:rPr>
        <w:t>1.3</w:t>
      </w:r>
      <w:r>
        <w:rPr>
          <w:spacing w:val="-1"/>
        </w:rPr>
        <w:t>元（含税），每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股）及</w:t>
      </w:r>
      <w:r>
        <w:rPr>
          <w:rFonts w:ascii="Times New Roman" w:hAnsi="Times New Roman" w:cs="Times New Roman" w:eastAsia="Times New Roman" w:hint="default"/>
          <w:spacing w:val="-1"/>
        </w:rPr>
        <w:t>3</w:t>
      </w:r>
      <w:r>
        <w:rPr>
          <w:spacing w:val="-1"/>
        </w:rPr>
        <w:t>名激励对象因个人原因离职不再具备激励对象资格等原因，期权数量和行权</w:t>
      </w:r>
      <w:r>
        <w:rPr>
          <w:spacing w:val="-77"/>
        </w:rPr>
        <w:t> </w:t>
      </w:r>
      <w:r>
        <w:rPr>
          <w:spacing w:val="-77"/>
        </w:rPr>
      </w:r>
      <w:r>
        <w:rPr>
          <w:spacing w:val="2"/>
        </w:rPr>
        <w:t>价格作相应调整。经上述调整后，首次授予期权激励对象为</w:t>
      </w:r>
      <w:r>
        <w:rPr>
          <w:rFonts w:ascii="Times New Roman" w:hAnsi="Times New Roman" w:cs="Times New Roman" w:eastAsia="Times New Roman" w:hint="default"/>
          <w:spacing w:val="2"/>
        </w:rPr>
        <w:t>160</w:t>
      </w:r>
      <w:r>
        <w:rPr>
          <w:spacing w:val="2"/>
        </w:rPr>
        <w:t>名，预留授予期权激励对象为</w:t>
      </w:r>
      <w:r>
        <w:rPr>
          <w:rFonts w:ascii="Times New Roman" w:hAnsi="Times New Roman" w:cs="Times New Roman" w:eastAsia="Times New Roman" w:hint="default"/>
          <w:spacing w:val="2"/>
        </w:rPr>
        <w:t>15</w:t>
      </w:r>
      <w:r>
        <w:rPr>
          <w:spacing w:val="2"/>
        </w:rPr>
        <w:t>名；首次授予期权数量为</w:t>
      </w:r>
      <w:r>
        <w:rPr>
          <w:spacing w:val="-44"/>
        </w:rPr>
        <w:t> </w:t>
      </w:r>
      <w:r>
        <w:rPr>
          <w:spacing w:val="-44"/>
        </w:rPr>
      </w:r>
      <w:r>
        <w:rPr>
          <w:rFonts w:ascii="Times New Roman" w:hAnsi="Times New Roman" w:cs="Times New Roman" w:eastAsia="Times New Roman" w:hint="default"/>
        </w:rPr>
        <w:t>10,871,975</w:t>
      </w:r>
      <w:r>
        <w:rPr/>
        <w:t>份，预留授予期权数量为</w:t>
      </w:r>
      <w:r>
        <w:rPr>
          <w:rFonts w:ascii="Times New Roman" w:hAnsi="Times New Roman" w:cs="Times New Roman" w:eastAsia="Times New Roman" w:hint="default"/>
        </w:rPr>
        <w:t>1,426,337</w:t>
      </w:r>
      <w:r>
        <w:rPr/>
        <w:t>份；首次授予期权的行权价为</w:t>
      </w:r>
      <w:r>
        <w:rPr>
          <w:rFonts w:ascii="Times New Roman" w:hAnsi="Times New Roman" w:cs="Times New Roman" w:eastAsia="Times New Roman" w:hint="default"/>
        </w:rPr>
        <w:t>3.66</w:t>
      </w:r>
      <w:r>
        <w:rPr/>
        <w:t>元，预留授予期权的行权价为</w:t>
      </w:r>
      <w:r>
        <w:rPr>
          <w:rFonts w:ascii="Times New Roman" w:hAnsi="Times New Roman" w:cs="Times New Roman" w:eastAsia="Times New Roman" w:hint="default"/>
        </w:rPr>
        <w:t>9.69</w:t>
      </w:r>
      <w:r>
        <w:rPr/>
        <w:t>元。</w:t>
      </w:r>
    </w:p>
    <w:p>
      <w:pPr>
        <w:pStyle w:val="BodyText"/>
        <w:spacing w:line="300" w:lineRule="auto" w:before="13"/>
        <w:ind w:right="15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日，公司第三届董事会第六次会议和第三届监事会第六次会议分别审议通过了《关于公司</w:t>
      </w:r>
      <w:r>
        <w:rPr>
          <w:rFonts w:ascii="Times New Roman" w:hAnsi="Times New Roman" w:cs="Times New Roman" w:eastAsia="Times New Roman" w:hint="default"/>
        </w:rPr>
        <w:t>2012</w:t>
      </w:r>
      <w:r>
        <w:rPr/>
        <w:t>年股票期权 </w:t>
      </w:r>
      <w:r>
        <w:rPr>
          <w:spacing w:val="-5"/>
        </w:rPr>
        <w:t>激励计划首次授予期权第三个行权期及预留授予期权第二个行权期可行权的议案》，根据公司《</w:t>
      </w:r>
      <w:r>
        <w:rPr>
          <w:rFonts w:ascii="Times New Roman" w:hAnsi="Times New Roman" w:cs="Times New Roman" w:eastAsia="Times New Roman" w:hint="default"/>
          <w:spacing w:val="-5"/>
        </w:rPr>
        <w:t>2012</w:t>
      </w:r>
      <w:r>
        <w:rPr>
          <w:spacing w:val="-5"/>
        </w:rPr>
        <w:t>年股票期权激励计划（草</w:t>
      </w:r>
      <w:r>
        <w:rPr>
          <w:spacing w:val="-72"/>
        </w:rPr>
        <w:t> </w:t>
      </w:r>
      <w:r>
        <w:rPr>
          <w:spacing w:val="-72"/>
        </w:rPr>
      </w:r>
      <w:r>
        <w:rPr>
          <w:spacing w:val="-2"/>
        </w:rPr>
        <w:t>案修订稿）》、《</w:t>
      </w:r>
      <w:r>
        <w:rPr>
          <w:rFonts w:ascii="Times New Roman" w:hAnsi="Times New Roman" w:cs="Times New Roman" w:eastAsia="Times New Roman" w:hint="default"/>
          <w:spacing w:val="-2"/>
        </w:rPr>
        <w:t>2012</w:t>
      </w:r>
      <w:r>
        <w:rPr>
          <w:spacing w:val="-2"/>
        </w:rPr>
        <w:t>年股票期权激励计划实施考核办法》的有关规定以及董事会薪酬与考核委员会对激励对象上年度业绩</w:t>
      </w:r>
    </w:p>
    <w:p>
      <w:pPr>
        <w:spacing w:after="0" w:line="300" w:lineRule="auto"/>
        <w:jc w:val="both"/>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94"/>
        <w:jc w:val="left"/>
      </w:pPr>
      <w:r>
        <w:rPr>
          <w:spacing w:val="-2"/>
        </w:rPr>
        <w:t>考核情况的核实，董事会认为</w:t>
      </w:r>
      <w:r>
        <w:rPr>
          <w:rFonts w:ascii="Times New Roman" w:hAnsi="Times New Roman" w:cs="Times New Roman" w:eastAsia="Times New Roman" w:hint="default"/>
          <w:spacing w:val="-2"/>
        </w:rPr>
        <w:t>2012</w:t>
      </w:r>
      <w:r>
        <w:rPr>
          <w:spacing w:val="-2"/>
        </w:rPr>
        <w:t>年股票期权激励计划首次授予期权第三个行权期及预留授予期权第二个行权期的行权条件</w:t>
      </w:r>
      <w:r>
        <w:rPr>
          <w:spacing w:val="-61"/>
        </w:rPr>
        <w:t> </w:t>
      </w:r>
      <w:r>
        <w:rPr>
          <w:spacing w:val="-61"/>
        </w:rPr>
      </w:r>
      <w:r>
        <w:rPr/>
        <w:t>均已经满足，同意向首次授予期权的</w:t>
      </w:r>
      <w:r>
        <w:rPr>
          <w:rFonts w:ascii="Times New Roman" w:hAnsi="Times New Roman" w:cs="Times New Roman" w:eastAsia="Times New Roman" w:hint="default"/>
        </w:rPr>
        <w:t>160</w:t>
      </w:r>
      <w:r>
        <w:rPr/>
        <w:t>名激励对象及预留授予期权的</w:t>
      </w:r>
      <w:r>
        <w:rPr>
          <w:rFonts w:ascii="Times New Roman" w:hAnsi="Times New Roman" w:cs="Times New Roman" w:eastAsia="Times New Roman" w:hint="default"/>
        </w:rPr>
        <w:t>15</w:t>
      </w:r>
      <w:r>
        <w:rPr/>
        <w:t>名激励对象以定向发行公司股票的方式进行行权，</w:t>
      </w:r>
      <w:r>
        <w:rPr>
          <w:spacing w:val="-85"/>
        </w:rPr>
        <w:t> </w:t>
      </w:r>
      <w:r>
        <w:rPr>
          <w:spacing w:val="-85"/>
        </w:rPr>
      </w:r>
      <w:r>
        <w:rPr>
          <w:spacing w:val="-2"/>
        </w:rPr>
        <w:t>本期首次授予期权可行权数量为</w:t>
      </w:r>
      <w:r>
        <w:rPr>
          <w:rFonts w:ascii="Times New Roman" w:hAnsi="Times New Roman" w:cs="Times New Roman" w:eastAsia="Times New Roman" w:hint="default"/>
          <w:spacing w:val="-2"/>
        </w:rPr>
        <w:t>5,361,206</w:t>
      </w:r>
      <w:r>
        <w:rPr>
          <w:spacing w:val="-2"/>
        </w:rPr>
        <w:t>份，行权价格为</w:t>
      </w:r>
      <w:r>
        <w:rPr>
          <w:rFonts w:ascii="Times New Roman" w:hAnsi="Times New Roman" w:cs="Times New Roman" w:eastAsia="Times New Roman" w:hint="default"/>
          <w:spacing w:val="-2"/>
        </w:rPr>
        <w:t>3.66</w:t>
      </w:r>
      <w:r>
        <w:rPr>
          <w:spacing w:val="-2"/>
        </w:rPr>
        <w:t>元；预留授予期权可行权数量为</w:t>
      </w:r>
      <w:r>
        <w:rPr>
          <w:rFonts w:ascii="Times New Roman" w:hAnsi="Times New Roman" w:cs="Times New Roman" w:eastAsia="Times New Roman" w:hint="default"/>
          <w:spacing w:val="-2"/>
        </w:rPr>
        <w:t>713,165</w:t>
      </w:r>
      <w:r>
        <w:rPr>
          <w:spacing w:val="-2"/>
        </w:rPr>
        <w:t>份，行权价格为</w:t>
      </w:r>
      <w:r>
        <w:rPr>
          <w:rFonts w:ascii="Times New Roman" w:hAnsi="Times New Roman" w:cs="Times New Roman" w:eastAsia="Times New Roman" w:hint="default"/>
          <w:spacing w:val="-2"/>
        </w:rPr>
        <w:t>9.69</w:t>
      </w:r>
      <w:r>
        <w:rPr>
          <w:spacing w:val="-2"/>
        </w:rPr>
        <w:t>元。</w:t>
      </w:r>
      <w:r>
        <w:rPr/>
        <w:t> 本次行权拟采用自主行权模式。</w:t>
      </w:r>
    </w:p>
    <w:p>
      <w:pPr>
        <w:pStyle w:val="BodyText"/>
        <w:spacing w:line="300" w:lineRule="auto" w:before="31"/>
        <w:ind w:right="194" w:firstLine="360"/>
        <w:jc w:val="both"/>
      </w:pPr>
      <w:r>
        <w:rPr/>
        <w:t>报告期内，公司注销已授予但不符合行权条件的首次授予期权</w:t>
      </w:r>
      <w:r>
        <w:rPr>
          <w:rFonts w:ascii="Times New Roman" w:hAnsi="Times New Roman" w:cs="Times New Roman" w:eastAsia="Times New Roman" w:hint="default"/>
        </w:rPr>
        <w:t>115,972</w:t>
      </w:r>
      <w:r>
        <w:rPr/>
        <w:t>份，并经中国证券登记结算有限责任公司深圳分 公司审核确认，上述股票期权的注销手续已办理完毕。</w:t>
      </w:r>
    </w:p>
    <w:p>
      <w:pPr>
        <w:pStyle w:val="BodyText"/>
        <w:spacing w:line="300" w:lineRule="auto" w:before="31"/>
        <w:ind w:right="189" w:firstLine="360"/>
        <w:jc w:val="both"/>
      </w:pPr>
      <w:r>
        <w:rPr>
          <w:spacing w:val="-2"/>
        </w:rPr>
        <w:t>报告期内，公司</w:t>
      </w:r>
      <w:r>
        <w:rPr>
          <w:rFonts w:ascii="Times New Roman" w:hAnsi="Times New Roman" w:cs="Times New Roman" w:eastAsia="Times New Roman" w:hint="default"/>
          <w:spacing w:val="-2"/>
        </w:rPr>
        <w:t>2012</w:t>
      </w:r>
      <w:r>
        <w:rPr>
          <w:spacing w:val="-2"/>
        </w:rPr>
        <w:t>年股权激励计划首次授予期权行权</w:t>
      </w:r>
      <w:r>
        <w:rPr>
          <w:rFonts w:ascii="Times New Roman" w:hAnsi="Times New Roman" w:cs="Times New Roman" w:eastAsia="Times New Roman" w:hint="default"/>
          <w:spacing w:val="-2"/>
        </w:rPr>
        <w:t>4,897,759</w:t>
      </w:r>
      <w:r>
        <w:rPr>
          <w:spacing w:val="-2"/>
        </w:rPr>
        <w:t>股，累计行权</w:t>
      </w:r>
      <w:r>
        <w:rPr>
          <w:rFonts w:ascii="Times New Roman" w:hAnsi="Times New Roman" w:cs="Times New Roman" w:eastAsia="Times New Roman" w:hint="default"/>
          <w:spacing w:val="-2"/>
        </w:rPr>
        <w:t>8,112,769</w:t>
      </w:r>
      <w:r>
        <w:rPr>
          <w:spacing w:val="-2"/>
        </w:rPr>
        <w:t>股，实际摊销首次授予期权成本</w:t>
      </w:r>
      <w:r>
        <w:rPr/>
        <w:t> </w:t>
      </w:r>
      <w:r>
        <w:rPr>
          <w:rFonts w:ascii="Times New Roman" w:hAnsi="Times New Roman" w:cs="Times New Roman" w:eastAsia="Times New Roman" w:hint="default"/>
        </w:rPr>
        <w:t>215.69</w:t>
      </w:r>
      <w:r>
        <w:rPr/>
        <w:t>万元，累计摊销首次授予期权成本</w:t>
      </w:r>
      <w:r>
        <w:rPr>
          <w:rFonts w:ascii="Times New Roman" w:hAnsi="Times New Roman" w:cs="Times New Roman" w:eastAsia="Times New Roman" w:hint="default"/>
        </w:rPr>
        <w:t>1,750.47</w:t>
      </w:r>
      <w:r>
        <w:rPr/>
        <w:t>万元。预留授予期权行权</w:t>
      </w:r>
      <w:r>
        <w:rPr>
          <w:rFonts w:ascii="Times New Roman" w:hAnsi="Times New Roman" w:cs="Times New Roman" w:eastAsia="Times New Roman" w:hint="default"/>
        </w:rPr>
        <w:t>713,165</w:t>
      </w:r>
      <w:r>
        <w:rPr/>
        <w:t>股，累计行权</w:t>
      </w:r>
      <w:r>
        <w:rPr>
          <w:rFonts w:ascii="Times New Roman" w:hAnsi="Times New Roman" w:cs="Times New Roman" w:eastAsia="Times New Roman" w:hint="default"/>
        </w:rPr>
        <w:t>1,046,421</w:t>
      </w:r>
      <w:r>
        <w:rPr/>
        <w:t>股，实际摊销预留 授予期权成本</w:t>
      </w:r>
      <w:r>
        <w:rPr>
          <w:rFonts w:ascii="Times New Roman" w:hAnsi="Times New Roman" w:cs="Times New Roman" w:eastAsia="Times New Roman" w:hint="default"/>
        </w:rPr>
        <w:t>66.53</w:t>
      </w:r>
      <w:r>
        <w:rPr/>
        <w:t>万元，累计摊销预留授予期权成本</w:t>
      </w:r>
      <w:r>
        <w:rPr>
          <w:rFonts w:ascii="Times New Roman" w:hAnsi="Times New Roman" w:cs="Times New Roman" w:eastAsia="Times New Roman" w:hint="default"/>
        </w:rPr>
        <w:t>348.66</w:t>
      </w:r>
      <w:r>
        <w:rPr/>
        <w:t>万元。</w:t>
      </w:r>
    </w:p>
    <w:p>
      <w:pPr>
        <w:pStyle w:val="Heading4"/>
        <w:spacing w:line="240" w:lineRule="auto" w:before="13"/>
        <w:ind w:right="9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年股权激励计划实施情况</w:t>
      </w:r>
      <w:r>
        <w:rPr>
          <w:b w:val="0"/>
          <w:bCs w:val="0"/>
        </w:rPr>
      </w:r>
    </w:p>
    <w:p>
      <w:pPr>
        <w:pStyle w:val="BodyText"/>
        <w:spacing w:line="300" w:lineRule="auto" w:before="62"/>
        <w:ind w:right="19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日，公司第三届董事会第二次会议和第三届监事会第二次会议分别审议通过了《关于公司</w:t>
      </w:r>
      <w:r>
        <w:rPr>
          <w:rFonts w:ascii="Times New Roman" w:hAnsi="Times New Roman" w:cs="Times New Roman" w:eastAsia="Times New Roman" w:hint="default"/>
        </w:rPr>
        <w:t>2014</w:t>
      </w:r>
      <w:r>
        <w:rPr/>
        <w:t>年股票期权 激励计划所涉激励对象、期权数量和行权价格调整的议案》等议案，鉴于公司</w:t>
      </w:r>
      <w:r>
        <w:rPr>
          <w:rFonts w:ascii="Times New Roman" w:hAnsi="Times New Roman" w:cs="Times New Roman" w:eastAsia="Times New Roman" w:hint="default"/>
        </w:rPr>
        <w:t>2014</w:t>
      </w:r>
      <w:r>
        <w:rPr/>
        <w:t>年度权益分派的实施（每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股派发</w:t>
      </w:r>
      <w:r>
        <w:rPr>
          <w:spacing w:val="-86"/>
        </w:rPr>
        <w:t> </w:t>
      </w:r>
      <w:r>
        <w:rPr>
          <w:spacing w:val="-86"/>
        </w:rPr>
      </w:r>
      <w:r>
        <w:rPr>
          <w:spacing w:val="-1"/>
        </w:rPr>
        <w:t>现金股利</w:t>
      </w:r>
      <w:r>
        <w:rPr>
          <w:rFonts w:ascii="Times New Roman" w:hAnsi="Times New Roman" w:cs="Times New Roman" w:eastAsia="Times New Roman" w:hint="default"/>
          <w:spacing w:val="-1"/>
        </w:rPr>
        <w:t>1.3</w:t>
      </w:r>
      <w:r>
        <w:rPr>
          <w:spacing w:val="-1"/>
        </w:rPr>
        <w:t>元（含税）、每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股）及</w:t>
      </w:r>
      <w:r>
        <w:rPr>
          <w:rFonts w:ascii="Times New Roman" w:hAnsi="Times New Roman" w:cs="Times New Roman" w:eastAsia="Times New Roman" w:hint="default"/>
          <w:spacing w:val="-1"/>
        </w:rPr>
        <w:t>1</w:t>
      </w:r>
      <w:r>
        <w:rPr>
          <w:spacing w:val="-1"/>
        </w:rPr>
        <w:t>名激励对象因个人原因离职不再具备激励对象资格等原因，期权数量和行权</w:t>
      </w:r>
      <w:r>
        <w:rPr>
          <w:spacing w:val="-77"/>
        </w:rPr>
        <w:t> </w:t>
      </w:r>
      <w:r>
        <w:rPr>
          <w:spacing w:val="-77"/>
        </w:rPr>
      </w:r>
      <w:r>
        <w:rPr>
          <w:spacing w:val="-2"/>
        </w:rPr>
        <w:t>价格作相应调整。经上述调整后，首次授予激励对象为</w:t>
      </w:r>
      <w:r>
        <w:rPr>
          <w:rFonts w:ascii="Times New Roman" w:hAnsi="Times New Roman" w:cs="Times New Roman" w:eastAsia="Times New Roman" w:hint="default"/>
          <w:spacing w:val="-2"/>
        </w:rPr>
        <w:t>192</w:t>
      </w:r>
      <w:r>
        <w:rPr>
          <w:spacing w:val="-2"/>
        </w:rPr>
        <w:t>名，首次授予期权数量为</w:t>
      </w:r>
      <w:r>
        <w:rPr>
          <w:rFonts w:ascii="Times New Roman" w:hAnsi="Times New Roman" w:cs="Times New Roman" w:eastAsia="Times New Roman" w:hint="default"/>
          <w:spacing w:val="-2"/>
        </w:rPr>
        <w:t>16,857,500</w:t>
      </w:r>
      <w:r>
        <w:rPr>
          <w:spacing w:val="-2"/>
        </w:rPr>
        <w:t>份，预留期权数量为</w:t>
      </w:r>
      <w:r>
        <w:rPr>
          <w:rFonts w:ascii="Times New Roman" w:hAnsi="Times New Roman" w:cs="Times New Roman" w:eastAsia="Times New Roman" w:hint="default"/>
          <w:spacing w:val="-2"/>
        </w:rPr>
        <w:t>1,875,000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份，首次授予期权的行权价为</w:t>
      </w:r>
      <w:r>
        <w:rPr>
          <w:rFonts w:ascii="Times New Roman" w:hAnsi="Times New Roman" w:cs="Times New Roman" w:eastAsia="Times New Roman" w:hint="default"/>
        </w:rPr>
        <w:t>18.41</w:t>
      </w:r>
      <w:r>
        <w:rPr/>
        <w:t>元。</w:t>
      </w:r>
    </w:p>
    <w:p>
      <w:pPr>
        <w:pStyle w:val="BodyText"/>
        <w:spacing w:line="300" w:lineRule="auto" w:before="13"/>
        <w:ind w:right="19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日，公司第三届董事会第五次会议和第三届监事会第五次会议分别审议通过了《关于公司</w:t>
      </w:r>
      <w:r>
        <w:rPr>
          <w:rFonts w:ascii="Times New Roman" w:hAnsi="Times New Roman" w:cs="Times New Roman" w:eastAsia="Times New Roman" w:hint="default"/>
        </w:rPr>
        <w:t>2014</w:t>
      </w:r>
      <w:r>
        <w:rPr/>
        <w:t>年股票期权 </w:t>
      </w:r>
      <w:r>
        <w:rPr>
          <w:spacing w:val="-1"/>
        </w:rPr>
        <w:t>激励计划预留股票期权授予相关事项的议案》，同意向</w:t>
      </w:r>
      <w:r>
        <w:rPr>
          <w:rFonts w:ascii="Times New Roman" w:hAnsi="Times New Roman" w:cs="Times New Roman" w:eastAsia="Times New Roman" w:hint="default"/>
          <w:spacing w:val="-1"/>
        </w:rPr>
        <w:t>53</w:t>
      </w:r>
      <w:r>
        <w:rPr>
          <w:spacing w:val="-1"/>
        </w:rPr>
        <w:t>名激励对象授予</w:t>
      </w:r>
      <w:r>
        <w:rPr>
          <w:rFonts w:ascii="Times New Roman" w:hAnsi="Times New Roman" w:cs="Times New Roman" w:eastAsia="Times New Roman" w:hint="default"/>
          <w:spacing w:val="-1"/>
        </w:rPr>
        <w:t>187.5</w:t>
      </w:r>
      <w:r>
        <w:rPr>
          <w:spacing w:val="-1"/>
        </w:rPr>
        <w:t>万份预留期权，授予日为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日，行</w:t>
      </w:r>
      <w:r>
        <w:rPr>
          <w:spacing w:val="-73"/>
        </w:rPr>
        <w:t> </w:t>
      </w:r>
      <w:r>
        <w:rPr>
          <w:spacing w:val="-73"/>
        </w:rPr>
      </w:r>
      <w:r>
        <w:rPr/>
        <w:t>权价格为</w:t>
      </w:r>
      <w:r>
        <w:rPr>
          <w:rFonts w:ascii="Times New Roman" w:hAnsi="Times New Roman" w:cs="Times New Roman" w:eastAsia="Times New Roman" w:hint="default"/>
        </w:rPr>
        <w:t>80.9</w:t>
      </w:r>
      <w:r>
        <w:rPr/>
        <w:t>元。公司于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日完成上述预留期权的授予登记手续，期权代码：</w:t>
      </w:r>
      <w:r>
        <w:rPr>
          <w:rFonts w:ascii="Times New Roman" w:hAnsi="Times New Roman" w:cs="Times New Roman" w:eastAsia="Times New Roman" w:hint="default"/>
        </w:rPr>
        <w:t>300187</w:t>
      </w:r>
      <w:r>
        <w:rPr/>
        <w:t>，期权简称：卫宁</w:t>
      </w:r>
      <w:r>
        <w:rPr>
          <w:rFonts w:ascii="Times New Roman" w:hAnsi="Times New Roman" w:cs="Times New Roman" w:eastAsia="Times New Roman" w:hint="default"/>
        </w:rPr>
        <w:t>JLC4</w:t>
      </w:r>
      <w:r>
        <w:rPr/>
        <w:t>。</w:t>
      </w:r>
    </w:p>
    <w:p>
      <w:pPr>
        <w:pStyle w:val="BodyText"/>
        <w:spacing w:line="300" w:lineRule="auto" w:before="13"/>
        <w:ind w:right="93"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日，公司第三届董事会第八次会议和第三届监事会第八次会议分别审议通过了《关于公司</w:t>
      </w:r>
      <w:r>
        <w:rPr>
          <w:rFonts w:ascii="Times New Roman" w:hAnsi="Times New Roman" w:cs="Times New Roman" w:eastAsia="Times New Roman" w:hint="default"/>
          <w:spacing w:val="-2"/>
        </w:rPr>
        <w:t>2014</w:t>
      </w:r>
      <w:r>
        <w:rPr>
          <w:spacing w:val="-2"/>
        </w:rPr>
        <w:t>年股票期权</w:t>
      </w:r>
      <w:r>
        <w:rPr/>
        <w:t> </w:t>
      </w:r>
      <w:r>
        <w:rPr>
          <w:spacing w:val="-2"/>
        </w:rPr>
        <w:t>激励计划首次授予激励对象、期权数量调整的议案》、《关于公司</w:t>
      </w:r>
      <w:r>
        <w:rPr>
          <w:rFonts w:ascii="Times New Roman" w:hAnsi="Times New Roman" w:cs="Times New Roman" w:eastAsia="Times New Roman" w:hint="default"/>
          <w:spacing w:val="-2"/>
        </w:rPr>
        <w:t>2014</w:t>
      </w:r>
      <w:r>
        <w:rPr>
          <w:spacing w:val="-2"/>
        </w:rPr>
        <w:t>年股票期权激励计划首次授予股票期权第一个行权期</w:t>
      </w:r>
      <w:r>
        <w:rPr>
          <w:spacing w:val="-64"/>
        </w:rPr>
        <w:t> </w:t>
      </w:r>
      <w:r>
        <w:rPr>
          <w:spacing w:val="-64"/>
        </w:rPr>
      </w:r>
      <w:r>
        <w:rPr>
          <w:spacing w:val="-2"/>
        </w:rPr>
        <w:t>可行权的议案》等议案，鉴于</w:t>
      </w:r>
      <w:r>
        <w:rPr>
          <w:rFonts w:ascii="Times New Roman" w:hAnsi="Times New Roman" w:cs="Times New Roman" w:eastAsia="Times New Roman" w:hint="default"/>
          <w:spacing w:val="-2"/>
        </w:rPr>
        <w:t>1</w:t>
      </w:r>
      <w:r>
        <w:rPr>
          <w:spacing w:val="-2"/>
        </w:rPr>
        <w:t>名激励对象因个人原因离职不再具备激励对象资格等原因，期权数量和行权价格作相应调整，</w:t>
      </w:r>
      <w:r>
        <w:rPr>
          <w:spacing w:val="-63"/>
        </w:rPr>
        <w:t> </w:t>
      </w:r>
      <w:r>
        <w:rPr>
          <w:spacing w:val="-63"/>
        </w:rPr>
      </w:r>
      <w:r>
        <w:rPr>
          <w:spacing w:val="-2"/>
        </w:rPr>
        <w:t>经调整后，首次授予激励对象为</w:t>
      </w:r>
      <w:r>
        <w:rPr>
          <w:rFonts w:ascii="Times New Roman" w:hAnsi="Times New Roman" w:cs="Times New Roman" w:eastAsia="Times New Roman" w:hint="default"/>
          <w:spacing w:val="-2"/>
        </w:rPr>
        <w:t>191</w:t>
      </w:r>
      <w:r>
        <w:rPr>
          <w:spacing w:val="-2"/>
        </w:rPr>
        <w:t>名，首次授予期权数量为</w:t>
      </w:r>
      <w:r>
        <w:rPr>
          <w:rFonts w:ascii="Times New Roman" w:hAnsi="Times New Roman" w:cs="Times New Roman" w:eastAsia="Times New Roman" w:hint="default"/>
          <w:spacing w:val="-2"/>
        </w:rPr>
        <w:t>16,842,500</w:t>
      </w:r>
      <w:r>
        <w:rPr>
          <w:spacing w:val="-2"/>
        </w:rPr>
        <w:t>份。另外根据公司《</w:t>
      </w:r>
      <w:r>
        <w:rPr>
          <w:rFonts w:ascii="Times New Roman" w:hAnsi="Times New Roman" w:cs="Times New Roman" w:eastAsia="Times New Roman" w:hint="default"/>
          <w:spacing w:val="-2"/>
        </w:rPr>
        <w:t>2014</w:t>
      </w:r>
      <w:r>
        <w:rPr>
          <w:spacing w:val="-2"/>
        </w:rPr>
        <w:t>年股票期权激励计划（草案</w:t>
      </w:r>
      <w:r>
        <w:rPr>
          <w:spacing w:val="-51"/>
        </w:rPr>
        <w:t> </w:t>
      </w:r>
      <w:r>
        <w:rPr>
          <w:spacing w:val="-51"/>
        </w:rPr>
      </w:r>
      <w:r>
        <w:rPr>
          <w:spacing w:val="-2"/>
        </w:rPr>
        <w:t>修订稿）》、《</w:t>
      </w:r>
      <w:r>
        <w:rPr>
          <w:rFonts w:ascii="Times New Roman" w:hAnsi="Times New Roman" w:cs="Times New Roman" w:eastAsia="Times New Roman" w:hint="default"/>
          <w:spacing w:val="-2"/>
        </w:rPr>
        <w:t>2014</w:t>
      </w:r>
      <w:r>
        <w:rPr>
          <w:spacing w:val="-2"/>
        </w:rPr>
        <w:t>年股票期权激励计划实施考核管理办法》的有关规定以及董事会薪酬与考核委员会对激励对象上年度业</w:t>
      </w:r>
      <w:r>
        <w:rPr>
          <w:spacing w:val="-62"/>
        </w:rPr>
        <w:t> </w:t>
      </w:r>
      <w:r>
        <w:rPr>
          <w:spacing w:val="-62"/>
        </w:rPr>
      </w:r>
      <w:r>
        <w:rPr>
          <w:spacing w:val="-2"/>
        </w:rPr>
        <w:t>绩考核情况的核实，董事会认为</w:t>
      </w:r>
      <w:r>
        <w:rPr>
          <w:rFonts w:ascii="Times New Roman" w:hAnsi="Times New Roman" w:cs="Times New Roman" w:eastAsia="Times New Roman" w:hint="default"/>
          <w:spacing w:val="-2"/>
        </w:rPr>
        <w:t>2014</w:t>
      </w:r>
      <w:r>
        <w:rPr>
          <w:spacing w:val="-2"/>
        </w:rPr>
        <w:t>年股票期权激励计划首次授予股票期权第一个行权期行权条件已经满足，同意向首次授</w:t>
      </w:r>
      <w:r>
        <w:rPr>
          <w:spacing w:val="-62"/>
        </w:rPr>
        <w:t> </w:t>
      </w:r>
      <w:r>
        <w:rPr>
          <w:spacing w:val="-62"/>
        </w:rPr>
      </w:r>
      <w:r>
        <w:rPr/>
        <w:t>予期权的</w:t>
      </w:r>
      <w:r>
        <w:rPr>
          <w:rFonts w:ascii="Times New Roman" w:hAnsi="Times New Roman" w:cs="Times New Roman" w:eastAsia="Times New Roman" w:hint="default"/>
        </w:rPr>
        <w:t>191</w:t>
      </w:r>
      <w:r>
        <w:rPr/>
        <w:t>名激励对象以定向发行公司股票的方式进行行权，本期可行权数量为</w:t>
      </w:r>
      <w:r>
        <w:rPr>
          <w:rFonts w:ascii="Times New Roman" w:hAnsi="Times New Roman" w:cs="Times New Roman" w:eastAsia="Times New Roman" w:hint="default"/>
        </w:rPr>
        <w:t>4,210,625</w:t>
      </w:r>
      <w:r>
        <w:rPr/>
        <w:t>份，行权价格为</w:t>
      </w:r>
      <w:r>
        <w:rPr>
          <w:rFonts w:ascii="Times New Roman" w:hAnsi="Times New Roman" w:cs="Times New Roman" w:eastAsia="Times New Roman" w:hint="default"/>
        </w:rPr>
        <w:t>18.41</w:t>
      </w:r>
      <w:r>
        <w:rPr/>
        <w:t>元。本次行 权拟采用自主行权模式。</w:t>
      </w:r>
    </w:p>
    <w:p>
      <w:pPr>
        <w:pStyle w:val="BodyText"/>
        <w:spacing w:line="300" w:lineRule="auto" w:before="31"/>
        <w:ind w:right="192" w:firstLine="360"/>
        <w:jc w:val="both"/>
      </w:pPr>
      <w:r>
        <w:rPr>
          <w:spacing w:val="-1"/>
        </w:rPr>
        <w:t>报告期内，公司注销已授予但不符合行权条件的股票期权</w:t>
      </w:r>
      <w:r>
        <w:rPr>
          <w:rFonts w:ascii="Times New Roman" w:hAnsi="Times New Roman" w:cs="Times New Roman" w:eastAsia="Times New Roman" w:hint="default"/>
          <w:spacing w:val="-1"/>
        </w:rPr>
        <w:t>22,000</w:t>
      </w:r>
      <w:r>
        <w:rPr>
          <w:spacing w:val="-1"/>
        </w:rPr>
        <w:t>份，并经中国证券登记结算有限责任公司深圳分公司审</w:t>
      </w:r>
      <w:r>
        <w:rPr/>
        <w:t> 核确认，上述股票期权的注销手续已办理完毕。</w:t>
      </w:r>
    </w:p>
    <w:p>
      <w:pPr>
        <w:pStyle w:val="BodyText"/>
        <w:spacing w:line="240" w:lineRule="auto" w:before="31"/>
        <w:ind w:left="512" w:right="0"/>
        <w:jc w:val="left"/>
      </w:pPr>
      <w:r>
        <w:rPr/>
        <w:t>报告期内，公司</w:t>
      </w:r>
      <w:r>
        <w:rPr>
          <w:rFonts w:ascii="Times New Roman" w:hAnsi="Times New Roman" w:cs="Times New Roman" w:eastAsia="Times New Roman" w:hint="default"/>
        </w:rPr>
        <w:t>2014</w:t>
      </w:r>
      <w:r>
        <w:rPr/>
        <w:t>年股权激励计划首次授予期权行权</w:t>
      </w:r>
      <w:r>
        <w:rPr>
          <w:rFonts w:ascii="Times New Roman" w:hAnsi="Times New Roman" w:cs="Times New Roman" w:eastAsia="Times New Roman" w:hint="default"/>
        </w:rPr>
        <w:t>3,282,830</w:t>
      </w:r>
      <w:r>
        <w:rPr/>
        <w:t>股，累计行权</w:t>
      </w:r>
      <w:r>
        <w:rPr>
          <w:rFonts w:ascii="Times New Roman" w:hAnsi="Times New Roman" w:cs="Times New Roman" w:eastAsia="Times New Roman" w:hint="default"/>
        </w:rPr>
        <w:t>3,282,830</w:t>
      </w:r>
      <w:r>
        <w:rPr/>
        <w:t>股，实际摊销首次授予期权成本</w:t>
      </w:r>
    </w:p>
    <w:p>
      <w:pPr>
        <w:pStyle w:val="BodyText"/>
        <w:spacing w:line="300" w:lineRule="auto" w:before="63"/>
        <w:ind w:left="512" w:right="903" w:hanging="361"/>
        <w:jc w:val="left"/>
      </w:pPr>
      <w:r>
        <w:rPr>
          <w:rFonts w:ascii="Times New Roman" w:hAnsi="Times New Roman" w:cs="Times New Roman" w:eastAsia="Times New Roman" w:hint="default"/>
        </w:rPr>
        <w:t>2,867.30</w:t>
      </w:r>
      <w:r>
        <w:rPr/>
        <w:t>万元，累计摊销首次授予期权成本</w:t>
      </w:r>
      <w:r>
        <w:rPr>
          <w:rFonts w:ascii="Times New Roman" w:hAnsi="Times New Roman" w:cs="Times New Roman" w:eastAsia="Times New Roman" w:hint="default"/>
        </w:rPr>
        <w:t>3,390.28</w:t>
      </w:r>
      <w:r>
        <w:rPr/>
        <w:t>万元。 报告期内，公司</w:t>
      </w:r>
      <w:r>
        <w:rPr>
          <w:rFonts w:ascii="Times New Roman" w:hAnsi="Times New Roman" w:cs="Times New Roman" w:eastAsia="Times New Roman" w:hint="default"/>
        </w:rPr>
        <w:t>2014</w:t>
      </w:r>
      <w:r>
        <w:rPr/>
        <w:t>年股权激励计划预留授予期权成本</w:t>
      </w:r>
      <w:r>
        <w:rPr>
          <w:rFonts w:ascii="Times New Roman" w:hAnsi="Times New Roman" w:cs="Times New Roman" w:eastAsia="Times New Roman" w:hint="default"/>
        </w:rPr>
        <w:t>803.15</w:t>
      </w:r>
      <w:r>
        <w:rPr/>
        <w:t>万元，累计摊销预留授予期权成本</w:t>
      </w:r>
      <w:r>
        <w:rPr>
          <w:rFonts w:ascii="Times New Roman" w:hAnsi="Times New Roman" w:cs="Times New Roman" w:eastAsia="Times New Roman" w:hint="default"/>
        </w:rPr>
        <w:t>803.15</w:t>
      </w:r>
      <w:r>
        <w:rPr/>
        <w:t>万元。 截至本报告期末，因股权激励行权及</w:t>
      </w:r>
      <w:r>
        <w:rPr>
          <w:rFonts w:ascii="Times New Roman" w:hAnsi="Times New Roman" w:cs="Times New Roman" w:eastAsia="Times New Roman" w:hint="default"/>
        </w:rPr>
        <w:t>2014</w:t>
      </w:r>
      <w:r>
        <w:rPr/>
        <w:t>年度权益分派，公司总股本增加至</w:t>
      </w:r>
      <w:r>
        <w:rPr>
          <w:rFonts w:ascii="Times New Roman" w:hAnsi="Times New Roman" w:cs="Times New Roman" w:eastAsia="Times New Roman" w:hint="default"/>
        </w:rPr>
        <w:t>555,196,036</w:t>
      </w:r>
      <w:r>
        <w:rPr/>
        <w:t>股。 报告期内股权激励事项临时报告披露网站查询：</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6859"/>
        <w:gridCol w:w="1303"/>
        <w:gridCol w:w="1486"/>
      </w:tblGrid>
      <w:tr>
        <w:trPr>
          <w:trHeight w:val="730" w:hRule="exact"/>
        </w:trPr>
        <w:tc>
          <w:tcPr>
            <w:tcW w:w="6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3"/>
              <w:ind w:left="556" w:right="14" w:hanging="540"/>
              <w:jc w:val="left"/>
              <w:rPr>
                <w:rFonts w:ascii="宋体" w:hAnsi="宋体" w:cs="宋体" w:eastAsia="宋体" w:hint="default"/>
                <w:sz w:val="18"/>
                <w:szCs w:val="18"/>
              </w:rPr>
            </w:pPr>
            <w:r>
              <w:rPr>
                <w:rFonts w:ascii="宋体" w:hAnsi="宋体" w:cs="宋体" w:eastAsia="宋体" w:hint="default"/>
                <w:sz w:val="18"/>
                <w:szCs w:val="18"/>
              </w:rPr>
              <w:t>临时公告披露日 期</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查询索引</w:t>
            </w:r>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0"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第三届监事会第二次会议决议公告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年股票期权激励计划所涉激励对象、期权数量和行权价格调整的公告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年股票期权激励计划所涉激励对象、期权数量和行权价格调整的公告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年股票期权激励计划部分已授予股票期权注销完成的公告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年股票期权激励计划部分已授予股票期权注销完成的公告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59"/>
        <w:gridCol w:w="1303"/>
        <w:gridCol w:w="1486"/>
      </w:tblGrid>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第三届董事会第五次会议决议公告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第三届监事会第五次会议决议公告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0"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年股票期权激励计划预留期权授予相关事项的公告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年股票期权激励计划预留期权授予登记完成的公告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第三届董事会第六次会议决议公告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第三届监事会第六次会议决议公告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4"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18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年股票期权激励计划首次授予期权第三个行权期及预留授予期权第二个行权 期可行权的公告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4"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18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年股票期权激励计划股票期权首次授予期权第三个行权期采用自主行权模式 的提示性公告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18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年股票期权激励计划股票期权预留授予期权第二个行权期采用自主行权模式 的提示性公告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第三届董事会第八次会议决议公告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第三届监事会第八次会议决议公告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年股票期权激励计划首次授予激励对象、期权数量调整的公告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年股票期权激励计划首次授予期权第一个行权期可行权的公告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2"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年股票期权激励计划首次授予期权部分注销完成的公告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4" w:hRule="exact"/>
        </w:trPr>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7" w:right="18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年股票期权激励计划股票期权首次授予期权第一个行权期采用自主行权模式 的提示性公告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48"/>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r>
        <w:rPr/>
        <w:pict>
          <v:group style="position:absolute;margin-left:229.919998pt;margin-top:665.280029pt;width:132pt;height:35.3pt;mso-position-horizontal-relative:page;mso-position-vertical-relative:page;z-index:-988600" coordorigin="4598,13306" coordsize="2640,706">
            <v:group style="position:absolute;left:4598;top:13306;width:2640;height:156" coordorigin="4598,13306" coordsize="2640,156">
              <v:shape style="position:absolute;left:4598;top:13306;width:2640;height:156" coordorigin="4598,13306" coordsize="2640,156" path="m4598,13462l7238,13462,7238,13306,4598,13306,4598,13462xe" filled="true" fillcolor="#ffffff" stroked="false">
                <v:path arrowok="t"/>
                <v:fill type="solid"/>
              </v:shape>
            </v:group>
            <v:group style="position:absolute;left:4598;top:13855;width:2640;height:156" coordorigin="4598,13855" coordsize="2640,156">
              <v:shape style="position:absolute;left:4598;top:13855;width:2640;height:156" coordorigin="4598,13855" coordsize="2640,156" path="m4598,14011l7238,14011,7238,13855,4598,13855,4598,14011xe" filled="true" fillcolor="#ffffff" stroked="false">
                <v:path arrowok="t"/>
                <v:fill type="solid"/>
              </v:shape>
            </v:group>
            <v:group style="position:absolute;left:4620;top:13462;width:2595;height:394" coordorigin="4620,13462" coordsize="2595,394">
              <v:shape style="position:absolute;left:4620;top:13462;width:2595;height:394" coordorigin="4620,13462" coordsize="2595,394" path="m4620,13462l7214,13462,7214,13855,4620,13855,4620,13462xe" filled="true" fillcolor="#ffffff" stroked="false">
                <v:path arrowok="t"/>
                <v:fill type="solid"/>
              </v:shape>
            </v:group>
            <w10:wrap type="none"/>
          </v:group>
        </w:pict>
      </w:r>
    </w:p>
    <w:p>
      <w:pPr>
        <w:pStyle w:val="Heading3"/>
        <w:spacing w:line="240" w:lineRule="auto" w:before="36"/>
        <w:ind w:right="9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7" w:lineRule="auto" w:before="101"/>
        <w:ind w:right="93" w:firstLine="360"/>
        <w:jc w:val="left"/>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日召开了第二届董事会第二十六次会议、</w:t>
      </w:r>
      <w:r>
        <w:rPr>
          <w:rFonts w:ascii="Times New Roman" w:hAnsi="Times New Roman" w:cs="Times New Roman" w:eastAsia="Times New Roman" w:hint="default"/>
        </w:rPr>
        <w:t>2014</w:t>
      </w:r>
      <w:r>
        <w:rPr/>
        <w:t>年第三次临时股东大会会议， 审议通过了公司</w:t>
      </w:r>
      <w:r>
        <w:rPr>
          <w:rFonts w:ascii="Times New Roman" w:hAnsi="Times New Roman" w:cs="Times New Roman" w:eastAsia="Times New Roman" w:hint="default"/>
        </w:rPr>
        <w:t>2014</w:t>
      </w:r>
      <w:r>
        <w:rPr/>
        <w:t>年非公开发行股票相关事项的议案，公司控股股东和实际控制人周炜承诺认购金额不低于</w:t>
      </w:r>
      <w:r>
        <w:rPr>
          <w:rFonts w:ascii="Times New Roman" w:hAnsi="Times New Roman" w:cs="Times New Roman" w:eastAsia="Times New Roman" w:hint="default"/>
        </w:rPr>
        <w:t>20,000</w:t>
      </w:r>
      <w:r>
        <w:rPr/>
        <w:t>万元。 </w:t>
      </w:r>
      <w:r>
        <w:rPr>
          <w:spacing w:val="-2"/>
        </w:rPr>
        <w:t>因受限于法律规定及政策调整等因素，公司控股股东、实际控制人周炜将不再参与认购公司本次非公开发行的股票，本次调</w:t>
      </w:r>
      <w:r>
        <w:rPr>
          <w:spacing w:val="-66"/>
        </w:rPr>
        <w:t> </w:t>
      </w:r>
      <w:r>
        <w:rPr>
          <w:spacing w:val="-66"/>
        </w:rPr>
      </w:r>
      <w:r>
        <w:rPr/>
        <w:t>整事项分别经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日召开的第三届董事会第四次会议、</w:t>
      </w:r>
      <w:r>
        <w:rPr>
          <w:rFonts w:ascii="Times New Roman" w:hAnsi="Times New Roman" w:cs="Times New Roman" w:eastAsia="Times New Roman" w:hint="default"/>
        </w:rPr>
        <w:t>2015</w:t>
      </w:r>
      <w:r>
        <w:rPr/>
        <w:t>年第一次临时股东大会审议通过。</w:t>
      </w:r>
    </w:p>
    <w:p>
      <w:pPr>
        <w:pStyle w:val="BodyText"/>
        <w:spacing w:line="300" w:lineRule="auto" w:before="7"/>
        <w:ind w:right="18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日，公司第三届董事会第三次会议审议通过了《关于向银行申请综合授信额度并由控股股东提供关联 担保的议案》，同意公司向宁波银行股份有限公司上海黄浦支行（以下简称</w:t>
      </w:r>
      <w:r>
        <w:rPr>
          <w:rFonts w:ascii="Times New Roman" w:hAnsi="Times New Roman" w:cs="Times New Roman" w:eastAsia="Times New Roman" w:hint="default"/>
        </w:rPr>
        <w:t>“</w:t>
      </w:r>
      <w:r>
        <w:rPr/>
        <w:t>宁波银行</w:t>
      </w:r>
      <w:r>
        <w:rPr>
          <w:rFonts w:ascii="Times New Roman" w:hAnsi="Times New Roman" w:cs="Times New Roman" w:eastAsia="Times New Roman" w:hint="default"/>
        </w:rPr>
        <w:t>”</w:t>
      </w:r>
      <w:r>
        <w:rPr/>
        <w:t>）申请不超过人民币</w:t>
      </w:r>
      <w:r>
        <w:rPr>
          <w:rFonts w:ascii="Times New Roman" w:hAnsi="Times New Roman" w:cs="Times New Roman" w:eastAsia="Times New Roman" w:hint="default"/>
        </w:rPr>
        <w:t>1.5</w:t>
      </w:r>
      <w:r>
        <w:rPr/>
        <w:t>亿元的综合</w:t>
      </w:r>
      <w:r>
        <w:rPr>
          <w:spacing w:val="-30"/>
        </w:rPr>
        <w:t> </w:t>
      </w:r>
      <w:r>
        <w:rPr>
          <w:spacing w:val="-30"/>
        </w:rPr>
      </w:r>
      <w:r>
        <w:rPr/>
        <w:t>授信额度，授信期限</w:t>
      </w:r>
      <w:r>
        <w:rPr>
          <w:rFonts w:ascii="Times New Roman" w:hAnsi="Times New Roman" w:cs="Times New Roman" w:eastAsia="Times New Roman" w:hint="default"/>
        </w:rPr>
        <w:t>1</w:t>
      </w:r>
      <w:r>
        <w:rPr/>
        <w:t>年，并由公司控股股东、实际控制人周炜为该次综合授信额度提供连带责任担保，担保有效期与综合</w:t>
      </w:r>
      <w:r>
        <w:rPr>
          <w:spacing w:val="-84"/>
        </w:rPr>
        <w:t> </w:t>
      </w:r>
      <w:r>
        <w:rPr>
          <w:spacing w:val="-84"/>
        </w:rPr>
      </w:r>
      <w:r>
        <w:rPr/>
        <w:t>授信期限一致，免于支付担保费用。独立董事对上述事项进行了事前认可，并发表了同意的独立意见，该事项已经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3</w:t>
      </w:r>
      <w:r>
        <w:rPr/>
        <w:t>日召开的公司</w:t>
      </w:r>
      <w:r>
        <w:rPr>
          <w:rFonts w:ascii="Times New Roman" w:hAnsi="Times New Roman" w:cs="Times New Roman" w:eastAsia="Times New Roman" w:hint="default"/>
        </w:rPr>
        <w:t>2015</w:t>
      </w:r>
      <w:r>
        <w:rPr/>
        <w:t>年第一次临时股东大会通过。</w:t>
      </w:r>
    </w:p>
    <w:p>
      <w:pPr>
        <w:pStyle w:val="BodyText"/>
        <w:spacing w:line="300" w:lineRule="auto" w:before="13"/>
        <w:ind w:right="189"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日，公司第三届董事会第八次会议审议通过了《关于公司对外投资上海钥世圈云健康科技发展有限 </w:t>
      </w:r>
      <w:r>
        <w:rPr>
          <w:spacing w:val="-1"/>
        </w:rPr>
        <w:t>公司暨关联交易的议案》，同意公司以自有资金</w:t>
      </w:r>
      <w:r>
        <w:rPr>
          <w:rFonts w:ascii="Times New Roman" w:hAnsi="Times New Roman" w:cs="Times New Roman" w:eastAsia="Times New Roman" w:hint="default"/>
          <w:spacing w:val="-1"/>
        </w:rPr>
        <w:t>652.94</w:t>
      </w:r>
      <w:r>
        <w:rPr>
          <w:spacing w:val="-1"/>
        </w:rPr>
        <w:t>万元认购公司控股股东、实际控制人、董事长周炜控制的上海钥世圈</w:t>
      </w:r>
      <w:r>
        <w:rPr>
          <w:spacing w:val="-75"/>
        </w:rPr>
        <w:t> </w:t>
      </w:r>
      <w:r>
        <w:rPr>
          <w:spacing w:val="-75"/>
        </w:rPr>
      </w:r>
      <w:r>
        <w:rPr/>
        <w:t>云健康科技发展有限公司新增的部分注册资本，公司持有钥世圈增资后注册资本的</w:t>
      </w:r>
      <w:r>
        <w:rPr>
          <w:rFonts w:ascii="Times New Roman" w:hAnsi="Times New Roman" w:cs="Times New Roman" w:eastAsia="Times New Roman" w:hint="default"/>
        </w:rPr>
        <w:t>32.647%</w:t>
      </w:r>
      <w:r>
        <w:rPr/>
        <w:t>股权，独立董事对上述事项进行 了事前认可，并发表了同意的独立意见，该事项已经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日召开的公司</w:t>
      </w:r>
      <w:r>
        <w:rPr>
          <w:rFonts w:ascii="Times New Roman" w:hAnsi="Times New Roman" w:cs="Times New Roman" w:eastAsia="Times New Roman" w:hint="default"/>
        </w:rPr>
        <w:t>2015</w:t>
      </w:r>
      <w:r>
        <w:rPr/>
        <w:t>年第二次临时股东大会通过。截至本报</w:t>
      </w:r>
      <w:r>
        <w:rPr>
          <w:spacing w:val="-85"/>
        </w:rPr>
        <w:t> </w:t>
      </w:r>
      <w:r>
        <w:rPr>
          <w:spacing w:val="-85"/>
        </w:rPr>
      </w:r>
      <w:r>
        <w:rPr/>
        <w:t>告期末，公司尚未出资，钥世圈未纳入公司合并报表范围。</w:t>
      </w:r>
    </w:p>
    <w:p>
      <w:pPr>
        <w:pStyle w:val="BodyText"/>
        <w:spacing w:line="240" w:lineRule="auto" w:before="72"/>
        <w:ind w:left="512" w:right="93"/>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8"/>
        <w:gridCol w:w="2650"/>
        <w:gridCol w:w="3461"/>
      </w:tblGrid>
      <w:tr>
        <w:trPr>
          <w:trHeight w:val="401" w:hRule="exact"/>
        </w:trPr>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第三届董事会第三次会议决议公告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第三届监事会第三次会议决议公告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关于控股股东为公司向银行申请综合授信 额度提供担保的关联交易公告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年第一次临时股东大会通知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年第一次临时股东大会的提 示性公告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第三届董事会第四次会议决议公告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第三届监事会第四次会议决议公告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年非公开发行股票预案（修订稿 披露的提示性公告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第三届董事会第八次会议决议公告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第三届监事会第八次会议决议公告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关于对外投资上海钥世圈云健康科技发展</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8"/>
        <w:gridCol w:w="2650"/>
        <w:gridCol w:w="3461"/>
      </w:tblGrid>
      <w:tr>
        <w:trPr>
          <w:trHeight w:val="362"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年第二次临时股东大会通知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年第二次临时股东大会的提 示性公告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48"/>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6"/>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38"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48"/>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2"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日分别召开了第二届董事会第二十六次会议、</w:t>
      </w:r>
      <w:r>
        <w:rPr>
          <w:rFonts w:ascii="Times New Roman" w:hAnsi="Times New Roman" w:cs="Times New Roman" w:eastAsia="Times New Roman" w:hint="default"/>
        </w:rPr>
        <w:t>2014</w:t>
      </w:r>
      <w:r>
        <w:rPr/>
        <w:t>年第三次临时股东大会会议，</w:t>
      </w:r>
    </w:p>
    <w:p>
      <w:pPr>
        <w:pStyle w:val="BodyText"/>
        <w:spacing w:line="230" w:lineRule="exact"/>
        <w:ind w:right="0"/>
        <w:jc w:val="left"/>
      </w:pPr>
      <w:r>
        <w:rPr/>
        <w:t>审议通过了公司</w:t>
      </w:r>
      <w:r>
        <w:rPr>
          <w:rFonts w:ascii="Times New Roman" w:hAnsi="Times New Roman" w:cs="Times New Roman" w:eastAsia="Times New Roman" w:hint="default"/>
        </w:rPr>
        <w:t>2014</w:t>
      </w:r>
      <w:r>
        <w:rPr/>
        <w:t>年非公开发行股票相关事项的议案。并于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日收到中国证监会出具的《中国证监会行政许可</w:t>
      </w:r>
    </w:p>
    <w:p>
      <w:pPr>
        <w:pStyle w:val="BodyText"/>
        <w:spacing w:line="316" w:lineRule="auto" w:before="63"/>
        <w:ind w:left="512" w:right="148" w:hanging="361"/>
        <w:jc w:val="left"/>
      </w:pPr>
      <w:r>
        <w:rPr/>
        <w:t>申请受理通知书》。 </w:t>
      </w:r>
      <w:r>
        <w:rPr>
          <w:spacing w:val="-2"/>
        </w:rPr>
        <w:t>因受限于法律规定及政策调整等因素，公司控股股东、实际控制人周炜将不再参与认购公司本次非公开发行的股票，本</w:t>
      </w:r>
    </w:p>
    <w:p>
      <w:pPr>
        <w:pStyle w:val="BodyText"/>
        <w:spacing w:line="300" w:lineRule="auto" w:before="18"/>
        <w:ind w:right="152"/>
        <w:jc w:val="both"/>
      </w:pPr>
      <w:r>
        <w:rPr/>
        <w:t>次非公开发行股票募集资金总额由不超过</w:t>
      </w:r>
      <w:r>
        <w:rPr>
          <w:rFonts w:ascii="Times New Roman" w:hAnsi="Times New Roman" w:cs="Times New Roman" w:eastAsia="Times New Roman" w:hint="default"/>
        </w:rPr>
        <w:t>102,001.73</w:t>
      </w:r>
      <w:r>
        <w:rPr/>
        <w:t>万元调整为不超过</w:t>
      </w:r>
      <w:r>
        <w:rPr>
          <w:rFonts w:ascii="Times New Roman" w:hAnsi="Times New Roman" w:cs="Times New Roman" w:eastAsia="Times New Roman" w:hint="default"/>
        </w:rPr>
        <w:t>82,001.73</w:t>
      </w:r>
      <w:r>
        <w:rPr/>
        <w:t>万元。除此之外，本次非公开发行的发行数</w:t>
      </w:r>
      <w:r>
        <w:rPr>
          <w:spacing w:val="-85"/>
        </w:rPr>
        <w:t> </w:t>
      </w:r>
      <w:r>
        <w:rPr>
          <w:spacing w:val="-85"/>
        </w:rPr>
      </w:r>
      <w:r>
        <w:rPr/>
        <w:t>量、发行价格及定价方式等均不发生变化，本次调整事项已经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日召开的第三届董事会第四次会</w:t>
      </w:r>
      <w:r>
        <w:rPr>
          <w:spacing w:val="-87"/>
        </w:rPr>
        <w:t> </w:t>
      </w:r>
      <w:r>
        <w:rPr>
          <w:spacing w:val="-87"/>
        </w:rPr>
      </w:r>
      <w:r>
        <w:rPr/>
        <w:t>议、</w:t>
      </w:r>
      <w:r>
        <w:rPr>
          <w:rFonts w:ascii="Times New Roman" w:hAnsi="Times New Roman" w:cs="Times New Roman" w:eastAsia="Times New Roman" w:hint="default"/>
        </w:rPr>
        <w:t>2015</w:t>
      </w:r>
      <w:r>
        <w:rPr/>
        <w:t>年第一次临时股东大会审议通过。</w:t>
      </w:r>
    </w:p>
    <w:p>
      <w:pPr>
        <w:pStyle w:val="BodyText"/>
        <w:spacing w:line="300" w:lineRule="auto" w:before="53"/>
        <w:ind w:right="152"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24</w:t>
      </w:r>
      <w:r>
        <w:rPr>
          <w:spacing w:val="-3"/>
        </w:rPr>
        <w:t>日，本次非公开发行股票申请获得中国证监会的审核通过，并于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日取得中国证监会出具的《关</w:t>
      </w:r>
      <w:r>
        <w:rPr/>
        <w:t> </w:t>
      </w:r>
      <w:r>
        <w:rPr>
          <w:spacing w:val="-1"/>
        </w:rPr>
        <w:t>于核准上海金仕达卫宁软件股份有限公司非公开发行股票的批复》（证监许可</w:t>
      </w:r>
      <w:r>
        <w:rPr>
          <w:rFonts w:ascii="Times New Roman" w:hAnsi="Times New Roman" w:cs="Times New Roman" w:eastAsia="Times New Roman" w:hint="default"/>
          <w:spacing w:val="-1"/>
        </w:rPr>
        <w:t>[2015]2342</w:t>
      </w:r>
      <w:r>
        <w:rPr>
          <w:spacing w:val="-1"/>
        </w:rPr>
        <w:t>号），核准公司非公开发行不超过</w:t>
      </w:r>
      <w:r>
        <w:rPr>
          <w:spacing w:val="-56"/>
        </w:rPr>
        <w:t> </w:t>
      </w:r>
      <w:r>
        <w:rPr>
          <w:spacing w:val="-56"/>
        </w:rPr>
      </w:r>
      <w:r>
        <w:rPr>
          <w:rFonts w:ascii="Times New Roman" w:hAnsi="Times New Roman" w:cs="Times New Roman" w:eastAsia="Times New Roman" w:hint="default"/>
        </w:rPr>
        <w:t>2,500</w:t>
      </w:r>
      <w:r>
        <w:rPr/>
        <w:t>万股新股。</w:t>
      </w:r>
    </w:p>
    <w:p>
      <w:pPr>
        <w:pStyle w:val="BodyText"/>
        <w:spacing w:line="240" w:lineRule="auto" w:before="53"/>
        <w:ind w:left="512"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5"/>
        </w:rPr>
        <w:t> </w:t>
      </w:r>
      <w:r>
        <w:rPr/>
        <w:t>年</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9"/>
        </w:rPr>
        <w:t>月，</w:t>
      </w:r>
      <w:r>
        <w:rPr>
          <w:spacing w:val="-70"/>
        </w:rPr>
        <w:t> </w:t>
      </w:r>
      <w:r>
        <w:rPr>
          <w:spacing w:val="12"/>
        </w:rPr>
        <w:t>公司向</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17"/>
        </w:rPr>
        <w:t>名特定对象实际非公开发行股票</w:t>
      </w:r>
      <w:r>
        <w:rPr>
          <w:spacing w:val="-70"/>
        </w:rPr>
        <w:t> </w:t>
      </w:r>
      <w:r>
        <w:rPr>
          <w:rFonts w:ascii="Times New Roman" w:hAnsi="Times New Roman" w:cs="Times New Roman" w:eastAsia="Times New Roman" w:hint="default"/>
        </w:rPr>
        <w:t>24,691,878</w:t>
      </w:r>
      <w:r>
        <w:rPr>
          <w:rFonts w:ascii="Times New Roman" w:hAnsi="Times New Roman" w:cs="Times New Roman" w:eastAsia="Times New Roman" w:hint="default"/>
          <w:spacing w:val="-24"/>
        </w:rPr>
        <w:t> </w:t>
      </w:r>
      <w:r>
        <w:rPr>
          <w:spacing w:val="9"/>
        </w:rPr>
        <w:t>股，</w:t>
      </w:r>
      <w:r>
        <w:rPr>
          <w:spacing w:val="-70"/>
        </w:rPr>
        <w:t> </w:t>
      </w:r>
      <w:r>
        <w:rPr>
          <w:spacing w:val="15"/>
        </w:rPr>
        <w:t>发行价格为</w:t>
      </w:r>
      <w:r>
        <w:rPr>
          <w:spacing w:val="-70"/>
        </w:rPr>
        <w:t> </w:t>
      </w:r>
      <w:r>
        <w:rPr>
          <w:rFonts w:ascii="Times New Roman" w:hAnsi="Times New Roman" w:cs="Times New Roman" w:eastAsia="Times New Roman" w:hint="default"/>
        </w:rPr>
        <w:t>33.21</w:t>
      </w:r>
      <w:r>
        <w:rPr>
          <w:rFonts w:ascii="Times New Roman" w:hAnsi="Times New Roman" w:cs="Times New Roman" w:eastAsia="Times New Roman" w:hint="default"/>
          <w:spacing w:val="-27"/>
        </w:rPr>
        <w:t> </w:t>
      </w:r>
      <w:r>
        <w:rPr>
          <w:spacing w:val="9"/>
        </w:rPr>
        <w:t>元</w:t>
      </w:r>
      <w:r>
        <w:rPr>
          <w:rFonts w:ascii="Times New Roman" w:hAnsi="Times New Roman" w:cs="Times New Roman" w:eastAsia="Times New Roman" w:hint="default"/>
          <w:spacing w:val="9"/>
        </w:rPr>
        <w:t>/</w:t>
      </w:r>
      <w:r>
        <w:rPr>
          <w:rFonts w:ascii="Times New Roman" w:hAnsi="Times New Roman" w:cs="Times New Roman" w:eastAsia="Times New Roman" w:hint="default"/>
          <w:spacing w:val="-25"/>
        </w:rPr>
        <w:t> </w:t>
      </w:r>
      <w:r>
        <w:rPr>
          <w:spacing w:val="9"/>
        </w:rPr>
        <w:t>股，</w:t>
      </w:r>
      <w:r>
        <w:rPr>
          <w:spacing w:val="-70"/>
        </w:rPr>
        <w:t> </w:t>
      </w:r>
      <w:r>
        <w:rPr>
          <w:spacing w:val="16"/>
        </w:rPr>
        <w:t>募集资金总额为</w:t>
      </w:r>
    </w:p>
    <w:p>
      <w:pPr>
        <w:pStyle w:val="BodyText"/>
        <w:spacing w:line="240" w:lineRule="auto" w:before="62"/>
        <w:ind w:right="148"/>
        <w:jc w:val="left"/>
      </w:pPr>
      <w:r>
        <w:rPr>
          <w:rFonts w:ascii="Times New Roman" w:hAnsi="Times New Roman" w:cs="Times New Roman" w:eastAsia="Times New Roman" w:hint="default"/>
          <w:spacing w:val="5"/>
        </w:rPr>
        <w:t>820,017,268.38</w:t>
      </w:r>
      <w:r>
        <w:rPr>
          <w:spacing w:val="5"/>
        </w:rPr>
        <w:t>元，扣除保荐机构的保荐与承销费用</w:t>
      </w:r>
      <w:r>
        <w:rPr>
          <w:rFonts w:ascii="Times New Roman" w:hAnsi="Times New Roman" w:cs="Times New Roman" w:eastAsia="Times New Roman" w:hint="default"/>
          <w:spacing w:val="5"/>
        </w:rPr>
        <w:t>13,000,000.00</w:t>
      </w:r>
      <w:r>
        <w:rPr>
          <w:spacing w:val="5"/>
        </w:rPr>
        <w:t>元，其他发行费用</w:t>
      </w:r>
      <w:r>
        <w:rPr>
          <w:rFonts w:ascii="Times New Roman" w:hAnsi="Times New Roman" w:cs="Times New Roman" w:eastAsia="Times New Roman" w:hint="default"/>
          <w:spacing w:val="5"/>
        </w:rPr>
        <w:t>1,234,700.51</w:t>
      </w:r>
      <w:r>
        <w:rPr>
          <w:spacing w:val="5"/>
        </w:rPr>
        <w:t>元后，募集资金净额为</w:t>
      </w:r>
    </w:p>
    <w:p>
      <w:pPr>
        <w:pStyle w:val="BodyText"/>
        <w:spacing w:line="240" w:lineRule="auto" w:before="62"/>
        <w:ind w:right="148"/>
        <w:jc w:val="left"/>
        <w:rPr>
          <w:rFonts w:ascii="Times New Roman" w:hAnsi="Times New Roman" w:cs="Times New Roman" w:eastAsia="Times New Roman" w:hint="default"/>
        </w:rPr>
      </w:pPr>
      <w:r>
        <w:rPr>
          <w:rFonts w:ascii="Times New Roman" w:hAnsi="Times New Roman" w:cs="Times New Roman" w:eastAsia="Times New Roman" w:hint="default"/>
          <w:spacing w:val="-3"/>
        </w:rPr>
        <w:t>805,782,567.87</w:t>
      </w:r>
      <w:r>
        <w:rPr>
          <w:spacing w:val="-3"/>
        </w:rPr>
        <w:t>元，募集资金到位情况已经华普天健会计师事务所（特殊普通合伙）于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w:t>
      </w:r>
      <w:r>
        <w:rPr>
          <w:spacing w:val="-3"/>
        </w:rPr>
        <w:t>日出具的</w:t>
      </w:r>
      <w:r>
        <w:rPr>
          <w:rFonts w:ascii="Times New Roman" w:hAnsi="Times New Roman" w:cs="Times New Roman" w:eastAsia="Times New Roman" w:hint="default"/>
          <w:spacing w:val="-3"/>
        </w:rPr>
        <w:t>“</w:t>
      </w:r>
      <w:r>
        <w:rPr>
          <w:spacing w:val="-3"/>
        </w:rPr>
        <w:t>会验字</w:t>
      </w:r>
      <w:r>
        <w:rPr>
          <w:rFonts w:ascii="Times New Roman" w:hAnsi="Times New Roman" w:cs="Times New Roman" w:eastAsia="Times New Roman" w:hint="default"/>
          <w:spacing w:val="-3"/>
        </w:rPr>
        <w:t>[2016]1142</w:t>
      </w:r>
    </w:p>
    <w:p>
      <w:pPr>
        <w:pStyle w:val="BodyText"/>
        <w:spacing w:line="338" w:lineRule="auto" w:before="63"/>
        <w:ind w:left="512" w:right="4823" w:hanging="361"/>
        <w:jc w:val="left"/>
      </w:pPr>
      <w:r>
        <w:rPr/>
        <w:t>号</w:t>
      </w:r>
      <w:r>
        <w:rPr>
          <w:rFonts w:ascii="Times New Roman" w:hAnsi="Times New Roman" w:cs="Times New Roman" w:eastAsia="Times New Roman" w:hint="default"/>
        </w:rPr>
        <w:t>”</w:t>
      </w:r>
      <w:r>
        <w:rPr/>
        <w:t>《验资报告》验证。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日，本次非公开发行新增股票在深交所上市。 报告期内非公开发行股票事项临时报告披露网站查询：</w:t>
      </w:r>
    </w:p>
    <w:tbl>
      <w:tblPr>
        <w:tblW w:w="0" w:type="auto"/>
        <w:jc w:val="left"/>
        <w:tblInd w:w="145" w:type="dxa"/>
        <w:tblLayout w:type="fixed"/>
        <w:tblCellMar>
          <w:top w:w="0" w:type="dxa"/>
          <w:left w:w="0" w:type="dxa"/>
          <w:bottom w:w="0" w:type="dxa"/>
          <w:right w:w="0" w:type="dxa"/>
        </w:tblCellMar>
        <w:tblLook w:val="01E0"/>
      </w:tblPr>
      <w:tblGrid>
        <w:gridCol w:w="6499"/>
        <w:gridCol w:w="1462"/>
        <w:gridCol w:w="1483"/>
      </w:tblGrid>
      <w:tr>
        <w:trPr>
          <w:trHeight w:val="422" w:hRule="exact"/>
        </w:trPr>
        <w:tc>
          <w:tcPr>
            <w:tcW w:w="649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4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4"/>
              <w:ind w:left="5"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4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查询索引</w:t>
            </w:r>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第三届董事会第四次会议决议公告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第三届监事会第四次会议决议公告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年非公开发行股票预案（修订稿）披露的提示性公告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关于公司与周炜签订《〈非公开发行股票认购合同〉之终止协议》的公告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5"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关于调整非公开发行股票认购对象及募集资金总额的公告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年第一次临时股东大会通知的公告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年第一次临时股东大会的提示性公告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年第一次临时股东大会决议公告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关于《中国证监会行政许可项目审查反馈意见通知书》之反馈意见回复的公告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关于最近五年是否被证券监管部门和交易所处罚或采取监管措施及整改情况的公告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关于非公开发行股票申请文件反馈意见补充回复的公告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关于非公开发行股票申请获得中国证监会创业板发行审核委员会审核通过的公告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footerReference w:type="default" r:id="rId16"/>
          <w:pgSz w:w="11910" w:h="16840"/>
          <w:pgMar w:footer="981" w:header="745" w:top="1060" w:bottom="1180" w:left="980" w:right="980"/>
          <w:pgNumType w:start="5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6499"/>
        <w:gridCol w:w="1462"/>
        <w:gridCol w:w="1483"/>
      </w:tblGrid>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关于非公开发行股票申请获得中国证监会核准批复的公告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停牌公告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复牌公告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股股票发行情况报告书的提示性公告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关于非公开发行新股的上市公告书</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48"/>
        <w:jc w:val="left"/>
        <w:rPr>
          <w:b w:val="0"/>
          <w:bCs w:val="0"/>
        </w:rPr>
      </w:pPr>
      <w:r>
        <w:rPr/>
        <w:t>十八、公司子公司重大事项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二十、公司债券相关情况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13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963" w:right="148"/>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8"/>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7"/>
        <w:gridCol w:w="823"/>
        <w:gridCol w:w="823"/>
        <w:gridCol w:w="823"/>
        <w:gridCol w:w="821"/>
        <w:gridCol w:w="823"/>
        <w:gridCol w:w="821"/>
        <w:gridCol w:w="823"/>
        <w:gridCol w:w="794"/>
        <w:gridCol w:w="792"/>
      </w:tblGrid>
      <w:tr>
        <w:trPr>
          <w:trHeight w:val="40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16" w:right="45"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76,494,61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35.01%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318,687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33,270,45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-7,204,68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92,925,37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30.52%</w:t>
            </w:r>
          </w:p>
        </w:tc>
      </w:tr>
      <w:tr>
        <w:trPr>
          <w:trHeight w:val="394"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76,494,61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35.01%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318,687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33,270,45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-7,204,68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92,925,37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30.52%</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76,494,61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35.01%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318,687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33,270,45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-7,204,68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92,925,37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30.52%</w:t>
            </w:r>
          </w:p>
        </w:tc>
      </w:tr>
      <w:tr>
        <w:trPr>
          <w:trHeight w:val="394"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142,000,7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8,575,067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75,998,51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7,204,687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243,775,2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69.48%</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142,000,7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8,575,067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75,998,51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7,204,687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243,775,2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69.48%</w:t>
            </w:r>
          </w:p>
        </w:tc>
      </w:tr>
      <w:tr>
        <w:trPr>
          <w:trHeight w:val="394"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218,495,3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8,893,754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109,268,9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218,537,9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336,700,6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555,196,0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48"/>
        <w:jc w:val="left"/>
      </w:pPr>
      <w:r>
        <w:rPr/>
        <w:t>股份变动的原因</w:t>
      </w:r>
    </w:p>
    <w:p>
      <w:pPr>
        <w:pStyle w:val="BodyText"/>
        <w:spacing w:line="240" w:lineRule="auto" w:before="117"/>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49" w:firstLine="360"/>
        <w:jc w:val="both"/>
      </w:pPr>
      <w:r>
        <w:rPr>
          <w:rFonts w:ascii="Times New Roman" w:hAnsi="Times New Roman" w:cs="Times New Roman" w:eastAsia="Times New Roman" w:hint="default"/>
          <w:spacing w:val="-1"/>
        </w:rPr>
        <w:t>1</w:t>
      </w:r>
      <w:r>
        <w:rPr>
          <w:spacing w:val="-1"/>
        </w:rPr>
        <w:t>、报告期内，公司</w:t>
      </w:r>
      <w:r>
        <w:rPr>
          <w:rFonts w:ascii="Times New Roman" w:hAnsi="Times New Roman" w:cs="Times New Roman" w:eastAsia="Times New Roman" w:hint="default"/>
          <w:spacing w:val="-1"/>
        </w:rPr>
        <w:t>2012</w:t>
      </w:r>
      <w:r>
        <w:rPr>
          <w:spacing w:val="-1"/>
        </w:rPr>
        <w:t>年股权激励计划首次授予期权行权</w:t>
      </w:r>
      <w:r>
        <w:rPr>
          <w:rFonts w:ascii="Times New Roman" w:hAnsi="Times New Roman" w:cs="Times New Roman" w:eastAsia="Times New Roman" w:hint="default"/>
          <w:spacing w:val="-1"/>
        </w:rPr>
        <w:t>4,897,759</w:t>
      </w:r>
      <w:r>
        <w:rPr>
          <w:spacing w:val="-1"/>
        </w:rPr>
        <w:t>股，预留授予期权行权</w:t>
      </w:r>
      <w:r>
        <w:rPr>
          <w:rFonts w:ascii="Times New Roman" w:hAnsi="Times New Roman" w:cs="Times New Roman" w:eastAsia="Times New Roman" w:hint="default"/>
          <w:spacing w:val="-1"/>
        </w:rPr>
        <w:t>713,165</w:t>
      </w:r>
      <w:r>
        <w:rPr>
          <w:spacing w:val="-1"/>
        </w:rPr>
        <w:t>股；</w:t>
      </w:r>
      <w:r>
        <w:rPr>
          <w:rFonts w:ascii="Times New Roman" w:hAnsi="Times New Roman" w:cs="Times New Roman" w:eastAsia="Times New Roman" w:hint="default"/>
          <w:spacing w:val="-1"/>
        </w:rPr>
        <w:t>2014</w:t>
      </w:r>
      <w:r>
        <w:rPr>
          <w:spacing w:val="-1"/>
        </w:rPr>
        <w:t>年股权激励</w:t>
      </w:r>
      <w:r>
        <w:rPr/>
        <w:t> 计划首次授予期权行权</w:t>
      </w:r>
      <w:r>
        <w:rPr>
          <w:rFonts w:ascii="Times New Roman" w:hAnsi="Times New Roman" w:cs="Times New Roman" w:eastAsia="Times New Roman" w:hint="default"/>
        </w:rPr>
        <w:t>3,282,830</w:t>
      </w:r>
      <w:r>
        <w:rPr/>
        <w:t>股，共计新增股本</w:t>
      </w:r>
      <w:r>
        <w:rPr>
          <w:rFonts w:ascii="Times New Roman" w:hAnsi="Times New Roman" w:cs="Times New Roman" w:eastAsia="Times New Roman" w:hint="default"/>
        </w:rPr>
        <w:t>8,893,754</w:t>
      </w:r>
      <w:r>
        <w:rPr/>
        <w:t>股。</w:t>
      </w:r>
    </w:p>
    <w:p>
      <w:pPr>
        <w:pStyle w:val="BodyText"/>
        <w:spacing w:line="300" w:lineRule="auto" w:before="13"/>
        <w:ind w:right="147" w:firstLine="360"/>
        <w:jc w:val="both"/>
      </w:pPr>
      <w:r>
        <w:rPr>
          <w:rFonts w:ascii="Times New Roman" w:hAnsi="Times New Roman" w:cs="Times New Roman" w:eastAsia="Times New Roman" w:hint="default"/>
          <w:spacing w:val="-3"/>
        </w:rPr>
        <w:t>2</w:t>
      </w:r>
      <w:r>
        <w:rPr>
          <w:spacing w:val="-3"/>
        </w:rPr>
        <w:t>、报告期内，公司实施</w:t>
      </w:r>
      <w:r>
        <w:rPr>
          <w:rFonts w:ascii="Times New Roman" w:hAnsi="Times New Roman" w:cs="Times New Roman" w:eastAsia="Times New Roman" w:hint="default"/>
          <w:spacing w:val="-3"/>
        </w:rPr>
        <w:t>2014</w:t>
      </w:r>
      <w:r>
        <w:rPr>
          <w:spacing w:val="-3"/>
        </w:rPr>
        <w:t>年度权益分派：以公司未来实施</w:t>
      </w:r>
      <w:r>
        <w:rPr>
          <w:rFonts w:ascii="Times New Roman" w:hAnsi="Times New Roman" w:cs="Times New Roman" w:eastAsia="Times New Roman" w:hint="default"/>
          <w:spacing w:val="-3"/>
        </w:rPr>
        <w:t>2014</w:t>
      </w:r>
      <w:r>
        <w:rPr>
          <w:spacing w:val="-3"/>
        </w:rPr>
        <w:t>年度权益分配方案时股权登记日的总股本（</w:t>
      </w:r>
      <w:r>
        <w:rPr>
          <w:rFonts w:ascii="Times New Roman" w:hAnsi="Times New Roman" w:cs="Times New Roman" w:eastAsia="Times New Roman" w:hint="default"/>
          <w:spacing w:val="-3"/>
        </w:rPr>
        <w:t>218,537,943</w:t>
      </w:r>
      <w:r>
        <w:rPr>
          <w:rFonts w:ascii="Times New Roman" w:hAnsi="Times New Roman" w:cs="Times New Roman" w:eastAsia="Times New Roman" w:hint="default"/>
        </w:rPr>
        <w:t> </w:t>
      </w:r>
      <w:r>
        <w:rPr>
          <w:spacing w:val="-1"/>
        </w:rPr>
        <w:t>股）为基数，向全体股东每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5</w:t>
      </w:r>
      <w:r>
        <w:rPr>
          <w:spacing w:val="-1"/>
        </w:rPr>
        <w:t>股并派发现金股利人民币</w:t>
      </w:r>
      <w:r>
        <w:rPr>
          <w:rFonts w:ascii="Times New Roman" w:hAnsi="Times New Roman" w:cs="Times New Roman" w:eastAsia="Times New Roman" w:hint="default"/>
          <w:spacing w:val="-1"/>
        </w:rPr>
        <w:t>1.3</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9"/>
        </w:rPr>
        <w:t> </w:t>
      </w:r>
      <w:r>
        <w:rPr/>
        <w:t>股。共计转送</w:t>
      </w:r>
      <w:r>
        <w:rPr>
          <w:rFonts w:ascii="Times New Roman" w:hAnsi="Times New Roman" w:cs="Times New Roman" w:eastAsia="Times New Roman" w:hint="default"/>
        </w:rPr>
        <w:t>327,806,914</w:t>
      </w:r>
      <w:r>
        <w:rPr/>
        <w:t>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日实施完成了上述权益分派。</w:t>
      </w:r>
    </w:p>
    <w:p>
      <w:pPr>
        <w:pStyle w:val="BodyText"/>
        <w:spacing w:line="300" w:lineRule="auto" w:before="13"/>
        <w:ind w:right="154" w:firstLine="360"/>
        <w:jc w:val="both"/>
      </w:pPr>
      <w:r>
        <w:rPr>
          <w:rFonts w:ascii="Times New Roman" w:hAnsi="Times New Roman" w:cs="Times New Roman" w:eastAsia="Times New Roman" w:hint="default"/>
        </w:rPr>
        <w:t>3</w:t>
      </w:r>
      <w:r>
        <w:rPr/>
        <w:t>、报告期内，公司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年股权激励计划共计行权</w:t>
      </w:r>
      <w:r>
        <w:rPr>
          <w:rFonts w:ascii="Times New Roman" w:hAnsi="Times New Roman" w:cs="Times New Roman" w:eastAsia="Times New Roman" w:hint="default"/>
        </w:rPr>
        <w:t>8,893,754</w:t>
      </w:r>
      <w:r>
        <w:rPr/>
        <w:t>股，其中，董事、高级管理人员靳茂、徐春华、孙 嘉明、王利共计行权</w:t>
      </w:r>
      <w:r>
        <w:rPr>
          <w:rFonts w:ascii="Times New Roman" w:hAnsi="Times New Roman" w:cs="Times New Roman" w:eastAsia="Times New Roman" w:hint="default"/>
        </w:rPr>
        <w:t>424,915</w:t>
      </w:r>
      <w:r>
        <w:rPr/>
        <w:t>股，董事及高管行权股份按照相关规定锁定</w:t>
      </w:r>
      <w:r>
        <w:rPr>
          <w:rFonts w:ascii="Times New Roman" w:hAnsi="Times New Roman" w:cs="Times New Roman" w:eastAsia="Times New Roman" w:hint="default"/>
        </w:rPr>
        <w:t>75%</w:t>
      </w:r>
      <w:r>
        <w:rPr/>
        <w:t>，即</w:t>
      </w:r>
      <w:r>
        <w:rPr>
          <w:rFonts w:ascii="Times New Roman" w:hAnsi="Times New Roman" w:cs="Times New Roman" w:eastAsia="Times New Roman" w:hint="default"/>
        </w:rPr>
        <w:t>318,687</w:t>
      </w:r>
      <w:r>
        <w:rPr/>
        <w:t>股。</w:t>
      </w:r>
    </w:p>
    <w:p>
      <w:pPr>
        <w:pStyle w:val="BodyText"/>
        <w:spacing w:line="300" w:lineRule="auto" w:before="13"/>
        <w:ind w:right="152" w:firstLine="360"/>
        <w:jc w:val="both"/>
      </w:pPr>
      <w:r>
        <w:rPr>
          <w:rFonts w:ascii="Times New Roman" w:hAnsi="Times New Roman" w:cs="Times New Roman" w:eastAsia="Times New Roman" w:hint="default"/>
        </w:rPr>
        <w:t>4</w:t>
      </w:r>
      <w:r>
        <w:rPr/>
        <w:t>、报告期内，公司董事及（或）高级管理人员周炜、刘宁、靳茂、徐春华、王利通过二级市场买入或资产管理计划等 方式，累计增持</w:t>
      </w:r>
      <w:r>
        <w:rPr>
          <w:rFonts w:ascii="Times New Roman" w:hAnsi="Times New Roman" w:cs="Times New Roman" w:eastAsia="Times New Roman" w:hint="default"/>
        </w:rPr>
        <w:t>3,665,352</w:t>
      </w:r>
      <w:r>
        <w:rPr/>
        <w:t>股，按照相关规定锁定</w:t>
      </w:r>
      <w:r>
        <w:rPr>
          <w:rFonts w:ascii="Times New Roman" w:hAnsi="Times New Roman" w:cs="Times New Roman" w:eastAsia="Times New Roman" w:hint="default"/>
        </w:rPr>
        <w:t>75%</w:t>
      </w:r>
      <w:r>
        <w:rPr/>
        <w:t>，即</w:t>
      </w:r>
      <w:r>
        <w:rPr>
          <w:rFonts w:ascii="Times New Roman" w:hAnsi="Times New Roman" w:cs="Times New Roman" w:eastAsia="Times New Roman" w:hint="default"/>
        </w:rPr>
        <w:t>2,749,014</w:t>
      </w:r>
      <w:r>
        <w:rPr/>
        <w:t>股。</w:t>
      </w:r>
    </w:p>
    <w:p>
      <w:pPr>
        <w:pStyle w:val="BodyText"/>
        <w:spacing w:line="340" w:lineRule="auto" w:before="13"/>
        <w:ind w:right="5363" w:firstLine="360"/>
        <w:jc w:val="left"/>
      </w:pPr>
      <w:r>
        <w:rPr>
          <w:rFonts w:ascii="Times New Roman" w:hAnsi="Times New Roman" w:cs="Times New Roman" w:eastAsia="Times New Roman" w:hint="default"/>
        </w:rPr>
        <w:t>5</w:t>
      </w:r>
      <w:r>
        <w:rPr/>
        <w:t>、报告期内，公司部分董事、高级管理人员减持。 股份变动的批准情况</w:t>
      </w:r>
    </w:p>
    <w:p>
      <w:pPr>
        <w:pStyle w:val="BodyText"/>
        <w:spacing w:line="240" w:lineRule="auto" w:before="41"/>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49"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w:t>
      </w:r>
      <w:r>
        <w:rPr>
          <w:rFonts w:ascii="Times New Roman" w:hAnsi="Times New Roman" w:cs="Times New Roman" w:eastAsia="Times New Roman" w:hint="default"/>
          <w:spacing w:val="-2"/>
        </w:rPr>
        <w:t>2012</w:t>
      </w:r>
      <w:r>
        <w:rPr>
          <w:spacing w:val="-2"/>
        </w:rPr>
        <w:t>年第二次临时股东大会审议通过了《上海金仕达卫宁软件股份有限公司</w:t>
      </w:r>
      <w:r>
        <w:rPr>
          <w:rFonts w:ascii="Times New Roman" w:hAnsi="Times New Roman" w:cs="Times New Roman" w:eastAsia="Times New Roman" w:hint="default"/>
          <w:spacing w:val="-2"/>
        </w:rPr>
        <w:t>2012</w:t>
      </w:r>
      <w:r>
        <w:rPr>
          <w:spacing w:val="-2"/>
        </w:rPr>
        <w:t>年股票期权激</w:t>
      </w:r>
      <w:r>
        <w:rPr/>
        <w:t> 励计划（草案修订稿）及其摘要的议案》，授予董事会办理公司股票期权激励计划相关事宜。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日召开的第三届</w:t>
      </w:r>
      <w:r>
        <w:rPr>
          <w:spacing w:val="-85"/>
        </w:rPr>
        <w:t> </w:t>
      </w:r>
      <w:r>
        <w:rPr>
          <w:spacing w:val="-85"/>
        </w:rPr>
      </w:r>
      <w:r>
        <w:rPr>
          <w:spacing w:val="-2"/>
        </w:rPr>
        <w:t>董事会第六次会议根据公司《</w:t>
      </w:r>
      <w:r>
        <w:rPr>
          <w:rFonts w:ascii="Times New Roman" w:hAnsi="Times New Roman" w:cs="Times New Roman" w:eastAsia="Times New Roman" w:hint="default"/>
          <w:spacing w:val="-2"/>
        </w:rPr>
        <w:t>2012</w:t>
      </w:r>
      <w:r>
        <w:rPr>
          <w:spacing w:val="-2"/>
        </w:rPr>
        <w:t>年股票期权激励计划（草案修订稿）》和《</w:t>
      </w:r>
      <w:r>
        <w:rPr>
          <w:rFonts w:ascii="Times New Roman" w:hAnsi="Times New Roman" w:cs="Times New Roman" w:eastAsia="Times New Roman" w:hint="default"/>
          <w:spacing w:val="-2"/>
        </w:rPr>
        <w:t>2012</w:t>
      </w:r>
      <w:r>
        <w:rPr>
          <w:spacing w:val="-2"/>
        </w:rPr>
        <w:t>年股票期权激励计划实施考核办法》的考</w:t>
      </w:r>
    </w:p>
    <w:p>
      <w:pPr>
        <w:spacing w:after="0" w:line="300" w:lineRule="auto"/>
        <w:jc w:val="both"/>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92"/>
        <w:jc w:val="both"/>
      </w:pPr>
      <w:r>
        <w:rPr/>
        <w:t>核结果，同意首次授予期权的</w:t>
      </w:r>
      <w:r>
        <w:rPr>
          <w:rFonts w:ascii="Times New Roman" w:hAnsi="Times New Roman" w:cs="Times New Roman" w:eastAsia="Times New Roman" w:hint="default"/>
        </w:rPr>
        <w:t>160</w:t>
      </w:r>
      <w:r>
        <w:rPr/>
        <w:t>名激励对象在第三个行权期以定向发行股票的方式行权，可行权数量为</w:t>
      </w:r>
      <w:r>
        <w:rPr>
          <w:rFonts w:ascii="Times New Roman" w:hAnsi="Times New Roman" w:cs="Times New Roman" w:eastAsia="Times New Roman" w:hint="default"/>
        </w:rPr>
        <w:t>5,361,206</w:t>
      </w:r>
      <w:r>
        <w:rPr/>
        <w:t>份，行权</w:t>
      </w:r>
      <w:r>
        <w:rPr>
          <w:spacing w:val="-85"/>
        </w:rPr>
        <w:t> </w:t>
      </w:r>
      <w:r>
        <w:rPr>
          <w:spacing w:val="-85"/>
        </w:rPr>
      </w:r>
      <w:r>
        <w:rPr>
          <w:spacing w:val="-2"/>
        </w:rPr>
        <w:t>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日，本次行权采用自主行权模式；同意预留授予期权的</w:t>
      </w:r>
      <w:r>
        <w:rPr>
          <w:rFonts w:ascii="Times New Roman" w:hAnsi="Times New Roman" w:cs="Times New Roman" w:eastAsia="Times New Roman" w:hint="default"/>
          <w:spacing w:val="-2"/>
        </w:rPr>
        <w:t>15</w:t>
      </w:r>
      <w:r>
        <w:rPr>
          <w:spacing w:val="-2"/>
        </w:rPr>
        <w:t>名激励对象在第二个行权期以</w:t>
      </w:r>
      <w:r>
        <w:rPr>
          <w:spacing w:val="-54"/>
        </w:rPr>
        <w:t> </w:t>
      </w:r>
      <w:r>
        <w:rPr/>
        <w:t>定向发行股票的方式行权，可行权数量为</w:t>
      </w:r>
      <w:r>
        <w:rPr>
          <w:rFonts w:ascii="Times New Roman" w:hAnsi="Times New Roman" w:cs="Times New Roman" w:eastAsia="Times New Roman" w:hint="default"/>
        </w:rPr>
        <w:t>713,165</w:t>
      </w:r>
      <w:r>
        <w:rPr/>
        <w:t>份，行权期限为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日，本次行权采用自主行权</w:t>
      </w:r>
      <w:r>
        <w:rPr>
          <w:spacing w:val="-50"/>
        </w:rPr>
        <w:t> </w:t>
      </w:r>
      <w:r>
        <w:rPr>
          <w:spacing w:val="-50"/>
        </w:rPr>
      </w:r>
      <w:r>
        <w:rPr/>
        <w:t>模式。</w:t>
      </w:r>
    </w:p>
    <w:p>
      <w:pPr>
        <w:pStyle w:val="BodyText"/>
        <w:spacing w:line="300" w:lineRule="auto" w:before="31"/>
        <w:ind w:right="189"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日，公司</w:t>
      </w:r>
      <w:r>
        <w:rPr>
          <w:rFonts w:ascii="Times New Roman" w:hAnsi="Times New Roman" w:cs="Times New Roman" w:eastAsia="Times New Roman" w:hint="default"/>
          <w:spacing w:val="-2"/>
        </w:rPr>
        <w:t>2014</w:t>
      </w:r>
      <w:r>
        <w:rPr>
          <w:spacing w:val="-2"/>
        </w:rPr>
        <w:t>年第二次临时股东大会审议通过了《上海金仕达卫宁软件股份有限公司</w:t>
      </w:r>
      <w:r>
        <w:rPr>
          <w:rFonts w:ascii="Times New Roman" w:hAnsi="Times New Roman" w:cs="Times New Roman" w:eastAsia="Times New Roman" w:hint="default"/>
          <w:spacing w:val="-2"/>
        </w:rPr>
        <w:t>2014</w:t>
      </w:r>
      <w:r>
        <w:rPr>
          <w:spacing w:val="-2"/>
        </w:rPr>
        <w:t>年股票期权激励</w:t>
      </w:r>
      <w:r>
        <w:rPr/>
        <w:t> </w:t>
      </w:r>
      <w:r>
        <w:rPr>
          <w:spacing w:val="-2"/>
        </w:rPr>
        <w:t>计划（草案修订稿）及其摘要的议案》等议案，》，授予董事会办理公司股票期权激励计划相关事宜。</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日召开</w:t>
      </w:r>
      <w:r>
        <w:rPr>
          <w:spacing w:val="-58"/>
        </w:rPr>
        <w:t> </w:t>
      </w:r>
      <w:r>
        <w:rPr>
          <w:spacing w:val="-58"/>
        </w:rPr>
      </w:r>
      <w:r>
        <w:rPr>
          <w:spacing w:val="-2"/>
        </w:rPr>
        <w:t>的第三届董事会第八次会议根据公司《</w:t>
      </w:r>
      <w:r>
        <w:rPr>
          <w:rFonts w:ascii="Times New Roman" w:hAnsi="Times New Roman" w:cs="Times New Roman" w:eastAsia="Times New Roman" w:hint="default"/>
          <w:spacing w:val="-2"/>
        </w:rPr>
        <w:t>2014</w:t>
      </w:r>
      <w:r>
        <w:rPr>
          <w:spacing w:val="-2"/>
        </w:rPr>
        <w:t>年股票期权激励计划（草案修订稿）》和《</w:t>
      </w:r>
      <w:r>
        <w:rPr>
          <w:rFonts w:ascii="Times New Roman" w:hAnsi="Times New Roman" w:cs="Times New Roman" w:eastAsia="Times New Roman" w:hint="default"/>
          <w:spacing w:val="-2"/>
        </w:rPr>
        <w:t>2014</w:t>
      </w:r>
      <w:r>
        <w:rPr>
          <w:spacing w:val="-2"/>
        </w:rPr>
        <w:t>年股票期权激励计划实施考核办</w:t>
      </w:r>
      <w:r>
        <w:rPr>
          <w:spacing w:val="-59"/>
        </w:rPr>
        <w:t> </w:t>
      </w:r>
      <w:r>
        <w:rPr>
          <w:spacing w:val="-2"/>
        </w:rPr>
        <w:t>法》的考核结果，同意首次授予期权的</w:t>
      </w:r>
      <w:r>
        <w:rPr>
          <w:rFonts w:ascii="Times New Roman" w:hAnsi="Times New Roman" w:cs="Times New Roman" w:eastAsia="Times New Roman" w:hint="default"/>
          <w:spacing w:val="-2"/>
        </w:rPr>
        <w:t>192</w:t>
      </w:r>
      <w:r>
        <w:rPr>
          <w:spacing w:val="-2"/>
        </w:rPr>
        <w:t>名激励对象在第一个行权期以定向发行股票的方式行权，可行权数量为</w:t>
      </w:r>
      <w:r>
        <w:rPr>
          <w:rFonts w:ascii="Times New Roman" w:hAnsi="Times New Roman" w:cs="Times New Roman" w:eastAsia="Times New Roman" w:hint="default"/>
          <w:spacing w:val="-2"/>
        </w:rPr>
        <w:t>16,857,500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份，行权期限为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日，本次行权采用自主行权模式。</w:t>
      </w:r>
    </w:p>
    <w:p>
      <w:pPr>
        <w:pStyle w:val="BodyText"/>
        <w:spacing w:line="240" w:lineRule="auto" w:before="13"/>
        <w:ind w:left="512" w:right="93"/>
        <w:jc w:val="left"/>
      </w:pPr>
      <w:r>
        <w:rPr/>
        <w:t>报告期内，因行权新增股本</w:t>
      </w:r>
      <w:r>
        <w:rPr>
          <w:rFonts w:ascii="Times New Roman" w:hAnsi="Times New Roman" w:cs="Times New Roman" w:eastAsia="Times New Roman" w:hint="default"/>
        </w:rPr>
        <w:t>8,893,754</w:t>
      </w:r>
      <w:r>
        <w:rPr/>
        <w:t>股。</w:t>
      </w:r>
    </w:p>
    <w:p>
      <w:pPr>
        <w:pStyle w:val="BodyText"/>
        <w:spacing w:line="300" w:lineRule="auto" w:before="103"/>
        <w:ind w:right="18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日，公司第二届董事会第二十八次会议审议通过了《关于公司</w:t>
      </w:r>
      <w:r>
        <w:rPr>
          <w:rFonts w:ascii="Times New Roman" w:hAnsi="Times New Roman" w:cs="Times New Roman" w:eastAsia="Times New Roman" w:hint="default"/>
          <w:spacing w:val="-2"/>
        </w:rPr>
        <w:t>2014</w:t>
      </w:r>
      <w:r>
        <w:rPr>
          <w:spacing w:val="-2"/>
        </w:rPr>
        <w:t>年度利润分配及资本公积转增股本预</w:t>
      </w:r>
      <w:r>
        <w:rPr/>
        <w:t> 案的议案》，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2014</w:t>
      </w:r>
      <w:r>
        <w:rPr/>
        <w:t>年度股东大会审议通过了《关于公司</w:t>
      </w:r>
      <w:r>
        <w:rPr>
          <w:rFonts w:ascii="Times New Roman" w:hAnsi="Times New Roman" w:cs="Times New Roman" w:eastAsia="Times New Roman" w:hint="default"/>
        </w:rPr>
        <w:t>2014</w:t>
      </w:r>
      <w:r>
        <w:rPr/>
        <w:t>年度利润分配及资本公积转增股本方案的</w:t>
      </w:r>
      <w:r>
        <w:rPr>
          <w:spacing w:val="-87"/>
        </w:rPr>
        <w:t> </w:t>
      </w:r>
      <w:r>
        <w:rPr>
          <w:spacing w:val="-87"/>
        </w:rPr>
      </w:r>
      <w:r>
        <w:rPr/>
        <w:t>议案》，以公司未来实施</w:t>
      </w:r>
      <w:r>
        <w:rPr>
          <w:rFonts w:ascii="Times New Roman" w:hAnsi="Times New Roman" w:cs="Times New Roman" w:eastAsia="Times New Roman" w:hint="default"/>
        </w:rPr>
        <w:t>2014</w:t>
      </w:r>
      <w:r>
        <w:rPr/>
        <w:t>年度权益分配方案时股权登记日的总股本（</w:t>
      </w:r>
      <w:r>
        <w:rPr>
          <w:rFonts w:ascii="Times New Roman" w:hAnsi="Times New Roman" w:cs="Times New Roman" w:eastAsia="Times New Roman" w:hint="default"/>
        </w:rPr>
        <w:t>218,537,943</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w:t>
      </w:r>
      <w:r>
        <w:rPr>
          <w:spacing w:val="-85"/>
        </w:rPr>
        <w:t> </w:t>
      </w:r>
      <w:r>
        <w:rPr>
          <w:spacing w:val="-2"/>
        </w:rPr>
        <w:t>并派发现金股利人民币</w:t>
      </w:r>
      <w:r>
        <w:rPr>
          <w:rFonts w:ascii="Times New Roman" w:hAnsi="Times New Roman" w:cs="Times New Roman" w:eastAsia="Times New Roman" w:hint="default"/>
          <w:spacing w:val="-2"/>
        </w:rPr>
        <w:t>1.3</w:t>
      </w:r>
      <w:r>
        <w:rPr>
          <w:spacing w:val="-2"/>
        </w:rPr>
        <w:t>元（含税）；同时，以资本公积金向全体股东每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股。共计转送</w:t>
      </w:r>
      <w:r>
        <w:rPr>
          <w:rFonts w:ascii="Times New Roman" w:hAnsi="Times New Roman" w:cs="Times New Roman" w:eastAsia="Times New Roman" w:hint="default"/>
          <w:spacing w:val="-2"/>
        </w:rPr>
        <w:t>327,806,914</w:t>
      </w:r>
      <w:r>
        <w:rPr>
          <w:spacing w:val="-2"/>
        </w:rPr>
        <w:t>股，并于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日实施完成了上述权益分派。</w:t>
      </w:r>
    </w:p>
    <w:p>
      <w:pPr>
        <w:pStyle w:val="BodyText"/>
        <w:spacing w:line="240" w:lineRule="auto" w:before="51"/>
        <w:ind w:right="0"/>
        <w:jc w:val="both"/>
      </w:pPr>
      <w:r>
        <w:rPr/>
        <w:t>股份变动的过户情况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92" w:firstLine="360"/>
        <w:jc w:val="both"/>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t>年股权激励计划首次授予期权第三个行权期、预留授予期权第二个行权期、</w:t>
      </w:r>
      <w:r>
        <w:rPr>
          <w:rFonts w:ascii="Times New Roman" w:hAnsi="Times New Roman" w:cs="Times New Roman" w:eastAsia="Times New Roman" w:hint="default"/>
        </w:rPr>
        <w:t>2014</w:t>
      </w:r>
      <w:r>
        <w:rPr/>
        <w:t>年股权激励计划首次授予 期权第一个行权期均采用自主行权模式，行权期限分别为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34"/>
        </w:rPr>
        <w:t> </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日，报告期内，共计行权</w:t>
      </w:r>
      <w:r>
        <w:rPr>
          <w:rFonts w:ascii="Times New Roman" w:hAnsi="Times New Roman" w:cs="Times New Roman" w:eastAsia="Times New Roman" w:hint="default"/>
        </w:rPr>
        <w:t>8,893,754</w:t>
      </w:r>
      <w:r>
        <w:rPr/>
        <w:t>股。</w:t>
      </w:r>
    </w:p>
    <w:p>
      <w:pPr>
        <w:pStyle w:val="BodyText"/>
        <w:spacing w:line="340" w:lineRule="auto" w:before="13"/>
        <w:ind w:right="453"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年度权益分派方案已于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日实施完毕，完成过户登记，并履行了信息披露义务。 股份变动对最近一年和最近一期基本每股收益和稀释每股收益、归属于公司普通股股东的每股净资产等财务指标的影响</w:t>
      </w:r>
    </w:p>
    <w:p>
      <w:pPr>
        <w:pStyle w:val="BodyText"/>
        <w:spacing w:line="340" w:lineRule="auto" w:before="39"/>
        <w:ind w:left="512" w:right="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报告期内，公司总股本由</w:t>
      </w:r>
      <w:r>
        <w:rPr>
          <w:rFonts w:ascii="Times New Roman" w:hAnsi="Times New Roman" w:cs="Times New Roman" w:eastAsia="Times New Roman" w:hint="default"/>
          <w:spacing w:val="-2"/>
        </w:rPr>
        <w:t>218,495,368</w:t>
      </w:r>
      <w:r>
        <w:rPr>
          <w:spacing w:val="-2"/>
        </w:rPr>
        <w:t>股增加至</w:t>
      </w:r>
      <w:r>
        <w:rPr>
          <w:rFonts w:ascii="Times New Roman" w:hAnsi="Times New Roman" w:cs="Times New Roman" w:eastAsia="Times New Roman" w:hint="default"/>
          <w:spacing w:val="-2"/>
        </w:rPr>
        <w:t>555,196,036</w:t>
      </w:r>
      <w:r>
        <w:rPr>
          <w:spacing w:val="-2"/>
        </w:rPr>
        <w:t>股。如按未变动前股本</w:t>
      </w:r>
      <w:r>
        <w:rPr>
          <w:rFonts w:ascii="Times New Roman" w:hAnsi="Times New Roman" w:cs="Times New Roman" w:eastAsia="Times New Roman" w:hint="default"/>
          <w:spacing w:val="-2"/>
        </w:rPr>
        <w:t>218,495,368</w:t>
      </w:r>
      <w:r>
        <w:rPr>
          <w:spacing w:val="-2"/>
        </w:rPr>
        <w:t>股计算，报告期基本每股收</w:t>
      </w:r>
    </w:p>
    <w:p>
      <w:pPr>
        <w:pStyle w:val="BodyText"/>
        <w:spacing w:line="228" w:lineRule="exact"/>
        <w:ind w:right="0"/>
        <w:jc w:val="both"/>
      </w:pPr>
      <w:r>
        <w:rPr/>
        <w:t>益</w:t>
      </w:r>
      <w:r>
        <w:rPr>
          <w:rFonts w:ascii="Times New Roman" w:hAnsi="Times New Roman" w:cs="Times New Roman" w:eastAsia="Times New Roman" w:hint="default"/>
        </w:rPr>
        <w:t>0.6980</w:t>
      </w:r>
      <w:r>
        <w:rPr/>
        <w:t>元，稀释每股收益</w:t>
      </w:r>
      <w:r>
        <w:rPr>
          <w:rFonts w:ascii="Times New Roman" w:hAnsi="Times New Roman" w:cs="Times New Roman" w:eastAsia="Times New Roman" w:hint="default"/>
        </w:rPr>
        <w:t>0.6801</w:t>
      </w:r>
      <w:r>
        <w:rPr/>
        <w:t>元，归属于公司普通股股东的每股净资产</w:t>
      </w:r>
      <w:r>
        <w:rPr>
          <w:rFonts w:ascii="Times New Roman" w:hAnsi="Times New Roman" w:cs="Times New Roman" w:eastAsia="Times New Roman" w:hint="default"/>
        </w:rPr>
        <w:t>4.6372</w:t>
      </w:r>
      <w:r>
        <w:rPr/>
        <w:t>元。以报告期末总股本</w:t>
      </w:r>
      <w:r>
        <w:rPr>
          <w:rFonts w:ascii="Times New Roman" w:hAnsi="Times New Roman" w:cs="Times New Roman" w:eastAsia="Times New Roman" w:hint="default"/>
        </w:rPr>
        <w:t>555,196,036</w:t>
      </w:r>
      <w:r>
        <w:rPr/>
        <w:t>股计算，</w:t>
      </w:r>
    </w:p>
    <w:p>
      <w:pPr>
        <w:pStyle w:val="BodyText"/>
        <w:spacing w:line="340" w:lineRule="auto" w:before="62"/>
        <w:ind w:right="1668"/>
        <w:jc w:val="left"/>
      </w:pPr>
      <w:r>
        <w:rPr/>
        <w:t>报告期基本每股收益</w:t>
      </w:r>
      <w:r>
        <w:rPr>
          <w:rFonts w:ascii="Times New Roman" w:hAnsi="Times New Roman" w:cs="Times New Roman" w:eastAsia="Times New Roman" w:hint="default"/>
        </w:rPr>
        <w:t>0.2783</w:t>
      </w:r>
      <w:r>
        <w:rPr/>
        <w:t>元，稀释每股收益</w:t>
      </w:r>
      <w:r>
        <w:rPr>
          <w:rFonts w:ascii="Times New Roman" w:hAnsi="Times New Roman" w:cs="Times New Roman" w:eastAsia="Times New Roman" w:hint="default"/>
        </w:rPr>
        <w:t>0.2754</w:t>
      </w:r>
      <w:r>
        <w:rPr/>
        <w:t>元，归属于公司普通股股东的每股净资产</w:t>
      </w:r>
      <w:r>
        <w:rPr>
          <w:rFonts w:ascii="Times New Roman" w:hAnsi="Times New Roman" w:cs="Times New Roman" w:eastAsia="Times New Roman" w:hint="default"/>
        </w:rPr>
        <w:t>1.8249</w:t>
      </w:r>
      <w:r>
        <w:rPr/>
        <w:t>元。 公司认为必要或证券监管机构要求披露的其他内容</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9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3"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26,564,990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41,569,783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68,134,773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19,923,742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24,260,613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40,434,355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类高管锁定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按高管锁定规定</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22,448,618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28,160,393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46,259,011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6,594,287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1,648,572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7,418,572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12,364,287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676,023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152,135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873,188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1,397,076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211,973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52,993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238,470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按监事锁定规定</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徐春华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187,458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232,447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3"/>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按高管锁定规定</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29,993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123,721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153,714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按高管锁定规定</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3"/>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按高管锁定规定</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76,494,616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9,953,701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102,879,073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169,419,988</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607"/>
              <w:jc w:val="righ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2"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公司股权激励计划股份标的股票来源为：公司向激励对象定向发行卫宁健康的股票。报告期内，公司存在因股权激励计</w:t>
      </w:r>
    </w:p>
    <w:p>
      <w:pPr>
        <w:pStyle w:val="BodyText"/>
        <w:spacing w:line="240" w:lineRule="auto"/>
        <w:ind w:right="0"/>
        <w:jc w:val="left"/>
      </w:pPr>
      <w:r>
        <w:rPr/>
        <w:t>划自主行权而引起的股本增加，具体内部详见本报告</w:t>
      </w:r>
      <w:r>
        <w:rPr>
          <w:rFonts w:ascii="Times New Roman" w:hAnsi="Times New Roman" w:cs="Times New Roman" w:eastAsia="Times New Roman" w:hint="default"/>
        </w:rPr>
        <w:t>“</w:t>
      </w:r>
      <w:r>
        <w:rPr/>
        <w:t>公司股权激励计划、员工持股计划或其他员工激励措施的实施情况</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2"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w:t>
      </w:r>
      <w:r>
        <w:rPr>
          <w:rFonts w:ascii="Times New Roman" w:hAnsi="Times New Roman" w:cs="Times New Roman" w:eastAsia="Times New Roman" w:hint="default"/>
        </w:rPr>
        <w:t>2012</w:t>
      </w:r>
      <w:r>
        <w:rPr/>
        <w:t>年股权激励计划首次授予期权行权</w:t>
      </w:r>
      <w:r>
        <w:rPr>
          <w:rFonts w:ascii="Times New Roman" w:hAnsi="Times New Roman" w:cs="Times New Roman" w:eastAsia="Times New Roman" w:hint="default"/>
        </w:rPr>
        <w:t>4,897,759</w:t>
      </w:r>
      <w:r>
        <w:rPr/>
        <w:t>股，预留授予期权行权</w:t>
      </w:r>
      <w:r>
        <w:rPr>
          <w:rFonts w:ascii="Times New Roman" w:hAnsi="Times New Roman" w:cs="Times New Roman" w:eastAsia="Times New Roman" w:hint="default"/>
        </w:rPr>
        <w:t>713,165</w:t>
      </w:r>
      <w:r>
        <w:rPr/>
        <w:t>股；</w:t>
      </w:r>
      <w:r>
        <w:rPr>
          <w:rFonts w:ascii="Times New Roman" w:hAnsi="Times New Roman" w:cs="Times New Roman" w:eastAsia="Times New Roman" w:hint="default"/>
        </w:rPr>
        <w:t>2014</w:t>
      </w:r>
      <w:r>
        <w:rPr/>
        <w:t>年股权激励计</w:t>
      </w:r>
    </w:p>
    <w:p>
      <w:pPr>
        <w:pStyle w:val="BodyText"/>
        <w:spacing w:line="228" w:lineRule="exact"/>
        <w:ind w:right="0"/>
        <w:jc w:val="left"/>
      </w:pPr>
      <w:r>
        <w:rPr/>
        <w:t>划首次授予期权行权</w:t>
      </w:r>
      <w:r>
        <w:rPr>
          <w:rFonts w:ascii="Times New Roman" w:hAnsi="Times New Roman" w:cs="Times New Roman" w:eastAsia="Times New Roman" w:hint="default"/>
        </w:rPr>
        <w:t>3,282,830</w:t>
      </w:r>
      <w:r>
        <w:rPr/>
        <w:t>股，共计新增股本</w:t>
      </w:r>
      <w:r>
        <w:rPr>
          <w:rFonts w:ascii="Times New Roman" w:hAnsi="Times New Roman" w:cs="Times New Roman" w:eastAsia="Times New Roman" w:hint="default"/>
        </w:rPr>
        <w:t>8,893,754</w:t>
      </w:r>
      <w:r>
        <w:rPr/>
        <w:t>股。</w:t>
      </w:r>
    </w:p>
    <w:p>
      <w:pPr>
        <w:pStyle w:val="BodyText"/>
        <w:spacing w:line="300" w:lineRule="auto" w:before="63"/>
        <w:ind w:right="169" w:firstLine="360"/>
        <w:jc w:val="both"/>
      </w:pPr>
      <w:r>
        <w:rPr/>
        <w:t>报告期内，公司实施</w:t>
      </w:r>
      <w:r>
        <w:rPr>
          <w:rFonts w:ascii="Times New Roman" w:hAnsi="Times New Roman" w:cs="Times New Roman" w:eastAsia="Times New Roman" w:hint="default"/>
        </w:rPr>
        <w:t>2014</w:t>
      </w:r>
      <w:r>
        <w:rPr/>
        <w:t>年度权益分派：以公司未来实施</w:t>
      </w:r>
      <w:r>
        <w:rPr>
          <w:rFonts w:ascii="Times New Roman" w:hAnsi="Times New Roman" w:cs="Times New Roman" w:eastAsia="Times New Roman" w:hint="default"/>
        </w:rPr>
        <w:t>2014</w:t>
      </w:r>
      <w:r>
        <w:rPr/>
        <w:t>年度权益分配方案时股权登记日的总股本（</w:t>
      </w:r>
      <w:r>
        <w:rPr>
          <w:rFonts w:ascii="Times New Roman" w:hAnsi="Times New Roman" w:cs="Times New Roman" w:eastAsia="Times New Roman" w:hint="default"/>
        </w:rPr>
        <w:t>218,537,943 </w:t>
      </w:r>
      <w:r>
        <w:rPr>
          <w:spacing w:val="-1"/>
        </w:rPr>
        <w:t>股）为基数，向全体股东每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5</w:t>
      </w:r>
      <w:r>
        <w:rPr>
          <w:spacing w:val="-1"/>
        </w:rPr>
        <w:t>股并派发现金股利人民币</w:t>
      </w:r>
      <w:r>
        <w:rPr>
          <w:rFonts w:ascii="Times New Roman" w:hAnsi="Times New Roman" w:cs="Times New Roman" w:eastAsia="Times New Roman" w:hint="default"/>
          <w:spacing w:val="-1"/>
        </w:rPr>
        <w:t>1.3</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9"/>
        </w:rPr>
        <w:t> </w:t>
      </w:r>
      <w:r>
        <w:rPr/>
        <w:t>股。共计增加股本</w:t>
      </w:r>
      <w:r>
        <w:rPr>
          <w:rFonts w:ascii="Times New Roman" w:hAnsi="Times New Roman" w:cs="Times New Roman" w:eastAsia="Times New Roman" w:hint="default"/>
        </w:rPr>
        <w:t>327,806,914</w:t>
      </w:r>
      <w:r>
        <w:rPr/>
        <w:t>股。</w:t>
      </w:r>
    </w:p>
    <w:p>
      <w:pPr>
        <w:pStyle w:val="BodyText"/>
        <w:spacing w:line="316" w:lineRule="auto" w:before="13"/>
        <w:ind w:left="512" w:right="0" w:hanging="361"/>
        <w:jc w:val="left"/>
      </w:pPr>
      <w:r>
        <w:rPr/>
        <w:t>报告期内，公司控股股东、实际控制人未发生变化。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日，公司股权激励计划激励对象缴纳的行权资金，其中：新增股本合计人民币</w:t>
      </w:r>
      <w:r>
        <w:rPr>
          <w:rFonts w:ascii="Times New Roman" w:hAnsi="Times New Roman" w:cs="Times New Roman" w:eastAsia="Times New Roman" w:hint="default"/>
          <w:spacing w:val="-2"/>
        </w:rPr>
        <w:t>8,893,754</w:t>
      </w:r>
      <w:r>
        <w:rPr>
          <w:spacing w:val="-2"/>
        </w:rPr>
        <w:t>元，资本公积</w:t>
      </w:r>
    </w:p>
    <w:p>
      <w:pPr>
        <w:pStyle w:val="BodyText"/>
        <w:spacing w:line="248" w:lineRule="exact"/>
        <w:ind w:right="0"/>
        <w:jc w:val="left"/>
      </w:pPr>
      <w:r>
        <w:rPr>
          <w:rFonts w:ascii="Times New Roman" w:hAnsi="Times New Roman" w:cs="Times New Roman" w:eastAsia="Times New Roman" w:hint="default"/>
        </w:rPr>
        <w:t>76,619,295.51</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72"/>
        <w:jc w:val="right"/>
      </w:pPr>
      <w:r>
        <w:rPr/>
        <w:pict>
          <v:group style="position:absolute;margin-left:482.399994pt;margin-top:17.71172pt;width:52.45pt;height:82pt;mso-position-horizontal-relative:page;mso-position-vertical-relative:paragraph;z-index:-988576" coordorigin="9648,354" coordsize="1049,1640">
            <v:group style="position:absolute;left:9648;top:354;width:1049;height:1640" coordorigin="9648,354" coordsize="1049,1640">
              <v:shape style="position:absolute;left:9648;top:354;width:1049;height:1640" coordorigin="9648,354" coordsize="1049,1640" path="m9648,354l10697,354,10697,1993,9648,1993,9648,354xe" filled="true" fillcolor="#ffffff" stroked="false">
                <v:path arrowok="t"/>
                <v:fill type="solid"/>
              </v:shape>
            </v:group>
            <v:group style="position:absolute;left:9670;top:978;width:1004;height:392" coordorigin="9670,978" coordsize="1004,392">
              <v:shape style="position:absolute;left:9670;top:978;width:1004;height:392" coordorigin="9670,978" coordsize="1004,392" path="m9670,978l10673,978,10673,1369,9670,1369,9670,978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2"/>
        <w:gridCol w:w="749"/>
        <w:gridCol w:w="750"/>
        <w:gridCol w:w="824"/>
        <w:gridCol w:w="334"/>
        <w:gridCol w:w="456"/>
        <w:gridCol w:w="828"/>
        <w:gridCol w:w="797"/>
        <w:gridCol w:w="311"/>
        <w:gridCol w:w="1038"/>
        <w:gridCol w:w="290"/>
        <w:gridCol w:w="1058"/>
      </w:tblGrid>
      <w:tr>
        <w:trPr>
          <w:trHeight w:val="1656"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555,196,0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36</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555,614,818</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7" w:hRule="exact"/>
        </w:trPr>
        <w:tc>
          <w:tcPr>
            <w:tcW w:w="9566"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3"/>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115"/>
              <w:ind w:left="28" w:right="29"/>
              <w:jc w:val="left"/>
              <w:rPr>
                <w:rFonts w:ascii="宋体" w:hAnsi="宋体" w:cs="宋体" w:eastAsia="宋体" w:hint="default"/>
                <w:sz w:val="18"/>
                <w:szCs w:val="18"/>
              </w:rPr>
            </w:pPr>
            <w:r>
              <w:rPr>
                <w:rFonts w:ascii="宋体" w:hAnsi="宋体" w:cs="宋体" w:eastAsia="宋体" w:hint="default"/>
                <w:sz w:val="18"/>
                <w:szCs w:val="18"/>
              </w:rPr>
              <w:t>报告期内 增减变动</w:t>
            </w:r>
          </w:p>
        </w:tc>
        <w:tc>
          <w:tcPr>
            <w:tcW w:w="828"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115"/>
              <w:ind w:left="28" w:right="67"/>
              <w:jc w:val="left"/>
              <w:rPr>
                <w:rFonts w:ascii="宋体" w:hAnsi="宋体" w:cs="宋体" w:eastAsia="宋体" w:hint="default"/>
                <w:sz w:val="18"/>
                <w:szCs w:val="18"/>
              </w:rPr>
            </w:pPr>
            <w:r>
              <w:rPr>
                <w:rFonts w:ascii="宋体" w:hAnsi="宋体" w:cs="宋体" w:eastAsia="宋体" w:hint="default"/>
                <w:sz w:val="18"/>
                <w:szCs w:val="18"/>
              </w:rPr>
              <w:t>持有有限 售条件的</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115"/>
              <w:ind w:left="12" w:right="53"/>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50" w:type="dxa"/>
            <w:vMerge/>
            <w:tcBorders>
              <w:left w:val="single" w:sz="4" w:space="0" w:color="000000"/>
              <w:bottom w:val="single" w:sz="4" w:space="0" w:color="000000"/>
              <w:right w:val="single" w:sz="4" w:space="0" w:color="000000"/>
            </w:tcBorders>
            <w:shd w:val="clear" w:color="auto" w:fill="D3D3D3"/>
          </w:tcPr>
          <w:p>
            <w:pPr/>
          </w:p>
        </w:tc>
        <w:tc>
          <w:tcPr>
            <w:tcW w:w="824" w:type="dxa"/>
            <w:vMerge/>
            <w:tcBorders>
              <w:left w:val="single" w:sz="4" w:space="0" w:color="000000"/>
              <w:bottom w:val="single" w:sz="4" w:space="0" w:color="000000"/>
              <w:right w:val="single" w:sz="4" w:space="0" w:color="000000"/>
            </w:tcBorders>
            <w:shd w:val="clear" w:color="auto" w:fill="D3D3D3"/>
          </w:tcPr>
          <w:p>
            <w:pPr/>
          </w:p>
        </w:tc>
        <w:tc>
          <w:tcPr>
            <w:tcW w:w="790" w:type="dxa"/>
            <w:gridSpan w:val="2"/>
            <w:vMerge/>
            <w:tcBorders>
              <w:left w:val="single" w:sz="4" w:space="0" w:color="000000"/>
              <w:bottom w:val="single" w:sz="4" w:space="0" w:color="000000"/>
              <w:right w:val="single" w:sz="4" w:space="0" w:color="000000"/>
            </w:tcBorders>
            <w:shd w:val="clear" w:color="auto" w:fill="D3D3D3"/>
          </w:tcPr>
          <w:p>
            <w:pPr/>
          </w:p>
        </w:tc>
        <w:tc>
          <w:tcPr>
            <w:tcW w:w="82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87"/>
        <w:gridCol w:w="787"/>
        <w:gridCol w:w="790"/>
        <w:gridCol w:w="785"/>
        <w:gridCol w:w="841"/>
        <w:gridCol w:w="1348"/>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55"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90,846,36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+2,296,39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68,134,77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22,711,59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34,240,000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40,434,35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13,478,12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w:t>
            </w: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49,178,68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宋体" w:hAnsi="宋体" w:cs="宋体" w:eastAsia="宋体" w:hint="default"/>
                <w:sz w:val="18"/>
                <w:szCs w:val="18"/>
              </w:rPr>
              <w:t>；</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+1,349,95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46,259,01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left"/>
              <w:rPr>
                <w:rFonts w:ascii="Times New Roman" w:hAnsi="Times New Roman" w:cs="Times New Roman" w:eastAsia="Times New Roman" w:hint="default"/>
                <w:sz w:val="18"/>
                <w:szCs w:val="18"/>
              </w:rPr>
            </w:pPr>
            <w:r>
              <w:rPr>
                <w:rFonts w:ascii="Times New Roman"/>
                <w:sz w:val="18"/>
              </w:rPr>
              <w:t>2,916,670</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25,223,50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25,223,50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16,485,71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12,364,28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4,121,430</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中国银行股份有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富国改革 动力混合型证券 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中国农业银行股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 核心成长混合型 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8,900,109</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left"/>
              <w:rPr>
                <w:rFonts w:ascii="Times New Roman" w:hAnsi="Times New Roman" w:cs="Times New Roman" w:eastAsia="Times New Roman" w:hint="default"/>
                <w:sz w:val="18"/>
                <w:szCs w:val="18"/>
              </w:rPr>
            </w:pPr>
            <w:r>
              <w:rPr>
                <w:rFonts w:ascii="Times New Roman"/>
                <w:sz w:val="18"/>
              </w:rPr>
              <w:t>8,900,109</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中欧基金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 行</w:t>
            </w:r>
            <w:r>
              <w:rPr>
                <w:rFonts w:ascii="Times New Roman" w:hAnsi="Times New Roman" w:cs="Times New Roman" w:eastAsia="Times New Roman" w:hint="default"/>
                <w:sz w:val="18"/>
                <w:szCs w:val="18"/>
              </w:rPr>
              <w:t>-</w:t>
            </w:r>
            <w:r>
              <w:rPr>
                <w:rFonts w:ascii="宋体" w:hAnsi="宋体" w:cs="宋体" w:eastAsia="宋体" w:hint="default"/>
                <w:sz w:val="18"/>
                <w:szCs w:val="18"/>
              </w:rPr>
              <w:t>中欧中证金融 资产管理计划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7,526,600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7,526,600</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 行</w:t>
            </w:r>
            <w:r>
              <w:rPr>
                <w:rFonts w:ascii="Times New Roman" w:hAnsi="Times New Roman" w:cs="Times New Roman" w:eastAsia="Times New Roman" w:hint="default"/>
                <w:sz w:val="18"/>
                <w:szCs w:val="18"/>
              </w:rPr>
              <w:t>-</w:t>
            </w:r>
            <w:r>
              <w:rPr>
                <w:rFonts w:ascii="宋体" w:hAnsi="宋体" w:cs="宋体" w:eastAsia="宋体" w:hint="default"/>
                <w:sz w:val="18"/>
                <w:szCs w:val="18"/>
              </w:rPr>
              <w:t>博时中证金融 资产管理计划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7,526,600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7,526,600</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大成基金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 行</w:t>
            </w:r>
            <w:r>
              <w:rPr>
                <w:rFonts w:ascii="Times New Roman" w:hAnsi="Times New Roman" w:cs="Times New Roman" w:eastAsia="Times New Roman" w:hint="default"/>
                <w:sz w:val="18"/>
                <w:szCs w:val="18"/>
              </w:rPr>
              <w:t>-</w:t>
            </w:r>
            <w:r>
              <w:rPr>
                <w:rFonts w:ascii="宋体" w:hAnsi="宋体" w:cs="宋体" w:eastAsia="宋体" w:hint="default"/>
                <w:sz w:val="18"/>
                <w:szCs w:val="18"/>
              </w:rPr>
              <w:t>大成中证金融 资产管理计划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5,314,817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5,314,817</w:t>
            </w:r>
          </w:p>
        </w:tc>
        <w:tc>
          <w:tcPr>
            <w:tcW w:w="13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
                <w:sz w:val="18"/>
                <w:szCs w:val="18"/>
              </w:rPr>
              <w:t>公司控股股东、实际控制人为周炜、王英夫妇；上述其他股东与公司控股股东、实际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控制人均无关联关系，也不属于一致行动人，公司未知上述其他股东之间是否存在关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联关系或属于一致行动人。</w:t>
            </w:r>
          </w:p>
        </w:tc>
      </w:tr>
      <w:tr>
        <w:trPr>
          <w:trHeight w:val="706"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vMerge/>
            <w:tcBorders>
              <w:left w:val="single" w:sz="4" w:space="0" w:color="000000"/>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4" w:space="0" w:color="000000"/>
              <w:bottom w:val="single" w:sz="4" w:space="0" w:color="000000"/>
              <w:right w:val="single" w:sz="4" w:space="0" w:color="000000"/>
            </w:tcBorders>
          </w:tcPr>
          <w:p>
            <w:pPr/>
          </w:p>
        </w:tc>
      </w:tr>
      <w:tr>
        <w:trPr>
          <w:trHeight w:val="401"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3989" w:type="dxa"/>
            <w:gridSpan w:val="5"/>
            <w:vMerge/>
            <w:tcBorders>
              <w:left w:val="single" w:sz="4" w:space="0" w:color="000000"/>
              <w:bottom w:val="nil" w:sz="6" w:space="0" w:color="auto"/>
              <w:right w:val="single" w:sz="4" w:space="0" w:color="000000"/>
            </w:tcBorders>
            <w:shd w:val="clear" w:color="auto" w:fill="D3D3D3"/>
          </w:tcPr>
          <w:p>
            <w:pPr/>
          </w:p>
        </w:tc>
        <w:tc>
          <w:tcPr>
            <w:tcW w:w="13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8"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0"/>
        <w:gridCol w:w="3989"/>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25,223,500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25,223,500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22,711,595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22,711,595</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13,478,120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13,478,120</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中国银行股份有限公司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富国改革动 力混合型证券投资基金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10,000,000</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中邮核 心成长混合型证券投资基金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8,900,109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8,900,109</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中欧基金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中欧中证金融资 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7,526,600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7,526,600</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博时中证金融资 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7,526,600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7,526,600</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大成基金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大成中证金融资 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5,314,817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5,314,817</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广发基金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广发中证金融资 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5,257,357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5,257,357</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4,121,430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4,121,430</w:t>
            </w:r>
          </w:p>
        </w:tc>
      </w:tr>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9"/>
              <w:jc w:val="both"/>
              <w:rPr>
                <w:rFonts w:ascii="宋体" w:hAnsi="宋体" w:cs="宋体" w:eastAsia="宋体" w:hint="default"/>
                <w:sz w:val="18"/>
                <w:szCs w:val="18"/>
              </w:rPr>
            </w:pPr>
            <w:r>
              <w:rPr>
                <w:rFonts w:ascii="宋体" w:hAnsi="宋体" w:cs="宋体" w:eastAsia="宋体" w:hint="default"/>
                <w:spacing w:val="-1"/>
                <w:sz w:val="18"/>
                <w:szCs w:val="18"/>
              </w:rPr>
              <w:t>公司控股股东、实际控制人为周炜、王英夫妇；上述其他股东与公司控股股东、实际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控制人均无关联关系，也不属于一致行动人，公司未知上述其他股东之间是否存在关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联关系或属于一致行动人。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48"/>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pStyle w:val="BodyText"/>
        <w:spacing w:line="240" w:lineRule="auto" w:before="101"/>
        <w:ind w:right="1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48"/>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3"/>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1"/>
                <w:sz w:val="18"/>
                <w:szCs w:val="18"/>
              </w:rPr>
              <w:t>周炜先生担任公司董事长、卫宁科技董事长、钥世圈董事长；王英女士在公司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从事行政工作。</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148"/>
        <w:jc w:val="left"/>
      </w:pPr>
      <w:r>
        <w:rPr/>
        <w:t>控股股东报告期内变更</w:t>
      </w:r>
    </w:p>
    <w:p>
      <w:pPr>
        <w:pStyle w:val="BodyText"/>
        <w:spacing w:line="240" w:lineRule="auto" w:before="115"/>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8"/>
        <w:jc w:val="left"/>
      </w:pPr>
      <w:r>
        <w:rPr/>
        <w:t>公司报告期控股股东未发生变更。</w:t>
      </w:r>
    </w:p>
    <w:p>
      <w:pPr>
        <w:spacing w:line="240" w:lineRule="auto" w:before="0"/>
        <w:rPr>
          <w:rFonts w:ascii="宋体" w:hAnsi="宋体" w:cs="宋体" w:eastAsia="宋体" w:hint="default"/>
          <w:sz w:val="18"/>
          <w:szCs w:val="18"/>
        </w:rPr>
      </w:pPr>
    </w:p>
    <w:p>
      <w:pPr>
        <w:pStyle w:val="Heading3"/>
        <w:spacing w:line="240" w:lineRule="auto" w:before="120"/>
        <w:ind w:right="148"/>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6"/>
        <w:gridCol w:w="2122"/>
        <w:gridCol w:w="41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6"/>
              <w:jc w:val="left"/>
              <w:rPr>
                <w:rFonts w:ascii="宋体" w:hAnsi="宋体" w:cs="宋体" w:eastAsia="宋体" w:hint="default"/>
                <w:sz w:val="18"/>
                <w:szCs w:val="18"/>
              </w:rPr>
            </w:pPr>
            <w:r>
              <w:rPr>
                <w:rFonts w:ascii="宋体" w:hAnsi="宋体" w:cs="宋体" w:eastAsia="宋体" w:hint="default"/>
                <w:sz w:val="18"/>
                <w:szCs w:val="18"/>
              </w:rPr>
              <w:t>周炜先生担任公司董事长、卫宁科技董事长、钥世圈董事长；王英女士在公司 从事行政工作。</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148"/>
        <w:jc w:val="left"/>
      </w:pPr>
      <w:r>
        <w:rPr/>
        <w:t>实际控制人报告期内变更</w:t>
      </w:r>
    </w:p>
    <w:p>
      <w:pPr>
        <w:pStyle w:val="BodyText"/>
        <w:spacing w:line="348" w:lineRule="auto" w:before="114"/>
        <w:ind w:right="56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14"/>
          <w:szCs w:val="14"/>
        </w:rPr>
      </w:pPr>
    </w:p>
    <w:p>
      <w:pPr>
        <w:spacing w:line="4050" w:lineRule="exact"/>
        <w:ind w:left="13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451" cy="25717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90451"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4"/>
        <w:rPr>
          <w:rFonts w:ascii="宋体" w:hAnsi="宋体" w:cs="宋体" w:eastAsia="宋体" w:hint="default"/>
          <w:sz w:val="16"/>
          <w:szCs w:val="16"/>
        </w:rPr>
      </w:pPr>
    </w:p>
    <w:p>
      <w:pPr>
        <w:pStyle w:val="BodyText"/>
        <w:spacing w:line="240" w:lineRule="auto"/>
        <w:ind w:right="148"/>
        <w:jc w:val="left"/>
      </w:pPr>
      <w:r>
        <w:rPr/>
        <w:t>实际控制人通过信托或其他资产管理方式控制公司 </w:t>
      </w:r>
    </w:p>
    <w:p>
      <w:pPr>
        <w:spacing w:line="240" w:lineRule="auto" w:before="11"/>
        <w:rPr>
          <w:rFonts w:ascii="宋体" w:hAnsi="宋体" w:cs="宋体" w:eastAsia="宋体" w:hint="default"/>
          <w:sz w:val="20"/>
          <w:szCs w:val="20"/>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2" w:right="1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公司控制股东、实际控制人周炜先生、王英女士及副董事长刘宁先生承诺自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日，不通过</w:t>
      </w:r>
    </w:p>
    <w:p>
      <w:pPr>
        <w:spacing w:after="0" w:line="3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48"/>
        <w:jc w:val="left"/>
      </w:pPr>
      <w:r>
        <w:rPr>
          <w:spacing w:val="-2"/>
        </w:rPr>
        <w:t>证券交易所的证券交易系统减持卫宁软件股份，若违反上述承诺，减持股份所得全部归卫宁软件所有。截至本报告期末，上</w:t>
      </w:r>
      <w:r>
        <w:rPr>
          <w:spacing w:val="-64"/>
        </w:rPr>
        <w:t> </w:t>
      </w:r>
      <w:r>
        <w:rPr>
          <w:spacing w:val="-64"/>
        </w:rPr>
      </w:r>
      <w:r>
        <w:rPr/>
        <w:t>述承诺人严格信守承诺，未发现违反上述承诺的情况。</w:t>
      </w:r>
    </w:p>
    <w:p>
      <w:pPr>
        <w:spacing w:after="0" w:line="316"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4" w:right="148"/>
        <w:jc w:val="left"/>
        <w:rPr>
          <w:b w:val="0"/>
          <w:bCs w:val="0"/>
        </w:rPr>
      </w:pPr>
      <w:bookmarkStart w:name="_TOC_250004" w:id="7"/>
      <w:r>
        <w:rPr/>
        <w:t>第七节</w:t>
      </w:r>
      <w:r>
        <w:rPr>
          <w:spacing w:val="-5"/>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679" w:right="148"/>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8"/>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3"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1" w:right="0"/>
              <w:jc w:val="left"/>
              <w:rPr>
                <w:rFonts w:ascii="宋体" w:hAnsi="宋体" w:cs="宋体" w:eastAsia="宋体" w:hint="default"/>
                <w:sz w:val="18"/>
                <w:szCs w:val="18"/>
              </w:rPr>
            </w:pPr>
            <w:r>
              <w:rPr>
                <w:rFonts w:ascii="宋体" w:hAnsi="宋体" w:cs="宋体" w:eastAsia="宋体" w:hint="default"/>
                <w:spacing w:val="-97"/>
                <w:sz w:val="18"/>
                <w:szCs w:val="18"/>
              </w:rPr>
              <w:t>）</w:t>
            </w:r>
            <w:r>
              <w:rPr>
                <w:rFonts w:ascii="宋体" w:hAnsi="宋体" w:cs="宋体" w:eastAsia="宋体" w:hint="default"/>
                <w:sz w:val="18"/>
                <w:szCs w:val="18"/>
              </w:rPr>
              <w:t>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35,419,98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55,426,38</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90,846,36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24,131,49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37,547,19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49,178,68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6,594,287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9,891,430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16,485,71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698,517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1,164,249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1,862,766</w:t>
            </w: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王绍东</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211,973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317,959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529,932</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1" w:header="745" w:top="1060" w:bottom="1180" w:left="980" w:right="980"/>
          <w:pgNumType w:start="6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61"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61"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徐春华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59,986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227,449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18"/>
                <w:szCs w:val="18"/>
              </w:rPr>
            </w:pPr>
            <w:r>
              <w:rPr>
                <w:rFonts w:ascii="Times New Roman"/>
                <w:sz w:val="18"/>
              </w:rPr>
              <w:t>14,997</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272,438</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62,500</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62,500</w:t>
            </w:r>
          </w:p>
        </w:tc>
      </w:tr>
      <w:tr>
        <w:trPr>
          <w:trHeight w:val="353"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39,991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149,965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179,958</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67,156,23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12,524,99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159,418,3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1"/>
        <w:rPr>
          <w:rFonts w:ascii="宋体" w:hAnsi="宋体" w:cs="宋体" w:eastAsia="宋体" w:hint="default"/>
          <w:b/>
          <w:bCs/>
          <w:sz w:val="18"/>
          <w:szCs w:val="18"/>
        </w:rPr>
      </w:pPr>
    </w:p>
    <w:p>
      <w:pPr>
        <w:pStyle w:val="Heading2"/>
        <w:spacing w:line="240" w:lineRule="auto" w:before="26"/>
        <w:ind w:right="93"/>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王绍东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第二届董事会任期届满</w:t>
            </w:r>
          </w:p>
        </w:tc>
      </w:tr>
    </w:tbl>
    <w:p>
      <w:pPr>
        <w:spacing w:line="240" w:lineRule="auto" w:before="1"/>
        <w:rPr>
          <w:rFonts w:ascii="宋体" w:hAnsi="宋体" w:cs="宋体" w:eastAsia="宋体" w:hint="default"/>
          <w:b/>
          <w:bCs/>
          <w:sz w:val="18"/>
          <w:szCs w:val="18"/>
        </w:rPr>
      </w:pPr>
    </w:p>
    <w:p>
      <w:pPr>
        <w:pStyle w:val="Heading2"/>
        <w:spacing w:line="240" w:lineRule="auto" w:before="26"/>
        <w:ind w:right="9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3"/>
        <w:jc w:val="left"/>
      </w:pPr>
      <w:r>
        <w:rPr/>
        <w:t>公司现任董事、监事、高级管理人员专业背景、主要工作经历以及目前在公司的主要职责</w:t>
      </w:r>
    </w:p>
    <w:p>
      <w:pPr>
        <w:pStyle w:val="BodyText"/>
        <w:spacing w:line="300" w:lineRule="auto" w:before="117"/>
        <w:ind w:left="512" w:right="93"/>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99"/>
        </w:rPr>
        <w:t> </w:t>
      </w:r>
      <w:r>
        <w:rPr>
          <w:spacing w:val="-2"/>
        </w:rPr>
        <w:t>公司第三届董事会由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名。董事由公司董事会提名，经公司</w:t>
      </w:r>
      <w:r>
        <w:rPr>
          <w:rFonts w:ascii="Times New Roman" w:hAnsi="Times New Roman" w:cs="Times New Roman" w:eastAsia="Times New Roman" w:hint="default"/>
          <w:spacing w:val="-2"/>
        </w:rPr>
        <w:t>2014</w:t>
      </w:r>
      <w:r>
        <w:rPr>
          <w:spacing w:val="-2"/>
        </w:rPr>
        <w:t>年度股东大会选举产生，本</w:t>
      </w:r>
    </w:p>
    <w:p>
      <w:pPr>
        <w:pStyle w:val="BodyText"/>
        <w:spacing w:line="240" w:lineRule="auto" w:before="13"/>
        <w:ind w:right="93"/>
        <w:jc w:val="left"/>
      </w:pPr>
      <w:r>
        <w:rPr/>
        <w:t>届董事会任期自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p>
    <w:p>
      <w:pPr>
        <w:pStyle w:val="BodyText"/>
        <w:spacing w:line="300" w:lineRule="auto" w:before="63"/>
        <w:ind w:right="93" w:firstLine="360"/>
        <w:jc w:val="left"/>
      </w:pPr>
      <w:r>
        <w:rPr>
          <w:spacing w:val="-5"/>
        </w:rPr>
        <w:t>（</w:t>
      </w:r>
      <w:r>
        <w:rPr>
          <w:rFonts w:ascii="Times New Roman" w:hAnsi="Times New Roman" w:cs="Times New Roman" w:eastAsia="Times New Roman" w:hint="default"/>
          <w:spacing w:val="-5"/>
        </w:rPr>
        <w:t>1</w:t>
      </w:r>
      <w:r>
        <w:rPr>
          <w:spacing w:val="-5"/>
        </w:rPr>
        <w:t>）周炜，男，</w:t>
      </w:r>
      <w:r>
        <w:rPr>
          <w:rFonts w:ascii="Times New Roman" w:hAnsi="Times New Roman" w:cs="Times New Roman" w:eastAsia="Times New Roman" w:hint="default"/>
          <w:spacing w:val="-5"/>
        </w:rPr>
        <w:t>1967</w:t>
      </w:r>
      <w:r>
        <w:rPr>
          <w:spacing w:val="-5"/>
        </w:rPr>
        <w:t>年出生，中国国籍，无境外永久居留权。中欧国际工商学院高级管理人员工商管理硕士（</w:t>
      </w:r>
      <w:r>
        <w:rPr>
          <w:rFonts w:ascii="Times New Roman" w:hAnsi="Times New Roman" w:cs="Times New Roman" w:eastAsia="Times New Roman" w:hint="default"/>
          <w:spacing w:val="-5"/>
        </w:rPr>
        <w:t>EMBA</w:t>
      </w:r>
      <w:r>
        <w:rPr>
          <w:spacing w:val="-5"/>
        </w:rPr>
        <w:t>）、</w:t>
      </w:r>
      <w:r>
        <w:rPr/>
        <w:t> </w:t>
      </w:r>
      <w:r>
        <w:rPr>
          <w:spacing w:val="-2"/>
        </w:rPr>
        <w:t>高级工程师、高级经济师。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2004</w:t>
      </w:r>
      <w:r>
        <w:rPr>
          <w:spacing w:val="-2"/>
        </w:rPr>
        <w:t>年，先后担任上海泰格新技术开发公司总经理、上海金仕达卫宁医疗信息技术有限</w:t>
      </w:r>
      <w:r>
        <w:rPr>
          <w:spacing w:val="-60"/>
        </w:rPr>
        <w:t> </w:t>
      </w:r>
      <w:r>
        <w:rPr>
          <w:spacing w:val="-60"/>
        </w:rPr>
      </w:r>
      <w:r>
        <w:rPr>
          <w:spacing w:val="-2"/>
        </w:rPr>
        <w:t>公司董事长兼总裁；</w:t>
      </w:r>
      <w:r>
        <w:rPr>
          <w:rFonts w:ascii="Times New Roman" w:hAnsi="Times New Roman" w:cs="Times New Roman" w:eastAsia="Times New Roman" w:hint="default"/>
          <w:spacing w:val="-2"/>
        </w:rPr>
        <w:t>2004</w:t>
      </w:r>
      <w:r>
        <w:rPr>
          <w:spacing w:val="-2"/>
        </w:rPr>
        <w:t>年起加入本公司，历任董事长、总裁。现任本公司董事长，上海金仕达卫宁软件科技有限公司董事</w:t>
      </w:r>
      <w:r>
        <w:rPr>
          <w:spacing w:val="-64"/>
        </w:rPr>
        <w:t> </w:t>
      </w:r>
      <w:r>
        <w:rPr>
          <w:spacing w:val="-64"/>
        </w:rPr>
      </w:r>
      <w:r>
        <w:rPr/>
        <w:t>长，上海钥世圈云健康科技发展有限公司董事长。</w:t>
      </w:r>
    </w:p>
    <w:p>
      <w:pPr>
        <w:pStyle w:val="BodyText"/>
        <w:spacing w:line="300" w:lineRule="auto" w:before="31"/>
        <w:ind w:right="180" w:firstLine="360"/>
        <w:jc w:val="left"/>
      </w:pPr>
      <w:r>
        <w:rPr>
          <w:spacing w:val="-3"/>
        </w:rPr>
        <w:t>（</w:t>
      </w:r>
      <w:r>
        <w:rPr>
          <w:rFonts w:ascii="Times New Roman" w:hAnsi="Times New Roman" w:cs="Times New Roman" w:eastAsia="Times New Roman" w:hint="default"/>
          <w:spacing w:val="-3"/>
        </w:rPr>
        <w:t>2</w:t>
      </w:r>
      <w:r>
        <w:rPr>
          <w:spacing w:val="-3"/>
        </w:rPr>
        <w:t>）刘宁，男，</w:t>
      </w:r>
      <w:r>
        <w:rPr>
          <w:rFonts w:ascii="Times New Roman" w:hAnsi="Times New Roman" w:cs="Times New Roman" w:eastAsia="Times New Roman" w:hint="default"/>
          <w:spacing w:val="-3"/>
        </w:rPr>
        <w:t>1963</w:t>
      </w:r>
      <w:r>
        <w:rPr>
          <w:spacing w:val="-3"/>
        </w:rPr>
        <w:t>年出生，中国国籍，无境外永久居留权。复旦大学应用数学专业硕士、高级工程师。</w:t>
      </w:r>
      <w:r>
        <w:rPr>
          <w:rFonts w:ascii="Times New Roman" w:hAnsi="Times New Roman" w:cs="Times New Roman" w:eastAsia="Times New Roman" w:hint="default"/>
          <w:spacing w:val="-3"/>
        </w:rPr>
        <w:t>1991</w:t>
      </w:r>
      <w:r>
        <w:rPr>
          <w:spacing w:val="-3"/>
        </w:rPr>
        <w:t>年至</w:t>
      </w:r>
      <w:r>
        <w:rPr>
          <w:rFonts w:ascii="Times New Roman" w:hAnsi="Times New Roman" w:cs="Times New Roman" w:eastAsia="Times New Roman" w:hint="default"/>
          <w:spacing w:val="-3"/>
        </w:rPr>
        <w:t>2004</w:t>
      </w:r>
      <w:r>
        <w:rPr>
          <w:rFonts w:ascii="Times New Roman" w:hAnsi="Times New Roman" w:cs="Times New Roman" w:eastAsia="Times New Roman" w:hint="default"/>
        </w:rPr>
        <w:t> </w:t>
      </w:r>
      <w:r>
        <w:rPr/>
        <w:t>年，历任美国惠普（</w:t>
      </w:r>
      <w:r>
        <w:rPr>
          <w:rFonts w:ascii="Times New Roman" w:hAnsi="Times New Roman" w:cs="Times New Roman" w:eastAsia="Times New Roman" w:hint="default"/>
        </w:rPr>
        <w:t>HP</w:t>
      </w:r>
      <w:r>
        <w:rPr/>
        <w:t>）公司技术员、上海金仕达卫宁医疗信息技术有限公司董事、副总裁。</w:t>
      </w:r>
      <w:r>
        <w:rPr>
          <w:rFonts w:ascii="Times New Roman" w:hAnsi="Times New Roman" w:cs="Times New Roman" w:eastAsia="Times New Roman" w:hint="default"/>
        </w:rPr>
        <w:t>2004</w:t>
      </w:r>
      <w:r>
        <w:rPr/>
        <w:t>年起加入本公司，历任</w:t>
      </w:r>
    </w:p>
    <w:p>
      <w:pPr>
        <w:spacing w:after="0" w:line="30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副总裁、总裁。现任本公司副董事长、北京宇信网景信息技术有限公司董事长、山西金仕达卫宁软件科技有限公司董事长。</w:t>
      </w:r>
    </w:p>
    <w:p>
      <w:pPr>
        <w:pStyle w:val="BodyText"/>
        <w:spacing w:line="307" w:lineRule="auto" w:before="76"/>
        <w:ind w:right="192" w:firstLine="360"/>
        <w:jc w:val="both"/>
      </w:pPr>
      <w:r>
        <w:rPr/>
        <w:t>（</w:t>
      </w:r>
      <w:r>
        <w:rPr>
          <w:rFonts w:ascii="Times New Roman" w:hAnsi="Times New Roman" w:cs="Times New Roman" w:eastAsia="Times New Roman" w:hint="default"/>
        </w:rPr>
        <w:t>3</w:t>
      </w:r>
      <w:r>
        <w:rPr/>
        <w:t>）孙凯，男，</w:t>
      </w:r>
      <w:r>
        <w:rPr>
          <w:rFonts w:ascii="Times New Roman" w:hAnsi="Times New Roman" w:cs="Times New Roman" w:eastAsia="Times New Roman" w:hint="default"/>
        </w:rPr>
        <w:t>1972</w:t>
      </w:r>
      <w:r>
        <w:rPr/>
        <w:t>年出生，中国国籍，无境外永久居留权。大学本科，高级工程师。</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2004</w:t>
      </w:r>
      <w:r>
        <w:rPr/>
        <w:t>年，历任上海金 </w:t>
      </w:r>
      <w:r>
        <w:rPr>
          <w:spacing w:val="-2"/>
        </w:rPr>
        <w:t>仕达卫宁医疗信息技术有限公司工程师、主管、开发部经理等职。</w:t>
      </w:r>
      <w:r>
        <w:rPr>
          <w:rFonts w:ascii="Times New Roman" w:hAnsi="Times New Roman" w:cs="Times New Roman" w:eastAsia="Times New Roman" w:hint="default"/>
          <w:spacing w:val="-2"/>
        </w:rPr>
        <w:t>2004</w:t>
      </w:r>
      <w:r>
        <w:rPr>
          <w:spacing w:val="-2"/>
        </w:rPr>
        <w:t>年起加入本公司，历任医技事业部产品总监、副总经</w:t>
      </w:r>
      <w:r>
        <w:rPr>
          <w:spacing w:val="-65"/>
        </w:rPr>
        <w:t> </w:t>
      </w:r>
      <w:r>
        <w:rPr>
          <w:spacing w:val="-65"/>
        </w:rPr>
      </w:r>
      <w:r>
        <w:rPr>
          <w:spacing w:val="-2"/>
        </w:rPr>
        <w:t>理、总经理，公司总经理助理。现任本公司董事、副总经理、江苏金仕达卫宁软件有限公司执行董事兼总经理、西安金仕达</w:t>
      </w:r>
      <w:r>
        <w:rPr>
          <w:spacing w:val="-68"/>
        </w:rPr>
        <w:t> </w:t>
      </w:r>
      <w:r>
        <w:rPr>
          <w:spacing w:val="-68"/>
        </w:rPr>
      </w:r>
      <w:r>
        <w:rPr/>
        <w:t>卫宁软件有限公司执行董事兼总经理。</w:t>
      </w:r>
    </w:p>
    <w:p>
      <w:pPr>
        <w:pStyle w:val="BodyText"/>
        <w:spacing w:line="307" w:lineRule="auto" w:before="26"/>
        <w:ind w:right="93" w:firstLine="360"/>
        <w:jc w:val="left"/>
      </w:pPr>
      <w:r>
        <w:rPr/>
        <w:t>（</w:t>
      </w:r>
      <w:r>
        <w:rPr>
          <w:rFonts w:ascii="Times New Roman" w:hAnsi="Times New Roman" w:cs="Times New Roman" w:eastAsia="Times New Roman" w:hint="default"/>
        </w:rPr>
        <w:t>4</w:t>
      </w:r>
      <w:r>
        <w:rPr/>
        <w:t>）靳茂，男，</w:t>
      </w:r>
      <w:r>
        <w:rPr>
          <w:rFonts w:ascii="Times New Roman" w:hAnsi="Times New Roman" w:cs="Times New Roman" w:eastAsia="Times New Roman" w:hint="default"/>
        </w:rPr>
        <w:t>1974</w:t>
      </w:r>
      <w:r>
        <w:rPr/>
        <w:t>年出生，中国国籍，无境外永久居留权。复旦大学工商管理硕士（</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2004</w:t>
      </w:r>
      <w:r>
        <w:rPr/>
        <w:t>年，历 </w:t>
      </w:r>
      <w:r>
        <w:rPr>
          <w:spacing w:val="-2"/>
        </w:rPr>
        <w:t>任万向集团公司发展部项目经理、上海超凡电子有限公司副总经理、上海双威科技投资管理有限公司项目投资部副总监、上</w:t>
      </w:r>
      <w:r>
        <w:rPr>
          <w:spacing w:val="-63"/>
        </w:rPr>
        <w:t> </w:t>
      </w:r>
      <w:r>
        <w:rPr>
          <w:spacing w:val="-63"/>
        </w:rPr>
      </w:r>
      <w:r>
        <w:rPr>
          <w:spacing w:val="-4"/>
        </w:rPr>
        <w:t>海金仕达卫宁医疗信息技术有限公司总裁办主任。</w:t>
      </w:r>
      <w:r>
        <w:rPr>
          <w:rFonts w:ascii="Times New Roman" w:hAnsi="Times New Roman" w:cs="Times New Roman" w:eastAsia="Times New Roman" w:hint="default"/>
          <w:spacing w:val="-4"/>
        </w:rPr>
        <w:t>2004</w:t>
      </w:r>
      <w:r>
        <w:rPr>
          <w:spacing w:val="-4"/>
        </w:rPr>
        <w:t>年起加入本公司，历任总裁办主任、董事会秘书、董事、财务负责人。</w:t>
      </w:r>
      <w:r>
        <w:rPr>
          <w:spacing w:val="-38"/>
        </w:rPr>
        <w:t> </w:t>
      </w:r>
      <w:r>
        <w:rPr>
          <w:spacing w:val="-38"/>
        </w:rPr>
      </w:r>
      <w:r>
        <w:rPr/>
        <w:t>现任本公司董事、副总经理、董事会秘书。</w:t>
      </w:r>
    </w:p>
    <w:p>
      <w:pPr>
        <w:pStyle w:val="BodyText"/>
        <w:spacing w:line="300" w:lineRule="auto" w:before="26"/>
        <w:ind w:right="189" w:firstLine="360"/>
        <w:jc w:val="both"/>
      </w:pPr>
      <w:r>
        <w:rPr/>
        <w:t>（</w:t>
      </w:r>
      <w:r>
        <w:rPr>
          <w:rFonts w:ascii="Times New Roman" w:hAnsi="Times New Roman" w:cs="Times New Roman" w:eastAsia="Times New Roman" w:hint="default"/>
        </w:rPr>
        <w:t>5</w:t>
      </w:r>
      <w:r>
        <w:rPr/>
        <w:t>）徐劲科，男，</w:t>
      </w:r>
      <w:r>
        <w:rPr>
          <w:rFonts w:ascii="Times New Roman" w:hAnsi="Times New Roman" w:cs="Times New Roman" w:eastAsia="Times New Roman" w:hint="default"/>
        </w:rPr>
        <w:t>1973</w:t>
      </w:r>
      <w:r>
        <w:rPr/>
        <w:t>年出生，中国国籍，无境外永久居留权。法学硕士，执业律师。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月，任职 </w:t>
      </w:r>
      <w:r>
        <w:rPr>
          <w:spacing w:val="-2"/>
        </w:rPr>
        <w:t>于上海建工集团材料公司；</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月，任上海市光大律师事务所律师助理、律师；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月，任</w:t>
      </w:r>
      <w:r>
        <w:rPr>
          <w:spacing w:val="-49"/>
        </w:rPr>
        <w:t> </w:t>
      </w:r>
      <w:r>
        <w:rPr>
          <w:spacing w:val="-49"/>
        </w:rPr>
      </w:r>
      <w:r>
        <w:rPr/>
        <w:t>上海和华利盛律师事务所合伙人、律师；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月至今，任北京大成</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律师事务所高级合伙人、律师。</w:t>
      </w:r>
      <w:r>
        <w:rPr>
          <w:rFonts w:ascii="Times New Roman" w:hAnsi="Times New Roman" w:cs="Times New Roman" w:eastAsia="Times New Roman" w:hint="default"/>
        </w:rPr>
        <w:t>2009</w:t>
      </w:r>
      <w:r>
        <w:rPr/>
        <w:t>年起担任</w:t>
      </w:r>
      <w:r>
        <w:rPr>
          <w:spacing w:val="-34"/>
        </w:rPr>
        <w:t> </w:t>
      </w:r>
      <w:r>
        <w:rPr>
          <w:spacing w:val="-34"/>
        </w:rPr>
      </w:r>
      <w:r>
        <w:rPr/>
        <w:t>天顺风能（苏州）股份有限公司独立董事。</w:t>
      </w:r>
      <w:r>
        <w:rPr>
          <w:rFonts w:ascii="Times New Roman" w:hAnsi="Times New Roman" w:cs="Times New Roman" w:eastAsia="Times New Roman" w:hint="default"/>
        </w:rPr>
        <w:t>2012</w:t>
      </w:r>
      <w:r>
        <w:rPr/>
        <w:t>年起担任本公司独立董事。</w:t>
      </w:r>
    </w:p>
    <w:p>
      <w:pPr>
        <w:pStyle w:val="BodyText"/>
        <w:spacing w:line="300" w:lineRule="auto" w:before="13"/>
        <w:ind w:right="189" w:firstLine="360"/>
        <w:jc w:val="both"/>
      </w:pPr>
      <w:r>
        <w:rPr/>
        <w:t>（</w:t>
      </w:r>
      <w:r>
        <w:rPr>
          <w:rFonts w:ascii="Times New Roman" w:hAnsi="Times New Roman" w:cs="Times New Roman" w:eastAsia="Times New Roman" w:hint="default"/>
        </w:rPr>
        <w:t>6</w:t>
      </w:r>
      <w:r>
        <w:rPr/>
        <w:t>）于成磊，男，</w:t>
      </w:r>
      <w:r>
        <w:rPr>
          <w:rFonts w:ascii="Times New Roman" w:hAnsi="Times New Roman" w:cs="Times New Roman" w:eastAsia="Times New Roman" w:hint="default"/>
        </w:rPr>
        <w:t>1977</w:t>
      </w:r>
      <w:r>
        <w:rPr/>
        <w:t>年出生，中国国籍，无境外永久居留权。大学本科，非执业注册会计师。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年，任 </w:t>
      </w:r>
      <w:r>
        <w:rPr>
          <w:spacing w:val="-2"/>
        </w:rPr>
        <w:t>大华会计师事务所有限公司审计员；</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2004</w:t>
      </w:r>
      <w:r>
        <w:rPr>
          <w:spacing w:val="-2"/>
        </w:rPr>
        <w:t>年，任辽源市城市信用社股份有限公司财务顾问；</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年，任上</w:t>
      </w:r>
      <w:r>
        <w:rPr>
          <w:spacing w:val="-53"/>
        </w:rPr>
        <w:t> </w:t>
      </w:r>
      <w:r>
        <w:rPr>
          <w:spacing w:val="-53"/>
        </w:rPr>
      </w:r>
      <w:r>
        <w:rPr>
          <w:spacing w:val="-2"/>
        </w:rPr>
        <w:t>海华正会计师事务所有限公司合伙人；</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2011</w:t>
      </w:r>
      <w:r>
        <w:rPr>
          <w:spacing w:val="-2"/>
        </w:rPr>
        <w:t>年，任立信会计师事务所有限公司业务经理、立信大华会计师事务所有</w:t>
      </w:r>
      <w:r>
        <w:rPr>
          <w:spacing w:val="-60"/>
        </w:rPr>
        <w:t> </w:t>
      </w:r>
      <w:r>
        <w:rPr>
          <w:spacing w:val="-60"/>
        </w:rPr>
      </w:r>
      <w:r>
        <w:rPr>
          <w:spacing w:val="-2"/>
        </w:rPr>
        <w:t>限公司上海分所高级经理。</w:t>
      </w:r>
      <w:r>
        <w:rPr>
          <w:rFonts w:ascii="Times New Roman" w:hAnsi="Times New Roman" w:cs="Times New Roman" w:eastAsia="Times New Roman" w:hint="default"/>
          <w:spacing w:val="-2"/>
        </w:rPr>
        <w:t>2012</w:t>
      </w:r>
      <w:r>
        <w:rPr>
          <w:spacing w:val="-2"/>
        </w:rPr>
        <w:t>年至今，任上海永利带业股份有限公司财务总监、董事。</w:t>
      </w:r>
      <w:r>
        <w:rPr>
          <w:rFonts w:ascii="Times New Roman" w:hAnsi="Times New Roman" w:cs="Times New Roman" w:eastAsia="Times New Roman" w:hint="default"/>
          <w:spacing w:val="-2"/>
        </w:rPr>
        <w:t>2015</w:t>
      </w:r>
      <w:r>
        <w:rPr>
          <w:spacing w:val="-2"/>
        </w:rPr>
        <w:t>年起担任上海凯利泰医疗科技</w:t>
      </w:r>
      <w:r>
        <w:rPr>
          <w:spacing w:val="-60"/>
        </w:rPr>
        <w:t> </w:t>
      </w:r>
      <w:r>
        <w:rPr/>
        <w:t>股份有限公司独立董事。</w:t>
      </w:r>
      <w:r>
        <w:rPr>
          <w:rFonts w:ascii="Times New Roman" w:hAnsi="Times New Roman" w:cs="Times New Roman" w:eastAsia="Times New Roman" w:hint="default"/>
        </w:rPr>
        <w:t>2015</w:t>
      </w:r>
      <w:r>
        <w:rPr/>
        <w:t>年起担任本公司独立董事。</w:t>
      </w:r>
    </w:p>
    <w:p>
      <w:pPr>
        <w:pStyle w:val="BodyText"/>
        <w:spacing w:line="300" w:lineRule="auto" w:before="13"/>
        <w:ind w:right="189" w:firstLine="360"/>
        <w:jc w:val="both"/>
      </w:pPr>
      <w:r>
        <w:rPr/>
        <w:t>（</w:t>
      </w:r>
      <w:r>
        <w:rPr>
          <w:rFonts w:ascii="Times New Roman" w:hAnsi="Times New Roman" w:cs="Times New Roman" w:eastAsia="Times New Roman" w:hint="default"/>
        </w:rPr>
        <w:t>7</w:t>
      </w:r>
      <w:r>
        <w:rPr/>
        <w:t>）俞建春，男，</w:t>
      </w:r>
      <w:r>
        <w:rPr>
          <w:rFonts w:ascii="Times New Roman" w:hAnsi="Times New Roman" w:cs="Times New Roman" w:eastAsia="Times New Roman" w:hint="default"/>
        </w:rPr>
        <w:t>1962</w:t>
      </w:r>
      <w:r>
        <w:rPr/>
        <w:t>年出生，中国国籍，无境外永久居留权。大学本科，中国注册会计师、中国注册税务师、造价 </w:t>
      </w:r>
      <w:r>
        <w:rPr>
          <w:spacing w:val="-2"/>
        </w:rPr>
        <w:t>工程师、高级工程师、司法会计鉴定人。</w:t>
      </w:r>
      <w:r>
        <w:rPr>
          <w:rFonts w:ascii="Times New Roman" w:hAnsi="Times New Roman" w:cs="Times New Roman" w:eastAsia="Times New Roman" w:hint="default"/>
          <w:spacing w:val="-2"/>
        </w:rPr>
        <w:t>1984</w:t>
      </w:r>
      <w:r>
        <w:rPr>
          <w:spacing w:val="-2"/>
        </w:rPr>
        <w:t>年至</w:t>
      </w:r>
      <w:r>
        <w:rPr>
          <w:rFonts w:ascii="Times New Roman" w:hAnsi="Times New Roman" w:cs="Times New Roman" w:eastAsia="Times New Roman" w:hint="default"/>
          <w:spacing w:val="-2"/>
        </w:rPr>
        <w:t>1997</w:t>
      </w:r>
      <w:r>
        <w:rPr>
          <w:spacing w:val="-2"/>
        </w:rPr>
        <w:t>年，任上海远洋运输公司科员、副主任科员；</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年，任上</w:t>
      </w:r>
      <w:r>
        <w:rPr>
          <w:spacing w:val="-53"/>
        </w:rPr>
        <w:t> </w:t>
      </w:r>
      <w:r>
        <w:rPr>
          <w:spacing w:val="-53"/>
        </w:rPr>
      </w:r>
      <w:r>
        <w:rPr>
          <w:spacing w:val="-2"/>
        </w:rPr>
        <w:t>海明方会计师事务有限公司部门经理；</w:t>
      </w:r>
      <w:r>
        <w:rPr>
          <w:rFonts w:ascii="Times New Roman" w:hAnsi="Times New Roman" w:cs="Times New Roman" w:eastAsia="Times New Roman" w:hint="default"/>
          <w:spacing w:val="-2"/>
        </w:rPr>
        <w:t>2002</w:t>
      </w:r>
      <w:r>
        <w:rPr>
          <w:spacing w:val="-2"/>
        </w:rPr>
        <w:t>年至今，任上海沪港金茂会计师事务所有限公司总经理助理，</w:t>
      </w:r>
      <w:r>
        <w:rPr>
          <w:rFonts w:ascii="Times New Roman" w:hAnsi="Times New Roman" w:cs="Times New Roman" w:eastAsia="Times New Roman" w:hint="default"/>
          <w:spacing w:val="-2"/>
        </w:rPr>
        <w:t>2010</w:t>
      </w:r>
      <w:r>
        <w:rPr>
          <w:spacing w:val="-2"/>
        </w:rPr>
        <w:t>年起担任上海</w:t>
      </w:r>
      <w:r>
        <w:rPr>
          <w:spacing w:val="-60"/>
        </w:rPr>
        <w:t> </w:t>
      </w:r>
      <w:r>
        <w:rPr>
          <w:spacing w:val="-60"/>
        </w:rPr>
      </w:r>
      <w:r>
        <w:rPr>
          <w:spacing w:val="-2"/>
        </w:rPr>
        <w:t>康耐特光学股份有限公司独立董事、上海新文化传媒集团股份有限公司、上海贝岭股份有限公司独立董事。</w:t>
      </w:r>
      <w:r>
        <w:rPr>
          <w:rFonts w:ascii="Times New Roman" w:hAnsi="Times New Roman" w:cs="Times New Roman" w:eastAsia="Times New Roman" w:hint="default"/>
          <w:spacing w:val="-2"/>
        </w:rPr>
        <w:t>2015</w:t>
      </w:r>
      <w:r>
        <w:rPr>
          <w:spacing w:val="-2"/>
        </w:rPr>
        <w:t>年起担任本</w:t>
      </w:r>
      <w:r>
        <w:rPr>
          <w:spacing w:val="-60"/>
        </w:rPr>
        <w:t> </w:t>
      </w:r>
      <w:r>
        <w:rPr>
          <w:spacing w:val="-60"/>
        </w:rPr>
      </w:r>
      <w:r>
        <w:rPr/>
        <w:t>公司独立董事。</w:t>
      </w:r>
    </w:p>
    <w:p>
      <w:pPr>
        <w:pStyle w:val="BodyText"/>
        <w:spacing w:line="300" w:lineRule="auto" w:before="31"/>
        <w:ind w:left="512" w:right="183"/>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99"/>
        </w:rPr>
        <w:t> </w:t>
      </w:r>
      <w:r>
        <w:rPr/>
        <w:t>公司第三届监事会由</w:t>
      </w:r>
      <w:r>
        <w:rPr>
          <w:rFonts w:ascii="Times New Roman" w:hAnsi="Times New Roman" w:cs="Times New Roman" w:eastAsia="Times New Roman" w:hint="default"/>
        </w:rPr>
        <w:t>3</w:t>
      </w:r>
      <w:r>
        <w:rPr/>
        <w:t>名监事组成，其中李琳为职工监事，由职工代表大会选派产生，黄克华和沈亦宁由公司监事会提</w:t>
      </w:r>
    </w:p>
    <w:p>
      <w:pPr>
        <w:pStyle w:val="BodyText"/>
        <w:spacing w:line="240" w:lineRule="auto" w:before="13"/>
        <w:ind w:right="93"/>
        <w:jc w:val="left"/>
      </w:pPr>
      <w:r>
        <w:rPr/>
        <w:t>名，经公司</w:t>
      </w:r>
      <w:r>
        <w:rPr>
          <w:rFonts w:ascii="Times New Roman" w:hAnsi="Times New Roman" w:cs="Times New Roman" w:eastAsia="Times New Roman" w:hint="default"/>
        </w:rPr>
        <w:t>2014</w:t>
      </w:r>
      <w:r>
        <w:rPr/>
        <w:t>年度股东大会选举产生，本届监事会任期自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p>
    <w:p>
      <w:pPr>
        <w:pStyle w:val="BodyText"/>
        <w:spacing w:line="300" w:lineRule="auto" w:before="63"/>
        <w:ind w:right="110" w:firstLine="360"/>
        <w:jc w:val="both"/>
      </w:pPr>
      <w:r>
        <w:rPr/>
        <w:t>（</w:t>
      </w:r>
      <w:r>
        <w:rPr>
          <w:rFonts w:ascii="Times New Roman" w:hAnsi="Times New Roman" w:cs="Times New Roman" w:eastAsia="Times New Roman" w:hint="default"/>
        </w:rPr>
        <w:t>1</w:t>
      </w:r>
      <w:r>
        <w:rPr/>
        <w:t>）黄克华，男，</w:t>
      </w:r>
      <w:r>
        <w:rPr>
          <w:rFonts w:ascii="Times New Roman" w:hAnsi="Times New Roman" w:cs="Times New Roman" w:eastAsia="Times New Roman" w:hint="default"/>
        </w:rPr>
        <w:t>1964</w:t>
      </w:r>
      <w:r>
        <w:rPr/>
        <w:t>年出生，中国国籍，无境外永久居留权。大学本科、工程师。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2004</w:t>
      </w:r>
      <w:r>
        <w:rPr/>
        <w:t>年在上海金仕达卫 宁医疗信息技术有限公司工作，</w:t>
      </w:r>
      <w:r>
        <w:rPr>
          <w:rFonts w:ascii="Times New Roman" w:hAnsi="Times New Roman" w:cs="Times New Roman" w:eastAsia="Times New Roman" w:hint="default"/>
        </w:rPr>
        <w:t>2004</w:t>
      </w:r>
      <w:r>
        <w:rPr/>
        <w:t>年起加入本公司，任项目管理部经理。现任本公司监事会主席、产品总监、工会主席。</w:t>
      </w:r>
    </w:p>
    <w:p>
      <w:pPr>
        <w:pStyle w:val="BodyText"/>
        <w:spacing w:line="300" w:lineRule="auto" w:before="13"/>
        <w:ind w:right="192" w:firstLine="360"/>
        <w:jc w:val="both"/>
      </w:pPr>
      <w:r>
        <w:rPr/>
        <w:t>（</w:t>
      </w:r>
      <w:r>
        <w:rPr>
          <w:rFonts w:ascii="Times New Roman" w:hAnsi="Times New Roman" w:cs="Times New Roman" w:eastAsia="Times New Roman" w:hint="default"/>
        </w:rPr>
        <w:t>2</w:t>
      </w:r>
      <w:r>
        <w:rPr/>
        <w:t>）沈亦宁，女，</w:t>
      </w:r>
      <w:r>
        <w:rPr>
          <w:rFonts w:ascii="Times New Roman" w:hAnsi="Times New Roman" w:cs="Times New Roman" w:eastAsia="Times New Roman" w:hint="default"/>
        </w:rPr>
        <w:t>1966</w:t>
      </w:r>
      <w:r>
        <w:rPr/>
        <w:t>年出生，中国国籍，无境外永久居留权。大专、统计师。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年任上海金仕达卫宁医 疗信息技术有限公司会计。</w:t>
      </w:r>
      <w:r>
        <w:rPr>
          <w:rFonts w:ascii="Times New Roman" w:hAnsi="Times New Roman" w:cs="Times New Roman" w:eastAsia="Times New Roman" w:hint="default"/>
        </w:rPr>
        <w:t>2004</w:t>
      </w:r>
      <w:r>
        <w:rPr/>
        <w:t>年起加入本公司，任会计。现任本公司监事。</w:t>
      </w:r>
    </w:p>
    <w:p>
      <w:pPr>
        <w:pStyle w:val="BodyText"/>
        <w:spacing w:line="300" w:lineRule="auto" w:before="13"/>
        <w:ind w:right="189" w:firstLine="360"/>
        <w:jc w:val="both"/>
      </w:pPr>
      <w:r>
        <w:rPr/>
        <w:t>（</w:t>
      </w:r>
      <w:r>
        <w:rPr>
          <w:rFonts w:ascii="Times New Roman" w:hAnsi="Times New Roman" w:cs="Times New Roman" w:eastAsia="Times New Roman" w:hint="default"/>
        </w:rPr>
        <w:t>3</w:t>
      </w:r>
      <w:r>
        <w:rPr/>
        <w:t>）李琳，女，</w:t>
      </w:r>
      <w:r>
        <w:rPr>
          <w:rFonts w:ascii="Times New Roman" w:hAnsi="Times New Roman" w:cs="Times New Roman" w:eastAsia="Times New Roman" w:hint="default"/>
        </w:rPr>
        <w:t>1983</w:t>
      </w:r>
      <w:r>
        <w:rPr/>
        <w:t>年出生，中国国籍，无境外永久居留权。大学本科。</w:t>
      </w:r>
      <w:r>
        <w:rPr>
          <w:rFonts w:ascii="Times New Roman" w:hAnsi="Times New Roman" w:cs="Times New Roman" w:eastAsia="Times New Roman" w:hint="default"/>
        </w:rPr>
        <w:t>2007</w:t>
      </w:r>
      <w:r>
        <w:rPr/>
        <w:t>年先后在公司全资子公司上海金仕达卫 </w:t>
      </w:r>
      <w:r>
        <w:rPr>
          <w:spacing w:val="-2"/>
        </w:rPr>
        <w:t>宁信息技术有限公司和江苏金仕达卫宁软件有限公司，任服务部总经理助理，</w:t>
      </w:r>
      <w:r>
        <w:rPr>
          <w:rFonts w:ascii="Times New Roman" w:hAnsi="Times New Roman" w:cs="Times New Roman" w:eastAsia="Times New Roman" w:hint="default"/>
          <w:spacing w:val="-2"/>
        </w:rPr>
        <w:t>2013</w:t>
      </w:r>
      <w:r>
        <w:rPr>
          <w:spacing w:val="-2"/>
        </w:rPr>
        <w:t>年起任本公司上海大区总经理助理。现任</w:t>
      </w:r>
      <w:r>
        <w:rPr>
          <w:spacing w:val="-60"/>
        </w:rPr>
        <w:t> </w:t>
      </w:r>
      <w:r>
        <w:rPr>
          <w:spacing w:val="-60"/>
        </w:rPr>
      </w:r>
      <w:r>
        <w:rPr/>
        <w:t>本公司监事。</w:t>
      </w:r>
    </w:p>
    <w:p>
      <w:pPr>
        <w:pStyle w:val="Heading4"/>
        <w:spacing w:line="240" w:lineRule="auto" w:before="31"/>
        <w:ind w:right="93"/>
        <w:jc w:val="left"/>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307" w:lineRule="auto" w:before="62"/>
        <w:ind w:right="189" w:firstLine="360"/>
        <w:jc w:val="both"/>
      </w:pPr>
      <w:r>
        <w:rPr/>
        <w:t>（</w:t>
      </w:r>
      <w:r>
        <w:rPr>
          <w:rFonts w:ascii="Times New Roman" w:hAnsi="Times New Roman" w:cs="Times New Roman" w:eastAsia="Times New Roman" w:hint="default"/>
        </w:rPr>
        <w:t>1</w:t>
      </w:r>
      <w:r>
        <w:rPr/>
        <w:t>）王涛，男，</w:t>
      </w:r>
      <w:r>
        <w:rPr>
          <w:rFonts w:ascii="Times New Roman" w:hAnsi="Times New Roman" w:cs="Times New Roman" w:eastAsia="Times New Roman" w:hint="default"/>
        </w:rPr>
        <w:t>1969</w:t>
      </w:r>
      <w:r>
        <w:rPr/>
        <w:t>年出生，加拿大国籍。上海交通大学计算机系硕士。先后担任上海计算机软件技术开发中心软件 工程师；</w:t>
      </w:r>
      <w:r>
        <w:rPr>
          <w:rFonts w:ascii="Times New Roman" w:hAnsi="Times New Roman" w:cs="Times New Roman" w:eastAsia="Times New Roman" w:hint="default"/>
        </w:rPr>
        <w:t>CA Technologies (NASDAQ: CA)</w:t>
      </w:r>
      <w:r>
        <w:rPr/>
        <w:t>中国华东区技术经理、</w:t>
      </w:r>
      <w:r>
        <w:rPr>
          <w:rFonts w:ascii="Times New Roman" w:hAnsi="Times New Roman" w:cs="Times New Roman" w:eastAsia="Times New Roman" w:hint="default"/>
        </w:rPr>
        <w:t>CA</w:t>
      </w:r>
      <w:r>
        <w:rPr>
          <w:rFonts w:ascii="Times New Roman" w:hAnsi="Times New Roman" w:cs="Times New Roman" w:eastAsia="Times New Roman" w:hint="default"/>
          <w:spacing w:val="32"/>
        </w:rPr>
        <w:t> </w:t>
      </w:r>
      <w:r>
        <w:rPr>
          <w:rFonts w:ascii="Times New Roman" w:hAnsi="Times New Roman" w:cs="Times New Roman" w:eastAsia="Times New Roman" w:hint="default"/>
        </w:rPr>
        <w:t>Technologies</w:t>
      </w:r>
      <w:r>
        <w:rPr/>
        <w:t>加拿大资深技术顾问；东信冠群软件有限 </w:t>
      </w:r>
      <w:r>
        <w:rPr>
          <w:spacing w:val="-2"/>
        </w:rPr>
        <w:t>公司技术总监；万达信息股份有限公司事业部总经理、副总裁。王涛先生一直专注于信息技术和行业应用的结合，兼具管理</w:t>
      </w:r>
      <w:r>
        <w:rPr>
          <w:spacing w:val="-65"/>
        </w:rPr>
        <w:t> </w:t>
      </w:r>
      <w:r>
        <w:rPr>
          <w:spacing w:val="-65"/>
        </w:rPr>
      </w:r>
      <w:r>
        <w:rPr/>
        <w:t>经验和技术视野。</w:t>
      </w:r>
      <w:r>
        <w:rPr>
          <w:rFonts w:ascii="Times New Roman" w:hAnsi="Times New Roman" w:cs="Times New Roman" w:eastAsia="Times New Roman" w:hint="default"/>
        </w:rPr>
        <w:t>2014</w:t>
      </w:r>
      <w:r>
        <w:rPr/>
        <w:t>年加入本公司，现任本公司总经理，上海天健源达信息科技有限公司董事长。</w:t>
      </w:r>
    </w:p>
    <w:p>
      <w:pPr>
        <w:pStyle w:val="BodyText"/>
        <w:spacing w:line="240" w:lineRule="auto" w:before="7"/>
        <w:ind w:left="512" w:right="93"/>
        <w:jc w:val="left"/>
      </w:pPr>
      <w:r>
        <w:rPr/>
        <w:t>（</w:t>
      </w:r>
      <w:r>
        <w:rPr>
          <w:rFonts w:ascii="Times New Roman" w:hAnsi="Times New Roman" w:cs="Times New Roman" w:eastAsia="Times New Roman" w:hint="default"/>
        </w:rPr>
        <w:t>2</w:t>
      </w:r>
      <w:r>
        <w:rPr/>
        <w:t>）孙凯，副总经理兼董事，简历见上。</w:t>
      </w:r>
    </w:p>
    <w:p>
      <w:pPr>
        <w:pStyle w:val="BodyText"/>
        <w:spacing w:line="240" w:lineRule="auto" w:before="62"/>
        <w:ind w:left="512" w:right="93"/>
        <w:jc w:val="left"/>
      </w:pPr>
      <w:r>
        <w:rPr/>
        <w:t>（</w:t>
      </w:r>
      <w:r>
        <w:rPr>
          <w:rFonts w:ascii="Times New Roman" w:hAnsi="Times New Roman" w:cs="Times New Roman" w:eastAsia="Times New Roman" w:hint="default"/>
        </w:rPr>
        <w:t>3</w:t>
      </w:r>
      <w:r>
        <w:rPr/>
        <w:t>）靳茂，副总经理、董事会秘书兼董事，简历见上。</w:t>
      </w:r>
    </w:p>
    <w:p>
      <w:pPr>
        <w:pStyle w:val="BodyText"/>
        <w:spacing w:line="307" w:lineRule="auto" w:before="62"/>
        <w:ind w:right="189" w:firstLine="360"/>
        <w:jc w:val="both"/>
      </w:pPr>
      <w:r>
        <w:rPr>
          <w:spacing w:val="-1"/>
        </w:rPr>
        <w:t>（</w:t>
      </w:r>
      <w:r>
        <w:rPr>
          <w:rFonts w:ascii="Times New Roman" w:hAnsi="Times New Roman" w:cs="Times New Roman" w:eastAsia="Times New Roman" w:hint="default"/>
          <w:spacing w:val="-1"/>
        </w:rPr>
        <w:t>4</w:t>
      </w:r>
      <w:r>
        <w:rPr>
          <w:spacing w:val="-1"/>
        </w:rPr>
        <w:t>）徐春华，男，</w:t>
      </w:r>
      <w:r>
        <w:rPr>
          <w:rFonts w:ascii="Times New Roman" w:hAnsi="Times New Roman" w:cs="Times New Roman" w:eastAsia="Times New Roman" w:hint="default"/>
          <w:spacing w:val="-1"/>
        </w:rPr>
        <w:t>1974</w:t>
      </w:r>
      <w:r>
        <w:rPr>
          <w:spacing w:val="-1"/>
        </w:rPr>
        <w:t>出生，中国国籍，无境外永久居留权。浙江大学工学硕士、</w:t>
      </w:r>
      <w:r>
        <w:rPr>
          <w:rFonts w:ascii="Times New Roman" w:hAnsi="Times New Roman" w:cs="Times New Roman" w:eastAsia="Times New Roman" w:hint="default"/>
          <w:spacing w:val="-1"/>
        </w:rPr>
        <w:t>MBA</w:t>
      </w:r>
      <w:r>
        <w:rPr>
          <w:spacing w:val="-1"/>
        </w:rPr>
        <w:t>，高级工程师，卫生部卫生统</w:t>
      </w:r>
      <w:r>
        <w:rPr/>
        <w:t> </w:t>
      </w:r>
      <w:r>
        <w:rPr>
          <w:spacing w:val="-2"/>
        </w:rPr>
        <w:t>计信息中心信息化咨询委员会专家，中国卫生信息学会卫生信息标准专业委员会常委，中国电子学会健康物联专家委员会专</w:t>
      </w:r>
      <w:r>
        <w:rPr>
          <w:spacing w:val="-64"/>
        </w:rPr>
        <w:t> </w:t>
      </w:r>
      <w:r>
        <w:rPr>
          <w:spacing w:val="-64"/>
        </w:rPr>
      </w:r>
      <w:r>
        <w:rPr>
          <w:spacing w:val="-2"/>
        </w:rPr>
        <w:t>家。</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2013</w:t>
      </w:r>
      <w:r>
        <w:rPr>
          <w:spacing w:val="-2"/>
        </w:rPr>
        <w:t>年，历任金华理工学院计算机系副主任，创业软件股份有限公司副总裁、总工程师，用友医疗卫生信息系</w:t>
      </w:r>
      <w:r>
        <w:rPr>
          <w:spacing w:val="-60"/>
        </w:rPr>
        <w:t> </w:t>
      </w:r>
      <w:r>
        <w:rPr>
          <w:spacing w:val="-60"/>
        </w:rPr>
      </w:r>
      <w:r>
        <w:rPr>
          <w:spacing w:val="-2"/>
        </w:rPr>
        <w:t>统有限公司副总裁、用友智慧健康研究院首席专家。长期从事医疗卫生信息化行业的科研与产业实践工作，主持了国家高新</w:t>
      </w:r>
    </w:p>
    <w:p>
      <w:pPr>
        <w:spacing w:after="0" w:line="307"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07" w:lineRule="auto" w:before="44"/>
        <w:ind w:right="93"/>
        <w:jc w:val="left"/>
      </w:pPr>
      <w:r>
        <w:rPr>
          <w:spacing w:val="-2"/>
        </w:rPr>
        <w:t>技术产业化项目、国家电子发展基金、国家火炬计划项目等多个科研项目并获得多个奖项；曾主持或参与</w:t>
      </w:r>
      <w:r>
        <w:rPr>
          <w:rFonts w:ascii="Times New Roman" w:hAnsi="Times New Roman" w:cs="Times New Roman" w:eastAsia="Times New Roman" w:hint="default"/>
          <w:spacing w:val="-2"/>
        </w:rPr>
        <w:t>30</w:t>
      </w:r>
      <w:r>
        <w:rPr>
          <w:spacing w:val="-2"/>
        </w:rPr>
        <w:t>多个城市的区域</w:t>
      </w:r>
      <w:r>
        <w:rPr>
          <w:spacing w:val="-62"/>
        </w:rPr>
        <w:t> </w:t>
      </w:r>
      <w:r>
        <w:rPr>
          <w:spacing w:val="-62"/>
        </w:rPr>
      </w:r>
      <w:r>
        <w:rPr>
          <w:spacing w:val="-2"/>
        </w:rPr>
        <w:t>卫生信息化规划或建设实践工作，作为主要专家参与卫生部《健康档案架构与数据标准》、《电子病历架构与标准》、《区</w:t>
      </w:r>
      <w:r>
        <w:rPr>
          <w:spacing w:val="-64"/>
        </w:rPr>
        <w:t> </w:t>
      </w:r>
      <w:r>
        <w:rPr>
          <w:spacing w:val="-64"/>
        </w:rPr>
      </w:r>
      <w:r>
        <w:rPr>
          <w:spacing w:val="-4"/>
        </w:rPr>
        <w:t>域卫生信息平台技术规范》、《医院信息平台技术规范》、《卫生信息共享文档规范》等标准课题工作。</w:t>
      </w:r>
      <w:r>
        <w:rPr>
          <w:rFonts w:ascii="Times New Roman" w:hAnsi="Times New Roman" w:cs="Times New Roman" w:eastAsia="Times New Roman" w:hint="default"/>
          <w:spacing w:val="-4"/>
        </w:rPr>
        <w:t>2013</w:t>
      </w:r>
      <w:r>
        <w:rPr>
          <w:spacing w:val="-4"/>
        </w:rPr>
        <w:t>年加入本公司，</w:t>
      </w:r>
      <w:r>
        <w:rPr>
          <w:spacing w:val="-36"/>
        </w:rPr>
        <w:t> </w:t>
      </w:r>
      <w:r>
        <w:rPr/>
        <w:t>任资深行业专家。现任本公司副总经理，广东卫宁软件有限公司董事长。</w:t>
      </w:r>
    </w:p>
    <w:p>
      <w:pPr>
        <w:pStyle w:val="BodyText"/>
        <w:spacing w:line="307" w:lineRule="auto" w:before="26"/>
        <w:ind w:right="93" w:firstLine="360"/>
        <w:jc w:val="left"/>
      </w:pPr>
      <w:r>
        <w:rPr/>
        <w:t>（</w:t>
      </w:r>
      <w:r>
        <w:rPr>
          <w:rFonts w:ascii="Times New Roman" w:hAnsi="Times New Roman" w:cs="Times New Roman" w:eastAsia="Times New Roman" w:hint="default"/>
        </w:rPr>
        <w:t>5</w:t>
      </w:r>
      <w:r>
        <w:rPr/>
        <w:t>）孙嘉明，男，</w:t>
      </w:r>
      <w:r>
        <w:rPr>
          <w:rFonts w:ascii="Times New Roman" w:hAnsi="Times New Roman" w:cs="Times New Roman" w:eastAsia="Times New Roman" w:hint="default"/>
        </w:rPr>
        <w:t>1976</w:t>
      </w:r>
      <w:r>
        <w:rPr/>
        <w:t>年出生，中国国籍，无境外永久居留权。上海交通大学计算机及应用专业学士学位，应用数学 </w:t>
      </w:r>
      <w:r>
        <w:rPr>
          <w:spacing w:val="-2"/>
        </w:rPr>
        <w:t>专业第二学科学士学位，工程师。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2014</w:t>
      </w:r>
      <w:r>
        <w:rPr>
          <w:spacing w:val="-2"/>
        </w:rPr>
        <w:t>年，先后担任万达信息股份有限公司社会保障事业部工程师、项目经理，卫</w:t>
      </w:r>
      <w:r>
        <w:rPr>
          <w:spacing w:val="-61"/>
        </w:rPr>
        <w:t> </w:t>
      </w:r>
      <w:r>
        <w:rPr>
          <w:spacing w:val="-61"/>
        </w:rPr>
      </w:r>
      <w:r>
        <w:rPr>
          <w:spacing w:val="-4"/>
        </w:rPr>
        <w:t>生服务事业部咨询总监、副总经理、常务副总经理。孙嘉明先生长期从事政府信息化项目规划与建设，特别在医药卫生行业，</w:t>
      </w:r>
      <w:r>
        <w:rPr>
          <w:spacing w:val="-46"/>
        </w:rPr>
        <w:t> </w:t>
      </w:r>
      <w:r>
        <w:rPr>
          <w:spacing w:val="-46"/>
        </w:rPr>
      </w:r>
      <w:r>
        <w:rPr>
          <w:spacing w:val="-2"/>
        </w:rPr>
        <w:t>具有丰富的市场拓展、咨询规划、产品研发和工程实施经验。参与上海健康信息网工程、上海医联工程的总体规划及架构设</w:t>
      </w:r>
      <w:r>
        <w:rPr>
          <w:spacing w:val="-64"/>
        </w:rPr>
        <w:t> </w:t>
      </w:r>
      <w:r>
        <w:rPr>
          <w:spacing w:val="-64"/>
        </w:rPr>
      </w:r>
      <w:r>
        <w:rPr>
          <w:spacing w:val="-2"/>
        </w:rPr>
        <w:t>计，获得</w:t>
      </w:r>
      <w:r>
        <w:rPr>
          <w:rFonts w:ascii="Times New Roman" w:hAnsi="Times New Roman" w:cs="Times New Roman" w:eastAsia="Times New Roman" w:hint="default"/>
          <w:spacing w:val="-2"/>
        </w:rPr>
        <w:t>2011</w:t>
      </w:r>
      <w:r>
        <w:rPr>
          <w:spacing w:val="-2"/>
        </w:rPr>
        <w:t>年度上海市科学技术进步奖一等奖。</w:t>
      </w:r>
      <w:r>
        <w:rPr>
          <w:rFonts w:ascii="Times New Roman" w:hAnsi="Times New Roman" w:cs="Times New Roman" w:eastAsia="Times New Roman" w:hint="default"/>
          <w:spacing w:val="-2"/>
        </w:rPr>
        <w:t>2014</w:t>
      </w:r>
      <w:r>
        <w:rPr>
          <w:spacing w:val="-2"/>
        </w:rPr>
        <w:t>年加入本公司，现任本公司副总经理，重庆金仕达卫宁软件有限公司</w:t>
      </w:r>
      <w:r>
        <w:rPr>
          <w:spacing w:val="-59"/>
        </w:rPr>
        <w:t> </w:t>
      </w:r>
      <w:r>
        <w:rPr>
          <w:spacing w:val="-59"/>
        </w:rPr>
      </w:r>
      <w:r>
        <w:rPr/>
        <w:t>董事长，宁波金仕达卫宁软件有限公司董事长。</w:t>
      </w:r>
    </w:p>
    <w:p>
      <w:pPr>
        <w:pStyle w:val="BodyText"/>
        <w:spacing w:line="307" w:lineRule="auto" w:before="26"/>
        <w:ind w:right="93" w:firstLine="360"/>
        <w:jc w:val="left"/>
      </w:pPr>
      <w:r>
        <w:rPr/>
        <w:t>（</w:t>
      </w:r>
      <w:r>
        <w:rPr>
          <w:rFonts w:ascii="Times New Roman" w:hAnsi="Times New Roman" w:cs="Times New Roman" w:eastAsia="Times New Roman" w:hint="default"/>
        </w:rPr>
        <w:t>6</w:t>
      </w:r>
      <w:r>
        <w:rPr/>
        <w:t>）王利，男，</w:t>
      </w:r>
      <w:r>
        <w:rPr>
          <w:rFonts w:ascii="Times New Roman" w:hAnsi="Times New Roman" w:cs="Times New Roman" w:eastAsia="Times New Roman" w:hint="default"/>
        </w:rPr>
        <w:t>1976</w:t>
      </w:r>
      <w:r>
        <w:rPr/>
        <w:t>年出生，中国国籍，无境外永久居留权。上海财经大学会计学本科，具有审计师职称、中国注册 会计师、中国注册税务师、特许公认会计师公会会员（</w:t>
      </w:r>
      <w:r>
        <w:rPr>
          <w:rFonts w:ascii="Times New Roman" w:hAnsi="Times New Roman" w:cs="Times New Roman" w:eastAsia="Times New Roman" w:hint="default"/>
        </w:rPr>
        <w:t>ACCA</w:t>
      </w:r>
      <w:r>
        <w:rPr/>
        <w:t>）资格。</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2013</w:t>
      </w:r>
      <w:r>
        <w:rPr/>
        <w:t>年，历任上海金佰汇科技有限公司财务 </w:t>
      </w:r>
      <w:r>
        <w:rPr>
          <w:spacing w:val="-4"/>
        </w:rPr>
        <w:t>主管、上海东华会计师事务所高级审计师、德勤华永会计师事务所高级审计经理、昆明寰基生物芯片开发有限公司财务总监。</w:t>
      </w:r>
      <w:r>
        <w:rPr>
          <w:spacing w:val="-44"/>
        </w:rPr>
        <w:t> </w:t>
      </w:r>
      <w:r>
        <w:rPr>
          <w:spacing w:val="-44"/>
        </w:rPr>
      </w:r>
      <w:r>
        <w:rPr>
          <w:rFonts w:ascii="Times New Roman" w:hAnsi="Times New Roman" w:cs="Times New Roman" w:eastAsia="Times New Roman" w:hint="default"/>
        </w:rPr>
        <w:t>2013</w:t>
      </w:r>
      <w:r>
        <w:rPr/>
        <w:t>年加入本公司，任财务副总监。现任本公司财务负责人。</w:t>
      </w:r>
    </w:p>
    <w:p>
      <w:pPr>
        <w:pStyle w:val="BodyText"/>
        <w:spacing w:line="240" w:lineRule="auto" w:before="48"/>
        <w:ind w:right="93"/>
        <w:jc w:val="left"/>
      </w:pPr>
      <w:r>
        <w:rPr/>
        <w:t>在股东单位任职情况</w:t>
      </w:r>
    </w:p>
    <w:p>
      <w:pPr>
        <w:pStyle w:val="BodyText"/>
        <w:spacing w:line="340" w:lineRule="auto" w:before="115"/>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北京大成（上海）律师事务所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天顺风能（苏州）股份有限公司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上海沪港金茂会计师事务所有限公司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上海康耐特光学股份有限公司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上海新文化传媒集团股份有限公司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上海永利带业股份有限公司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董事、财务总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上海凯利泰医疗科技股份有限公司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3"/>
        <w:jc w:val="left"/>
      </w:pPr>
      <w:r>
        <w:rPr/>
        <w:t>公司现任及报告期内离任董事、监事和高级管理人员近三年证券监管机构处罚的情况</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8"/>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t>董事、监事、高级管理人员报酬的决策程序、确定依据、实际支付情况</w:t>
      </w:r>
    </w:p>
    <w:p>
      <w:pPr>
        <w:pStyle w:val="BodyText"/>
        <w:spacing w:line="300" w:lineRule="auto" w:before="115"/>
        <w:ind w:right="143" w:firstLine="360"/>
        <w:jc w:val="left"/>
      </w:pPr>
      <w:r>
        <w:rPr>
          <w:rFonts w:ascii="Times New Roman" w:hAnsi="Times New Roman" w:cs="Times New Roman" w:eastAsia="Times New Roman" w:hint="default"/>
        </w:rPr>
        <w:t>1</w:t>
      </w:r>
      <w:r>
        <w:rPr/>
        <w:t>、公司董事、监事报酬由股东大会决定，高级管理人员报酬由董事会决定；在公司担任职务的董事、监事、高级管理 人员报酬由公司支付。独立董事津贴依据股东大会决议支付。</w:t>
      </w:r>
    </w:p>
    <w:p>
      <w:pPr>
        <w:pStyle w:val="BodyText"/>
        <w:spacing w:line="300" w:lineRule="auto" w:before="31"/>
        <w:ind w:right="143" w:firstLine="360"/>
        <w:jc w:val="left"/>
      </w:pPr>
      <w:r>
        <w:rPr>
          <w:rFonts w:ascii="Times New Roman" w:hAnsi="Times New Roman" w:cs="Times New Roman" w:eastAsia="Times New Roman" w:hint="default"/>
        </w:rPr>
        <w:t>2</w:t>
      </w:r>
      <w:r>
        <w:rPr/>
        <w:t>、董事、监事及高级管理人员的报酬按照公司《董事会薪酬与考核委员会实施细则》等规定，结合其经营绩效、工作 能力、岗位职责等考核确定并发放。</w:t>
      </w:r>
    </w:p>
    <w:p>
      <w:pPr>
        <w:pStyle w:val="BodyText"/>
        <w:spacing w:line="340" w:lineRule="auto" w:before="31"/>
        <w:ind w:right="368" w:firstLine="360"/>
        <w:jc w:val="left"/>
      </w:pPr>
      <w:r>
        <w:rPr>
          <w:rFonts w:ascii="Times New Roman" w:hAnsi="Times New Roman" w:cs="Times New Roman" w:eastAsia="Times New Roman" w:hint="default"/>
        </w:rPr>
        <w:t>3</w:t>
      </w:r>
      <w:r>
        <w:rPr/>
        <w:t>、工资、津贴次月发放；资金根据年度业绩考核结果延后发放。</w:t>
      </w:r>
      <w:r>
        <w:rPr>
          <w:rFonts w:ascii="Times New Roman" w:hAnsi="Times New Roman" w:cs="Times New Roman" w:eastAsia="Times New Roman" w:hint="default"/>
        </w:rPr>
        <w:t>2015</w:t>
      </w:r>
      <w:r>
        <w:rPr/>
        <w:t>年度公司实际支付的薪酬总额为</w:t>
      </w:r>
      <w:r>
        <w:rPr>
          <w:rFonts w:ascii="Times New Roman" w:hAnsi="Times New Roman" w:cs="Times New Roman" w:eastAsia="Times New Roman" w:hint="default"/>
        </w:rPr>
        <w:t>436.33</w:t>
      </w:r>
      <w:r>
        <w:rPr/>
        <w:t>万元。 公司报告期内董事、监事和高级管理人员报酬情况</w:t>
      </w:r>
    </w:p>
    <w:p>
      <w:pPr>
        <w:pStyle w:val="BodyText"/>
        <w:spacing w:line="240" w:lineRule="auto" w:before="41"/>
        <w:ind w:left="0" w:right="152"/>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王绍东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离任独立董事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离任独立董事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黄克华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徐春华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436.33</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980"/>
        </w:sectPr>
      </w:pPr>
    </w:p>
    <w:p>
      <w:pPr>
        <w:pStyle w:val="BodyText"/>
        <w:spacing w:line="240" w:lineRule="auto" w:before="49"/>
        <w:ind w:right="-20"/>
        <w:jc w:val="left"/>
      </w:pPr>
      <w:r>
        <w:rPr/>
        <w:t>公司董事、监事、高级管理人员报告期内被授予的股权激励情况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80" w:left="980" w:right="980"/>
          <w:cols w:num="2" w:equalWidth="0">
            <w:col w:w="5193" w:space="3725"/>
            <w:col w:w="1032"/>
          </w:cols>
        </w:sectPr>
      </w:pPr>
    </w:p>
    <w:p>
      <w:pPr>
        <w:spacing w:line="240" w:lineRule="auto" w:before="4"/>
        <w:rPr>
          <w:rFonts w:ascii="宋体" w:hAnsi="宋体" w:cs="宋体" w:eastAsia="宋体" w:hint="default"/>
          <w:sz w:val="8"/>
          <w:szCs w:val="8"/>
        </w:rPr>
      </w:pPr>
      <w:r>
        <w:rPr/>
        <w:pict>
          <v:group style="position:absolute;margin-left:193.800003pt;margin-top:331.920013pt;width:67.8pt;height:35.3pt;mso-position-horizontal-relative:page;mso-position-vertical-relative:page;z-index:-988552" coordorigin="3876,6638" coordsize="1356,706">
            <v:group style="position:absolute;left:3876;top:6638;width:1356;height:706" coordorigin="3876,6638" coordsize="1356,706">
              <v:shape style="position:absolute;left:3876;top:6638;width:1356;height:706" coordorigin="3876,6638" coordsize="1356,706" path="m3876,6638l5232,6638,5232,7344,3876,7344,3876,6638xe" filled="true" fillcolor="#ffffff" stroked="false">
                <v:path arrowok="t"/>
                <v:fill type="solid"/>
              </v:shape>
            </v:group>
            <v:group style="position:absolute;left:3898;top:6794;width:1311;height:394" coordorigin="3898,6794" coordsize="1311,394">
              <v:shape style="position:absolute;left:3898;top:6794;width:1311;height:394" coordorigin="3898,6794" coordsize="1311,394" path="m3898,6794l5208,6794,5208,7188,3898,7188,3898,679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71"/>
        <w:gridCol w:w="869"/>
        <w:gridCol w:w="869"/>
        <w:gridCol w:w="871"/>
        <w:gridCol w:w="869"/>
        <w:gridCol w:w="871"/>
        <w:gridCol w:w="869"/>
        <w:gridCol w:w="871"/>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bl>
    <w:p>
      <w:pPr>
        <w:spacing w:after="0" w:line="316"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112,474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41.88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徐春华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149,965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149,965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41.88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41.88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41.88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831,165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424,915</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48"/>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2,358</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223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实施、二次开发人员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2,358</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2,358</w:t>
            </w:r>
          </w:p>
        </w:tc>
      </w:tr>
    </w:tbl>
    <w:p>
      <w:pPr>
        <w:spacing w:line="240" w:lineRule="auto" w:before="3"/>
        <w:rPr>
          <w:rFonts w:ascii="宋体" w:hAnsi="宋体" w:cs="宋体" w:eastAsia="宋体" w:hint="default"/>
          <w:b/>
          <w:bCs/>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公司奉行</w:t>
      </w:r>
      <w:r>
        <w:rPr>
          <w:rFonts w:ascii="Times New Roman" w:hAnsi="Times New Roman" w:cs="Times New Roman" w:eastAsia="Times New Roman" w:hint="default"/>
        </w:rPr>
        <w:t>“</w:t>
      </w:r>
      <w:r>
        <w:rPr/>
        <w:t>团结、务实、创新、高效、服务</w:t>
      </w:r>
      <w:r>
        <w:rPr>
          <w:rFonts w:ascii="Times New Roman" w:hAnsi="Times New Roman" w:cs="Times New Roman" w:eastAsia="Times New Roman" w:hint="default"/>
        </w:rPr>
        <w:t>”</w:t>
      </w:r>
      <w:r>
        <w:rPr/>
        <w:t>的核心价值观，制定切合公司实际且具有一定竞争力的薪酬政策。员工薪酬主要</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89"/>
        <w:jc w:val="both"/>
      </w:pPr>
      <w:r>
        <w:rPr>
          <w:spacing w:val="-2"/>
        </w:rPr>
        <w:t>分为基本薪酬和绩效资金两部分，基本薪酬部分由岗位价值、职级水平等因素确定；绩效资金部分，以企业年度经营目标为</w:t>
      </w:r>
      <w:r>
        <w:rPr>
          <w:spacing w:val="-64"/>
        </w:rPr>
        <w:t> </w:t>
      </w:r>
      <w:r>
        <w:rPr>
          <w:spacing w:val="-64"/>
        </w:rPr>
      </w:r>
      <w:r>
        <w:rPr>
          <w:spacing w:val="-2"/>
        </w:rPr>
        <w:t>导向，以个人业绩为依据。除此之外，为达到进一步激励员工的目的，公司共计实施了两批股权激励计划，极大的激励了员</w:t>
      </w:r>
      <w:r>
        <w:rPr>
          <w:spacing w:val="-67"/>
        </w:rPr>
        <w:t> </w:t>
      </w:r>
      <w:r>
        <w:rPr>
          <w:spacing w:val="-67"/>
        </w:rPr>
      </w:r>
      <w:r>
        <w:rPr/>
        <w:t>工的积极性和创造性。</w:t>
      </w:r>
    </w:p>
    <w:p>
      <w:pPr>
        <w:pStyle w:val="BodyText"/>
        <w:spacing w:line="316" w:lineRule="auto" w:before="18"/>
        <w:ind w:right="102" w:firstLine="360"/>
        <w:jc w:val="both"/>
      </w:pPr>
      <w:r>
        <w:rPr>
          <w:spacing w:val="-4"/>
        </w:rPr>
        <w:t>非现金收入的薪酬政策，坚持以人为本的原则，除按照国家和地方政策要求，为员工缴纳各项社会保险和住房公积金外，</w:t>
      </w:r>
      <w:r>
        <w:rPr/>
        <w:t> </w:t>
      </w:r>
      <w:r>
        <w:rPr>
          <w:spacing w:val="-5"/>
        </w:rPr>
        <w:t>还提供年度体检、节日贺礼、生日贺礼、员工活动等福利和津贴，在创建和谐卫宁、阳光卫宁的同时提高了企业团队凝聚力。</w:t>
      </w:r>
      <w:r>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2" w:firstLine="360"/>
        <w:jc w:val="both"/>
      </w:pPr>
      <w:r>
        <w:rPr>
          <w:rFonts w:ascii="Times New Roman" w:hAnsi="Times New Roman" w:cs="Times New Roman" w:eastAsia="Times New Roman" w:hint="default"/>
          <w:spacing w:val="-2"/>
        </w:rPr>
        <w:t>2015</w:t>
      </w:r>
      <w:r>
        <w:rPr>
          <w:spacing w:val="-2"/>
        </w:rPr>
        <w:t>年，公司培训教育工作紧密围绕公司人才战略开展，根据培训需求调查结果，制定年度培训计划并认真落实，培训</w:t>
      </w:r>
      <w:r>
        <w:rPr/>
        <w:t> </w:t>
      </w:r>
      <w:r>
        <w:rPr>
          <w:spacing w:val="-2"/>
        </w:rPr>
        <w:t>教育工作取得了新的进展。相继开展了管理提升、时间管理、企业流程、质量管理体系培训、项目管理、敏捷软件开发等课</w:t>
      </w:r>
      <w:r>
        <w:rPr>
          <w:spacing w:val="-68"/>
        </w:rPr>
        <w:t> </w:t>
      </w:r>
      <w:r>
        <w:rPr>
          <w:spacing w:val="-68"/>
        </w:rPr>
      </w:r>
      <w:r>
        <w:rPr/>
        <w:t>程，进一步增强了公司各类人才的业务知识和岗位技能，保证了公司管理体系的有效运行。</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1"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468"/>
        <w:jc w:val="center"/>
        <w:rPr>
          <w:b w:val="0"/>
          <w:bCs w:val="0"/>
        </w:rPr>
      </w:pPr>
      <w:bookmarkStart w:name="_TOC_250002" w:id="9"/>
      <w:r>
        <w:rPr/>
        <w:t>第九节</w:t>
      </w:r>
      <w:r>
        <w:rPr>
          <w:spacing w:val="-3"/>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3"/>
        <w:jc w:val="left"/>
      </w:pPr>
      <w:r>
        <w:rPr>
          <w:spacing w:val="-4"/>
        </w:rPr>
        <w:t>报告期内，公司严格按照《公司法》、《证券法》、《上市公司治理准则》、《深圳证券交易所创业板股票上市规则》、</w:t>
      </w:r>
    </w:p>
    <w:p>
      <w:pPr>
        <w:pStyle w:val="BodyText"/>
        <w:spacing w:line="316" w:lineRule="auto" w:before="76"/>
        <w:ind w:right="93"/>
        <w:jc w:val="left"/>
      </w:pPr>
      <w:r>
        <w:rPr>
          <w:spacing w:val="-2"/>
        </w:rPr>
        <w:t>《深圳证券交易所创业板上市公司规范运作指引》和其他有关法律法规、规范性文件的要求，不断完善公司治理结构，进一</w:t>
      </w:r>
      <w:r>
        <w:rPr>
          <w:spacing w:val="-64"/>
        </w:rPr>
        <w:t> </w:t>
      </w:r>
      <w:r>
        <w:rPr>
          <w:spacing w:val="-64"/>
        </w:rPr>
      </w:r>
      <w:r>
        <w:rPr/>
        <w:t>步提高公司治理水平。公司确立了由股东大会、董事会、监事会和经营管理层组成的公司治理结构，建立健全了股东大会、 </w:t>
      </w:r>
      <w:r>
        <w:rPr>
          <w:spacing w:val="-2"/>
        </w:rPr>
        <w:t>董事会、监事会、独立董事、董事会秘书等相关制度，并在公司董事会下设立了审计、提名、薪酬与考核专门委员会。公司</w:t>
      </w:r>
      <w:r>
        <w:rPr>
          <w:spacing w:val="-66"/>
        </w:rPr>
        <w:t> </w:t>
      </w:r>
      <w:r>
        <w:rPr>
          <w:spacing w:val="-66"/>
        </w:rPr>
      </w:r>
      <w:r>
        <w:rPr/>
        <w:t>治理的实际状况符合《上市公司治理准则》和《深圳证券交易所创业板上市公司规范运作指引》的要求。</w:t>
      </w:r>
    </w:p>
    <w:p>
      <w:pPr>
        <w:pStyle w:val="BodyText"/>
        <w:spacing w:line="300" w:lineRule="auto" w:before="19"/>
        <w:ind w:left="512" w:right="93"/>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公司股东大会均严格按照《上市公司股东大会规则》、《公司章程》、《股东大会议事规则》等规定召集、召开，平等</w:t>
      </w:r>
    </w:p>
    <w:p>
      <w:pPr>
        <w:pStyle w:val="BodyText"/>
        <w:spacing w:line="319" w:lineRule="auto" w:before="31"/>
        <w:ind w:right="93"/>
        <w:jc w:val="left"/>
      </w:pPr>
      <w:r>
        <w:rPr/>
        <w:t>对待所有股东，并尽可能为股东参加股东大会提供便利，使其充分行使股东权利。同时，公司聘请专业律师见证股东大会， 确保会议召集召开以及表决程序符合相关法律规定，维护股东的合法权益。</w:t>
      </w:r>
    </w:p>
    <w:p>
      <w:pPr>
        <w:spacing w:line="300" w:lineRule="auto" w:before="17"/>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公司控股股东、实际控制人严格规范自己的行为，没有超越股东大会直接或间接干预公司的决策和经营活动，未损害公</w:t>
      </w:r>
    </w:p>
    <w:p>
      <w:pPr>
        <w:pStyle w:val="BodyText"/>
        <w:spacing w:line="316" w:lineRule="auto" w:before="31"/>
        <w:ind w:right="93"/>
        <w:jc w:val="left"/>
      </w:pPr>
      <w:r>
        <w:rPr>
          <w:spacing w:val="-2"/>
        </w:rPr>
        <w:t>司及其他股东的利益，不存在控股股东占用公司资金的现象，公司亦无为控股股东提供担保的情形。公司拥有独立完整的业</w:t>
      </w:r>
      <w:r>
        <w:rPr>
          <w:spacing w:val="-63"/>
        </w:rPr>
        <w:t> </w:t>
      </w:r>
      <w:r>
        <w:rPr>
          <w:spacing w:val="-63"/>
        </w:rPr>
      </w:r>
      <w:r>
        <w:rPr/>
        <w:t>务和自主经营能力，在业务、人员、资产、机构、财务上独立于控股股东，公司董事会、监事会和内部机构独立运作。</w:t>
      </w:r>
    </w:p>
    <w:p>
      <w:pPr>
        <w:pStyle w:val="BodyText"/>
        <w:spacing w:line="300" w:lineRule="auto" w:before="18"/>
        <w:ind w:left="512" w:right="93"/>
        <w:jc w:val="left"/>
      </w:pPr>
      <w:r>
        <w:rPr>
          <w:rFonts w:ascii="Times New Roman" w:hAnsi="Times New Roman" w:cs="Times New Roman" w:eastAsia="Times New Roman"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6" w:lineRule="auto" w:before="13"/>
        <w:ind w:right="93"/>
        <w:jc w:val="left"/>
      </w:pPr>
      <w:r>
        <w:rPr>
          <w:spacing w:val="-2"/>
        </w:rPr>
        <w:t>能够依据《深圳证券交易所创业板上市公司规范运作指引》、《董事会议事规则》、《独立董事工作制度》等开展工作，出</w:t>
      </w:r>
      <w:r>
        <w:rPr>
          <w:spacing w:val="-70"/>
        </w:rPr>
        <w:t> </w:t>
      </w:r>
      <w:r>
        <w:rPr>
          <w:spacing w:val="-70"/>
        </w:rPr>
      </w:r>
      <w:r>
        <w:rPr/>
        <w:t>席董事会和股东大会，勤勉尽责地履行职责和义务，同时积极参加相关培训，熟悉相关法律法规。</w:t>
      </w:r>
    </w:p>
    <w:p>
      <w:pPr>
        <w:pStyle w:val="BodyText"/>
        <w:spacing w:line="316" w:lineRule="auto" w:before="19"/>
        <w:ind w:right="189" w:firstLine="360"/>
        <w:jc w:val="both"/>
      </w:pPr>
      <w:r>
        <w:rPr>
          <w:spacing w:val="-2"/>
        </w:rPr>
        <w:t>公司按照《深圳证券交易所创业板上市公司规范运作指引》的要求，下设审计委员会、提名委员会和薪酬与考核委员会</w:t>
      </w:r>
      <w:r>
        <w:rPr/>
        <w:t> </w:t>
      </w:r>
      <w:r>
        <w:rPr>
          <w:spacing w:val="-2"/>
        </w:rPr>
        <w:t>三个专门委员会。专门委员会委员全部由董事组成，主任委员全部由独立董事担任，且独立董事人数占其他专门委员会委员</w:t>
      </w:r>
      <w:r>
        <w:rPr>
          <w:spacing w:val="-63"/>
        </w:rPr>
        <w:t> </w:t>
      </w:r>
      <w:r>
        <w:rPr>
          <w:spacing w:val="-63"/>
        </w:rPr>
      </w:r>
      <w:r>
        <w:rPr>
          <w:spacing w:val="-2"/>
        </w:rPr>
        <w:t>的比例均达到三分之二，为董事会的决策提供了科学和专业的意见和参考。各委员会依据《公司章程》和各委员会议事规则</w:t>
      </w:r>
      <w:r>
        <w:rPr>
          <w:spacing w:val="-64"/>
        </w:rPr>
        <w:t> </w:t>
      </w:r>
      <w:r>
        <w:rPr>
          <w:spacing w:val="-64"/>
        </w:rPr>
      </w:r>
      <w:r>
        <w:rPr/>
        <w:t>的规定履行职权，不受公司任何其他部门和个人的干预。</w:t>
      </w:r>
    </w:p>
    <w:p>
      <w:pPr>
        <w:pStyle w:val="BodyText"/>
        <w:spacing w:line="300" w:lineRule="auto" w:before="18"/>
        <w:ind w:left="512" w:right="93"/>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名，监事会的人数和构成符合法律、法规的要求。公司监事能够按照《深圳证券</w:t>
      </w:r>
    </w:p>
    <w:p>
      <w:pPr>
        <w:pStyle w:val="BodyText"/>
        <w:spacing w:line="316" w:lineRule="auto" w:before="13"/>
        <w:ind w:right="93"/>
        <w:jc w:val="left"/>
      </w:pPr>
      <w:r>
        <w:rPr/>
        <w:t>交易所创业板上市公司规范运作指引》、《监事会议事规则》的要求，认真履行自己的职责，对公司重大事项、财务状况、 董事和高级管理人员的履行职责的合法合规性进行监督，维护公司及股东的合法权益。</w:t>
      </w:r>
    </w:p>
    <w:p>
      <w:pPr>
        <w:spacing w:line="300" w:lineRule="auto" w:before="18"/>
        <w:ind w:left="512"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公司已建立企业绩效激励与评价体系，并不断完善。公司董事、监事和高级管理人员的绩效评价标准和激励约束机制公</w:t>
      </w:r>
    </w:p>
    <w:p>
      <w:pPr>
        <w:pStyle w:val="BodyText"/>
        <w:spacing w:line="316" w:lineRule="auto" w:before="31"/>
        <w:ind w:right="93"/>
        <w:jc w:val="left"/>
      </w:pPr>
      <w:r>
        <w:rPr>
          <w:spacing w:val="-2"/>
        </w:rPr>
        <w:t>开、透明，符合法律、法规的规定。公司董事会设立了薪酬与考核委员会，负责薪酬政策及方案的制定与审定。公司高级管</w:t>
      </w:r>
      <w:r>
        <w:rPr>
          <w:spacing w:val="-70"/>
        </w:rPr>
        <w:t> </w:t>
      </w:r>
      <w:r>
        <w:rPr>
          <w:spacing w:val="-70"/>
        </w:rPr>
      </w:r>
      <w:r>
        <w:rPr/>
        <w:t>理人员均认真履行工作职责，较好地完成了董事会制定的经营管理任务。</w:t>
      </w:r>
    </w:p>
    <w:p>
      <w:pPr>
        <w:pStyle w:val="BodyText"/>
        <w:spacing w:line="300" w:lineRule="auto" w:before="19"/>
        <w:ind w:left="512" w:right="93"/>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公司严格按照《上市公司信息披露管理办法》、深圳证券交易所创业板上市公司的信息披露格式指引等规定以及公司制</w:t>
      </w:r>
    </w:p>
    <w:p>
      <w:pPr>
        <w:pStyle w:val="BodyText"/>
        <w:spacing w:line="312" w:lineRule="auto" w:before="31"/>
        <w:ind w:right="93"/>
        <w:jc w:val="left"/>
      </w:pPr>
      <w:r>
        <w:rPr>
          <w:spacing w:val="-4"/>
        </w:rPr>
        <w:t>定的《信息披露制度》等要求，真实、准确、及时、公平、完整地披露有关信息；并指定公司董事会秘书负责信息披露工作，</w:t>
      </w:r>
      <w:r>
        <w:rPr>
          <w:spacing w:val="-46"/>
        </w:rPr>
        <w:t> </w:t>
      </w:r>
      <w:r>
        <w:rPr>
          <w:spacing w:val="-46"/>
        </w:rPr>
      </w:r>
      <w:r>
        <w:rPr>
          <w:spacing w:val="-2"/>
        </w:rPr>
        <w:t>协调公司与投资者的关系，接待股东来访，回答投资者咨询；并指定《证券时报》、《上海证券报》、《中国证券报》等法</w:t>
      </w:r>
      <w:r>
        <w:rPr>
          <w:spacing w:val="-68"/>
        </w:rPr>
        <w:t> </w:t>
      </w:r>
      <w:r>
        <w:rPr>
          <w:spacing w:val="-68"/>
        </w:rPr>
      </w:r>
      <w:r>
        <w:rPr/>
        <w:t>定报纸和巨潮资讯网（</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w:t>
      </w:r>
      <w:r>
        <w:rPr>
          <w:spacing w:val="-34"/>
        </w:rPr>
        <w:t> </w:t>
      </w:r>
      <w:r>
        <w:rPr>
          <w:spacing w:val="-34"/>
        </w:rPr>
      </w:r>
      <w:r>
        <w:rPr/>
        <w:t>信息。</w:t>
      </w:r>
    </w:p>
    <w:p>
      <w:pPr>
        <w:pStyle w:val="BodyText"/>
        <w:spacing w:line="300" w:lineRule="auto" w:before="22"/>
        <w:ind w:left="512" w:right="93"/>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公司充分尊重和维护相关利益者的合法权益，实现社会、股东、公司、员工等各方面利益的协调平衡，诚信对待供应商</w:t>
      </w:r>
    </w:p>
    <w:p>
      <w:pPr>
        <w:pStyle w:val="BodyText"/>
        <w:spacing w:line="240" w:lineRule="auto" w:before="31"/>
        <w:ind w:right="93"/>
        <w:jc w:val="left"/>
      </w:pPr>
      <w:r>
        <w:rPr/>
        <w:t>和客户，坚持与相关利益者互利共赢的原则，共同推动公司持续、稳健发展。</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8"/>
        <w:jc w:val="left"/>
      </w:pPr>
      <w:r>
        <w:rPr/>
        <w:t>公司治理的实际状况与中国证监会发布的有关上市公司治理的规范性文件是否存在重大差异</w:t>
      </w:r>
    </w:p>
    <w:p>
      <w:pPr>
        <w:pStyle w:val="BodyText"/>
        <w:spacing w:line="338" w:lineRule="auto" w:before="117"/>
        <w:ind w:right="25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48"/>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8" w:firstLine="360"/>
        <w:jc w:val="left"/>
      </w:pPr>
      <w:r>
        <w:rPr>
          <w:spacing w:val="-2"/>
        </w:rPr>
        <w:t>报告期内，公司与控股股东之间实行了业务、人员、资产、机构、财务“五分开”，公司具有独立完整的业务及自主经</w:t>
      </w:r>
      <w:r>
        <w:rPr/>
        <w:t> 营能力。 </w:t>
      </w:r>
    </w:p>
    <w:p>
      <w:pPr>
        <w:pStyle w:val="BodyText"/>
        <w:spacing w:line="316" w:lineRule="auto" w:before="19"/>
        <w:ind w:right="143" w:firstLine="360"/>
        <w:jc w:val="left"/>
      </w:pPr>
      <w:r>
        <w:rPr/>
        <w:t>1、业务方面：公司拥有独立完整的业务体系和自主经营能力，控股股东按照承诺未从事与公司业务相同或相近的业务 活动。 </w:t>
      </w:r>
    </w:p>
    <w:p>
      <w:pPr>
        <w:pStyle w:val="BodyText"/>
        <w:spacing w:line="319" w:lineRule="auto" w:before="18"/>
        <w:ind w:right="143" w:firstLine="360"/>
        <w:jc w:val="left"/>
      </w:pPr>
      <w:r>
        <w:rPr/>
        <w:t>2、人员方面：公司拥有独立的人事和劳资管理体系，公司总经理、副总经理、财务负责人和董事会秘书等高级管理人 员均在本公司领取报酬。 </w:t>
      </w:r>
    </w:p>
    <w:p>
      <w:pPr>
        <w:pStyle w:val="BodyText"/>
        <w:spacing w:line="316" w:lineRule="auto" w:before="17"/>
        <w:ind w:right="143" w:firstLine="360"/>
        <w:jc w:val="left"/>
      </w:pPr>
      <w:r>
        <w:rPr/>
        <w:t>3、资产方面：公司产、供、销系统完整独立。商标、非专利技术等无形资产和有形资产均有本公司拥有，产权界定清 晰。 </w:t>
      </w:r>
    </w:p>
    <w:p>
      <w:pPr>
        <w:pStyle w:val="BodyText"/>
        <w:spacing w:line="316" w:lineRule="auto" w:before="19"/>
        <w:ind w:right="143" w:firstLine="360"/>
        <w:jc w:val="left"/>
      </w:pPr>
      <w:r>
        <w:rPr/>
        <w:t>4、机构方面：公司设有健全的组织机构体系，股东大会、董事会、监事会及董事会下属专业委员会等机构独立运作， 不受控股股东及其他单位或个人的干涉。 </w:t>
      </w:r>
    </w:p>
    <w:p>
      <w:pPr>
        <w:pStyle w:val="BodyText"/>
        <w:spacing w:line="319" w:lineRule="auto" w:before="18"/>
        <w:ind w:right="143" w:firstLine="360"/>
        <w:jc w:val="left"/>
      </w:pPr>
      <w:r>
        <w:rPr/>
        <w:t>5、财务方面：公司设有完整、独立的财务机构，配备了充足的专职财务人员，建立了独立的会计核算体系和财务管理 制度，并独立开设银行账户、独立纳税、独立做出财务决策。</w:t>
      </w:r>
    </w:p>
    <w:p>
      <w:pPr>
        <w:spacing w:line="240" w:lineRule="auto" w:before="9"/>
        <w:rPr>
          <w:rFonts w:ascii="宋体" w:hAnsi="宋体" w:cs="宋体" w:eastAsia="宋体" w:hint="default"/>
          <w:sz w:val="20"/>
          <w:szCs w:val="20"/>
        </w:rPr>
      </w:pPr>
    </w:p>
    <w:p>
      <w:pPr>
        <w:pStyle w:val="Heading2"/>
        <w:spacing w:line="240" w:lineRule="auto"/>
        <w:ind w:right="148"/>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0"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2015-028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4" w:right="117"/>
              <w:jc w:val="left"/>
              <w:rPr>
                <w:rFonts w:ascii="宋体" w:hAnsi="宋体" w:cs="宋体" w:eastAsia="宋体" w:hint="default"/>
                <w:sz w:val="18"/>
                <w:szCs w:val="18"/>
              </w:rPr>
            </w:pPr>
            <w:r>
              <w:rPr>
                <w:rFonts w:ascii="宋体" w:hAnsi="宋体" w:cs="宋体" w:eastAsia="宋体" w:hint="default"/>
                <w:sz w:val="18"/>
                <w:szCs w:val="18"/>
              </w:rPr>
              <w:t>度股东大会决议公 </w:t>
            </w:r>
            <w:r>
              <w:rPr>
                <w:rFonts w:ascii="宋体" w:hAnsi="宋体" w:cs="宋体" w:eastAsia="宋体" w:hint="default"/>
                <w:spacing w:val="-31"/>
                <w:sz w:val="18"/>
                <w:szCs w:val="18"/>
              </w:rPr>
              <w:t>告》，</w:t>
            </w:r>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82"/>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61"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2015-070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62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97" w:lineRule="auto" w:before="6"/>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117"/>
              <w:jc w:val="left"/>
              <w:rPr>
                <w:rFonts w:ascii="宋体" w:hAnsi="宋体" w:cs="宋体" w:eastAsia="宋体" w:hint="default"/>
                <w:sz w:val="18"/>
                <w:szCs w:val="18"/>
              </w:rPr>
            </w:pPr>
            <w:r>
              <w:rPr>
                <w:rFonts w:ascii="宋体" w:hAnsi="宋体" w:cs="宋体" w:eastAsia="宋体" w:hint="default"/>
                <w:sz w:val="18"/>
                <w:szCs w:val="18"/>
              </w:rPr>
              <w:t>第一次临时股东大 </w:t>
            </w:r>
            <w:r>
              <w:rPr>
                <w:rFonts w:ascii="宋体" w:hAnsi="宋体" w:cs="宋体" w:eastAsia="宋体" w:hint="default"/>
                <w:spacing w:val="-14"/>
                <w:sz w:val="18"/>
                <w:szCs w:val="18"/>
              </w:rPr>
              <w:t>会决议公告》，</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82"/>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60"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2015-130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17"/>
              <w:jc w:val="left"/>
              <w:rPr>
                <w:rFonts w:ascii="宋体" w:hAnsi="宋体" w:cs="宋体" w:eastAsia="宋体" w:hint="default"/>
                <w:sz w:val="18"/>
                <w:szCs w:val="18"/>
              </w:rPr>
            </w:pPr>
            <w:r>
              <w:rPr>
                <w:rFonts w:ascii="宋体" w:hAnsi="宋体" w:cs="宋体" w:eastAsia="宋体" w:hint="default"/>
                <w:sz w:val="18"/>
                <w:szCs w:val="18"/>
              </w:rPr>
              <w:t>第二次临时股东大 </w:t>
            </w:r>
            <w:r>
              <w:rPr>
                <w:rFonts w:ascii="宋体" w:hAnsi="宋体" w:cs="宋体" w:eastAsia="宋体" w:hint="default"/>
                <w:spacing w:val="-14"/>
                <w:sz w:val="18"/>
                <w:szCs w:val="18"/>
              </w:rPr>
              <w:t>会决议公告》，</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82"/>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3"/>
                <w:w w:val="95"/>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王绍东</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程焱</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t>独立董事对公司有关事项是否提出异议</w:t>
      </w:r>
    </w:p>
    <w:p>
      <w:pPr>
        <w:pStyle w:val="BodyText"/>
        <w:spacing w:line="340" w:lineRule="auto" w:before="117"/>
        <w:ind w:right="6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独立董事对公司有关建议是否被采纳</w:t>
      </w:r>
    </w:p>
    <w:p>
      <w:pPr>
        <w:pStyle w:val="BodyText"/>
        <w:spacing w:line="340" w:lineRule="auto" w:before="117"/>
        <w:ind w:right="58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2" w:lineRule="auto" w:before="39"/>
        <w:ind w:right="93" w:firstLine="360"/>
        <w:jc w:val="left"/>
      </w:pPr>
      <w:r>
        <w:rPr>
          <w:spacing w:val="-2"/>
        </w:rPr>
        <w:t>公司独立董事充分行使国家法律法规和《公司章程》赋予的职权，勤勉尽责，积极参加公司董事会和股东大会。促进公</w:t>
      </w:r>
      <w:r>
        <w:rPr/>
        <w:t> 司董事会决策及决策程序的科学化，推进公司内控制度建设，维护公司整体利益特别是中小股东的合法权益。在报告期内， </w:t>
      </w:r>
      <w:r>
        <w:rPr>
          <w:spacing w:val="-2"/>
        </w:rPr>
        <w:t>独立董事根据《公司法》、《公司章程》等有关规定，对公司非公开发行股票事项、</w:t>
      </w:r>
      <w:r>
        <w:rPr>
          <w:rFonts w:ascii="Times New Roman" w:hAnsi="Times New Roman" w:cs="Times New Roman" w:eastAsia="Times New Roman" w:hint="default"/>
          <w:spacing w:val="-2"/>
        </w:rPr>
        <w:t>2014</w:t>
      </w:r>
      <w:r>
        <w:rPr>
          <w:spacing w:val="-2"/>
        </w:rPr>
        <w:t>年度利润分配预案、董事会换届选</w:t>
      </w:r>
      <w:r>
        <w:rPr>
          <w:spacing w:val="-62"/>
        </w:rPr>
        <w:t> </w:t>
      </w:r>
      <w:r>
        <w:rPr>
          <w:spacing w:val="-62"/>
        </w:rPr>
      </w:r>
      <w:r>
        <w:rPr/>
        <w:t>举、聘任高级管理人员、关联交易等事项发表了独立意见，公司管理层充分听取并采购独立董事的专业意见。</w:t>
      </w:r>
    </w:p>
    <w:p>
      <w:pPr>
        <w:spacing w:line="240" w:lineRule="auto" w:before="2"/>
        <w:rPr>
          <w:rFonts w:ascii="宋体" w:hAnsi="宋体" w:cs="宋体" w:eastAsia="宋体" w:hint="default"/>
          <w:sz w:val="21"/>
          <w:szCs w:val="21"/>
        </w:rPr>
      </w:pPr>
    </w:p>
    <w:p>
      <w:pPr>
        <w:pStyle w:val="Heading2"/>
        <w:spacing w:line="240" w:lineRule="auto"/>
        <w:ind w:right="9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（一）董事会审计委员会的履职情况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报告期内，根据《董事会审计委员会实施细则》，审计委员会充分发挥了审核与监督作用，主要负责公司财务监督和核</w:t>
      </w:r>
    </w:p>
    <w:p>
      <w:pPr>
        <w:pStyle w:val="BodyText"/>
        <w:spacing w:line="300" w:lineRule="auto" w:before="18"/>
        <w:ind w:right="93"/>
        <w:jc w:val="left"/>
      </w:pPr>
      <w:r>
        <w:rPr>
          <w:spacing w:val="-2"/>
        </w:rPr>
        <w:t>查工作及外部审计机构的沟通、协调工作。审计委员会对公司</w:t>
      </w:r>
      <w:r>
        <w:rPr>
          <w:rFonts w:ascii="Times New Roman" w:hAnsi="Times New Roman" w:cs="Times New Roman" w:eastAsia="Times New Roman" w:hint="default"/>
          <w:spacing w:val="-2"/>
        </w:rPr>
        <w:t>2015</w:t>
      </w:r>
      <w:r>
        <w:rPr>
          <w:spacing w:val="-2"/>
        </w:rPr>
        <w:t>年内部控制情况进行了核查，认为公司已经建立的内控制</w:t>
      </w:r>
      <w:r>
        <w:rPr>
          <w:spacing w:val="-63"/>
        </w:rPr>
        <w:t> </w:t>
      </w:r>
      <w:r>
        <w:rPr>
          <w:spacing w:val="-63"/>
        </w:rPr>
      </w:r>
      <w:r>
        <w:rPr/>
        <w:t>度体系符合相关法规的规定，并能有效控制相关风险。</w:t>
      </w:r>
      <w:r>
        <w:rPr>
          <w:rFonts w:ascii="Times New Roman" w:hAnsi="Times New Roman" w:cs="Times New Roman" w:eastAsia="Times New Roman" w:hint="default"/>
        </w:rPr>
        <w:t>2015</w:t>
      </w:r>
      <w:r>
        <w:rPr/>
        <w:t>年度，审计委员会共召开</w:t>
      </w:r>
      <w:r>
        <w:rPr>
          <w:rFonts w:ascii="Times New Roman" w:hAnsi="Times New Roman" w:cs="Times New Roman" w:eastAsia="Times New Roman" w:hint="default"/>
        </w:rPr>
        <w:t>5</w:t>
      </w:r>
      <w:r>
        <w:rPr/>
        <w:t>次会议，具体情况如下：</w:t>
      </w:r>
    </w:p>
    <w:p>
      <w:pPr>
        <w:pStyle w:val="BodyText"/>
        <w:spacing w:line="240" w:lineRule="auto" w:before="13"/>
        <w:ind w:left="512"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26</w:t>
      </w:r>
      <w:r>
        <w:rPr>
          <w:spacing w:val="-3"/>
        </w:rPr>
        <w:t>日，召开了第二届董事会审计委员会第十三次会议，审议通过了《关于公司</w:t>
      </w:r>
      <w:r>
        <w:rPr>
          <w:rFonts w:ascii="Times New Roman" w:hAnsi="Times New Roman" w:cs="Times New Roman" w:eastAsia="Times New Roman" w:hint="default"/>
          <w:spacing w:val="-3"/>
        </w:rPr>
        <w:t>2014</w:t>
      </w:r>
      <w:r>
        <w:rPr>
          <w:spacing w:val="-3"/>
        </w:rPr>
        <w:t>年度财务报告的议案》、</w:t>
      </w:r>
    </w:p>
    <w:p>
      <w:pPr>
        <w:pStyle w:val="BodyText"/>
        <w:spacing w:line="240" w:lineRule="auto" w:before="62"/>
        <w:ind w:right="93"/>
        <w:jc w:val="left"/>
      </w:pPr>
      <w:r>
        <w:rPr/>
        <w:t>《关于公司</w:t>
      </w:r>
      <w:r>
        <w:rPr>
          <w:rFonts w:ascii="Times New Roman" w:hAnsi="Times New Roman" w:cs="Times New Roman" w:eastAsia="Times New Roman" w:hint="default"/>
        </w:rPr>
        <w:t>2014</w:t>
      </w:r>
      <w:r>
        <w:rPr/>
        <w:t>年度财务决算报告的议案》、《关于公司</w:t>
      </w:r>
      <w:r>
        <w:rPr>
          <w:rFonts w:ascii="Times New Roman" w:hAnsi="Times New Roman" w:cs="Times New Roman" w:eastAsia="Times New Roman" w:hint="default"/>
        </w:rPr>
        <w:t>2014</w:t>
      </w:r>
      <w:r>
        <w:rPr/>
        <w:t>年度利润分配及资本公积转增股本预案的议案》、《关于</w:t>
      </w:r>
      <w:r>
        <w:rPr>
          <w:rFonts w:ascii="Times New Roman" w:hAnsi="Times New Roman" w:cs="Times New Roman" w:eastAsia="Times New Roman" w:hint="default"/>
        </w:rPr>
        <w:t>&lt;</w:t>
      </w:r>
      <w:r>
        <w:rPr/>
        <w:t>公</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93"/>
        <w:jc w:val="left"/>
      </w:pPr>
      <w:r>
        <w:rPr/>
        <w:t>司</w:t>
      </w:r>
      <w:r>
        <w:rPr>
          <w:rFonts w:ascii="Times New Roman" w:hAnsi="Times New Roman" w:cs="Times New Roman" w:eastAsia="Times New Roman" w:hint="default"/>
        </w:rPr>
        <w:t>2014</w:t>
      </w:r>
      <w:r>
        <w:rPr/>
        <w:t>年度报告及其摘要</w:t>
      </w:r>
      <w:r>
        <w:rPr>
          <w:rFonts w:ascii="Times New Roman" w:hAnsi="Times New Roman" w:cs="Times New Roman" w:eastAsia="Times New Roman" w:hint="default"/>
        </w:rPr>
        <w:t>&gt;</w:t>
      </w:r>
      <w:r>
        <w:rPr/>
        <w:t>的议案》、《关于公司聘请</w:t>
      </w:r>
      <w:r>
        <w:rPr>
          <w:rFonts w:ascii="Times New Roman" w:hAnsi="Times New Roman" w:cs="Times New Roman" w:eastAsia="Times New Roman" w:hint="default"/>
        </w:rPr>
        <w:t>2015</w:t>
      </w:r>
      <w:r>
        <w:rPr/>
        <w:t>年度审计机构的议案》、《关于</w:t>
      </w:r>
      <w:r>
        <w:rPr>
          <w:rFonts w:ascii="Times New Roman" w:hAnsi="Times New Roman" w:cs="Times New Roman" w:eastAsia="Times New Roman" w:hint="default"/>
        </w:rPr>
        <w:t>&lt;2014</w:t>
      </w:r>
      <w:r>
        <w:rPr/>
        <w:t>年度募集资金存放与使用</w:t>
      </w:r>
      <w:r>
        <w:rPr>
          <w:spacing w:val="-30"/>
        </w:rPr>
        <w:t> </w:t>
      </w:r>
      <w:r>
        <w:rPr>
          <w:spacing w:val="-30"/>
        </w:rPr>
      </w:r>
      <w:r>
        <w:rPr/>
        <w:t>情况的专项报告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&lt;2014</w:t>
      </w:r>
      <w:r>
        <w:rPr/>
        <w:t>年度内部控制评价报告</w:t>
      </w:r>
      <w:r>
        <w:rPr>
          <w:rFonts w:ascii="Times New Roman" w:hAnsi="Times New Roman" w:cs="Times New Roman" w:eastAsia="Times New Roman" w:hint="default"/>
        </w:rPr>
        <w:t>&gt;</w:t>
      </w:r>
      <w:r>
        <w:rPr/>
        <w:t>的议案》等议案。</w:t>
      </w:r>
    </w:p>
    <w:p>
      <w:pPr>
        <w:pStyle w:val="BodyText"/>
        <w:spacing w:line="300" w:lineRule="auto" w:before="13"/>
        <w:ind w:right="93"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日，召开了第三届董事会审计委员会第一次会议，审议通过了《关于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2015</w:t>
      </w:r>
      <w:r>
        <w:rPr/>
        <w:t>年第一季度报告</w:t>
      </w:r>
      <w:r>
        <w:rPr>
          <w:rFonts w:ascii="Times New Roman" w:hAnsi="Times New Roman" w:cs="Times New Roman" w:eastAsia="Times New Roman" w:hint="default"/>
        </w:rPr>
        <w:t>&gt;</w:t>
      </w:r>
      <w:r>
        <w:rPr/>
        <w:t>的议 案》。</w:t>
      </w:r>
    </w:p>
    <w:p>
      <w:pPr>
        <w:pStyle w:val="BodyText"/>
        <w:spacing w:line="300" w:lineRule="auto" w:before="31"/>
        <w:ind w:right="18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日，召开了第三届董事会审计委员会第二次会议，审议通过了《关于向银行申请综合授信额度并由控股 股东提供关联担保的议案》。</w:t>
      </w:r>
    </w:p>
    <w:p>
      <w:pPr>
        <w:pStyle w:val="BodyText"/>
        <w:spacing w:line="240" w:lineRule="auto" w:before="31"/>
        <w:ind w:left="512"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日，召开了第三届董事会审计委员会第三次会议，审议通过了《关于公司</w:t>
      </w:r>
      <w:r>
        <w:rPr>
          <w:rFonts w:ascii="Times New Roman" w:hAnsi="Times New Roman" w:cs="Times New Roman" w:eastAsia="Times New Roman" w:hint="default"/>
        </w:rPr>
        <w:t>2015</w:t>
      </w:r>
      <w:r>
        <w:rPr/>
        <w:t>年半年度报告的议案》、</w:t>
      </w:r>
    </w:p>
    <w:p>
      <w:pPr>
        <w:pStyle w:val="BodyText"/>
        <w:spacing w:line="240" w:lineRule="auto" w:before="62"/>
        <w:ind w:right="93"/>
        <w:jc w:val="left"/>
      </w:pPr>
      <w:r>
        <w:rPr/>
        <w:t>《关于</w:t>
      </w:r>
      <w:r>
        <w:rPr>
          <w:rFonts w:ascii="Times New Roman" w:hAnsi="Times New Roman" w:cs="Times New Roman" w:eastAsia="Times New Roman" w:hint="default"/>
        </w:rPr>
        <w:t>&lt;2015</w:t>
      </w:r>
      <w:r>
        <w:rPr/>
        <w:t>年半年度募集资金存放与使用情况的专项报告</w:t>
      </w:r>
      <w:r>
        <w:rPr>
          <w:rFonts w:ascii="Times New Roman" w:hAnsi="Times New Roman" w:cs="Times New Roman" w:eastAsia="Times New Roman" w:hint="default"/>
        </w:rPr>
        <w:t>&gt;</w:t>
      </w:r>
      <w:r>
        <w:rPr/>
        <w:t>的议案》。</w:t>
      </w:r>
    </w:p>
    <w:p>
      <w:pPr>
        <w:pStyle w:val="BodyText"/>
        <w:spacing w:line="240" w:lineRule="auto" w:before="63"/>
        <w:ind w:left="512" w:right="93"/>
        <w:jc w:val="left"/>
      </w:pP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20</w:t>
      </w:r>
      <w:r>
        <w:rPr>
          <w:spacing w:val="-5"/>
        </w:rPr>
        <w:t>日，召开了第三届董事会审计委员会第四次会议，审议通过了《关于公司</w:t>
      </w:r>
      <w:r>
        <w:rPr>
          <w:rFonts w:ascii="Times New Roman" w:hAnsi="Times New Roman" w:cs="Times New Roman" w:eastAsia="Times New Roman" w:hint="default"/>
          <w:spacing w:val="-5"/>
        </w:rPr>
        <w:t>2015</w:t>
      </w:r>
      <w:r>
        <w:rPr>
          <w:spacing w:val="-5"/>
        </w:rPr>
        <w:t>年第三季度报告的议案》。</w:t>
      </w:r>
    </w:p>
    <w:p>
      <w:pPr>
        <w:spacing w:line="316" w:lineRule="auto" w:before="62"/>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（二）董事会提名委员会的履职情况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报告期内，公司董事会提名委员会依照相关法规及《公司章程》、《董事会提名委员会实施细则》的规定，积极履行职</w:t>
      </w:r>
    </w:p>
    <w:p>
      <w:pPr>
        <w:pStyle w:val="BodyText"/>
        <w:spacing w:line="240" w:lineRule="auto" w:before="19"/>
        <w:ind w:right="93"/>
        <w:jc w:val="left"/>
      </w:pPr>
      <w:r>
        <w:rPr/>
        <w:t>责。</w:t>
      </w:r>
      <w:r>
        <w:rPr>
          <w:rFonts w:ascii="Times New Roman" w:hAnsi="Times New Roman" w:cs="Times New Roman" w:eastAsia="Times New Roman" w:hint="default"/>
        </w:rPr>
        <w:t>2015</w:t>
      </w:r>
      <w:r>
        <w:rPr/>
        <w:t>年度，提名委员会共召开</w:t>
      </w:r>
      <w:r>
        <w:rPr>
          <w:rFonts w:ascii="Times New Roman" w:hAnsi="Times New Roman" w:cs="Times New Roman" w:eastAsia="Times New Roman" w:hint="default"/>
        </w:rPr>
        <w:t>2</w:t>
      </w:r>
      <w:r>
        <w:rPr/>
        <w:t>次会议，具体情况如下：</w:t>
      </w:r>
    </w:p>
    <w:p>
      <w:pPr>
        <w:pStyle w:val="BodyText"/>
        <w:spacing w:line="240" w:lineRule="auto" w:before="62"/>
        <w:ind w:left="512" w:right="9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日，召开了第二届董事会提名委员会第五次会议，审议通过了《关于公司董事会换届选举的议案》。</w:t>
      </w:r>
    </w:p>
    <w:p>
      <w:pPr>
        <w:pStyle w:val="BodyText"/>
        <w:spacing w:line="240" w:lineRule="auto" w:before="62"/>
        <w:ind w:left="512" w:right="9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日，召开了第二届董事会提名委员会第六次会议，审议通过了《关于公司董事会人员构成的议案》。</w:t>
      </w:r>
    </w:p>
    <w:p>
      <w:pPr>
        <w:spacing w:line="316" w:lineRule="auto" w:before="63"/>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（三）董事会薪酬与考核委员会的履职情况</w:t>
      </w:r>
      <w:r>
        <w:rPr>
          <w:rFonts w:ascii="宋体" w:hAnsi="宋体" w:cs="宋体" w:eastAsia="宋体" w:hint="default"/>
          <w:b/>
          <w:bCs/>
          <w:w w:val="99"/>
          <w:sz w:val="18"/>
          <w:szCs w:val="18"/>
        </w:rPr>
        <w:t> </w:t>
      </w:r>
      <w:r>
        <w:rPr>
          <w:rFonts w:ascii="宋体" w:hAnsi="宋体" w:cs="宋体" w:eastAsia="宋体" w:hint="default"/>
          <w:spacing w:val="-4"/>
          <w:sz w:val="18"/>
          <w:szCs w:val="18"/>
        </w:rPr>
        <w:t>报告期内，公司董事会薪酬与考核委员会依照相关法规及《公司章程》、《董事会薪酬与考核委员会实施细则》的规定，</w:t>
      </w:r>
    </w:p>
    <w:p>
      <w:pPr>
        <w:pStyle w:val="BodyText"/>
        <w:spacing w:line="300" w:lineRule="auto" w:before="18"/>
        <w:ind w:right="183"/>
        <w:jc w:val="left"/>
      </w:pPr>
      <w:r>
        <w:rPr/>
        <w:t>对公司股权激励计划、董事及高级管理人员的履职情况进行审查。</w:t>
      </w:r>
      <w:r>
        <w:rPr>
          <w:rFonts w:ascii="Times New Roman" w:hAnsi="Times New Roman" w:cs="Times New Roman" w:eastAsia="Times New Roman" w:hint="default"/>
        </w:rPr>
        <w:t>2015</w:t>
      </w:r>
      <w:r>
        <w:rPr/>
        <w:t>年度，薪酬与考核委员会共召开</w:t>
      </w:r>
      <w:r>
        <w:rPr>
          <w:rFonts w:ascii="Times New Roman" w:hAnsi="Times New Roman" w:cs="Times New Roman" w:eastAsia="Times New Roman" w:hint="default"/>
        </w:rPr>
        <w:t>5</w:t>
      </w:r>
      <w:r>
        <w:rPr/>
        <w:t>次会议，具体情况</w:t>
      </w:r>
      <w:r>
        <w:rPr>
          <w:spacing w:val="-85"/>
        </w:rPr>
        <w:t> </w:t>
      </w:r>
      <w:r>
        <w:rPr/>
        <w:t>如下：</w:t>
      </w:r>
    </w:p>
    <w:p>
      <w:pPr>
        <w:pStyle w:val="BodyText"/>
        <w:spacing w:line="240" w:lineRule="auto" w:before="31"/>
        <w:ind w:left="512" w:right="93"/>
        <w:jc w:val="left"/>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2</w:t>
      </w:r>
      <w:r>
        <w:rPr>
          <w:spacing w:val="-7"/>
        </w:rPr>
        <w:t>月</w:t>
      </w:r>
      <w:r>
        <w:rPr>
          <w:rFonts w:ascii="Times New Roman" w:hAnsi="Times New Roman" w:cs="Times New Roman" w:eastAsia="Times New Roman" w:hint="default"/>
          <w:spacing w:val="-7"/>
        </w:rPr>
        <w:t>11</w:t>
      </w:r>
      <w:r>
        <w:rPr>
          <w:spacing w:val="-7"/>
        </w:rPr>
        <w:t>日，召开了第二届董事会薪酬与考核委员会第十一次会议，审议通过了《关于公司独立董事津贴的议案》。</w:t>
      </w:r>
    </w:p>
    <w:p>
      <w:pPr>
        <w:pStyle w:val="BodyText"/>
        <w:spacing w:line="300" w:lineRule="auto" w:before="62"/>
        <w:ind w:right="93"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日，召开了第二届董事会薪酬与考核委员会第十二次会议，审议通过了《关于审查公司董事、高级管理</w:t>
      </w:r>
      <w:r>
        <w:rPr/>
        <w:t> 人员履职情况的议案》。</w:t>
      </w:r>
    </w:p>
    <w:p>
      <w:pPr>
        <w:pStyle w:val="BodyText"/>
        <w:spacing w:line="300" w:lineRule="auto" w:before="31"/>
        <w:ind w:right="93"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日，召开了第三届董事会薪酬与考核委员会第一次会议，审议通过了《关于公司</w:t>
      </w:r>
      <w:r>
        <w:rPr>
          <w:rFonts w:ascii="Times New Roman" w:hAnsi="Times New Roman" w:cs="Times New Roman" w:eastAsia="Times New Roman" w:hint="default"/>
          <w:spacing w:val="-2"/>
        </w:rPr>
        <w:t>2014</w:t>
      </w:r>
      <w:r>
        <w:rPr>
          <w:spacing w:val="-2"/>
        </w:rPr>
        <w:t>年股票期权激励计</w:t>
      </w:r>
      <w:r>
        <w:rPr/>
        <w:t> 划预留股票期权授予相关事项的议案》。</w:t>
      </w:r>
    </w:p>
    <w:p>
      <w:pPr>
        <w:pStyle w:val="BodyText"/>
        <w:spacing w:line="300" w:lineRule="auto" w:before="31"/>
        <w:ind w:right="183"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日，召开了第三届董事会薪酬与考核委员会第二次会议，审议通过了《关于公司</w:t>
      </w:r>
      <w:r>
        <w:rPr>
          <w:rFonts w:ascii="Times New Roman" w:hAnsi="Times New Roman" w:cs="Times New Roman" w:eastAsia="Times New Roman" w:hint="default"/>
        </w:rPr>
        <w:t>2012</w:t>
      </w:r>
      <w:r>
        <w:rPr/>
        <w:t>年股票期权激励计 划首次授予期权第三个行权期及预留授予期权第二个行权期可行权的议案》。</w:t>
      </w:r>
    </w:p>
    <w:p>
      <w:pPr>
        <w:pStyle w:val="BodyText"/>
        <w:spacing w:line="300" w:lineRule="auto" w:before="31"/>
        <w:ind w:right="183"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日，召开了第三届董事会薪酬与考核委员会第三次会议，审议通过了《关于公司</w:t>
      </w:r>
      <w:r>
        <w:rPr>
          <w:rFonts w:ascii="Times New Roman" w:hAnsi="Times New Roman" w:cs="Times New Roman" w:eastAsia="Times New Roman" w:hint="default"/>
        </w:rPr>
        <w:t>2014</w:t>
      </w:r>
      <w:r>
        <w:rPr/>
        <w:t>年股票期权激励 计划首次授予股票期权第一个行权期可行权的议案》。</w:t>
      </w:r>
    </w:p>
    <w:p>
      <w:pPr>
        <w:spacing w:line="240" w:lineRule="auto" w:before="11"/>
        <w:rPr>
          <w:rFonts w:ascii="宋体" w:hAnsi="宋体" w:cs="宋体" w:eastAsia="宋体" w:hint="default"/>
          <w:sz w:val="21"/>
          <w:szCs w:val="21"/>
        </w:rPr>
      </w:pPr>
    </w:p>
    <w:p>
      <w:pPr>
        <w:pStyle w:val="Heading2"/>
        <w:spacing w:line="240" w:lineRule="auto"/>
        <w:ind w:right="9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t>监事会在报告期内的监督活动是否发现公司存在风险</w:t>
      </w:r>
    </w:p>
    <w:p>
      <w:pPr>
        <w:pStyle w:val="BodyText"/>
        <w:spacing w:line="340" w:lineRule="auto" w:before="115"/>
        <w:ind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9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both"/>
      </w:pPr>
      <w:r>
        <w:rPr>
          <w:spacing w:val="-2"/>
        </w:rPr>
        <w:t>公司按照《高级管理人员薪酬管理制度》，建立了高级管理人员的薪酬与公司业绩挂钩的绩效考核与激励约束机制，公</w:t>
      </w:r>
      <w:r>
        <w:rPr/>
        <w:t> </w:t>
      </w:r>
      <w:r>
        <w:rPr>
          <w:spacing w:val="-2"/>
        </w:rPr>
        <w:t>司高级管理人员实行基本年薪的年终绩效考核相结合的薪酬制度。规范高级管理人员薪酬决策机制。年末根据公司年度经营</w:t>
      </w:r>
      <w:r>
        <w:rPr>
          <w:spacing w:val="-64"/>
        </w:rPr>
        <w:t> </w:t>
      </w:r>
      <w:r>
        <w:rPr>
          <w:spacing w:val="-64"/>
        </w:rPr>
      </w:r>
      <w:r>
        <w:rPr>
          <w:spacing w:val="-2"/>
        </w:rPr>
        <w:t>目标完成情况以及高级管理人员的工作业绩，由董事会薪酬与考核委员会对高级管理人员进行年度绩效考核，并监督薪酬制</w:t>
      </w:r>
      <w:r>
        <w:rPr>
          <w:spacing w:val="-64"/>
        </w:rPr>
        <w:t> </w:t>
      </w:r>
      <w:r>
        <w:rPr>
          <w:spacing w:val="-64"/>
        </w:rPr>
      </w:r>
      <w:r>
        <w:rPr>
          <w:spacing w:val="-2"/>
        </w:rPr>
        <w:t>度执行情况。公司则根据绩效考核结果兑现其绩效年薪，并进行奖惩。公司董事会薪酬与考核委员会根据实际情况对高级管</w:t>
      </w:r>
      <w:r>
        <w:rPr>
          <w:spacing w:val="-63"/>
        </w:rPr>
        <w:t> </w:t>
      </w:r>
      <w:r>
        <w:rPr>
          <w:spacing w:val="-63"/>
        </w:rPr>
      </w:r>
      <w:r>
        <w:rPr>
          <w:spacing w:val="-2"/>
        </w:rPr>
        <w:t>理人员进行考核后，一致认为：2015年度，公司高级管理人员薪酬方案严格执行相关考核制度，与公司经营业绩挂钩，薪酬</w:t>
      </w:r>
      <w:r>
        <w:rPr>
          <w:spacing w:val="-65"/>
        </w:rPr>
        <w:t> </w:t>
      </w:r>
      <w:r>
        <w:rPr>
          <w:spacing w:val="-65"/>
        </w:rPr>
      </w:r>
      <w:r>
        <w:rPr/>
        <w:t>方案合理，薪酬发放的程序符合有关法律法规及《公司章程》的规定。 </w:t>
      </w:r>
    </w:p>
    <w:p>
      <w:pPr>
        <w:spacing w:after="0" w:line="316" w:lineRule="auto"/>
        <w:jc w:val="both"/>
        <w:sectPr>
          <w:footerReference w:type="default" r:id="rId19"/>
          <w:pgSz w:w="11910" w:h="16840"/>
          <w:pgMar w:footer="981" w:header="745" w:top="1060" w:bottom="1180" w:left="980" w:right="940"/>
          <w:pgNumType w:start="70"/>
        </w:sectPr>
      </w:pPr>
    </w:p>
    <w:p>
      <w:pPr>
        <w:spacing w:line="240" w:lineRule="auto" w:before="8"/>
        <w:rPr>
          <w:rFonts w:ascii="宋体" w:hAnsi="宋体" w:cs="宋体" w:eastAsia="宋体" w:hint="default"/>
          <w:sz w:val="23"/>
          <w:szCs w:val="23"/>
        </w:rPr>
      </w:pPr>
    </w:p>
    <w:p>
      <w:pPr>
        <w:pStyle w:val="Heading2"/>
        <w:spacing w:line="240" w:lineRule="auto" w:before="26"/>
        <w:ind w:right="148"/>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7" w:lineRule="auto" w:before="49"/>
              <w:ind w:left="29" w:right="43"/>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）控制</w:t>
            </w:r>
            <w:r>
              <w:rPr>
                <w:rFonts w:ascii="宋体" w:hAnsi="宋体" w:cs="宋体" w:eastAsia="宋体" w:hint="default"/>
                <w:spacing w:val="-83"/>
                <w:sz w:val="18"/>
                <w:szCs w:val="18"/>
              </w:rPr>
              <w:t> </w:t>
            </w:r>
            <w:r>
              <w:rPr>
                <w:rFonts w:ascii="宋体" w:hAnsi="宋体" w:cs="宋体" w:eastAsia="宋体" w:hint="default"/>
                <w:spacing w:val="-5"/>
                <w:sz w:val="18"/>
                <w:szCs w:val="18"/>
              </w:rPr>
              <w:t>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w:t>
            </w:r>
            <w:r>
              <w:rPr>
                <w:rFonts w:ascii="宋体" w:hAnsi="宋体" w:cs="宋体" w:eastAsia="宋体" w:hint="default"/>
                <w:spacing w:val="-86"/>
                <w:sz w:val="18"/>
                <w:szCs w:val="18"/>
              </w:rPr>
              <w:t> </w:t>
            </w:r>
            <w:r>
              <w:rPr>
                <w:rFonts w:ascii="宋体" w:hAnsi="宋体" w:cs="宋体" w:eastAsia="宋体" w:hint="default"/>
                <w:spacing w:val="-5"/>
                <w:sz w:val="18"/>
                <w:szCs w:val="18"/>
              </w:rPr>
              <w:t>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w:t>
            </w:r>
            <w:r>
              <w:rPr>
                <w:rFonts w:ascii="宋体" w:hAnsi="宋体" w:cs="宋体" w:eastAsia="宋体" w:hint="default"/>
                <w:spacing w:val="-86"/>
                <w:sz w:val="18"/>
                <w:szCs w:val="18"/>
              </w:rPr>
              <w:t> </w:t>
            </w:r>
            <w:r>
              <w:rPr>
                <w:rFonts w:ascii="宋体" w:hAnsi="宋体" w:cs="宋体" w:eastAsia="宋体" w:hint="default"/>
                <w:sz w:val="18"/>
                <w:szCs w:val="18"/>
              </w:rPr>
              <w:t>的却未被公司内部控制识别的当期财务报 </w:t>
            </w:r>
            <w:r>
              <w:rPr>
                <w:rFonts w:ascii="宋体" w:hAnsi="宋体" w:cs="宋体" w:eastAsia="宋体" w:hint="default"/>
                <w:spacing w:val="-5"/>
                <w:sz w:val="18"/>
                <w:szCs w:val="18"/>
              </w:rPr>
              <w:t>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w:t>
            </w:r>
            <w:r>
              <w:rPr>
                <w:rFonts w:ascii="宋体" w:hAnsi="宋体" w:cs="宋体" w:eastAsia="宋体" w:hint="default"/>
                <w:spacing w:val="-86"/>
                <w:sz w:val="18"/>
                <w:szCs w:val="18"/>
              </w:rPr>
              <w:t> </w:t>
            </w:r>
            <w:r>
              <w:rPr>
                <w:rFonts w:ascii="宋体" w:hAnsi="宋体" w:cs="宋体" w:eastAsia="宋体" w:hint="default"/>
                <w:sz w:val="18"/>
                <w:szCs w:val="18"/>
              </w:rPr>
              <w:t>部门对公司的对外财务报告和财务报告内 部控制监督无效。财务报告重要缺陷的迹 </w:t>
            </w:r>
            <w:r>
              <w:rPr>
                <w:rFonts w:ascii="宋体" w:hAnsi="宋体" w:cs="宋体" w:eastAsia="宋体" w:hint="default"/>
                <w:spacing w:val="-5"/>
                <w:sz w:val="18"/>
                <w:szCs w:val="18"/>
              </w:rPr>
              <w:t>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w:t>
            </w:r>
            <w:r>
              <w:rPr>
                <w:rFonts w:ascii="宋体" w:hAnsi="宋体" w:cs="宋体" w:eastAsia="宋体" w:hint="default"/>
                <w:spacing w:val="-86"/>
                <w:sz w:val="18"/>
                <w:szCs w:val="18"/>
              </w:rPr>
              <w:t> </w:t>
            </w:r>
            <w:r>
              <w:rPr>
                <w:rFonts w:ascii="宋体" w:hAnsi="宋体" w:cs="宋体" w:eastAsia="宋体" w:hint="default"/>
                <w:spacing w:val="-5"/>
                <w:sz w:val="18"/>
                <w:szCs w:val="18"/>
              </w:rPr>
              <w:t>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w:t>
            </w:r>
            <w:r>
              <w:rPr>
                <w:rFonts w:ascii="宋体" w:hAnsi="宋体" w:cs="宋体" w:eastAsia="宋体" w:hint="default"/>
                <w:spacing w:val="-86"/>
                <w:sz w:val="18"/>
                <w:szCs w:val="18"/>
              </w:rPr>
              <w:t> </w:t>
            </w:r>
            <w:r>
              <w:rPr>
                <w:rFonts w:ascii="宋体" w:hAnsi="宋体" w:cs="宋体" w:eastAsia="宋体" w:hint="default"/>
                <w:spacing w:val="-5"/>
                <w:sz w:val="18"/>
                <w:szCs w:val="18"/>
              </w:rPr>
              <w:t>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）对于非常规或特殊交易的</w:t>
            </w:r>
            <w:r>
              <w:rPr>
                <w:rFonts w:ascii="宋体" w:hAnsi="宋体" w:cs="宋体" w:eastAsia="宋体" w:hint="default"/>
                <w:spacing w:val="-86"/>
                <w:sz w:val="18"/>
                <w:szCs w:val="18"/>
              </w:rPr>
              <w:t> </w:t>
            </w:r>
            <w:r>
              <w:rPr>
                <w:rFonts w:ascii="宋体" w:hAnsi="宋体" w:cs="宋体" w:eastAsia="宋体" w:hint="default"/>
                <w:sz w:val="18"/>
                <w:szCs w:val="18"/>
              </w:rPr>
              <w:t>账务处理没有建立相应的控制机制或没有 </w:t>
            </w:r>
            <w:r>
              <w:rPr>
                <w:rFonts w:ascii="宋体" w:hAnsi="宋体" w:cs="宋体" w:eastAsia="宋体" w:hint="default"/>
                <w:spacing w:val="-5"/>
                <w:sz w:val="18"/>
                <w:szCs w:val="18"/>
              </w:rPr>
              <w:t>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w:t>
            </w:r>
            <w:r>
              <w:rPr>
                <w:rFonts w:ascii="宋体" w:hAnsi="宋体" w:cs="宋体" w:eastAsia="宋体" w:hint="default"/>
                <w:spacing w:val="-83"/>
                <w:sz w:val="18"/>
                <w:szCs w:val="18"/>
              </w:rPr>
              <w:t> </w:t>
            </w:r>
            <w:r>
              <w:rPr>
                <w:rFonts w:ascii="宋体" w:hAnsi="宋体" w:cs="宋体" w:eastAsia="宋体" w:hint="default"/>
                <w:sz w:val="18"/>
                <w:szCs w:val="18"/>
              </w:rPr>
              <w:t>期末财务报告过程的控制存在一项或多项 缺陷且不能合理保证编制的财务报表达到 真实、完整的目标。</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189"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097"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4" w:lineRule="auto" w:before="49"/>
              <w:ind w:left="29" w:right="17"/>
              <w:jc w:val="left"/>
              <w:rPr>
                <w:rFonts w:ascii="宋体" w:hAnsi="宋体" w:cs="宋体" w:eastAsia="宋体" w:hint="default"/>
                <w:sz w:val="18"/>
                <w:szCs w:val="18"/>
              </w:rPr>
            </w:pPr>
            <w:r>
              <w:rPr>
                <w:rFonts w:ascii="宋体" w:hAnsi="宋体" w:cs="宋体" w:eastAsia="宋体" w:hint="default"/>
                <w:sz w:val="18"/>
                <w:szCs w:val="18"/>
              </w:rPr>
              <w:t>公司以营业收入总额的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作为利润表 整体重要性水平的衡量指标。当潜在错报 金额大于或等于营业收入总额的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，则</w:t>
            </w:r>
            <w:r>
              <w:rPr>
                <w:rFonts w:ascii="宋体" w:hAnsi="宋体" w:cs="宋体" w:eastAsia="宋体" w:hint="default"/>
                <w:sz w:val="18"/>
                <w:szCs w:val="18"/>
              </w:rPr>
              <w:t> 认定为重大缺陷；当潜在错报金额小于营 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但大于或等于营业收 入总额的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，则认定为重要缺陷；当潜在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错报金额小于营业收入总额的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时，则认</w:t>
            </w:r>
            <w:r>
              <w:rPr>
                <w:rFonts w:ascii="宋体" w:hAnsi="宋体" w:cs="宋体" w:eastAsia="宋体" w:hint="default"/>
                <w:sz w:val="18"/>
                <w:szCs w:val="18"/>
              </w:rPr>
              <w:t> 定为一般缺陷。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307"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公司以直接损失占公司资产总额的 </w:t>
            </w:r>
            <w:r>
              <w:rPr>
                <w:rFonts w:ascii="Times New Roman" w:hAnsi="Times New Roman" w:cs="Times New Roman" w:eastAsia="Times New Roman" w:hint="default"/>
                <w:sz w:val="18"/>
                <w:szCs w:val="18"/>
              </w:rPr>
              <w:t>1.5%</w:t>
            </w:r>
            <w:r>
              <w:rPr>
                <w:rFonts w:ascii="宋体" w:hAnsi="宋体" w:cs="宋体" w:eastAsia="宋体" w:hint="default"/>
                <w:sz w:val="18"/>
                <w:szCs w:val="18"/>
              </w:rPr>
              <w:t>作为非财务报告重要性水平的衡 </w:t>
            </w:r>
            <w:r>
              <w:rPr>
                <w:rFonts w:ascii="宋体" w:hAnsi="宋体" w:cs="宋体" w:eastAsia="宋体" w:hint="default"/>
                <w:spacing w:val="-4"/>
                <w:sz w:val="18"/>
                <w:szCs w:val="18"/>
              </w:rPr>
              <w:t>量指标。当直接缺失金额大于或等于资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 当直接缺失金额小于资产总额的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但大于或等于资产总额的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w:t>
            </w:r>
            <w:r>
              <w:rPr>
                <w:rFonts w:ascii="宋体" w:hAnsi="宋体" w:cs="宋体" w:eastAsia="宋体" w:hint="default"/>
                <w:spacing w:val="-4"/>
                <w:sz w:val="18"/>
                <w:szCs w:val="18"/>
              </w:rPr>
              <w:t>为重要缺陷；当直接缺失金额小于资产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097"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6374"/>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48"/>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8"/>
        <w:jc w:val="left"/>
      </w:pPr>
      <w:r>
        <w:rPr/>
        <w:t>不适用</w:t>
      </w:r>
    </w:p>
    <w:p>
      <w:pPr>
        <w:spacing w:after="0" w:line="24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468"/>
        <w:jc w:val="center"/>
        <w:rPr>
          <w:b w:val="0"/>
          <w:bCs w:val="0"/>
        </w:rPr>
      </w:pPr>
      <w:bookmarkStart w:name="_TOC_250001" w:id="10"/>
      <w:r>
        <w:rPr/>
        <w:t>第十节</w:t>
      </w:r>
      <w:r>
        <w:rPr>
          <w:spacing w:val="-3"/>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[2016]1535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王殷、欧维义、朱艺伟</w:t>
            </w:r>
          </w:p>
        </w:tc>
      </w:tr>
    </w:tbl>
    <w:p>
      <w:pPr>
        <w:pStyle w:val="BodyText"/>
        <w:spacing w:line="240" w:lineRule="auto" w:before="49"/>
        <w:ind w:left="3429" w:right="3468"/>
        <w:jc w:val="center"/>
      </w:pPr>
      <w:r>
        <w:rPr/>
        <w:t>审计报告正文</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745" w:footer="981" w:top="1060" w:bottom="1180" w:left="980" w:right="940"/>
        </w:sectPr>
      </w:pPr>
    </w:p>
    <w:p>
      <w:pPr>
        <w:spacing w:line="240" w:lineRule="auto" w:before="7"/>
        <w:rPr>
          <w:rFonts w:ascii="宋体" w:hAnsi="宋体" w:cs="宋体" w:eastAsia="宋体" w:hint="default"/>
          <w:sz w:val="31"/>
          <w:szCs w:val="31"/>
        </w:rPr>
      </w:pPr>
    </w:p>
    <w:p>
      <w:pPr>
        <w:spacing w:before="0"/>
        <w:ind w:left="0" w:right="0" w:firstLine="0"/>
        <w:jc w:val="right"/>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71"/>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pStyle w:val="BodyText"/>
        <w:spacing w:line="240" w:lineRule="auto" w:before="44"/>
        <w:ind w:left="2273" w:right="0"/>
        <w:jc w:val="left"/>
      </w:pPr>
      <w:r>
        <w:rPr/>
        <w:br w:type="column"/>
      </w:r>
      <w:r>
        <w:rPr/>
        <w:t>会审字[2016] 1535号 </w:t>
      </w:r>
    </w:p>
    <w:p>
      <w:pPr>
        <w:spacing w:after="0" w:line="240" w:lineRule="auto"/>
        <w:jc w:val="left"/>
        <w:sectPr>
          <w:type w:val="continuous"/>
          <w:pgSz w:w="11910" w:h="16840"/>
          <w:pgMar w:top="1060" w:bottom="1180" w:left="980" w:right="940"/>
          <w:cols w:num="2" w:equalWidth="0">
            <w:col w:w="5767" w:space="40"/>
            <w:col w:w="4183"/>
          </w:cols>
        </w:sectPr>
      </w:pPr>
    </w:p>
    <w:p>
      <w:pPr>
        <w:spacing w:line="240" w:lineRule="auto" w:before="10"/>
        <w:rPr>
          <w:rFonts w:ascii="宋体" w:hAnsi="宋体" w:cs="宋体" w:eastAsia="宋体" w:hint="default"/>
          <w:sz w:val="9"/>
          <w:szCs w:val="9"/>
        </w:rPr>
      </w:pPr>
    </w:p>
    <w:p>
      <w:pPr>
        <w:pStyle w:val="BodyText"/>
        <w:spacing w:line="316" w:lineRule="auto" w:before="44"/>
        <w:ind w:left="512" w:right="93"/>
        <w:jc w:val="left"/>
      </w:pPr>
      <w:r>
        <w:rPr/>
        <w:t>卫宁健康科技集团股份有限公司全体股东： </w:t>
      </w:r>
      <w:r>
        <w:rPr>
          <w:spacing w:val="-2"/>
        </w:rPr>
        <w:t>我们审计了后附的卫宁健康科技集团股份有限公司（以下简称卫宁健康公司）财务报表，包括2015年12月31日的合并及</w:t>
      </w:r>
    </w:p>
    <w:p>
      <w:pPr>
        <w:pStyle w:val="BodyText"/>
        <w:spacing w:line="316" w:lineRule="auto" w:before="19"/>
        <w:ind w:right="93"/>
        <w:jc w:val="left"/>
      </w:pPr>
      <w:r>
        <w:rPr>
          <w:spacing w:val="-2"/>
        </w:rPr>
        <w:t>母公司资产负债表，2015年度的合并及母公司利润表、合并及母公司现金流量表、合并及母公司所有者权益变动表，以及财</w:t>
      </w:r>
      <w:r>
        <w:rPr>
          <w:spacing w:val="-62"/>
        </w:rPr>
        <w:t> </w:t>
      </w:r>
      <w:r>
        <w:rPr>
          <w:spacing w:val="-62"/>
        </w:rPr>
      </w:r>
      <w:r>
        <w:rPr/>
        <w:t>务报表附注。 </w:t>
      </w:r>
    </w:p>
    <w:p>
      <w:pPr>
        <w:spacing w:line="319"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编制和公允列报财务报表是卫宁健康公司管理层的责任，这种责任包括：（1）按照企业会计准则的规定编制财务报表，</w:t>
      </w:r>
    </w:p>
    <w:p>
      <w:pPr>
        <w:pStyle w:val="BodyText"/>
        <w:spacing w:line="316" w:lineRule="auto" w:before="17"/>
        <w:ind w:left="512" w:right="93" w:hanging="361"/>
        <w:jc w:val="left"/>
      </w:pPr>
      <w:r>
        <w:rPr/>
        <w:t>并使其实现公允反映；（2）设计、执行和维护必要的内部控制，以使财务报表不存在由于舞弊或错误导致的重大错报。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8"/>
        <w:ind w:right="93"/>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 </w:t>
      </w:r>
    </w:p>
    <w:p>
      <w:pPr>
        <w:pStyle w:val="BodyText"/>
        <w:spacing w:line="316" w:lineRule="auto" w:before="19"/>
        <w:ind w:right="9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 </w:t>
      </w:r>
    </w:p>
    <w:p>
      <w:pPr>
        <w:pStyle w:val="BodyText"/>
        <w:spacing w:line="316" w:lineRule="auto" w:before="18"/>
        <w:ind w:left="512" w:right="2198"/>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rFonts w:ascii="宋体" w:hAnsi="宋体" w:cs="宋体" w:eastAsia="宋体" w:hint="default"/>
        </w:rPr>
      </w:r>
    </w:p>
    <w:p>
      <w:pPr>
        <w:pStyle w:val="BodyText"/>
        <w:spacing w:line="316" w:lineRule="auto" w:before="19"/>
        <w:ind w:right="93" w:firstLine="360"/>
        <w:jc w:val="left"/>
      </w:pPr>
      <w:r>
        <w:rPr/>
        <w:t>我们认为，卫宁健康公司财务报表在所有重大方面按照企业会计准则的规定编制，公允反映了卫宁健康公司2015年12 月31日的合并及母公司财务状况以及2015年度的合并及母公司经营成果和现金流量。 </w:t>
      </w:r>
    </w:p>
    <w:p>
      <w:pPr>
        <w:spacing w:line="240" w:lineRule="auto" w:before="11"/>
        <w:rPr>
          <w:rFonts w:ascii="宋体" w:hAnsi="宋体" w:cs="宋体" w:eastAsia="宋体" w:hint="default"/>
          <w:sz w:val="20"/>
          <w:szCs w:val="20"/>
        </w:rPr>
      </w:pPr>
    </w:p>
    <w:p>
      <w:pPr>
        <w:pStyle w:val="Heading2"/>
        <w:spacing w:line="240" w:lineRule="auto"/>
        <w:ind w:right="9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t>编制单位：卫宁健康科技集团股份有限公司</w:t>
      </w:r>
    </w:p>
    <w:p>
      <w:pPr>
        <w:spacing w:after="0" w:line="240" w:lineRule="auto"/>
        <w:jc w:val="left"/>
        <w:sectPr>
          <w:type w:val="continuous"/>
          <w:pgSz w:w="11910" w:h="16840"/>
          <w:pgMar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2422" w:right="2423"/>
        <w:jc w:val="center"/>
      </w:pPr>
      <w:r>
        <w:rPr>
          <w:rFonts w:ascii="Times New Roman" w:hAnsi="Times New Roman" w:cs="Times New Roman" w:eastAsia="Times New Roman" w:hint="default"/>
        </w:rPr>
        <w:t>2015 </w:t>
      </w:r>
      <w:r>
        <w:rPr/>
        <w:t>年</w:t>
      </w:r>
      <w:r>
        <w:rPr>
          <w:spacing w:val="-47"/>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pStyle w:val="BodyText"/>
        <w:spacing w:line="240" w:lineRule="auto" w:before="103"/>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226,749,334.75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362,841,821.05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5,251,500.00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6,495,000.00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555,155,281.61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374,741,982.99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9,286,637.18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7,645,243.74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1,298,955.06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70,227,901.36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53,889,065.77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41,625,004.11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28,259,842.89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4,806,596.60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804,105.76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144,956.00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913,906,361.37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835,316,867.50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56,650,000.00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5,000,000.00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15,933,623.08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25,314,296.79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23,505,693.57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23,928,619.39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26,531,844.09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199,582,437.51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35,178,355.85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11,166,709.82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31,387,717.93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22,974,627.36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378,296,168.29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275,404,196.44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2,655,808.85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4,914,117.87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30,330,253.08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11,400,896.45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820,948,677.55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382,706,688.82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1,734,855,038.92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1,218,023,556.32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150,010,000.00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8,420,695.00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109,397,080.03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81,812,518.73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63,826,373.17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55,631,813.13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18,868,708.04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14,597,370.39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139,077,949.15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39,808,179.15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465,330.55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68,145,874.22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82,066,276.03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54,400,000.00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612,612,010.16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323,916,157.43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8,494,521.30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6,256,042.70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1,575,100.00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1,760,000.00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74,569,621.30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102,016,042.70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687,181,631.46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425,932,200.13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555,196,036.00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218,495,368.00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137,013,839.32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242,988,332.46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44,802,983.09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34,354,157.14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276,202,445.11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272,353,526.74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1,013,215,303.52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768,191,384.34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34,458,103.94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23,899,971.85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1,047,673,407.46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792,091,356.19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1,734,855,038.92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1,218,023,556.32</w:t>
            </w:r>
          </w:p>
        </w:tc>
      </w:tr>
    </w:tbl>
    <w:p>
      <w:pPr>
        <w:spacing w:line="240" w:lineRule="auto" w:before="11"/>
        <w:rPr>
          <w:rFonts w:ascii="Times New Roman" w:hAnsi="Times New Roman" w:cs="Times New Roman" w:eastAsia="Times New Roman" w:hint="default"/>
          <w:sz w:val="22"/>
          <w:szCs w:val="22"/>
        </w:rPr>
      </w:pPr>
    </w:p>
    <w:p>
      <w:pPr>
        <w:pStyle w:val="BodyText"/>
        <w:tabs>
          <w:tab w:pos="3666" w:val="left" w:leader="none"/>
          <w:tab w:pos="7897" w:val="left" w:leader="none"/>
        </w:tabs>
        <w:spacing w:line="240" w:lineRule="auto" w:before="44"/>
        <w:ind w:right="148"/>
        <w:jc w:val="left"/>
      </w:pPr>
      <w:r>
        <w:rPr/>
        <w:t>法定代表人：周炜</w:t>
        <w:tab/>
      </w:r>
      <w:r>
        <w:rPr>
          <w:spacing w:val="-1"/>
        </w:rPr>
        <w:t>主管会计工作负责人：王利</w:t>
        <w:tab/>
      </w:r>
      <w:r>
        <w:rPr/>
        <w:t>会计机构负责人：奚冰</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132,956,162.49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299,987,093.04</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5,231,500.00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5,645,000.00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342,089,128.74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239,436,122.51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5,903,101.51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4,952,348.38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1,263,161.73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142,777,489.49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56,722,048.38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31,907,265.08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19,172,153.23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4,806,596.60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21,552.00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665,692,795.91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627,177,927.27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56,650,000.00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5,000,000.00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15,933,623.08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25,314,296.79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492,635,693.57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382,550,000.00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18,751,907.39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24,316,676.53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199,582,437.51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24,753,909.69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1,801,211.80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23,320,706.25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22,974,627.36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1,799,653.66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3,047,010.55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18,291,169.44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7,350,219.79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875,219,100.59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472,354,042.82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1,540,911,896.50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1,099,531,970.09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8,420,695.00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104,588,459.90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67,023,180.21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46,050,545.89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40,694,475.19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5,395,787.89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6,000,403.98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100,369,963.49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13,269,264.32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465,330.55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47,464,495.76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73,495,398.86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54,400,000.00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517,155,278.48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247,482,722.56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4,708,913.68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3,907,674.94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1,575,100.00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1,760,000.00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70,784,013.68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99,667,674.94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587,939,292.16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347,150,397.50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555,196,036.00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218,495,368.00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141,859,058.70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244,250,983.98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44,802,983.09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34,354,157.14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211,114,526.55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255,281,063.47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952,972,604.34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752,381,572.59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1,540,911,896.50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1,099,531,970.09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8"/>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753,157,662.57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491,411,568.18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753,157,662.57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491,411,568.18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651,207,847.40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401,646,538.62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345,492,493.57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222,778,188.37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9,466,348.52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7,160,393.58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260.040009pt;width:160pt;height:19.6pt;mso-position-horizontal-relative:page;mso-position-vertical-relative:page;z-index:-988528" coordorigin="4219,5201" coordsize="3200,392">
            <v:group style="position:absolute;left:7397;top:5201;width:22;height:392" coordorigin="7397,5201" coordsize="22,392">
              <v:shape style="position:absolute;left:7397;top:5201;width:22;height:392" coordorigin="7397,5201" coordsize="22,392" path="m7397,5592l7418,5592,7418,5201,7397,5201,7397,5592xe" filled="true" fillcolor="#ffffff" stroked="false">
                <v:path arrowok="t"/>
                <v:fill type="solid"/>
              </v:shape>
            </v:group>
            <v:group style="position:absolute;left:4219;top:5201;width:22;height:392" coordorigin="4219,5201" coordsize="22,392">
              <v:shape style="position:absolute;left:4219;top:5201;width:22;height:392" coordorigin="4219,5201" coordsize="22,392" path="m4219,5592l4241,5592,4241,5201,4219,5201,4219,5592xe" filled="true" fillcolor="#ffffff" stroked="false">
                <v:path arrowok="t"/>
                <v:fill type="solid"/>
              </v:shape>
            </v:group>
            <v:group style="position:absolute;left:4241;top:5201;width:3156;height:392" coordorigin="4241,5201" coordsize="3156,392">
              <v:shape style="position:absolute;left:4241;top:5201;width:3156;height:392" coordorigin="4241,5201" coordsize="3156,392" path="m4241,5201l7397,5201,7397,5592,4241,5592,4241,5201xe" filled="true" fillcolor="#ffffff" stroked="false">
                <v:path arrowok="t"/>
                <v:fill type="solid"/>
              </v:shape>
            </v:group>
            <w10:wrap type="none"/>
          </v:group>
        </w:pict>
      </w:r>
      <w:r>
        <w:rPr/>
        <w:pict>
          <v:group style="position:absolute;margin-left:210.960007pt;margin-top:380.640015pt;width:160pt;height:19.6pt;mso-position-horizontal-relative:page;mso-position-vertical-relative:page;z-index:-988504" coordorigin="4219,7613" coordsize="3200,392">
            <v:group style="position:absolute;left:7397;top:7613;width:22;height:392" coordorigin="7397,7613" coordsize="22,392">
              <v:shape style="position:absolute;left:7397;top:7613;width:22;height:392" coordorigin="7397,7613" coordsize="22,392" path="m7397,8004l7418,8004,7418,7613,7397,7613,7397,8004xe" filled="true" fillcolor="#ffffff" stroked="false">
                <v:path arrowok="t"/>
                <v:fill type="solid"/>
              </v:shape>
            </v:group>
            <v:group style="position:absolute;left:4219;top:7613;width:22;height:392" coordorigin="4219,7613" coordsize="22,392">
              <v:shape style="position:absolute;left:4219;top:7613;width:22;height:392" coordorigin="4219,7613" coordsize="22,392" path="m4219,8004l4241,8004,4241,7613,4219,7613,4219,8004xe" filled="true" fillcolor="#ffffff" stroked="false">
                <v:path arrowok="t"/>
                <v:fill type="solid"/>
              </v:shape>
            </v:group>
            <v:group style="position:absolute;left:4241;top:7613;width:3156;height:392" coordorigin="4241,7613" coordsize="3156,392">
              <v:shape style="position:absolute;left:4241;top:7613;width:3156;height:392" coordorigin="4241,7613" coordsize="3156,392" path="m4241,7613l7397,7613,7397,8004,4241,8004,4241,761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8"/>
        <w:gridCol w:w="3211"/>
        <w:gridCol w:w="3276"/>
      </w:tblGrid>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109,097,433.07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79,784,372.57</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159,879,245.28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83,584,520.69</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-74,914.95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-8,296,899.53</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27,347,241.91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16,635,962.94</w:t>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-245,069.69</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-245,069.69</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101,704,745.48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89,765,029.56</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53,226,258.58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39,331,657.84</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424,350.26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100,022.50</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72,165.05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89,222.50</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tabs>
                <w:tab w:pos="2051" w:val="left" w:leader="none"/>
              </w:tabs>
              <w:spacing w:line="240" w:lineRule="auto" w:before="51"/>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154,506,653.80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128,996,664.90</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-6,984,888.85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6,354,694.06</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161,491,542.65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122,641,970.84</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152,503,714.77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120,971,589.46</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8,987,827.88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1,670,381.38</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  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81" w:header="745" w:top="1060" w:bottom="1180" w:left="980" w:right="98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362"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63"/>
              <w:jc w:val="left"/>
              <w:rPr>
                <w:rFonts w:ascii="宋体" w:hAnsi="宋体" w:cs="宋体" w:eastAsia="宋体" w:hint="default"/>
                <w:sz w:val="18"/>
                <w:szCs w:val="18"/>
              </w:rPr>
            </w:pPr>
            <w:r>
              <w:rPr>
                <w:rFonts w:ascii="宋体" w:hAnsi="宋体" w:cs="宋体" w:eastAsia="宋体" w:hint="default"/>
                <w:sz w:val="18"/>
                <w:szCs w:val="18"/>
              </w:rPr>
              <w:t>  归属于少数股东的其他综合收益的 税后净额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161,491,542.65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122,641,970.84</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63"/>
              <w:jc w:val="left"/>
              <w:rPr>
                <w:rFonts w:ascii="宋体" w:hAnsi="宋体" w:cs="宋体" w:eastAsia="宋体" w:hint="default"/>
                <w:sz w:val="18"/>
                <w:szCs w:val="18"/>
              </w:rPr>
            </w:pPr>
            <w:r>
              <w:rPr>
                <w:rFonts w:ascii="宋体" w:hAnsi="宋体" w:cs="宋体" w:eastAsia="宋体" w:hint="default"/>
                <w:sz w:val="18"/>
                <w:szCs w:val="18"/>
              </w:rPr>
              <w:t>    归属于母公司所有者的综合收益 总额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152,503,714.77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120,971,589.46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8,987,827.88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1,670,381.38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0.2234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0.2219</w:t>
            </w:r>
          </w:p>
        </w:tc>
      </w:tr>
    </w:tbl>
    <w:p>
      <w:pPr>
        <w:pStyle w:val="BodyText"/>
        <w:tabs>
          <w:tab w:pos="3666" w:val="left" w:leader="none"/>
          <w:tab w:pos="7897" w:val="left" w:leader="none"/>
        </w:tabs>
        <w:spacing w:line="595" w:lineRule="auto" w:before="49"/>
        <w:ind w:right="24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法定代表人：周炜</w:t>
        <w:tab/>
      </w:r>
      <w:r>
        <w:rPr>
          <w:spacing w:val="-1"/>
        </w:rPr>
        <w:t>主管会计工作负责人：王利</w:t>
        <w:tab/>
      </w:r>
      <w:r>
        <w:rPr/>
        <w:t>会计机构负责人：奚冰</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489,983,174.68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379,504,993.90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250,436,193.75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184,405,887.83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6,119,507.90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5,400,094.15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72,315,074.65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54,009,499.41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87,520,196.70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61,200,726.61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30,855.69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-8,167,484.01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18,167,623.23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16,710,303.32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-245,069.69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-245,069.69</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55,148,653.07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65,945,966.59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37,747,776.23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33,201,409.39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250,680.07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75,970.25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65,970.25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92,645,749.23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99,071,405.73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-11,842,510.25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1,213,288.33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104,488,259.48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97,858,117.40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（一）以后不能重分类进损益的 其他综合收益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3" w:right="50"/>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（二）以后将重分类进损益的其 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3" w:right="50"/>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104,488,259.48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97,858,117.40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after="0" w:line="240" w:lineRule="auto"/>
        <w:jc w:val="right"/>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684,719,776.92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432,705,516.63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客户存款和同业存放款项净增加 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向其他金融机构拆入资金净增加 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处置以公允价值计量且其变动计 入当期损益的金融资产净增加额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37,898,983.51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29,367,444.49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72,588,250.98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45,765,706.33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795,207,011.41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507,838,667.45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271,920,443.94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179,633,113.52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存放中央银行和同业款项净增加 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194,649,185.79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126,206,441.98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73,689,466.65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54,116,952.74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175,487,838.91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105,047,205.25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715,746,935.29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465,003,713.49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79,460,076.12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42,834,953.96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75,251.94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37,741.48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75,251.94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46,537,741.48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235,168,894.11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21,742,953.34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98,900,763.26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143,547,907.84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164,977,780.71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493,117,565.21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187,020,734.05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-493,042,313.27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-140,482,992.57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82,756,474.22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37,949,861.98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其中：子公司吸收少数股东投资 收到的现金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6,450,000.00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150,010,000.00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93,554,846.73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22,693,514.35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326,321,320.95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60,643,376.33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31,474,166.67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29,535,588.33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其中：子公司支付给少数股东的 股利、利润</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8,396,037.62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21,077,395.43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20,586,839.76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55,551,562.10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50,122,428.09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270,769,758.85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10,520,948.24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-142,812,478.30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-87,127,090.37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360,157,957.05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447,285,047.42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217,345,478.75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360,157,957.05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48"/>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455,456,656.02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327,102,991.48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23,772,040.68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24,429,319.28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69,639,129.56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58,150,927.49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548,867,826.26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409,683,238.25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193,264,859.27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149,533,990.42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109,902,460.46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89,660,095.26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43,544,307.34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43,925,039.40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129,381,140.98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93,290,232.04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476,092,768.05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376,409,357.12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72,775,058.21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33,273,881.13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6,951.94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2,741.48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6,951.94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46,502,741.48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224,505,801.26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15,298,377.87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217,080,763.26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210,550,000.00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79,300,000.00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520,886,564.52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225,848,377.87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-520,879,612.58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-179,345,636.39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80,796,474.22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31,499,861.98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150,000,000.00</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82,658,846.73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22,693,514.35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313,455,320.95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54,193,376.33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31,438,132.08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21,066,350.71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7,978,386.05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20,586,839.76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39,416,518.13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41,653,190.47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274,038,802.82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12,540,185.86</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-174,065,751.55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-133,531,569.40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297,618,058.04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431,149,627.44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123,552,306.49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297,618,058.04</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t>本期金额</w:t>
      </w:r>
    </w:p>
    <w:p>
      <w:pPr>
        <w:pStyle w:val="BodyText"/>
        <w:spacing w:line="240" w:lineRule="auto" w:before="115"/>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9"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218,49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242,988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,332.46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34,354,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157.14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272,353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,526.74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23,899,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971.85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792,091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,356.19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1"/>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41"/>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218,49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5,368.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242,988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,332.46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34,354,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157.14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272,353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,526.74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23,899,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971.85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792,091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,356.19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336,70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0,668.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825.95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3,848,9</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18.37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10,558,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132.09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255,582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,051.27</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152,503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,714.77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8,987,8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27.88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161,491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,542.65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8,893,</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754.00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112,563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1,570,3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04.21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123,027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,508.07</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8,893,</w:t>
            </w:r>
          </w:p>
          <w:p>
            <w:pPr>
              <w:pStyle w:val="TableParagraph"/>
              <w:spacing w:line="240" w:lineRule="auto" w:before="102"/>
              <w:ind w:left="36" w:right="0"/>
              <w:jc w:val="left"/>
              <w:rPr>
                <w:rFonts w:ascii="Times New Roman" w:hAnsi="Times New Roman" w:cs="Times New Roman" w:eastAsia="Times New Roman" w:hint="default"/>
                <w:sz w:val="18"/>
                <w:szCs w:val="18"/>
              </w:rPr>
            </w:pPr>
            <w:r>
              <w:rPr>
                <w:rFonts w:ascii="Times New Roman"/>
                <w:sz w:val="18"/>
              </w:rPr>
              <w:t>754.00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76,619,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295.51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1,960,0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87,473,</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049.51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39,526,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722.21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39,526,</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722.21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-3,582,5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-389,69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5.79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-3,972,2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63.65</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109,26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8,971.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10,448,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825.95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-148,65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4,796.4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-28,936,</w:t>
            </w:r>
          </w:p>
          <w:p>
            <w:pPr>
              <w:pStyle w:val="TableParagraph"/>
              <w:spacing w:line="240" w:lineRule="auto" w:before="102"/>
              <w:ind w:left="109" w:right="0"/>
              <w:jc w:val="center"/>
              <w:rPr>
                <w:rFonts w:ascii="Times New Roman" w:hAnsi="Times New Roman" w:cs="Times New Roman" w:eastAsia="Times New Roman" w:hint="default"/>
                <w:sz w:val="18"/>
                <w:szCs w:val="18"/>
              </w:rPr>
            </w:pPr>
            <w:r>
              <w:rPr>
                <w:rFonts w:ascii="Times New Roman"/>
                <w:sz w:val="18"/>
              </w:rPr>
              <w:t>999.45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825.95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-10,448,</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825.95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109,26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8,971.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-28,936,</w:t>
            </w:r>
          </w:p>
          <w:p>
            <w:pPr>
              <w:pStyle w:val="TableParagraph"/>
              <w:spacing w:line="240" w:lineRule="auto" w:before="105"/>
              <w:ind w:left="109" w:right="0"/>
              <w:jc w:val="center"/>
              <w:rPr>
                <w:rFonts w:ascii="Times New Roman" w:hAnsi="Times New Roman" w:cs="Times New Roman" w:eastAsia="Times New Roman" w:hint="default"/>
                <w:sz w:val="18"/>
                <w:szCs w:val="18"/>
              </w:rPr>
            </w:pPr>
            <w:r>
              <w:rPr>
                <w:rFonts w:ascii="Times New Roman"/>
                <w:sz w:val="18"/>
              </w:rPr>
              <w:t>999.45</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218,53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7,943.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7,943.0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218,53</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7,943.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-218,53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7,943.0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555,19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137,013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,839.32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44,802,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983.09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276,202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,445.11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34,458,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103.94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1,047,6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73,407.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r>
    </w:tbl>
    <w:p>
      <w:pPr>
        <w:pStyle w:val="BodyText"/>
        <w:spacing w:line="240" w:lineRule="auto" w:before="49"/>
        <w:ind w:right="148"/>
        <w:jc w:val="left"/>
      </w:pPr>
      <w:r>
        <w:rPr/>
        <w:t>上期金额</w:t>
      </w:r>
    </w:p>
    <w:p>
      <w:pPr>
        <w:pStyle w:val="BodyText"/>
        <w:spacing w:line="240" w:lineRule="auto" w:before="115"/>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9"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313,171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,550.49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182,234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,099.73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2,180,3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26.88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630,121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,422.50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1"/>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41"/>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7,100.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313,171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,550.49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24,568,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345.40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182,234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,099.73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2,180,3</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26.88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630,121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,422.50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110,52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8,268.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-70,183,</w:t>
            </w:r>
          </w:p>
          <w:p>
            <w:pPr>
              <w:pStyle w:val="TableParagraph"/>
              <w:spacing w:line="240" w:lineRule="auto" w:before="105"/>
              <w:ind w:left="116" w:right="0"/>
              <w:jc w:val="center"/>
              <w:rPr>
                <w:rFonts w:ascii="Times New Roman" w:hAnsi="Times New Roman" w:cs="Times New Roman" w:eastAsia="Times New Roman" w:hint="default"/>
                <w:sz w:val="18"/>
                <w:szCs w:val="18"/>
              </w:rPr>
            </w:pPr>
            <w:r>
              <w:rPr>
                <w:rFonts w:ascii="Times New Roman"/>
                <w:sz w:val="18"/>
              </w:rPr>
              <w:t>218.03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9,785,8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90,119,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427.01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21,719,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644.97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161,969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,933.69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120,971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,589.46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1,670,3</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81.38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122,641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,970.84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2,561,</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170.00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37,783,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879.97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20,049,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263.59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60,394,</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313.56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2,561,</w:t>
            </w:r>
          </w:p>
          <w:p>
            <w:pPr>
              <w:pStyle w:val="TableParagraph"/>
              <w:spacing w:line="240" w:lineRule="auto" w:before="102"/>
              <w:ind w:left="36" w:right="0"/>
              <w:jc w:val="left"/>
              <w:rPr>
                <w:rFonts w:ascii="Times New Roman" w:hAnsi="Times New Roman" w:cs="Times New Roman" w:eastAsia="Times New Roman" w:hint="default"/>
                <w:sz w:val="18"/>
                <w:szCs w:val="18"/>
              </w:rPr>
            </w:pPr>
            <w:r>
              <w:rPr>
                <w:rFonts w:ascii="Times New Roman"/>
                <w:sz w:val="18"/>
              </w:rPr>
              <w:t>170.00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26,731,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790.42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6,450,0</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35,742,</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960.42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11,052,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11,052,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8"/>
              <w:ind w:left="22" w:right="142"/>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089.55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089.55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263.59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13,599,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263.59</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9,785,8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-30,852,</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162.45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-21,066,</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350.71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9,785,8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-9,785,8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11.74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-21,066,</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350.71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-21,066,</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350.71</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7,098.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7,098.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218,49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242,988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,332.46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34,354,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157.14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272,353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,526.74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23,899,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971.85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792,091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,356.19</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t>本期金额</w:t>
      </w:r>
    </w:p>
    <w:p>
      <w:pPr>
        <w:pStyle w:val="BodyText"/>
        <w:spacing w:line="240" w:lineRule="auto" w:before="114"/>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1997"/>
        <w:gridCol w:w="797"/>
        <w:gridCol w:w="797"/>
        <w:gridCol w:w="797"/>
        <w:gridCol w:w="799"/>
        <w:gridCol w:w="797"/>
        <w:gridCol w:w="677"/>
        <w:gridCol w:w="780"/>
      </w:tblGrid>
      <w:tr>
        <w:trPr>
          <w:trHeight w:val="401" w:hRule="exact"/>
        </w:trPr>
        <w:tc>
          <w:tcPr>
            <w:tcW w:w="14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9"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218,495,</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368.00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244,250,9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34,354,15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255,281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,063.47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752,381,5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72.59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218,495,</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368.00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244,250,9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34,354,15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255,281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,063.47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752,381,5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72.59</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336,700,</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668.00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-102,391,</w:t>
            </w:r>
          </w:p>
          <w:p>
            <w:pPr>
              <w:pStyle w:val="TableParagraph"/>
              <w:spacing w:line="240" w:lineRule="auto" w:before="105"/>
              <w:ind w:left="251" w:right="0"/>
              <w:jc w:val="center"/>
              <w:rPr>
                <w:rFonts w:ascii="Times New Roman" w:hAnsi="Times New Roman" w:cs="Times New Roman" w:eastAsia="Times New Roman" w:hint="default"/>
                <w:sz w:val="18"/>
                <w:szCs w:val="18"/>
              </w:rPr>
            </w:pPr>
            <w:r>
              <w:rPr>
                <w:rFonts w:ascii="Times New Roman"/>
                <w:sz w:val="18"/>
              </w:rPr>
              <w:t>925.28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10,448,82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-44,166,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536.92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200,591,0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31.75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104,488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,259.48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104,488,2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59.48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8,893,75</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116,146,0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125,039,7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71.72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8,893,75</w:t>
            </w:r>
          </w:p>
          <w:p>
            <w:pPr>
              <w:pStyle w:val="TableParagraph"/>
              <w:spacing w:line="240" w:lineRule="auto" w:before="102"/>
              <w:ind w:left="348"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76,619,29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85,513,04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9.51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39,526,72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39,526,72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2.21</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109,268,</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971.00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10,448,82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-148,65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4,796.4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-28,936,9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99.45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10,448,82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-10,448,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825.95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109,268,</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971.00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5,970.4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-28,936,9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99.45</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218,537,</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943.00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-218,537,</w:t>
            </w:r>
          </w:p>
          <w:p>
            <w:pPr>
              <w:pStyle w:val="TableParagraph"/>
              <w:spacing w:line="240" w:lineRule="auto" w:before="102"/>
              <w:ind w:left="251" w:right="0"/>
              <w:jc w:val="center"/>
              <w:rPr>
                <w:rFonts w:ascii="Times New Roman" w:hAnsi="Times New Roman" w:cs="Times New Roman" w:eastAsia="Times New Roman" w:hint="default"/>
                <w:sz w:val="18"/>
                <w:szCs w:val="18"/>
              </w:rPr>
            </w:pPr>
            <w:r>
              <w:rPr>
                <w:rFonts w:ascii="Times New Roman"/>
                <w:sz w:val="18"/>
              </w:rPr>
              <w:t>943.00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218,537,</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943.00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-218,537,</w:t>
            </w:r>
          </w:p>
          <w:p>
            <w:pPr>
              <w:pStyle w:val="TableParagraph"/>
              <w:spacing w:line="240" w:lineRule="auto" w:before="105"/>
              <w:ind w:left="251" w:right="0"/>
              <w:jc w:val="center"/>
              <w:rPr>
                <w:rFonts w:ascii="Times New Roman" w:hAnsi="Times New Roman" w:cs="Times New Roman" w:eastAsia="Times New Roman" w:hint="default"/>
                <w:sz w:val="18"/>
                <w:szCs w:val="18"/>
              </w:rPr>
            </w:pPr>
            <w:r>
              <w:rPr>
                <w:rFonts w:ascii="Times New Roman"/>
                <w:sz w:val="18"/>
              </w:rPr>
              <w:t>943.00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1" w:header="745" w:top="1060" w:bottom="1180" w:left="980" w:right="98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555,196,</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036.00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141,859,0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58.70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44,802,98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211,114,</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526.55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952,972,6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04.34</w:t>
            </w:r>
          </w:p>
        </w:tc>
      </w:tr>
    </w:tbl>
    <w:p>
      <w:pPr>
        <w:pStyle w:val="BodyText"/>
        <w:spacing w:line="240" w:lineRule="auto" w:before="49"/>
        <w:ind w:right="148"/>
        <w:jc w:val="left"/>
      </w:pPr>
      <w:r>
        <w:rPr/>
        <w:t>上期金额</w:t>
      </w:r>
    </w:p>
    <w:p>
      <w:pPr>
        <w:pStyle w:val="BodyText"/>
        <w:spacing w:line="240" w:lineRule="auto" w:before="114"/>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115" w:right="21"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107,967,</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314,434,2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02.01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24,568,34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188,275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635,244,7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55.93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107,967,</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314,434,2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02.01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24,568,34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188,275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635,244,7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55.93</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110,528,</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268.00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-70,183,2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9,785,811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67,005,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954.95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117,136,8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16.66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97,858,</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117.40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97,858,11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7.40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2,561,17</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37,783,87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40,345,04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9.97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2,561,17</w:t>
            </w:r>
          </w:p>
          <w:p>
            <w:pPr>
              <w:pStyle w:val="TableParagraph"/>
              <w:spacing w:line="240" w:lineRule="auto" w:before="102"/>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26,731,79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29,292,96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0.42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11,052,08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11,052,08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9.55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9,785,811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-30,852,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162.45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-21,066,3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50.71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9,785,811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-9,785,8</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11.74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-21,066,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350.71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-21,066,3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50.71</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107,967,</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098.00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-107,967,</w:t>
            </w:r>
          </w:p>
          <w:p>
            <w:pPr>
              <w:pStyle w:val="TableParagraph"/>
              <w:spacing w:line="240" w:lineRule="auto" w:before="105"/>
              <w:ind w:left="251" w:right="0"/>
              <w:jc w:val="center"/>
              <w:rPr>
                <w:rFonts w:ascii="Times New Roman" w:hAnsi="Times New Roman" w:cs="Times New Roman" w:eastAsia="Times New Roman" w:hint="default"/>
                <w:sz w:val="18"/>
                <w:szCs w:val="18"/>
              </w:rPr>
            </w:pPr>
            <w:r>
              <w:rPr>
                <w:rFonts w:ascii="Times New Roman"/>
                <w:sz w:val="18"/>
              </w:rPr>
              <w:t>098.00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107,967,</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098.00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-107,967,</w:t>
            </w:r>
          </w:p>
          <w:p>
            <w:pPr>
              <w:pStyle w:val="TableParagraph"/>
              <w:spacing w:line="240" w:lineRule="auto" w:before="105"/>
              <w:ind w:left="251" w:right="0"/>
              <w:jc w:val="center"/>
              <w:rPr>
                <w:rFonts w:ascii="Times New Roman" w:hAnsi="Times New Roman" w:cs="Times New Roman" w:eastAsia="Times New Roman" w:hint="default"/>
                <w:sz w:val="18"/>
                <w:szCs w:val="18"/>
              </w:rPr>
            </w:pPr>
            <w:r>
              <w:rPr>
                <w:rFonts w:ascii="Times New Roman"/>
                <w:sz w:val="18"/>
              </w:rPr>
              <w:t>098.00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218,495,</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368.00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244,250,9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34,354,15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255,281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,063.47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752,381,5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72.59</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2" w:right="148"/>
        <w:jc w:val="left"/>
      </w:pPr>
      <w:r>
        <w:rPr>
          <w:rFonts w:ascii="宋体" w:hAnsi="宋体" w:cs="宋体" w:eastAsia="宋体" w:hint="default"/>
          <w:b/>
          <w:bCs/>
        </w:rPr>
        <w:t>1．公司概况</w:t>
      </w:r>
      <w:r>
        <w:rPr>
          <w:rFonts w:ascii="宋体" w:hAnsi="宋体" w:cs="宋体" w:eastAsia="宋体" w:hint="default"/>
          <w:b/>
          <w:bCs/>
          <w:w w:val="99"/>
        </w:rPr>
        <w:t> </w:t>
      </w:r>
      <w:r>
        <w:rPr>
          <w:spacing w:val="-2"/>
        </w:rPr>
        <w:t>卫宁健康科技集团股份有限公司（以下简称“公司”或“本公司”或“卫宁健康”）前身为上海金仕达卫宁软件有限公</w:t>
      </w:r>
    </w:p>
    <w:p>
      <w:pPr>
        <w:pStyle w:val="BodyText"/>
        <w:spacing w:line="316" w:lineRule="auto" w:before="18"/>
        <w:ind w:right="149"/>
        <w:jc w:val="both"/>
      </w:pPr>
      <w:r>
        <w:rPr/>
        <w:t>司，系由英属维尔京群岛WINNING INTERNATIONAL</w:t>
      </w:r>
      <w:r>
        <w:rPr>
          <w:spacing w:val="7"/>
        </w:rPr>
        <w:t> </w:t>
      </w:r>
      <w:r>
        <w:rPr/>
        <w:t>TECHNOLOGYLTD（90%）和上海金仕达卫宁医疗信息技术有限公司（10%）</w:t>
      </w:r>
      <w:r>
        <w:rPr/>
        <w:t> </w:t>
      </w:r>
      <w:r>
        <w:rPr>
          <w:spacing w:val="-2"/>
        </w:rPr>
        <w:t>合资设立的中外合资企业。经浦府项字[2004]第135号文批准，于2004年3月16日取得商外资沪浦合资字[2004]0841号外商投</w:t>
      </w:r>
      <w:r>
        <w:rPr>
          <w:spacing w:val="-43"/>
        </w:rPr>
        <w:t> </w:t>
      </w:r>
      <w:r>
        <w:rPr>
          <w:spacing w:val="-43"/>
        </w:rPr>
      </w:r>
      <w:r>
        <w:rPr>
          <w:spacing w:val="-2"/>
        </w:rPr>
        <w:t>资企业批准证书，于2004年4月7日取得企合沪浦总副字第318540号（浦东）企业法人营业执照。投资总额28万美元，注册资</w:t>
      </w:r>
      <w:r>
        <w:rPr>
          <w:spacing w:val="-55"/>
        </w:rPr>
        <w:t> </w:t>
      </w:r>
      <w:r>
        <w:rPr>
          <w:spacing w:val="-55"/>
        </w:rPr>
      </w:r>
      <w:r>
        <w:rPr/>
        <w:t>本20万美元（实收资本20万美元）。 </w:t>
      </w:r>
    </w:p>
    <w:p>
      <w:pPr>
        <w:pStyle w:val="BodyText"/>
        <w:spacing w:line="316" w:lineRule="auto" w:before="19"/>
        <w:ind w:right="149" w:firstLine="360"/>
        <w:jc w:val="both"/>
      </w:pPr>
      <w:r>
        <w:rPr/>
        <w:t>2007年12月24日，经上海金仕达卫宁软件有限公司第一届第四次董事会决议并经浦府项字[2007]第798号文批准，上海 金仕达卫宁医疗信息技术有限公司将所持上海金仕达卫宁软件有限公司10%股权转让给上海为宁信息技术有限公司，于2007</w:t>
      </w:r>
      <w:r>
        <w:rPr>
          <w:spacing w:val="-85"/>
        </w:rPr>
        <w:t> </w:t>
      </w:r>
      <w:r>
        <w:rPr>
          <w:spacing w:val="-85"/>
        </w:rPr>
      </w:r>
      <w:r>
        <w:rPr/>
        <w:t>年12月19日取得换发的商外资沪浦合资字[2004]0841号外商投资企业批准证书，于2007年12月24日取得310115400147263号</w:t>
      </w:r>
      <w:r>
        <w:rPr>
          <w:spacing w:val="-84"/>
        </w:rPr>
        <w:t> </w:t>
      </w:r>
      <w:r>
        <w:rPr>
          <w:spacing w:val="-84"/>
        </w:rPr>
      </w:r>
      <w:r>
        <w:rPr/>
        <w:t>企业法人营业执照，投资总额和注册资本不变。 </w:t>
      </w:r>
    </w:p>
    <w:p>
      <w:pPr>
        <w:pStyle w:val="BodyText"/>
        <w:spacing w:line="316" w:lineRule="auto" w:before="18"/>
        <w:ind w:right="147" w:firstLine="360"/>
        <w:jc w:val="both"/>
      </w:pPr>
      <w:r>
        <w:rPr/>
        <w:t>2008年8月28日，经上海金仕达卫宁软件有限公司2008年6月28日股东会、董事会决议并经浦府项字[2008]第458号文批 准，英属维尔京群岛WINNING</w:t>
      </w:r>
      <w:r>
        <w:rPr>
          <w:spacing w:val="-45"/>
        </w:rPr>
        <w:t> </w:t>
      </w:r>
      <w:r>
        <w:rPr/>
        <w:t>INTERNATIONAL</w:t>
      </w:r>
      <w:r>
        <w:rPr>
          <w:spacing w:val="-41"/>
        </w:rPr>
        <w:t> </w:t>
      </w:r>
      <w:r>
        <w:rPr/>
        <w:t>TECHNOLOGYLTD将所持上海金仕达卫宁软件有限公司90%的股权转让给周炜、王</w:t>
      </w:r>
      <w:r>
        <w:rPr/>
        <w:t> </w:t>
      </w:r>
      <w:r>
        <w:rPr>
          <w:spacing w:val="-2"/>
        </w:rPr>
        <w:t>英、刘宁三位自然人，上海金仕达卫宁软件有限公司企业性质由中外合资企业变更为内资有限责任公司，注册资本由20万美</w:t>
      </w:r>
    </w:p>
    <w:p>
      <w:pPr>
        <w:spacing w:after="0" w:line="316" w:lineRule="auto"/>
        <w:jc w:val="both"/>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94"/>
        <w:jc w:val="both"/>
      </w:pPr>
      <w:r>
        <w:rPr/>
        <w:t>元变更为等额人民币注册资本，变更后的注册资本为人民币1,653,156.00元。变更后，股东为周炜、王英、刘宁3名自然人</w:t>
      </w:r>
      <w:r>
        <w:rPr>
          <w:spacing w:val="-86"/>
        </w:rPr>
        <w:t> </w:t>
      </w:r>
      <w:r>
        <w:rPr>
          <w:spacing w:val="-86"/>
        </w:rPr>
      </w:r>
      <w:r>
        <w:rPr/>
        <w:t>和上海为宁信息技术有限公司。 </w:t>
      </w:r>
    </w:p>
    <w:p>
      <w:pPr>
        <w:pStyle w:val="BodyText"/>
        <w:spacing w:line="316" w:lineRule="auto" w:before="19"/>
        <w:ind w:right="189" w:firstLine="360"/>
        <w:jc w:val="both"/>
      </w:pPr>
      <w:r>
        <w:rPr>
          <w:spacing w:val="-2"/>
        </w:rPr>
        <w:t>2008年11月18日，根据上海金仕达卫宁软件有限公司2008年10月31日临时股东会决议，上海金仕达卫宁软件有限公司增</w:t>
      </w:r>
      <w:r>
        <w:rPr/>
        <w:t> </w:t>
      </w:r>
      <w:r>
        <w:rPr>
          <w:spacing w:val="-2"/>
        </w:rPr>
        <w:t>加注册资本人民币8,346,844.00元，其中股东周炜、刘宁、王英和上海为宁信息技术有限公司以上海金仕达卫宁软件有限公</w:t>
      </w:r>
      <w:r>
        <w:rPr>
          <w:spacing w:val="-56"/>
        </w:rPr>
        <w:t> </w:t>
      </w:r>
      <w:r>
        <w:rPr>
          <w:spacing w:val="-56"/>
        </w:rPr>
      </w:r>
      <w:r>
        <w:rPr>
          <w:spacing w:val="-2"/>
        </w:rPr>
        <w:t>司2007年12月31日未分配利润4,498,523.80元转增资本，刘宁、孙凯等24名自然人以货币资金增资3,848,320.20元，变更后</w:t>
      </w:r>
      <w:r>
        <w:rPr>
          <w:spacing w:val="-35"/>
        </w:rPr>
        <w:t> </w:t>
      </w:r>
      <w:r>
        <w:rPr>
          <w:spacing w:val="-35"/>
        </w:rPr>
      </w:r>
      <w:r>
        <w:rPr/>
        <w:t>的注册资本为人民币10,000,000.00元。变更注册资本后，股东为周炜等26名自然人和上海为宁信息技术有限公司。 </w:t>
      </w:r>
    </w:p>
    <w:p>
      <w:pPr>
        <w:pStyle w:val="BodyText"/>
        <w:spacing w:line="316" w:lineRule="auto" w:before="18"/>
        <w:ind w:right="194" w:firstLine="360"/>
        <w:jc w:val="both"/>
      </w:pPr>
      <w:r>
        <w:rPr/>
        <w:t>2008年11月20日，上海为宁信息技术有限公司将所持上海金仕达卫宁软件有限公司6.16%股权转让给自然人孙凯。变更 后股东为周炜等26名自然人。 </w:t>
      </w:r>
    </w:p>
    <w:p>
      <w:pPr>
        <w:pStyle w:val="BodyText"/>
        <w:spacing w:line="316" w:lineRule="auto" w:before="19"/>
        <w:ind w:right="187" w:firstLine="360"/>
        <w:jc w:val="both"/>
      </w:pPr>
      <w:r>
        <w:rPr>
          <w:spacing w:val="-2"/>
        </w:rPr>
        <w:t>2008年12月26日，根据上海金仕达卫宁软件有限公司2008年12月12日临时股东会决议，上海金仕达卫宁软件有限公司整</w:t>
      </w:r>
      <w:r>
        <w:rPr/>
        <w:t> </w:t>
      </w:r>
      <w:r>
        <w:rPr>
          <w:spacing w:val="-2"/>
        </w:rPr>
        <w:t>体变更为上海金仕达卫宁软件股份有限公司，上海金仕达卫宁软件有限公司全体股东以截至2008年11月30日经审计后的净资</w:t>
      </w:r>
      <w:r>
        <w:rPr>
          <w:spacing w:val="-54"/>
        </w:rPr>
        <w:t> </w:t>
      </w:r>
      <w:r>
        <w:rPr>
          <w:spacing w:val="-54"/>
        </w:rPr>
      </w:r>
      <w:r>
        <w:rPr>
          <w:spacing w:val="-2"/>
        </w:rPr>
        <w:t>产52,912,479.56元出资，其中以净资产出资40,000,000.00元，折40,000,000股，每股面值1元，其余12,912,479.56元转为</w:t>
      </w:r>
      <w:r>
        <w:rPr>
          <w:spacing w:val="-19"/>
        </w:rPr>
        <w:t> </w:t>
      </w:r>
      <w:r>
        <w:rPr>
          <w:spacing w:val="-19"/>
        </w:rPr>
      </w:r>
      <w:r>
        <w:rPr/>
        <w:t>上海金仕达卫宁软件股份有限公司的资本公积，变更后的注册资本为人民币40,000,000.00元，此次变更业经中磊会计师事</w:t>
      </w:r>
      <w:r>
        <w:rPr>
          <w:spacing w:val="-85"/>
        </w:rPr>
        <w:t> </w:t>
      </w:r>
      <w:r>
        <w:rPr>
          <w:spacing w:val="-85"/>
        </w:rPr>
      </w:r>
      <w:r>
        <w:rPr>
          <w:spacing w:val="7"/>
        </w:rPr>
        <w:t>务所有限责任公司中磊验字[2008]第7004号验资报告验证。公司于2008年12月26日取得上海市工商行政管理局换发的</w:t>
      </w:r>
      <w:r>
        <w:rPr>
          <w:spacing w:val="-80"/>
        </w:rPr>
        <w:t> </w:t>
      </w:r>
      <w:r>
        <w:rPr>
          <w:spacing w:val="-80"/>
        </w:rPr>
      </w:r>
      <w:r>
        <w:rPr/>
        <w:t>310115400147263号企业法人营业执照，注册资本为人民币40,000,000.00元，股东为周炜等26名自然人。 </w:t>
      </w:r>
    </w:p>
    <w:p>
      <w:pPr>
        <w:pStyle w:val="BodyText"/>
        <w:spacing w:line="316" w:lineRule="auto" w:before="19"/>
        <w:ind w:right="188" w:firstLine="360"/>
        <w:jc w:val="both"/>
      </w:pPr>
      <w:r>
        <w:rPr>
          <w:spacing w:val="-2"/>
        </w:rPr>
        <w:t>经中国证券监督管理委员会证监许可[2011]1129号文《关于核准上海金仕达卫宁软件股份有限公司首次公开发行股票并</w:t>
      </w:r>
      <w:r>
        <w:rPr/>
        <w:t> </w:t>
      </w:r>
      <w:r>
        <w:rPr>
          <w:spacing w:val="-2"/>
        </w:rPr>
        <w:t>在创业板上市的批复》，2011年8月本公司发行社会公众股13,500,000.00股，每股面值1元，发行后总股本为53,500,000.00</w:t>
      </w:r>
      <w:r>
        <w:rPr>
          <w:spacing w:val="-34"/>
        </w:rPr>
        <w:t> </w:t>
      </w:r>
      <w:r>
        <w:rPr>
          <w:spacing w:val="-34"/>
        </w:rPr>
      </w:r>
      <w:r>
        <w:rPr/>
        <w:t>元。此次变更业经中磊会计师事务所有限责任公司中磊验字[2011]第0067号验资报告验证，并于2011年11月8日换发相同注</w:t>
      </w:r>
      <w:r>
        <w:rPr>
          <w:spacing w:val="-86"/>
        </w:rPr>
        <w:t> </w:t>
      </w:r>
      <w:r>
        <w:rPr>
          <w:spacing w:val="-86"/>
        </w:rPr>
      </w:r>
      <w:r>
        <w:rPr/>
        <w:t>册号的企业法人营业执照，注册资本为人民币53,500,000.00元。 </w:t>
      </w:r>
    </w:p>
    <w:p>
      <w:pPr>
        <w:pStyle w:val="BodyText"/>
        <w:spacing w:line="316" w:lineRule="auto" w:before="18"/>
        <w:ind w:right="188" w:firstLine="360"/>
        <w:jc w:val="both"/>
      </w:pPr>
      <w:r>
        <w:rPr>
          <w:spacing w:val="-2"/>
        </w:rPr>
        <w:t>经公司2012年5月16日2011年度股东大会决议，以截至2011年12月31日止公司总股本5,350万股为基数，以资本公积向全</w:t>
      </w:r>
      <w:r>
        <w:rPr/>
        <w:t> </w:t>
      </w:r>
      <w:r>
        <w:rPr>
          <w:spacing w:val="14"/>
        </w:rPr>
        <w:t>体股东每</w:t>
      </w:r>
      <w:r>
        <w:rPr>
          <w:spacing w:val="-70"/>
        </w:rPr>
        <w:t> </w:t>
      </w:r>
      <w:r>
        <w:rPr/>
        <w:t>10</w:t>
      </w:r>
      <w:r>
        <w:rPr>
          <w:spacing w:val="-69"/>
        </w:rPr>
        <w:t> </w:t>
      </w:r>
      <w:r>
        <w:rPr>
          <w:spacing w:val="13"/>
        </w:rPr>
        <w:t>股转增</w:t>
      </w:r>
      <w:r>
        <w:rPr>
          <w:spacing w:val="-70"/>
        </w:rPr>
        <w:t> </w:t>
      </w:r>
      <w:r>
        <w:rPr/>
        <w:t>10</w:t>
      </w:r>
      <w:r>
        <w:rPr>
          <w:spacing w:val="-69"/>
        </w:rPr>
        <w:t> </w:t>
      </w:r>
      <w:r>
        <w:rPr>
          <w:spacing w:val="9"/>
        </w:rPr>
        <w:t>股，</w:t>
      </w:r>
      <w:r>
        <w:rPr>
          <w:spacing w:val="-70"/>
        </w:rPr>
        <w:t> </w:t>
      </w:r>
      <w:r>
        <w:rPr>
          <w:spacing w:val="14"/>
        </w:rPr>
        <w:t>共计转增</w:t>
      </w:r>
      <w:r>
        <w:rPr>
          <w:spacing w:val="-70"/>
        </w:rPr>
        <w:t> </w:t>
      </w:r>
      <w:r>
        <w:rPr/>
        <w:t>5,350</w:t>
      </w:r>
      <w:r>
        <w:rPr>
          <w:spacing w:val="-69"/>
        </w:rPr>
        <w:t> </w:t>
      </w:r>
      <w:r>
        <w:rPr>
          <w:spacing w:val="12"/>
        </w:rPr>
        <w:t>万股，</w:t>
      </w:r>
      <w:r>
        <w:rPr>
          <w:spacing w:val="-70"/>
        </w:rPr>
        <w:t> </w:t>
      </w:r>
      <w:r>
        <w:rPr>
          <w:spacing w:val="17"/>
        </w:rPr>
        <w:t>增加注册资本人民币</w:t>
      </w:r>
      <w:r>
        <w:rPr>
          <w:spacing w:val="-70"/>
        </w:rPr>
        <w:t> </w:t>
      </w:r>
      <w:r>
        <w:rPr/>
        <w:t>53,500,000.00</w:t>
      </w:r>
      <w:r>
        <w:rPr>
          <w:spacing w:val="-71"/>
        </w:rPr>
        <w:t> </w:t>
      </w:r>
      <w:r>
        <w:rPr>
          <w:spacing w:val="9"/>
        </w:rPr>
        <w:t>元，</w:t>
      </w:r>
      <w:r>
        <w:rPr>
          <w:spacing w:val="-70"/>
        </w:rPr>
        <w:t> </w:t>
      </w:r>
      <w:r>
        <w:rPr>
          <w:spacing w:val="18"/>
        </w:rPr>
        <w:t>变更后注册资本为人民币</w:t>
      </w:r>
      <w:r>
        <w:rPr>
          <w:spacing w:val="-88"/>
        </w:rPr>
        <w:t> </w:t>
      </w:r>
      <w:r>
        <w:rPr>
          <w:spacing w:val="-88"/>
        </w:rPr>
      </w:r>
      <w:r>
        <w:rPr>
          <w:spacing w:val="-3"/>
        </w:rPr>
        <w:t>107,000,000.00元。此次变更业经中磊会计师事务所有限责任公司（2012）中磊（验A）字第0012号验资报告验证，并于2012</w:t>
      </w:r>
      <w:r>
        <w:rPr>
          <w:spacing w:val="-60"/>
        </w:rPr>
        <w:t> </w:t>
      </w:r>
      <w:r>
        <w:rPr>
          <w:spacing w:val="-60"/>
        </w:rPr>
      </w:r>
      <w:r>
        <w:rPr/>
        <w:t>年6月20日换发相同注册号的企业法人营业执照，注册资本为人民币107,000,000.00元。 </w:t>
      </w:r>
    </w:p>
    <w:p>
      <w:pPr>
        <w:pStyle w:val="BodyText"/>
        <w:spacing w:line="316" w:lineRule="auto" w:before="18"/>
        <w:ind w:right="189" w:firstLine="360"/>
        <w:jc w:val="both"/>
      </w:pPr>
      <w:r>
        <w:rPr>
          <w:spacing w:val="-2"/>
        </w:rPr>
        <w:t>截至2013年12月31日止，公司股票期权激励计划首次授予股票期权第一批共计行权967,100.00股，引起公司股本数量增</w:t>
      </w:r>
      <w:r>
        <w:rPr/>
        <w:t> </w:t>
      </w:r>
      <w:r>
        <w:rPr>
          <w:spacing w:val="-2"/>
        </w:rPr>
        <w:t>加967,100.00股，公司申请增加股本967,100.00元，变更后总股本为107,967,100.00元。上述股本于2014年3月3日业经华普</w:t>
      </w:r>
      <w:r>
        <w:rPr>
          <w:spacing w:val="-29"/>
        </w:rPr>
        <w:t> </w:t>
      </w:r>
      <w:r>
        <w:rPr>
          <w:spacing w:val="-29"/>
        </w:rPr>
      </w:r>
      <w:r>
        <w:rPr/>
        <w:t>天健会计师事务所（特殊普通合伙）会验字[2014]0292号验资报告验证。 </w:t>
      </w:r>
    </w:p>
    <w:p>
      <w:pPr>
        <w:pStyle w:val="BodyText"/>
        <w:spacing w:line="316" w:lineRule="auto" w:before="18"/>
        <w:ind w:right="188" w:firstLine="360"/>
        <w:jc w:val="both"/>
      </w:pPr>
      <w:r>
        <w:rPr/>
        <w:t>经公司2014年3月28日2013年度股东大会决议，以截至2013年12月31日止公司总股本107,967,100.00股为基数，以资本 </w:t>
      </w:r>
      <w:r>
        <w:rPr>
          <w:spacing w:val="-2"/>
        </w:rPr>
        <w:t>公积向全体股东每10股转增10股，共计转增107,967,098.00股，增加股本107,967,098.00元，变更后股本为215,934,198.00</w:t>
      </w:r>
      <w:r>
        <w:rPr>
          <w:spacing w:val="-22"/>
        </w:rPr>
        <w:t> </w:t>
      </w:r>
      <w:r>
        <w:rPr>
          <w:spacing w:val="-22"/>
        </w:rPr>
      </w:r>
      <w:r>
        <w:rPr/>
        <w:t>元。 </w:t>
      </w:r>
    </w:p>
    <w:p>
      <w:pPr>
        <w:pStyle w:val="BodyText"/>
        <w:spacing w:line="240" w:lineRule="auto" w:before="18"/>
        <w:ind w:left="512" w:right="93"/>
        <w:jc w:val="left"/>
      </w:pPr>
      <w:r>
        <w:rPr/>
        <w:t>2014年度公司股票期权激励计划首次授予股票期权及预留部分股票期权共计行权2,561,170.00股，引起公司股本增加</w:t>
      </w:r>
    </w:p>
    <w:p>
      <w:pPr>
        <w:pStyle w:val="BodyText"/>
        <w:spacing w:line="316" w:lineRule="auto" w:before="76"/>
        <w:ind w:left="512" w:right="181" w:hanging="361"/>
        <w:jc w:val="left"/>
      </w:pPr>
      <w:r>
        <w:rPr/>
        <w:t>2,561,170.00元，截至2014年12月31日止公司总股本变更为218,495,368.00元。 </w:t>
      </w:r>
      <w:r>
        <w:rPr>
          <w:spacing w:val="-2"/>
        </w:rPr>
        <w:t>经2015年3月23日2014年度股东大会决议，以公司实施2014</w:t>
      </w:r>
      <w:r>
        <w:rPr>
          <w:spacing w:val="30"/>
        </w:rPr>
        <w:t> </w:t>
      </w:r>
      <w:r>
        <w:rPr>
          <w:spacing w:val="-2"/>
        </w:rPr>
        <w:t>年度权益分配方案时股权登记日的总股本为基数，向全体股</w:t>
      </w:r>
    </w:p>
    <w:p>
      <w:pPr>
        <w:pStyle w:val="BodyText"/>
        <w:spacing w:line="316" w:lineRule="auto" w:before="18"/>
        <w:ind w:right="189"/>
        <w:jc w:val="both"/>
      </w:pPr>
      <w:r>
        <w:rPr/>
        <w:t>东每10股送5股；共计送股109,268,971股；同时，以资本公积金向全体股东每10股转增10股，共计转增218,537,943股，合</w:t>
      </w:r>
      <w:r>
        <w:rPr>
          <w:spacing w:val="-85"/>
        </w:rPr>
        <w:t> </w:t>
      </w:r>
      <w:r>
        <w:rPr>
          <w:spacing w:val="-85"/>
        </w:rPr>
      </w:r>
      <w:r>
        <w:rPr>
          <w:spacing w:val="-2"/>
        </w:rPr>
        <w:t>计增加股本327,806,914元，变更后股本总额546,344,857元。此次变更同时换取相同注册号的企业法人营业执照，注册资本</w:t>
      </w:r>
      <w:r>
        <w:rPr>
          <w:spacing w:val="-46"/>
        </w:rPr>
        <w:t> </w:t>
      </w:r>
      <w:r>
        <w:rPr>
          <w:spacing w:val="-46"/>
        </w:rPr>
      </w:r>
      <w:r>
        <w:rPr/>
        <w:t>人民币546,344,857元。 </w:t>
      </w:r>
    </w:p>
    <w:p>
      <w:pPr>
        <w:pStyle w:val="BodyText"/>
        <w:spacing w:line="316" w:lineRule="auto" w:before="18"/>
        <w:ind w:right="189" w:firstLine="360"/>
        <w:jc w:val="both"/>
      </w:pPr>
      <w:r>
        <w:rPr>
          <w:spacing w:val="-2"/>
        </w:rPr>
        <w:t>2015年度，公司股票期权激励计划首次授予股票期权及预留授予股票期权、2014年度股票期权激励计划首次授予股票期</w:t>
      </w:r>
      <w:r>
        <w:rPr/>
        <w:t> </w:t>
      </w:r>
      <w:r>
        <w:rPr>
          <w:spacing w:val="-2"/>
        </w:rPr>
        <w:t>权共计行权8,893,754.00股，引起公司股本增加8,893,754.00元，截至2015年12月31日止公司总股本变更为555,196,036.00</w:t>
      </w:r>
      <w:r>
        <w:rPr>
          <w:spacing w:val="-20"/>
        </w:rPr>
        <w:t> </w:t>
      </w:r>
      <w:r>
        <w:rPr>
          <w:spacing w:val="-20"/>
        </w:rPr>
      </w:r>
      <w:r>
        <w:rPr/>
        <w:t>元。 </w:t>
      </w:r>
    </w:p>
    <w:p>
      <w:pPr>
        <w:pStyle w:val="BodyText"/>
        <w:spacing w:line="319" w:lineRule="auto" w:before="18"/>
        <w:ind w:right="194" w:firstLine="360"/>
        <w:jc w:val="both"/>
      </w:pPr>
      <w:r>
        <w:rPr/>
        <w:t>经2015年12月1日2015年第二次临时股东大会决议，上海金仕达卫宁软件股份有限公司更名为卫宁健康科技集团股份有 限公司。 </w:t>
      </w:r>
    </w:p>
    <w:p>
      <w:pPr>
        <w:pStyle w:val="BodyText"/>
        <w:spacing w:line="316" w:lineRule="auto" w:before="17"/>
        <w:ind w:left="512" w:right="4233"/>
        <w:jc w:val="left"/>
      </w:pPr>
      <w:r>
        <w:rPr/>
        <w:t>公司总部的注册地址：上海市浦东新区上南路4184号258室 法定代表人：周炜 </w:t>
      </w:r>
    </w:p>
    <w:p>
      <w:pPr>
        <w:pStyle w:val="BodyText"/>
        <w:spacing w:line="316" w:lineRule="auto" w:before="19"/>
        <w:ind w:right="102" w:firstLine="360"/>
        <w:jc w:val="both"/>
      </w:pPr>
      <w:r>
        <w:rPr>
          <w:spacing w:val="-2"/>
        </w:rPr>
        <w:t>经营范围：健康科技领域内技术开发、技术转让、技术咨询；健康咨询（不得从事诊疗活动、心里咨询）；Ⅱ类医疗器</w:t>
      </w:r>
      <w:r>
        <w:rPr/>
        <w:t> </w:t>
      </w:r>
      <w:r>
        <w:rPr>
          <w:spacing w:val="-2"/>
        </w:rPr>
        <w:t>械（详见医疗器械生产许可证）；对外投资；项目投资；计算机软件的开发、设计和制作，销售自产产品，计算机及辅助设</w:t>
      </w:r>
      <w:r>
        <w:rPr>
          <w:spacing w:val="-65"/>
        </w:rPr>
        <w:t> </w:t>
      </w:r>
      <w:r>
        <w:rPr>
          <w:spacing w:val="-65"/>
        </w:rPr>
      </w:r>
      <w:r>
        <w:rPr>
          <w:spacing w:val="-5"/>
        </w:rPr>
        <w:t>备的销售，计算机网络信息系统集成的维护并提供相关的技术咨询和技术服务（企业经营涉及行政许可的，凭许可证件经营）</w:t>
      </w:r>
      <w:r>
        <w:rPr/>
        <w:t> </w:t>
      </w:r>
    </w:p>
    <w:p>
      <w:pPr>
        <w:spacing w:after="0" w:line="316"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439" w:lineRule="auto" w:before="44"/>
        <w:ind w:left="632" w:right="4376" w:hanging="120"/>
        <w:jc w:val="left"/>
      </w:pPr>
      <w:r>
        <w:rPr/>
        <w:t>本财务报表业经本公司董事会于2016年3月24日决议批准报出。 </w:t>
      </w:r>
      <w:r>
        <w:rPr>
          <w:rFonts w:ascii="宋体" w:hAnsi="宋体" w:cs="宋体" w:eastAsia="宋体" w:hint="default"/>
          <w:b/>
          <w:bCs/>
        </w:rPr>
        <w:t>2．合并财务报表范围</w:t>
      </w:r>
      <w:r>
        <w:rPr>
          <w:rFonts w:ascii="宋体" w:hAnsi="宋体" w:cs="宋体" w:eastAsia="宋体" w:hint="default"/>
          <w:b/>
          <w:bCs/>
          <w:w w:val="99"/>
        </w:rPr>
        <w:t> </w:t>
      </w:r>
      <w:r>
        <w:rPr/>
        <w:t>本公司本期纳入合并范围的子公司如下： </w:t>
      </w:r>
    </w:p>
    <w:p>
      <w:pPr>
        <w:spacing w:line="240" w:lineRule="auto" w:before="13"/>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985"/>
        <w:gridCol w:w="6662"/>
      </w:tblGrid>
      <w:tr>
        <w:trPr>
          <w:trHeight w:val="470" w:hRule="exact"/>
        </w:trPr>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7"/>
              <w:ind w:left="92" w:right="0"/>
              <w:jc w:val="center"/>
              <w:rPr>
                <w:rFonts w:ascii="宋体" w:hAnsi="宋体" w:cs="宋体" w:eastAsia="宋体" w:hint="default"/>
                <w:sz w:val="18"/>
                <w:szCs w:val="18"/>
              </w:rPr>
            </w:pPr>
            <w:r>
              <w:rPr>
                <w:rFonts w:ascii="宋体" w:hAnsi="宋体" w:cs="宋体" w:eastAsia="宋体" w:hint="default"/>
                <w:sz w:val="18"/>
                <w:szCs w:val="18"/>
              </w:rPr>
              <w:t>序号 </w:t>
            </w:r>
          </w:p>
        </w:tc>
        <w:tc>
          <w:tcPr>
            <w:tcW w:w="666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37"/>
              <w:ind w:left="85" w:right="0"/>
              <w:jc w:val="center"/>
              <w:rPr>
                <w:rFonts w:ascii="宋体" w:hAnsi="宋体" w:cs="宋体" w:eastAsia="宋体" w:hint="default"/>
                <w:sz w:val="18"/>
                <w:szCs w:val="18"/>
              </w:rPr>
            </w:pPr>
            <w:r>
              <w:rPr>
                <w:rFonts w:ascii="宋体" w:hAnsi="宋体" w:cs="宋体" w:eastAsia="宋体" w:hint="default"/>
                <w:sz w:val="18"/>
                <w:szCs w:val="18"/>
              </w:rPr>
              <w:t>子公司全称 </w:t>
            </w:r>
          </w:p>
        </w:tc>
      </w:tr>
      <w:tr>
        <w:trPr>
          <w:trHeight w:val="466"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92" w:right="0"/>
              <w:jc w:val="center"/>
              <w:rPr>
                <w:rFonts w:ascii="宋体" w:hAnsi="宋体" w:cs="宋体" w:eastAsia="宋体" w:hint="default"/>
                <w:sz w:val="18"/>
                <w:szCs w:val="18"/>
              </w:rPr>
            </w:pPr>
            <w:r>
              <w:rPr>
                <w:rFonts w:ascii="宋体"/>
                <w:sz w:val="18"/>
              </w:rPr>
              <w:t>1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江苏金仕达卫宁软件有限公司 </w:t>
            </w:r>
          </w:p>
        </w:tc>
      </w:tr>
      <w:tr>
        <w:trPr>
          <w:trHeight w:val="468"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92" w:right="0"/>
              <w:jc w:val="center"/>
              <w:rPr>
                <w:rFonts w:ascii="宋体" w:hAnsi="宋体" w:cs="宋体" w:eastAsia="宋体" w:hint="default"/>
                <w:sz w:val="18"/>
                <w:szCs w:val="18"/>
              </w:rPr>
            </w:pPr>
            <w:r>
              <w:rPr>
                <w:rFonts w:ascii="宋体"/>
                <w:sz w:val="18"/>
              </w:rPr>
              <w:t>2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上海金仕达卫宁软件科技有限公司 </w:t>
            </w:r>
          </w:p>
        </w:tc>
      </w:tr>
      <w:tr>
        <w:trPr>
          <w:trHeight w:val="466"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92" w:right="0"/>
              <w:jc w:val="center"/>
              <w:rPr>
                <w:rFonts w:ascii="宋体" w:hAnsi="宋体" w:cs="宋体" w:eastAsia="宋体" w:hint="default"/>
                <w:sz w:val="18"/>
                <w:szCs w:val="18"/>
              </w:rPr>
            </w:pPr>
            <w:r>
              <w:rPr>
                <w:rFonts w:ascii="宋体"/>
                <w:sz w:val="18"/>
              </w:rPr>
              <w:t>3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西安金仕达卫宁软件有限公司 </w:t>
            </w:r>
          </w:p>
        </w:tc>
      </w:tr>
      <w:tr>
        <w:trPr>
          <w:trHeight w:val="468"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92" w:right="0"/>
              <w:jc w:val="center"/>
              <w:rPr>
                <w:rFonts w:ascii="宋体" w:hAnsi="宋体" w:cs="宋体" w:eastAsia="宋体" w:hint="default"/>
                <w:sz w:val="18"/>
                <w:szCs w:val="18"/>
              </w:rPr>
            </w:pPr>
            <w:r>
              <w:rPr>
                <w:rFonts w:ascii="宋体"/>
                <w:sz w:val="18"/>
              </w:rPr>
              <w:t>4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新疆金仕达卫宁软件有限公司 </w:t>
            </w:r>
          </w:p>
        </w:tc>
      </w:tr>
      <w:tr>
        <w:trPr>
          <w:trHeight w:val="466"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92" w:right="0"/>
              <w:jc w:val="center"/>
              <w:rPr>
                <w:rFonts w:ascii="宋体" w:hAnsi="宋体" w:cs="宋体" w:eastAsia="宋体" w:hint="default"/>
                <w:sz w:val="18"/>
                <w:szCs w:val="18"/>
              </w:rPr>
            </w:pPr>
            <w:r>
              <w:rPr>
                <w:rFonts w:ascii="宋体"/>
                <w:sz w:val="18"/>
              </w:rPr>
              <w:t>5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山西金仕达卫宁软件科技有限公司 </w:t>
            </w:r>
          </w:p>
        </w:tc>
      </w:tr>
      <w:tr>
        <w:trPr>
          <w:trHeight w:val="468"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92" w:right="0"/>
              <w:jc w:val="center"/>
              <w:rPr>
                <w:rFonts w:ascii="宋体" w:hAnsi="宋体" w:cs="宋体" w:eastAsia="宋体" w:hint="default"/>
                <w:sz w:val="18"/>
                <w:szCs w:val="18"/>
              </w:rPr>
            </w:pPr>
            <w:r>
              <w:rPr>
                <w:rFonts w:ascii="宋体"/>
                <w:sz w:val="18"/>
              </w:rPr>
              <w:t>6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北京宇信网景信息技术有限公司 </w:t>
            </w:r>
          </w:p>
        </w:tc>
      </w:tr>
      <w:tr>
        <w:trPr>
          <w:trHeight w:val="468"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92" w:right="0"/>
              <w:jc w:val="center"/>
              <w:rPr>
                <w:rFonts w:ascii="宋体" w:hAnsi="宋体" w:cs="宋体" w:eastAsia="宋体" w:hint="default"/>
                <w:sz w:val="18"/>
                <w:szCs w:val="18"/>
              </w:rPr>
            </w:pPr>
            <w:r>
              <w:rPr>
                <w:rFonts w:ascii="宋体"/>
                <w:sz w:val="18"/>
              </w:rPr>
              <w:t>7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上海天健源达信息科技有限公司 </w:t>
            </w:r>
          </w:p>
        </w:tc>
      </w:tr>
      <w:tr>
        <w:trPr>
          <w:trHeight w:val="466"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92" w:right="0"/>
              <w:jc w:val="center"/>
              <w:rPr>
                <w:rFonts w:ascii="宋体" w:hAnsi="宋体" w:cs="宋体" w:eastAsia="宋体" w:hint="default"/>
                <w:sz w:val="18"/>
                <w:szCs w:val="18"/>
              </w:rPr>
            </w:pPr>
            <w:r>
              <w:rPr>
                <w:rFonts w:ascii="宋体"/>
                <w:sz w:val="18"/>
              </w:rPr>
              <w:t>8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杭州东联软件有限公司 </w:t>
            </w:r>
          </w:p>
        </w:tc>
      </w:tr>
      <w:tr>
        <w:trPr>
          <w:trHeight w:val="468"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92" w:right="0"/>
              <w:jc w:val="center"/>
              <w:rPr>
                <w:rFonts w:ascii="宋体" w:hAnsi="宋体" w:cs="宋体" w:eastAsia="宋体" w:hint="default"/>
                <w:sz w:val="18"/>
                <w:szCs w:val="18"/>
              </w:rPr>
            </w:pPr>
            <w:r>
              <w:rPr>
                <w:rFonts w:ascii="宋体"/>
                <w:sz w:val="18"/>
              </w:rPr>
              <w:t>9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 </w:t>
            </w:r>
          </w:p>
        </w:tc>
      </w:tr>
      <w:tr>
        <w:trPr>
          <w:trHeight w:val="466"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94" w:right="0"/>
              <w:jc w:val="center"/>
              <w:rPr>
                <w:rFonts w:ascii="宋体" w:hAnsi="宋体" w:cs="宋体" w:eastAsia="宋体" w:hint="default"/>
                <w:sz w:val="18"/>
                <w:szCs w:val="18"/>
              </w:rPr>
            </w:pPr>
            <w:r>
              <w:rPr>
                <w:rFonts w:ascii="宋体"/>
                <w:sz w:val="18"/>
              </w:rPr>
              <w:t>10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宁波金仕达卫宁软件有限公司 </w:t>
            </w:r>
          </w:p>
        </w:tc>
      </w:tr>
      <w:tr>
        <w:trPr>
          <w:trHeight w:val="468"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94" w:right="0"/>
              <w:jc w:val="center"/>
              <w:rPr>
                <w:rFonts w:ascii="宋体" w:hAnsi="宋体" w:cs="宋体" w:eastAsia="宋体" w:hint="default"/>
                <w:sz w:val="18"/>
                <w:szCs w:val="18"/>
              </w:rPr>
            </w:pPr>
            <w:r>
              <w:rPr>
                <w:rFonts w:ascii="宋体"/>
                <w:sz w:val="18"/>
              </w:rPr>
              <w:t>11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重庆金仕达卫宁软件有限公司 </w:t>
            </w:r>
          </w:p>
        </w:tc>
      </w:tr>
      <w:tr>
        <w:trPr>
          <w:trHeight w:val="468" w:hRule="exact"/>
        </w:trPr>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94" w:right="0"/>
              <w:jc w:val="center"/>
              <w:rPr>
                <w:rFonts w:ascii="宋体" w:hAnsi="宋体" w:cs="宋体" w:eastAsia="宋体" w:hint="default"/>
                <w:sz w:val="18"/>
                <w:szCs w:val="18"/>
              </w:rPr>
            </w:pPr>
            <w:r>
              <w:rPr>
                <w:rFonts w:ascii="宋体"/>
                <w:sz w:val="18"/>
              </w:rPr>
              <w:t>12 </w:t>
            </w:r>
          </w:p>
        </w:tc>
        <w:tc>
          <w:tcPr>
            <w:tcW w:w="66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sz w:val="18"/>
                <w:szCs w:val="18"/>
              </w:rPr>
              <w:t>黑龙江金仕达卫宁软件有限公司 </w:t>
            </w:r>
          </w:p>
        </w:tc>
      </w:tr>
    </w:tbl>
    <w:p>
      <w:pPr>
        <w:pStyle w:val="BodyText"/>
        <w:spacing w:line="240" w:lineRule="auto" w:before="8"/>
        <w:ind w:right="148"/>
        <w:jc w:val="left"/>
      </w:pPr>
      <w:r>
        <w:rPr/>
        <w:t>本期合并财务报表范围及其变化情况详见本附注“八、合并范围的变更”和本附注“九、在其他主体中的权益”。 </w:t>
      </w:r>
    </w:p>
    <w:p>
      <w:pPr>
        <w:spacing w:line="240" w:lineRule="auto" w:before="3"/>
        <w:rPr>
          <w:rFonts w:ascii="宋体" w:hAnsi="宋体" w:cs="宋体" w:eastAsia="宋体" w:hint="default"/>
          <w:sz w:val="25"/>
          <w:szCs w:val="25"/>
        </w:rPr>
      </w:pPr>
    </w:p>
    <w:p>
      <w:pPr>
        <w:pStyle w:val="Heading2"/>
        <w:spacing w:line="240" w:lineRule="auto"/>
        <w:ind w:right="148"/>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48" w:firstLine="360"/>
        <w:jc w:val="left"/>
      </w:pPr>
      <w:r>
        <w:rPr>
          <w:spacing w:val="-2"/>
        </w:rPr>
        <w:t>本公司以持续经营为基础，根据实际发生的交易和事项，按照企业会计准则及其应用指南和准则解释的规定进行确认和</w:t>
      </w:r>
      <w:r>
        <w:rPr/>
        <w:t> 计量，在此基础上编制财务报表。</w:t>
      </w:r>
    </w:p>
    <w:p>
      <w:pPr>
        <w:spacing w:line="240" w:lineRule="auto" w:before="8"/>
        <w:rPr>
          <w:rFonts w:ascii="宋体" w:hAnsi="宋体" w:cs="宋体" w:eastAsia="宋体" w:hint="default"/>
          <w:sz w:val="22"/>
          <w:szCs w:val="22"/>
        </w:rPr>
      </w:pPr>
    </w:p>
    <w:p>
      <w:pPr>
        <w:pStyle w:val="Heading3"/>
        <w:spacing w:line="240" w:lineRule="auto"/>
        <w:ind w:right="148"/>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8" w:firstLine="360"/>
        <w:jc w:val="left"/>
      </w:pPr>
      <w:r>
        <w:rPr>
          <w:spacing w:val="-2"/>
        </w:rPr>
        <w:t>本公司对自报告期末起12个月的持续经营能力进行了评估，未发现影响本公司持续经营能力的事项，本公司以持续经营</w:t>
      </w:r>
      <w:r>
        <w:rPr/>
        <w:t> 为基础编制财务报表是合理的。 </w:t>
      </w:r>
    </w:p>
    <w:p>
      <w:pPr>
        <w:spacing w:line="240" w:lineRule="auto" w:before="11"/>
        <w:rPr>
          <w:rFonts w:ascii="宋体" w:hAnsi="宋体" w:cs="宋体" w:eastAsia="宋体" w:hint="default"/>
          <w:sz w:val="20"/>
          <w:szCs w:val="20"/>
        </w:rPr>
      </w:pPr>
    </w:p>
    <w:p>
      <w:pPr>
        <w:pStyle w:val="Heading2"/>
        <w:spacing w:line="240" w:lineRule="auto"/>
        <w:ind w:right="148"/>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441" w:lineRule="auto"/>
        <w:ind w:left="512" w:right="148" w:hanging="361"/>
        <w:jc w:val="left"/>
      </w:pPr>
      <w:r>
        <w:rPr/>
        <w:t>具体会计政策和会计估计提示： 本公司下列重要会计政策、会计估计根据企业会计准则制定。未提及的业务按企业会计准则中相关会计政策执行。 </w:t>
      </w:r>
    </w:p>
    <w:p>
      <w:pPr>
        <w:spacing w:after="0" w:line="441"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3" w:firstLine="360"/>
        <w:jc w:val="left"/>
      </w:pPr>
      <w:r>
        <w:rPr>
          <w:spacing w:val="-2"/>
        </w:rPr>
        <w:t>本公司所编制的财务报表符合企业会计准则的要求，真实、完整地反映了公司的财务状况、经营成果、所有者权益变动</w:t>
      </w:r>
      <w:r>
        <w:rPr/>
        <w:t> 和现金流量等有关信息。 </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3"/>
        <w:jc w:val="left"/>
      </w:pPr>
      <w:r>
        <w:rPr/>
        <w:t>本公司会计年度自公历1月1日起至12月31日止。 </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3"/>
        <w:jc w:val="left"/>
      </w:pPr>
      <w:r>
        <w:rPr/>
        <w:t>本公司正常营业周期为12个月。 </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3"/>
        <w:jc w:val="left"/>
      </w:pPr>
      <w:r>
        <w:rPr/>
        <w:t>本公司的记账本位币为人民币。 </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spacing w:line="319" w:lineRule="auto" w:before="0"/>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（1）同一控制下的企业合并</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本公司在企业合并中取得的资产和负债，在合并日按取得被合并方在最终控制方合并财务报表中的账面价值计量。其中，</w:t>
      </w:r>
    </w:p>
    <w:p>
      <w:pPr>
        <w:pStyle w:val="BodyText"/>
        <w:spacing w:line="316" w:lineRule="auto" w:before="17"/>
        <w:ind w:right="192"/>
        <w:jc w:val="both"/>
      </w:pPr>
      <w:r>
        <w:rPr>
          <w:spacing w:val="-2"/>
        </w:rPr>
        <w:t>对于被合并方与本公司在企业合并前采用的会计政策不同的，基于重要性原则统一会计政策，即按照本公司的会计政策对被</w:t>
      </w:r>
      <w:r>
        <w:rPr>
          <w:spacing w:val="-64"/>
        </w:rPr>
        <w:t> </w:t>
      </w:r>
      <w:r>
        <w:rPr>
          <w:spacing w:val="-64"/>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66"/>
        </w:rPr>
        <w:t> </w:t>
      </w:r>
      <w:r>
        <w:rPr>
          <w:spacing w:val="-66"/>
        </w:rPr>
      </w:r>
      <w:r>
        <w:rPr/>
        <w:t>和未分配利润。 </w:t>
      </w:r>
    </w:p>
    <w:p>
      <w:pPr>
        <w:spacing w:line="319"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（2）非同一控制下的企业合并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本公司在企业合并中取得的被购买方各项可辨认资产和负债，在购买日按其公允价值计量。其中，对于被购买方与本公</w:t>
      </w:r>
    </w:p>
    <w:p>
      <w:pPr>
        <w:pStyle w:val="BodyText"/>
        <w:spacing w:line="316" w:lineRule="auto" w:before="17"/>
        <w:ind w:right="189"/>
        <w:jc w:val="both"/>
      </w:pPr>
      <w:r>
        <w:rPr>
          <w:spacing w:val="-2"/>
        </w:rPr>
        <w:t>司在企业合并前采用的会计政策不同的，基于重要性原则统一会计政策，即按照本公司的会计政策对被购买方资产、负债的</w:t>
      </w:r>
      <w:r>
        <w:rPr>
          <w:spacing w:val="-63"/>
        </w:rPr>
        <w:t> </w:t>
      </w:r>
      <w:r>
        <w:rPr>
          <w:spacing w:val="-63"/>
        </w:rPr>
      </w:r>
      <w:r>
        <w:rPr>
          <w:spacing w:val="-2"/>
        </w:rPr>
        <w:t>账面价值进行调整。本公司在购买日的合并成本大于企业合并中取得的被购买方可辨认资产、负债公允价值的差额，确认为</w:t>
      </w:r>
      <w:r>
        <w:rPr>
          <w:spacing w:val="-66"/>
        </w:rPr>
        <w:t> </w:t>
      </w:r>
      <w:r>
        <w:rPr>
          <w:spacing w:val="-66"/>
        </w:rPr>
      </w:r>
      <w:r>
        <w:rPr>
          <w:spacing w:val="-2"/>
        </w:rPr>
        <w:t>商誉；如果合并成本小于企业合并中取得的被购买方可辨认资产、负债公允价值的差额，首先对合并成本以及在企业合并中</w:t>
      </w:r>
      <w:r>
        <w:rPr>
          <w:spacing w:val="-65"/>
        </w:rPr>
        <w:t> </w:t>
      </w:r>
      <w:r>
        <w:rPr>
          <w:spacing w:val="-65"/>
        </w:rPr>
      </w:r>
      <w:r>
        <w:rPr>
          <w:spacing w:val="-2"/>
        </w:rPr>
        <w:t>取得的被购买方可辨认资产、负债的公允价值进行复核，经复核后合并成本仍小于取得的被购买方可辨认资产、负债公允价</w:t>
      </w:r>
      <w:r>
        <w:rPr>
          <w:spacing w:val="-63"/>
        </w:rPr>
        <w:t> </w:t>
      </w:r>
      <w:r>
        <w:rPr>
          <w:spacing w:val="-63"/>
        </w:rPr>
      </w:r>
      <w:r>
        <w:rPr/>
        <w:t>值的，其差额确认为合并当期损益。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Heading4"/>
        <w:spacing w:line="240" w:lineRule="auto" w:before="0"/>
        <w:ind w:right="93"/>
        <w:jc w:val="left"/>
        <w:rPr>
          <w:b w:val="0"/>
          <w:bCs w:val="0"/>
        </w:rPr>
      </w:pPr>
      <w:r>
        <w:rPr/>
        <w:t>（1）合并范围的确定</w:t>
      </w:r>
      <w:r>
        <w:rPr>
          <w:w w:val="99"/>
        </w:rPr>
        <w:t> </w:t>
      </w:r>
      <w:r>
        <w:rPr>
          <w:b w:val="0"/>
          <w:bCs w:val="0"/>
        </w:rPr>
      </w:r>
    </w:p>
    <w:p>
      <w:pPr>
        <w:pStyle w:val="BodyText"/>
        <w:spacing w:line="316" w:lineRule="auto" w:before="76"/>
        <w:ind w:right="177" w:firstLine="360"/>
        <w:jc w:val="left"/>
      </w:pPr>
      <w:r>
        <w:rPr/>
        <w:t>合并财务报表的合并范围以控制为基础予以确定,</w:t>
      </w:r>
      <w:r>
        <w:rPr>
          <w:spacing w:val="6"/>
        </w:rPr>
        <w:t> </w:t>
      </w:r>
      <w:r>
        <w:rPr>
          <w:spacing w:val="-3"/>
        </w:rPr>
        <w:t>不仅包括根据表决权（或类似表决权）本身或者结合其他安排确定的</w:t>
      </w:r>
      <w:r>
        <w:rPr/>
        <w:t> 子公司，也包括基于一项或多项合同安排决定的结构化主体。 </w:t>
      </w:r>
    </w:p>
    <w:p>
      <w:pPr>
        <w:pStyle w:val="BodyText"/>
        <w:spacing w:line="316" w:lineRule="auto" w:before="18"/>
        <w:ind w:right="189" w:firstLine="360"/>
        <w:jc w:val="both"/>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5"/>
        </w:rPr>
        <w:t> </w:t>
      </w:r>
      <w:r>
        <w:rPr>
          <w:spacing w:val="-65"/>
        </w:rPr>
      </w:r>
      <w:r>
        <w:rPr>
          <w:spacing w:val="-2"/>
        </w:rPr>
        <w:t>体等），结构化主体是指在确定其控制方时没有将表决权或类似权利作为决定性因素而设计的主体（注：有时也称为特殊目</w:t>
      </w:r>
      <w:r>
        <w:rPr>
          <w:spacing w:val="-66"/>
        </w:rPr>
        <w:t> </w:t>
      </w:r>
      <w:r>
        <w:rPr>
          <w:spacing w:val="-66"/>
        </w:rPr>
      </w:r>
      <w:r>
        <w:rPr/>
        <w:t>的主体）。 </w:t>
      </w:r>
    </w:p>
    <w:p>
      <w:pPr>
        <w:spacing w:line="316" w:lineRule="auto" w:before="19"/>
        <w:ind w:left="512" w:right="903" w:firstLine="0"/>
        <w:jc w:val="left"/>
        <w:rPr>
          <w:rFonts w:ascii="宋体" w:hAnsi="宋体" w:cs="宋体" w:eastAsia="宋体" w:hint="default"/>
          <w:sz w:val="18"/>
          <w:szCs w:val="18"/>
        </w:rPr>
      </w:pPr>
      <w:r>
        <w:rPr>
          <w:rFonts w:ascii="宋体" w:hAnsi="宋体" w:cs="宋体" w:eastAsia="宋体" w:hint="default"/>
          <w:b/>
          <w:bCs/>
          <w:sz w:val="18"/>
          <w:szCs w:val="18"/>
        </w:rPr>
        <w:t>（2）合并财务报表的编制方法</w:t>
      </w:r>
      <w:r>
        <w:rPr>
          <w:rFonts w:ascii="宋体" w:hAnsi="宋体" w:cs="宋体" w:eastAsia="宋体" w:hint="default"/>
          <w:sz w:val="18"/>
          <w:szCs w:val="18"/>
        </w:rPr>
        <w:t> 本公司以自身和子公司的财务报表为基础，根据其他有关资料，编制合并财务报表。 </w:t>
      </w:r>
    </w:p>
    <w:p>
      <w:pPr>
        <w:pStyle w:val="BodyText"/>
        <w:spacing w:line="240" w:lineRule="auto" w:before="18"/>
        <w:ind w:left="512" w:right="0"/>
        <w:jc w:val="left"/>
      </w:pPr>
      <w:r>
        <w:rPr/>
        <w:t>本公司编制合并财务报表，将整个企业集团视为一个会计主体，依据相关企业会计准则的确认、计量和列报要求，按照</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8"/>
        <w:jc w:val="left"/>
      </w:pPr>
      <w:r>
        <w:rPr/>
        <w:t>统一的会计政策，反映企业集团整体财务状况、经营成果和现金流量。 </w:t>
      </w:r>
    </w:p>
    <w:p>
      <w:pPr>
        <w:pStyle w:val="BodyText"/>
        <w:spacing w:line="240" w:lineRule="auto" w:before="76"/>
        <w:ind w:left="512" w:right="148"/>
        <w:jc w:val="left"/>
      </w:pPr>
      <w:r>
        <w:rPr/>
        <w:t>①合并母公司与子公司的资产、负债、所有者权益、收入、费用和现金流等项目。 </w:t>
      </w:r>
    </w:p>
    <w:p>
      <w:pPr>
        <w:pStyle w:val="BodyText"/>
        <w:spacing w:line="240" w:lineRule="auto" w:before="76"/>
        <w:ind w:left="512" w:right="148"/>
        <w:jc w:val="left"/>
      </w:pPr>
      <w:r>
        <w:rPr/>
        <w:t>②抵销母公司对子公司的长期股权投资与母公司在子公司所有者权益中所享有的份额。 </w:t>
      </w:r>
    </w:p>
    <w:p>
      <w:pPr>
        <w:pStyle w:val="BodyText"/>
        <w:spacing w:line="316" w:lineRule="auto" w:before="76"/>
        <w:ind w:right="148" w:firstLine="360"/>
        <w:jc w:val="left"/>
      </w:pPr>
      <w:r>
        <w:rPr>
          <w:spacing w:val="-2"/>
        </w:rPr>
        <w:t>③抵销母公司与子公司、子公司相互之间发生的内部交易的影响。内部交易表明相关资产发生减值损失的，应当全额确</w:t>
      </w:r>
      <w:r>
        <w:rPr/>
        <w:t> 认该部分损失。 </w:t>
      </w:r>
    </w:p>
    <w:p>
      <w:pPr>
        <w:pStyle w:val="BodyText"/>
        <w:spacing w:line="240" w:lineRule="auto" w:before="19"/>
        <w:ind w:left="512" w:right="148"/>
        <w:jc w:val="left"/>
      </w:pPr>
      <w:r>
        <w:rPr/>
        <w:t>④站在企业集团角度对特殊交易事项予以调整。</w:t>
      </w:r>
      <w:r>
        <w:rPr>
          <w:spacing w:val="1"/>
        </w:rPr>
        <w:t> </w:t>
      </w:r>
      <w:r>
        <w:rPr/>
        <w:t> </w:t>
      </w:r>
    </w:p>
    <w:p>
      <w:pPr>
        <w:pStyle w:val="Heading4"/>
        <w:spacing w:line="240" w:lineRule="auto"/>
        <w:ind w:right="148"/>
        <w:jc w:val="left"/>
        <w:rPr>
          <w:b w:val="0"/>
          <w:bCs w:val="0"/>
        </w:rPr>
      </w:pPr>
      <w:r>
        <w:rPr/>
        <w:t>（3）报告期内增减子公司的处理</w:t>
      </w:r>
      <w:r>
        <w:rPr>
          <w:w w:val="99"/>
        </w:rPr>
        <w:t> </w:t>
      </w:r>
      <w:r>
        <w:rPr>
          <w:b w:val="0"/>
          <w:bCs w:val="0"/>
        </w:rPr>
      </w:r>
    </w:p>
    <w:p>
      <w:pPr>
        <w:pStyle w:val="BodyText"/>
        <w:spacing w:line="319" w:lineRule="auto" w:before="76"/>
        <w:ind w:left="512" w:right="5813"/>
        <w:jc w:val="left"/>
      </w:pPr>
      <w:r>
        <w:rPr/>
        <w:t>①增加子公司或业务 A.同一控制下企业合并增加的子公司或业务 </w:t>
      </w:r>
    </w:p>
    <w:p>
      <w:pPr>
        <w:pStyle w:val="BodyText"/>
        <w:spacing w:line="316" w:lineRule="auto" w:before="17"/>
        <w:ind w:right="143" w:firstLine="360"/>
        <w:jc w:val="left"/>
      </w:pPr>
      <w:r>
        <w:rPr/>
        <w:t>（a）编制合并资产负债表时，调整合并资产负债表的期初数，同时对比较报表的相关项目进行调整，视同合并后的报 告主体自最终控制方开始控制时点起一直存在。 </w:t>
      </w:r>
    </w:p>
    <w:p>
      <w:pPr>
        <w:pStyle w:val="BodyText"/>
        <w:spacing w:line="316" w:lineRule="auto" w:before="19"/>
        <w:ind w:right="143" w:firstLine="360"/>
        <w:jc w:val="left"/>
      </w:pPr>
      <w:r>
        <w:rPr/>
        <w:t>（b）编制合并利润表时，将该子公司以及业务合并当期期初至报告期末的收入、费用、利润纳入合并利润表，同时对 比较报表的相关项目进行调整，视同合并后的报告主体自最终控制方开始控制时点起一直存在。 </w:t>
      </w:r>
    </w:p>
    <w:p>
      <w:pPr>
        <w:pStyle w:val="BodyText"/>
        <w:spacing w:line="319" w:lineRule="auto" w:before="18"/>
        <w:ind w:right="143" w:firstLine="360"/>
        <w:jc w:val="left"/>
      </w:pPr>
      <w:r>
        <w:rPr/>
        <w:t>（c）编制合并现金流量表时，将该子公司以及业务合并当期期初至报告期末的现金流量纳入合并现金流量表，同时对 比较报表的相关项目进行调整，视同合并后的报告主体自最终控制方开始控制时点起一直存在。 </w:t>
      </w:r>
    </w:p>
    <w:p>
      <w:pPr>
        <w:pStyle w:val="BodyText"/>
        <w:spacing w:line="240" w:lineRule="auto" w:before="17"/>
        <w:ind w:left="512" w:right="148"/>
        <w:jc w:val="left"/>
      </w:pPr>
      <w:r>
        <w:rPr/>
        <w:t>B.非同一控制下企业合并增加的子公司或业务 </w:t>
      </w:r>
    </w:p>
    <w:p>
      <w:pPr>
        <w:pStyle w:val="BodyText"/>
        <w:spacing w:line="240" w:lineRule="auto" w:before="76"/>
        <w:ind w:left="512" w:right="148"/>
        <w:jc w:val="left"/>
      </w:pPr>
      <w:r>
        <w:rPr/>
        <w:t>（a）编制合并资产负债表时，不调整合并资产负债表的期初数。 </w:t>
      </w:r>
    </w:p>
    <w:p>
      <w:pPr>
        <w:pStyle w:val="BodyText"/>
        <w:spacing w:line="240" w:lineRule="auto" w:before="76"/>
        <w:ind w:left="512" w:right="148"/>
        <w:jc w:val="left"/>
      </w:pPr>
      <w:r>
        <w:rPr/>
        <w:t>（b）编制合并利润表时，将该子公司以及业务购买日至报告期末的收入、费用、利润纳入合并利润表。 </w:t>
      </w:r>
    </w:p>
    <w:p>
      <w:pPr>
        <w:pStyle w:val="BodyText"/>
        <w:spacing w:line="240" w:lineRule="auto" w:before="76"/>
        <w:ind w:left="512" w:right="148"/>
        <w:jc w:val="left"/>
      </w:pPr>
      <w:r>
        <w:rPr/>
        <w:t>（c）编制合并现金流量表时，将该子公司购买日至报告期末的现金流量纳入合并现金流量表。 </w:t>
      </w:r>
    </w:p>
    <w:p>
      <w:pPr>
        <w:pStyle w:val="BodyText"/>
        <w:spacing w:line="319" w:lineRule="auto" w:before="76"/>
        <w:ind w:left="512" w:right="4013"/>
        <w:jc w:val="left"/>
      </w:pPr>
      <w:r>
        <w:rPr/>
        <w:t>②处置子公司或业务 A.编制合并资产负债表时，不调整合并资产负债表的期初数。 </w:t>
      </w:r>
    </w:p>
    <w:p>
      <w:pPr>
        <w:pStyle w:val="BodyText"/>
        <w:spacing w:line="316" w:lineRule="auto" w:before="17"/>
        <w:ind w:left="512" w:right="148"/>
        <w:jc w:val="left"/>
      </w:pPr>
      <w:r>
        <w:rPr/>
        <w:t>B.编制合并利润表时，将该子公司以及业务期初至处置日的收入、费用、利润纳入合并利润表。 C.编制合并现金流量表时将该子公司以及业务期初至处置日的现金流量纳入合并现金流量表。 </w:t>
      </w:r>
    </w:p>
    <w:p>
      <w:pPr>
        <w:pStyle w:val="Heading4"/>
        <w:spacing w:line="240" w:lineRule="auto" w:before="19"/>
        <w:ind w:right="148"/>
        <w:jc w:val="left"/>
        <w:rPr>
          <w:b w:val="0"/>
          <w:bCs w:val="0"/>
        </w:rPr>
      </w:pPr>
      <w:r>
        <w:rPr/>
        <w:t>（4）合并抵销中的特殊考虑</w:t>
      </w:r>
      <w:r>
        <w:rPr>
          <w:spacing w:val="1"/>
          <w:w w:val="99"/>
        </w:rPr>
        <w:t> </w:t>
      </w:r>
      <w:r>
        <w:rPr>
          <w:w w:val="99"/>
        </w:rPr>
        <w:t> </w:t>
      </w:r>
      <w:r>
        <w:rPr>
          <w:b w:val="0"/>
          <w:bCs w:val="0"/>
        </w:rPr>
      </w:r>
    </w:p>
    <w:p>
      <w:pPr>
        <w:pStyle w:val="BodyText"/>
        <w:spacing w:line="316" w:lineRule="auto" w:before="76"/>
        <w:ind w:right="148" w:firstLine="360"/>
        <w:jc w:val="left"/>
      </w:pPr>
      <w:r>
        <w:rPr>
          <w:spacing w:val="-2"/>
        </w:rPr>
        <w:t>①子公司持有本公司的长期股权投资，应当视为本公司的库存股，作为所有者权益的减项，在合并资产负债表中所有者</w:t>
      </w:r>
      <w:r>
        <w:rPr/>
        <w:t> 权益项目下以“减：库存股”项目列示。 </w:t>
      </w:r>
    </w:p>
    <w:p>
      <w:pPr>
        <w:pStyle w:val="BodyText"/>
        <w:spacing w:line="316" w:lineRule="auto" w:before="19"/>
        <w:ind w:right="148" w:firstLine="360"/>
        <w:jc w:val="left"/>
      </w:pPr>
      <w:r>
        <w:rPr>
          <w:spacing w:val="-2"/>
        </w:rPr>
        <w:t>子公司相互之间持有的长期股权投资，比照本公司对子公司的股权投资的抵销方法，将长期股权投资与其对应的子公司</w:t>
      </w:r>
      <w:r>
        <w:rPr/>
        <w:t> 所有者权益中所享有的份额相互抵销。 </w:t>
      </w:r>
    </w:p>
    <w:p>
      <w:pPr>
        <w:pStyle w:val="BodyText"/>
        <w:spacing w:line="319" w:lineRule="auto" w:before="18"/>
        <w:ind w:right="148" w:firstLine="360"/>
        <w:jc w:val="left"/>
      </w:pPr>
      <w:r>
        <w:rPr>
          <w:spacing w:val="-2"/>
        </w:rPr>
        <w:t>②“专项储备”和“一般风险准备”项目由于既不属于实收资本（或股本）、资本公积，也与留存收益、未分配利润不</w:t>
      </w:r>
      <w:r>
        <w:rPr/>
        <w:t> 同，在长期股权投资与子公司所有者权益相互抵销后，按归属于母公司所有者的份额予以恢复。 </w:t>
      </w:r>
    </w:p>
    <w:p>
      <w:pPr>
        <w:pStyle w:val="BodyText"/>
        <w:spacing w:line="316" w:lineRule="auto" w:before="17"/>
        <w:ind w:right="149" w:firstLine="360"/>
        <w:jc w:val="both"/>
      </w:pPr>
      <w:r>
        <w:rPr>
          <w:spacing w:val="-2"/>
        </w:rPr>
        <w:t>③因抵销未实现内部销售损益导致合并资产负债表中资产、负债的账面价值与其在所属纳税主体的计税基础之间产生暂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r>
        <w:rPr>
          <w:spacing w:val="-63"/>
        </w:rPr>
        <w:t> </w:t>
      </w:r>
      <w:r>
        <w:rPr>
          <w:spacing w:val="-63"/>
        </w:rPr>
      </w:r>
      <w:r>
        <w:rPr/>
        <w:t>计入所有者权益的交易或事项及企业合并相关的递延所得税除外。</w:t>
      </w:r>
      <w:r>
        <w:rPr>
          <w:spacing w:val="1"/>
        </w:rPr>
        <w:t> </w:t>
      </w:r>
      <w:r>
        <w:rPr>
          <w:color w:val="FF0000"/>
          <w:spacing w:val="-2"/>
        </w:rPr>
        <w:t> </w:t>
      </w:r>
      <w:r>
        <w:rPr/>
        <w:t> </w:t>
      </w:r>
    </w:p>
    <w:p>
      <w:pPr>
        <w:pStyle w:val="BodyText"/>
        <w:spacing w:line="316" w:lineRule="auto" w:before="18"/>
        <w:ind w:right="152" w:firstLine="360"/>
        <w:jc w:val="both"/>
      </w:pPr>
      <w:r>
        <w:rPr>
          <w:spacing w:val="-2"/>
        </w:rPr>
        <w:t>④本公司向子公司出售资产所发生的未实现内部交易损益，应当全额抵销“归属于母公司所有者的净利润”。子公司向</w:t>
      </w:r>
      <w:r>
        <w:rPr/>
        <w:t> </w:t>
      </w:r>
      <w:r>
        <w:rPr>
          <w:spacing w:val="-2"/>
        </w:rPr>
        <w:t>本公司出售资产所发生的未实现内部交易损益，应当按照本公司对该子公司的分配比例在“归属于母公司所有者的净利润”</w:t>
      </w:r>
      <w:r>
        <w:rPr>
          <w:spacing w:val="-64"/>
        </w:rPr>
        <w:t> </w:t>
      </w:r>
      <w:r>
        <w:rPr>
          <w:spacing w:val="-64"/>
        </w:rPr>
      </w:r>
      <w:r>
        <w:rPr>
          <w:spacing w:val="-2"/>
        </w:rPr>
        <w:t>和“少数股东损益”之间分配抵销。子公司之间出售资产所发生的未实现内部交易损益，应当按照本公司对出售方子公司的</w:t>
      </w:r>
      <w:r>
        <w:rPr>
          <w:spacing w:val="-64"/>
        </w:rPr>
        <w:t> </w:t>
      </w:r>
      <w:r>
        <w:rPr>
          <w:spacing w:val="-64"/>
        </w:rPr>
      </w:r>
      <w:r>
        <w:rPr/>
        <w:t>分配比例在“归属于母公司所有者的净利润”和“少数股东损益”之间分配抵销。 </w:t>
      </w:r>
    </w:p>
    <w:p>
      <w:pPr>
        <w:pStyle w:val="BodyText"/>
        <w:spacing w:line="319" w:lineRule="auto" w:before="18"/>
        <w:ind w:right="148" w:firstLine="360"/>
        <w:jc w:val="left"/>
      </w:pPr>
      <w:r>
        <w:rPr>
          <w:spacing w:val="-2"/>
        </w:rPr>
        <w:t>⑤子公司少数股东分担的当期亏损超过了少数股东在该子公司期初所有者权益中所享有的份额的，其余额仍应当冲减少</w:t>
      </w:r>
      <w:r>
        <w:rPr/>
        <w:t> 数股东权益。</w:t>
      </w:r>
      <w:r>
        <w:rPr>
          <w:spacing w:val="1"/>
        </w:rPr>
        <w:t> </w:t>
      </w:r>
      <w:r>
        <w:rPr/>
        <w:t> </w:t>
      </w:r>
    </w:p>
    <w:p>
      <w:pPr>
        <w:pStyle w:val="Heading4"/>
        <w:spacing w:line="240" w:lineRule="auto" w:before="17"/>
        <w:ind w:right="148"/>
        <w:jc w:val="left"/>
        <w:rPr>
          <w:b w:val="0"/>
          <w:bCs w:val="0"/>
        </w:rPr>
      </w:pPr>
      <w:r>
        <w:rPr/>
        <w:t>（5）特殊交易的会计处理</w:t>
      </w:r>
      <w:r>
        <w:rPr>
          <w:w w:val="99"/>
        </w:rPr>
        <w:t> </w:t>
      </w:r>
      <w:r>
        <w:rPr>
          <w:b w:val="0"/>
          <w:bCs w:val="0"/>
        </w:rPr>
      </w:r>
    </w:p>
    <w:p>
      <w:pPr>
        <w:pStyle w:val="BodyText"/>
        <w:spacing w:line="319" w:lineRule="auto" w:before="76"/>
        <w:ind w:left="512" w:right="148"/>
        <w:jc w:val="left"/>
      </w:pPr>
      <w:r>
        <w:rPr/>
        <w:t>①购买少数股东股权 </w:t>
      </w:r>
      <w:r>
        <w:rPr>
          <w:spacing w:val="-2"/>
        </w:rPr>
        <w:t>本公司购买子公司少数股东拥有的子公司股权，在个别财务报表中，购买少数股权新取得的长期股权投资的投资成本按</w:t>
      </w:r>
    </w:p>
    <w:p>
      <w:pPr>
        <w:pStyle w:val="BodyText"/>
        <w:spacing w:line="316" w:lineRule="auto" w:before="17"/>
        <w:ind w:right="148"/>
        <w:jc w:val="left"/>
      </w:pP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p>
    <w:p>
      <w:pPr>
        <w:spacing w:after="0" w:line="316"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足冲减的，依次冲减留存收益。 </w:t>
      </w:r>
    </w:p>
    <w:p>
      <w:pPr>
        <w:pStyle w:val="BodyText"/>
        <w:spacing w:line="319" w:lineRule="auto" w:before="76"/>
        <w:ind w:left="512" w:right="4233"/>
        <w:jc w:val="left"/>
      </w:pPr>
      <w:r>
        <w:rPr/>
        <w:t>②通过多次交易分步取得子公司控制权的 A.通过多次交易分步实现同一控制下企业合并 </w:t>
      </w:r>
    </w:p>
    <w:p>
      <w:pPr>
        <w:pStyle w:val="BodyText"/>
        <w:spacing w:line="316" w:lineRule="auto" w:before="17"/>
        <w:ind w:right="93" w:firstLine="360"/>
        <w:jc w:val="left"/>
      </w:pPr>
      <w:r>
        <w:rPr>
          <w:spacing w:val="-2"/>
        </w:rPr>
        <w:t>属于“一揽子交易”的，本公司将各项交易作为一项取得子公司控制权的交易进行处理。在个别财务报表中，在合并日</w:t>
      </w:r>
      <w:r>
        <w:rPr/>
        <w:t> </w:t>
      </w:r>
      <w:r>
        <w:rPr>
          <w:spacing w:val="-2"/>
        </w:rPr>
        <w:t>之前的每次交易中，股权投资均确认为长期股权投资且其初始投资成本按照所对应的持股比例计算的对被合并方净资产在最</w:t>
      </w:r>
      <w:r>
        <w:rPr>
          <w:spacing w:val="-64"/>
        </w:rPr>
        <w:t> </w:t>
      </w:r>
      <w:r>
        <w:rPr>
          <w:spacing w:val="-64"/>
        </w:rPr>
      </w:r>
      <w:r>
        <w:rPr>
          <w:spacing w:val="-2"/>
        </w:rPr>
        <w:t>终控制方合并财务报表中的账面价值份额确定，长期股权投资的初始成本与支付对价的账面价值的差额调整资本公积（资本</w:t>
      </w:r>
      <w:r>
        <w:rPr>
          <w:spacing w:val="-64"/>
        </w:rPr>
        <w:t> </w:t>
      </w:r>
      <w:r>
        <w:rPr>
          <w:spacing w:val="-64"/>
        </w:rPr>
      </w:r>
      <w:r>
        <w:rPr>
          <w:spacing w:val="-2"/>
        </w:rPr>
        <w:t>溢价或股本溢价），资本公积（资本溢价或股本溢价）不足冲减的，依次冲减盈余公积和未分配利润。在后续计量时，长期</w:t>
      </w:r>
      <w:r>
        <w:rPr>
          <w:spacing w:val="-66"/>
        </w:rPr>
        <w:t> </w:t>
      </w:r>
      <w:r>
        <w:rPr>
          <w:spacing w:val="-66"/>
        </w:rPr>
      </w:r>
      <w:r>
        <w:rPr>
          <w:spacing w:val="-2"/>
        </w:rPr>
        <w:t>股权投资按照成本法核算，但不涉及合并财务报表编制问题。在合并日，本公司对子公司的长期股权投资初始成本按照对子</w:t>
      </w:r>
      <w:r>
        <w:rPr>
          <w:spacing w:val="-66"/>
        </w:rPr>
        <w:t> </w:t>
      </w:r>
      <w:r>
        <w:rPr>
          <w:spacing w:val="-66"/>
        </w:rPr>
      </w:r>
      <w:r>
        <w:rPr>
          <w:spacing w:val="-2"/>
        </w:rPr>
        <w:t>公司累计持股比例计算的对被合并方净资产在最终控制方合并财务报表中的账面价值份额确定，初始投资成本与达到合并前</w:t>
      </w:r>
      <w:r>
        <w:rPr>
          <w:spacing w:val="-64"/>
        </w:rPr>
        <w:t> </w:t>
      </w:r>
      <w:r>
        <w:rPr>
          <w:spacing w:val="-64"/>
        </w:rPr>
      </w:r>
      <w:r>
        <w:rPr>
          <w:spacing w:val="-2"/>
        </w:rPr>
        <w:t>的长期股权投资账面价值加上合并日取得进一步股份新支付对价的账面价值之和的差额，调整资本公积（资本溢价或股本溢</w:t>
      </w:r>
      <w:r>
        <w:rPr>
          <w:spacing w:val="-64"/>
        </w:rPr>
        <w:t> </w:t>
      </w:r>
      <w:r>
        <w:rPr>
          <w:spacing w:val="-64"/>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 </w:t>
      </w:r>
    </w:p>
    <w:p>
      <w:pPr>
        <w:pStyle w:val="BodyText"/>
        <w:spacing w:line="240" w:lineRule="auto" w:before="18"/>
        <w:ind w:left="512" w:right="93"/>
        <w:jc w:val="left"/>
      </w:pPr>
      <w:r>
        <w:rPr/>
        <w:t>各项交易的条款、条件以及经济影响符合下列一种或多种情况的，通常将多次交易作为“一揽子交易”进行会计处理</w:t>
      </w:r>
      <w:r>
        <w:rPr>
          <w:spacing w:val="-82"/>
        </w:rPr>
        <w:t>：</w:t>
      </w:r>
      <w:r>
        <w:rPr/>
        <w:t> </w:t>
      </w:r>
    </w:p>
    <w:p>
      <w:pPr>
        <w:pStyle w:val="BodyText"/>
        <w:spacing w:line="240" w:lineRule="auto" w:before="76"/>
        <w:ind w:left="512" w:right="93"/>
        <w:jc w:val="left"/>
      </w:pPr>
      <w:r>
        <w:rPr/>
        <w:t>（a）这些交易是同时或者在考虑了彼此影响的情况下订立的。 </w:t>
      </w:r>
    </w:p>
    <w:p>
      <w:pPr>
        <w:pStyle w:val="BodyText"/>
        <w:spacing w:line="240" w:lineRule="auto" w:before="76"/>
        <w:ind w:left="512" w:right="93"/>
        <w:jc w:val="left"/>
      </w:pPr>
      <w:r>
        <w:rPr/>
        <w:t>（b）这些交易整体才能达成一项完整的商业结果。 </w:t>
      </w:r>
    </w:p>
    <w:p>
      <w:pPr>
        <w:pStyle w:val="BodyText"/>
        <w:spacing w:line="240" w:lineRule="auto" w:before="76"/>
        <w:ind w:left="512" w:right="93"/>
        <w:jc w:val="left"/>
      </w:pPr>
      <w:r>
        <w:rPr/>
        <w:t>（c）一项交易的发生取决于其他至少一项交易的发生。 </w:t>
      </w:r>
    </w:p>
    <w:p>
      <w:pPr>
        <w:pStyle w:val="BodyText"/>
        <w:spacing w:line="319" w:lineRule="auto" w:before="76"/>
        <w:ind w:left="512" w:right="93"/>
        <w:jc w:val="left"/>
      </w:pPr>
      <w:r>
        <w:rPr/>
        <w:t>（d）一项交易单独考虑时是不经济的，但是和其他交易一并考虑时是经济的。 </w:t>
      </w:r>
      <w:r>
        <w:rPr>
          <w:spacing w:val="-2"/>
        </w:rPr>
        <w:t>不属于“一揽子交易”的，在合并日之前的每次交易中，本公司所发生的每次交易按照所支付对价的公允价值确认为金</w:t>
      </w:r>
    </w:p>
    <w:p>
      <w:pPr>
        <w:pStyle w:val="BodyText"/>
        <w:spacing w:line="316" w:lineRule="auto" w:before="17"/>
        <w:ind w:right="189"/>
        <w:jc w:val="both"/>
      </w:pP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并日，本公司在个别财务报表中，根据合并后应享有的子公司净资产在最终控制方合并财务报表中的账面价值的份额，确定</w:t>
      </w:r>
      <w:r>
        <w:rPr>
          <w:spacing w:val="-63"/>
        </w:rPr>
        <w:t> </w:t>
      </w:r>
      <w:r>
        <w:rPr>
          <w:spacing w:val="-63"/>
        </w:rPr>
      </w:r>
      <w:r>
        <w:rPr>
          <w:spacing w:val="-2"/>
        </w:rPr>
        <w:t>长期股权投资的初始投资成本。合并日长期股权投资的初始投资成本，与达到合并前的长期股权投资账面价值加上合并日进</w:t>
      </w:r>
      <w:r>
        <w:rPr>
          <w:spacing w:val="-64"/>
        </w:rPr>
        <w:t> </w:t>
      </w:r>
      <w:r>
        <w:rPr>
          <w:spacing w:val="-64"/>
        </w:rPr>
      </w:r>
      <w:r>
        <w:rPr>
          <w:spacing w:val="-2"/>
        </w:rPr>
        <w:t>一步取得股份新支付对价的账面价值之和的差额，调整资本公积（资本溢价或股本溢价），资本公积不足冲减的，依次冲减</w:t>
      </w:r>
      <w:r>
        <w:rPr>
          <w:spacing w:val="-67"/>
        </w:rPr>
        <w:t> </w:t>
      </w:r>
      <w:r>
        <w:rPr>
          <w:spacing w:val="-67"/>
        </w:rPr>
      </w:r>
      <w:r>
        <w:rPr/>
        <w:t>盈余公积和未分配利润。 </w:t>
      </w:r>
    </w:p>
    <w:p>
      <w:pPr>
        <w:pStyle w:val="BodyText"/>
        <w:spacing w:line="316" w:lineRule="auto" w:before="19"/>
        <w:ind w:right="189" w:firstLine="360"/>
        <w:jc w:val="both"/>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3"/>
        </w:rPr>
        <w:t> </w:t>
      </w:r>
      <w:r>
        <w:rPr>
          <w:spacing w:val="-63"/>
        </w:rPr>
      </w:r>
      <w:r>
        <w:rPr>
          <w:spacing w:val="-2"/>
        </w:rPr>
        <w:t>并财务报表的比较报表中，并将合并增加的净资产在比较报表中调整所有者权益项下的相关项目。因合并方的资本公积（资</w:t>
      </w:r>
      <w:r>
        <w:rPr>
          <w:spacing w:val="-63"/>
        </w:rPr>
        <w:t> </w:t>
      </w:r>
      <w:r>
        <w:rPr>
          <w:spacing w:val="-63"/>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3"/>
        </w:rPr>
        <w:t> </w:t>
      </w:r>
      <w:r>
        <w:rPr>
          <w:spacing w:val="-63"/>
        </w:rPr>
      </w:r>
      <w:r>
        <w:rPr/>
        <w:t>公积余额不足在合并资产负债表中未转入留存收益的金额等。 </w:t>
      </w:r>
    </w:p>
    <w:p>
      <w:pPr>
        <w:pStyle w:val="BodyText"/>
        <w:spacing w:line="316" w:lineRule="auto" w:before="19"/>
        <w:ind w:right="192" w:firstLine="360"/>
        <w:jc w:val="both"/>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 </w:t>
      </w:r>
    </w:p>
    <w:p>
      <w:pPr>
        <w:pStyle w:val="BodyText"/>
        <w:spacing w:line="316" w:lineRule="auto" w:before="19"/>
        <w:ind w:left="512" w:right="93"/>
        <w:jc w:val="left"/>
      </w:pPr>
      <w:r>
        <w:rPr/>
        <w:t>B.通过多次交易分步实现非同一控制下企业合并 </w:t>
      </w:r>
      <w:r>
        <w:rPr>
          <w:spacing w:val="-2"/>
        </w:rPr>
        <w:t>属于“一揽子交易”的，本公司将各项交易作为一项取得子公司控制权的交易进行处理。在个别财务报表中，在合并日</w:t>
      </w:r>
    </w:p>
    <w:p>
      <w:pPr>
        <w:pStyle w:val="BodyText"/>
        <w:spacing w:line="316" w:lineRule="auto" w:before="18"/>
        <w:ind w:right="93"/>
        <w:jc w:val="left"/>
      </w:pPr>
      <w:r>
        <w:rPr>
          <w:spacing w:val="-2"/>
        </w:rPr>
        <w:t>之前的每次交易中，股权投资均确认为长期股权投资且其初始投资成本按照所支付对价的公允价值确定。在后续计量时，长</w:t>
      </w:r>
      <w:r>
        <w:rPr>
          <w:spacing w:val="-63"/>
        </w:rPr>
        <w:t> </w:t>
      </w:r>
      <w:r>
        <w:rPr>
          <w:spacing w:val="-63"/>
        </w:rPr>
      </w:r>
      <w:r>
        <w:rPr>
          <w:spacing w:val="-2"/>
        </w:rPr>
        <w:t>期股权投资按照成本法核算，但不涉及合并财务报表编制问题。在合并日，在个别财务报表中，按照原持有的长期股权投资</w:t>
      </w:r>
      <w:r>
        <w:rPr>
          <w:spacing w:val="-64"/>
        </w:rPr>
        <w:t> </w:t>
      </w:r>
      <w:r>
        <w:rPr>
          <w:spacing w:val="-64"/>
        </w:rPr>
      </w:r>
      <w:r>
        <w:rPr/>
        <w:t>的账面价值加上新增投资成本（进一步取得股份所支付对价的公允价值）之和，作为合并日长期股权投资的初始投资成本。 </w:t>
      </w:r>
      <w:r>
        <w:rPr>
          <w:spacing w:val="-2"/>
        </w:rPr>
        <w:t>在合并财务报表中，初始投资成本与对子公司可辨认净资产公允价值所享有的份额进行抵销，差额确认为商誉或计入合并当</w:t>
      </w:r>
      <w:r>
        <w:rPr>
          <w:spacing w:val="-64"/>
        </w:rPr>
        <w:t> </w:t>
      </w:r>
      <w:r>
        <w:rPr>
          <w:spacing w:val="-64"/>
        </w:rPr>
      </w:r>
      <w:r>
        <w:rPr/>
        <w:t>期损益。 </w:t>
      </w:r>
    </w:p>
    <w:p>
      <w:pPr>
        <w:pStyle w:val="BodyText"/>
        <w:spacing w:line="316" w:lineRule="auto" w:before="18"/>
        <w:ind w:right="189" w:firstLine="360"/>
        <w:jc w:val="both"/>
      </w:pPr>
      <w:r>
        <w:rPr>
          <w:spacing w:val="-2"/>
        </w:rPr>
        <w:t>不属于“一揽子交易”的，在合并日之前的每次交易中，投资方所发生的每次交易按照所支付对价的公允价值确认为金</w:t>
      </w:r>
      <w:r>
        <w:rPr/>
        <w:t> </w:t>
      </w: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并日，在个别财务报表中，按照原持有的股权投资（金融资产或按照权益法核算的长期股权投资）的账面价值加上新增投资</w:t>
      </w:r>
      <w:r>
        <w:rPr>
          <w:spacing w:val="-64"/>
        </w:rPr>
        <w:t> </w:t>
      </w:r>
      <w:r>
        <w:rPr>
          <w:spacing w:val="-64"/>
        </w:rPr>
      </w:r>
      <w:r>
        <w:rPr>
          <w:spacing w:val="-2"/>
        </w:rPr>
        <w:t>成本之和，作为改按成本法核算长期股权投资的初始成本。在合并财务报表中，对于购买日之前持有的被购买方的股权，按</w:t>
      </w:r>
      <w:r>
        <w:rPr>
          <w:spacing w:val="-64"/>
        </w:rPr>
        <w:t> </w:t>
      </w:r>
      <w:r>
        <w:rPr>
          <w:spacing w:val="-64"/>
        </w:rPr>
      </w:r>
      <w:r>
        <w:rPr>
          <w:spacing w:val="-2"/>
        </w:rPr>
        <w:t>照该股权在购买日的公允价值进行重新计量，公允价值与其账面价值的差额计入当期投资收益；购买日之前持有的被购买方</w:t>
      </w:r>
    </w:p>
    <w:p>
      <w:pPr>
        <w:spacing w:after="0" w:line="316"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2"/>
        <w:jc w:val="both"/>
      </w:pPr>
      <w:r>
        <w:rPr>
          <w:spacing w:val="-2"/>
        </w:rPr>
        <w:t>的股权涉及权益法核算下的其他综合收益等的，与其相关的其他综合收益等转为购买日所属当期收益，但由于被合并方重新</w:t>
      </w:r>
      <w:r>
        <w:rPr>
          <w:spacing w:val="-64"/>
        </w:rPr>
        <w:t> </w:t>
      </w:r>
      <w:r>
        <w:rPr>
          <w:spacing w:val="-64"/>
        </w:rPr>
      </w:r>
      <w:r>
        <w:rPr>
          <w:spacing w:val="-2"/>
        </w:rPr>
        <w:t>计量设定受益计划净资产或净负债变动而产生的其他综合收益除外。本公司在附注中披露其在购买日之前持有的被购买方的</w:t>
      </w:r>
      <w:r>
        <w:rPr>
          <w:spacing w:val="-64"/>
        </w:rPr>
        <w:t> </w:t>
      </w:r>
      <w:r>
        <w:rPr>
          <w:spacing w:val="-64"/>
        </w:rPr>
      </w:r>
      <w:r>
        <w:rPr/>
        <w:t>股权在购买日的公允价值、按照公允价值重新计量产生的相关利得或损失的金额。 </w:t>
      </w:r>
    </w:p>
    <w:p>
      <w:pPr>
        <w:pStyle w:val="BodyText"/>
        <w:spacing w:line="316" w:lineRule="auto" w:before="18"/>
        <w:ind w:left="512" w:right="93"/>
        <w:jc w:val="left"/>
      </w:pPr>
      <w:r>
        <w:rPr/>
        <w:t>③本公司处置对子公司长期股权投资但未丧失控制权 </w:t>
      </w:r>
      <w:r>
        <w:rPr>
          <w:spacing w:val="-2"/>
        </w:rPr>
        <w:t>母公司在不丧失控制权的情况下部分处置对子公司的长期股权投资，在合并财务报表中，处置价款与处置长期股权投资</w:t>
      </w:r>
    </w:p>
    <w:p>
      <w:pPr>
        <w:pStyle w:val="BodyText"/>
        <w:spacing w:line="316" w:lineRule="auto" w:before="19"/>
        <w:ind w:right="93"/>
        <w:jc w:val="left"/>
      </w:pP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 </w:t>
      </w:r>
    </w:p>
    <w:p>
      <w:pPr>
        <w:pStyle w:val="BodyText"/>
        <w:spacing w:line="319" w:lineRule="auto" w:before="18"/>
        <w:ind w:left="512" w:right="4633"/>
        <w:jc w:val="left"/>
      </w:pPr>
      <w:r>
        <w:rPr/>
        <w:t>④本公司处置对子公司长期股权投资且丧失控制权 A.一次交易处置 </w:t>
      </w:r>
    </w:p>
    <w:p>
      <w:pPr>
        <w:pStyle w:val="BodyText"/>
        <w:spacing w:line="316" w:lineRule="auto" w:before="17"/>
        <w:ind w:right="189" w:firstLine="360"/>
        <w:jc w:val="both"/>
      </w:pPr>
      <w:r>
        <w:rPr>
          <w:spacing w:val="-2"/>
        </w:rPr>
        <w:t>本公司因处置部分股权投资等原因丧失了对被投资方的控制权的，在编制合并财务报表时，对于剩余股权，按照其在丧</w:t>
      </w:r>
      <w:r>
        <w:rPr/>
        <w:t> </w:t>
      </w: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公司自购买日或合并日开始持续计算的净资产的份额之间的差额，计入丧失控制权当期的投资收益，同时冲减商誉（注：如</w:t>
      </w:r>
      <w:r>
        <w:rPr>
          <w:spacing w:val="-66"/>
        </w:rPr>
        <w:t> </w:t>
      </w:r>
      <w:r>
        <w:rPr>
          <w:spacing w:val="-66"/>
        </w:rPr>
      </w:r>
      <w:r>
        <w:rPr>
          <w:spacing w:val="-2"/>
        </w:rPr>
        <w:t>果原企业合并为非同一控制下的且存在商誉的）。与原有子公司股权投资相关的其他综合收益等，在丧失控制权时转为当期</w:t>
      </w:r>
      <w:r>
        <w:rPr>
          <w:spacing w:val="-66"/>
        </w:rPr>
        <w:t> </w:t>
      </w:r>
      <w:r>
        <w:rPr>
          <w:spacing w:val="-66"/>
        </w:rPr>
      </w:r>
      <w:r>
        <w:rPr/>
        <w:t>投资收益。 </w:t>
      </w:r>
    </w:p>
    <w:p>
      <w:pPr>
        <w:pStyle w:val="BodyText"/>
        <w:spacing w:line="316" w:lineRule="auto" w:before="19"/>
        <w:ind w:right="93" w:firstLine="360"/>
        <w:jc w:val="left"/>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 </w:t>
      </w:r>
    </w:p>
    <w:p>
      <w:pPr>
        <w:pStyle w:val="BodyText"/>
        <w:spacing w:line="319" w:lineRule="auto" w:before="18"/>
        <w:ind w:left="512" w:right="3333"/>
        <w:jc w:val="left"/>
      </w:pPr>
      <w:r>
        <w:rPr/>
        <w:t>B.多次交易分步处置 在合并财务报表中，应首先判断分步交易是否属于“一揽子交易”。 </w:t>
      </w:r>
    </w:p>
    <w:p>
      <w:pPr>
        <w:pStyle w:val="BodyText"/>
        <w:spacing w:line="316" w:lineRule="auto" w:before="17"/>
        <w:ind w:right="93" w:firstLine="360"/>
        <w:jc w:val="left"/>
      </w:pPr>
      <w:r>
        <w:rPr>
          <w:spacing w:val="-2"/>
        </w:rPr>
        <w:t>如果分步交易不属于“一揽子交易”的，则在丧失对子公司控制权之前的各项交易，应按照“本公司处置对子公司长期</w:t>
      </w:r>
      <w:r>
        <w:rPr/>
        <w:t> 股权投资但未丧失控制权”的有关规定处理。 </w:t>
      </w:r>
    </w:p>
    <w:p>
      <w:pPr>
        <w:pStyle w:val="BodyText"/>
        <w:spacing w:line="316" w:lineRule="auto" w:before="19"/>
        <w:ind w:right="93" w:firstLine="360"/>
        <w:jc w:val="left"/>
      </w:pPr>
      <w:r>
        <w:rPr/>
        <w:t>如果分步交易属于“一揽子交易”的，应当将各项交易作为一项处置子公司并丧失控制权的交易进行会计处理；其中， </w:t>
      </w:r>
      <w:r>
        <w:rPr>
          <w:spacing w:val="-2"/>
        </w:rPr>
        <w:t>对于丧失控制权之前每一次交易，处置价款与处置投资对应的享有该子公司自购买日开始持续计算的净资产账面价值的份额</w:t>
      </w:r>
      <w:r>
        <w:rPr>
          <w:spacing w:val="-64"/>
        </w:rPr>
        <w:t> </w:t>
      </w:r>
      <w:r>
        <w:rPr>
          <w:spacing w:val="-64"/>
        </w:rPr>
      </w:r>
      <w:r>
        <w:rPr/>
        <w:t>之间的差额，在合并财务报表中应当确认为其他综合收益，在丧失控制权时一并转入丧失控制权当期的损益。 </w:t>
      </w:r>
    </w:p>
    <w:p>
      <w:pPr>
        <w:pStyle w:val="BodyText"/>
        <w:spacing w:line="316" w:lineRule="auto" w:before="19"/>
        <w:ind w:left="512" w:right="93"/>
        <w:jc w:val="left"/>
      </w:pPr>
      <w:r>
        <w:rPr/>
        <w:t>⑤因子公司的少数股东增资而稀释母公司拥有的股权比例 </w:t>
      </w:r>
      <w:r>
        <w:rPr>
          <w:spacing w:val="-2"/>
        </w:rPr>
        <w:t>子公司的其他股东（少数股东）对子公司进行增资，由此稀释了母公司对子公司的股权比例。在合并财务报表中，按照</w:t>
      </w:r>
    </w:p>
    <w:p>
      <w:pPr>
        <w:pStyle w:val="BodyText"/>
        <w:spacing w:line="316" w:lineRule="auto" w:before="18"/>
        <w:ind w:right="93"/>
        <w:jc w:val="left"/>
      </w:pPr>
      <w:r>
        <w:rPr>
          <w:spacing w:val="-2"/>
        </w:rPr>
        <w:t>增资前的母公司股权比例计算其在增资前子公司账面净资产中的份额，该份额与增资后按照母公司持股比例计算的在增资后</w:t>
      </w:r>
      <w:r>
        <w:rPr>
          <w:spacing w:val="-64"/>
        </w:rPr>
        <w:t> </w:t>
      </w:r>
      <w:r>
        <w:rPr>
          <w:spacing w:val="-64"/>
        </w:rPr>
      </w:r>
      <w:r>
        <w:rPr/>
        <w:t>子公司账面净资产份额之间的差额调整资本公积（资本溢价或股本溢价），资本公积（资本溢价或股本溢价）不足冲减的， 调整留存收益。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3"/>
        <w:jc w:val="left"/>
      </w:pPr>
      <w:r>
        <w:rPr/>
        <w:t>合营安排，是指一项由两个或两个以上的参与方共同控制的安排。本公司合营安排分为共同经营和合营企业。 </w:t>
      </w:r>
    </w:p>
    <w:p>
      <w:pPr>
        <w:pStyle w:val="BodyText"/>
        <w:spacing w:line="316" w:lineRule="auto" w:before="76"/>
        <w:ind w:left="512" w:right="2198"/>
        <w:jc w:val="left"/>
      </w:pPr>
      <w:r>
        <w:rPr>
          <w:rFonts w:ascii="宋体" w:hAnsi="宋体" w:cs="宋体" w:eastAsia="宋体" w:hint="default"/>
          <w:b/>
          <w:bCs/>
        </w:rPr>
        <w:t>（1）共同经营</w:t>
      </w:r>
      <w:r>
        <w:rPr>
          <w:rFonts w:ascii="宋体" w:hAnsi="宋体" w:cs="宋体" w:eastAsia="宋体" w:hint="default"/>
          <w:b/>
          <w:bCs/>
          <w:w w:val="99"/>
        </w:rPr>
        <w:t> </w:t>
      </w:r>
      <w:r>
        <w:rPr/>
        <w:t>共同经营是指本公司享有该安排相关资产且承担该安排相关负债的合营安排。 </w:t>
      </w:r>
    </w:p>
    <w:p>
      <w:pPr>
        <w:pStyle w:val="BodyText"/>
        <w:spacing w:line="240" w:lineRule="auto" w:before="18"/>
        <w:ind w:left="512" w:right="93"/>
        <w:jc w:val="left"/>
      </w:pPr>
      <w:r>
        <w:rPr/>
        <w:t>本公司确认其与共同经营中利益份额相关的下列项目，并按照相关企业会计准则的规定进行会计处理： </w:t>
      </w:r>
    </w:p>
    <w:p>
      <w:pPr>
        <w:pStyle w:val="BodyText"/>
        <w:spacing w:line="240" w:lineRule="auto" w:before="76"/>
        <w:ind w:left="512" w:right="93"/>
        <w:jc w:val="left"/>
      </w:pPr>
      <w:r>
        <w:rPr/>
        <w:t>①</w:t>
      </w:r>
      <w:r>
        <w:rPr>
          <w:spacing w:val="1"/>
        </w:rPr>
        <w:t> </w:t>
      </w:r>
      <w:r>
        <w:rPr/>
        <w:t>确认单独所持有的资产，以及按其份额确认共同持有的资产； </w:t>
      </w:r>
    </w:p>
    <w:p>
      <w:pPr>
        <w:pStyle w:val="BodyText"/>
        <w:spacing w:line="240" w:lineRule="auto" w:before="74"/>
        <w:ind w:left="512" w:right="93"/>
        <w:jc w:val="left"/>
      </w:pPr>
      <w:r>
        <w:rPr/>
        <w:t>②</w:t>
      </w:r>
      <w:r>
        <w:rPr>
          <w:spacing w:val="1"/>
        </w:rPr>
        <w:t> </w:t>
      </w:r>
      <w:r>
        <w:rPr/>
        <w:t>确认单独所承担的负债，以及按其份额确认共同承担的负债； </w:t>
      </w:r>
    </w:p>
    <w:p>
      <w:pPr>
        <w:pStyle w:val="BodyText"/>
        <w:spacing w:line="240" w:lineRule="auto" w:before="76"/>
        <w:ind w:left="512" w:right="93"/>
        <w:jc w:val="left"/>
      </w:pPr>
      <w:r>
        <w:rPr/>
        <w:t>③</w:t>
      </w:r>
      <w:r>
        <w:rPr>
          <w:spacing w:val="1"/>
        </w:rPr>
        <w:t> </w:t>
      </w:r>
      <w:r>
        <w:rPr/>
        <w:t>确认出售其享有的共同经营产出份额所产生的收入； </w:t>
      </w:r>
    </w:p>
    <w:p>
      <w:pPr>
        <w:pStyle w:val="BodyText"/>
        <w:spacing w:line="240" w:lineRule="auto" w:before="76"/>
        <w:ind w:left="512" w:right="93"/>
        <w:jc w:val="left"/>
      </w:pPr>
      <w:r>
        <w:rPr/>
        <w:t>④</w:t>
      </w:r>
      <w:r>
        <w:rPr>
          <w:spacing w:val="1"/>
        </w:rPr>
        <w:t> </w:t>
      </w:r>
      <w:r>
        <w:rPr/>
        <w:t>按其份额确认共同经营因出售产出所产生的收入； </w:t>
      </w:r>
    </w:p>
    <w:p>
      <w:pPr>
        <w:pStyle w:val="BodyText"/>
        <w:spacing w:line="240" w:lineRule="auto" w:before="76"/>
        <w:ind w:left="512" w:right="93"/>
        <w:jc w:val="left"/>
      </w:pPr>
      <w:r>
        <w:rPr/>
        <w:t>⑤</w:t>
      </w:r>
      <w:r>
        <w:rPr>
          <w:spacing w:val="1"/>
        </w:rPr>
        <w:t> </w:t>
      </w:r>
      <w:r>
        <w:rPr/>
        <w:t>确认单独所发生的费用，以及按其份额确认共同经营发生的费用。 </w:t>
      </w:r>
    </w:p>
    <w:p>
      <w:pPr>
        <w:spacing w:line="316" w:lineRule="auto" w:before="76"/>
        <w:ind w:left="512" w:right="4233" w:firstLine="0"/>
        <w:jc w:val="left"/>
        <w:rPr>
          <w:rFonts w:ascii="宋体" w:hAnsi="宋体" w:cs="宋体" w:eastAsia="宋体" w:hint="default"/>
          <w:sz w:val="18"/>
          <w:szCs w:val="18"/>
        </w:rPr>
      </w:pPr>
      <w:r>
        <w:rPr>
          <w:rFonts w:ascii="宋体" w:hAnsi="宋体" w:cs="宋体" w:eastAsia="宋体" w:hint="default"/>
          <w:b/>
          <w:bCs/>
          <w:sz w:val="18"/>
          <w:szCs w:val="18"/>
        </w:rPr>
        <w:t>（2）合营企业</w:t>
      </w:r>
      <w:r>
        <w:rPr>
          <w:rFonts w:ascii="宋体" w:hAnsi="宋体" w:cs="宋体" w:eastAsia="宋体" w:hint="default"/>
          <w:b/>
          <w:bCs/>
          <w:w w:val="99"/>
          <w:sz w:val="18"/>
          <w:szCs w:val="18"/>
        </w:rPr>
        <w:t> </w:t>
      </w:r>
      <w:r>
        <w:rPr>
          <w:rFonts w:ascii="宋体" w:hAnsi="宋体" w:cs="宋体" w:eastAsia="宋体" w:hint="default"/>
          <w:sz w:val="18"/>
          <w:szCs w:val="18"/>
        </w:rPr>
        <w:t>合营企业是指本公司仅对该安排的净资产享有权利的合营安排。 </w:t>
      </w:r>
    </w:p>
    <w:p>
      <w:pPr>
        <w:pStyle w:val="BodyText"/>
        <w:spacing w:line="240" w:lineRule="auto" w:before="19"/>
        <w:ind w:left="512" w:right="93"/>
        <w:jc w:val="left"/>
      </w:pPr>
      <w:r>
        <w:rPr/>
        <w:t>本公司按照长期股权投资有关权益法核算的规定对合营企业的投资进行会计处理。 </w:t>
      </w:r>
    </w:p>
    <w:p>
      <w:pPr>
        <w:spacing w:after="0" w:line="240" w:lineRule="auto"/>
        <w:jc w:val="left"/>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3" w:firstLine="360"/>
        <w:jc w:val="left"/>
      </w:pPr>
      <w:r>
        <w:rPr/>
        <w:t>现金指企业库存现金及可以随时用于支付的存款。现金等价物指持有的期限短（一般是指从购买日起三个月内到期）、 流动性强、易于转换为已知金额现金、价值变动风险很小的投资。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spacing w:line="316" w:lineRule="auto" w:before="0"/>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（1）外币交易时折算汇率的确定方法</w:t>
      </w:r>
      <w:r>
        <w:rPr>
          <w:rFonts w:ascii="宋体" w:hAnsi="宋体" w:cs="宋体" w:eastAsia="宋体" w:hint="default"/>
          <w:b/>
          <w:bCs/>
          <w:w w:val="99"/>
          <w:sz w:val="18"/>
          <w:szCs w:val="18"/>
        </w:rPr>
        <w:t> </w:t>
      </w:r>
      <w:r>
        <w:rPr>
          <w:rFonts w:ascii="宋体" w:hAnsi="宋体" w:cs="宋体" w:eastAsia="宋体" w:hint="default"/>
          <w:sz w:val="18"/>
          <w:szCs w:val="18"/>
        </w:rPr>
        <w:t>本公司外币交易初始确认时采用交易发生日的即期汇率或即期汇率的近似汇率折算为记账本位币。 </w:t>
      </w:r>
    </w:p>
    <w:p>
      <w:pPr>
        <w:spacing w:line="319"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（2）资产负债表日外币货币性项目的折算方法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在资产负债表日，对于外币货币性项目，采用资产负债表日的即期汇率折算。因资产负债表日即期汇率与初始确认时或</w:t>
      </w:r>
    </w:p>
    <w:p>
      <w:pPr>
        <w:pStyle w:val="BodyText"/>
        <w:spacing w:line="240" w:lineRule="auto" w:before="17"/>
        <w:ind w:right="0"/>
        <w:jc w:val="both"/>
      </w:pPr>
      <w:r>
        <w:rPr/>
        <w:t>前一资产负债表日即期汇率不同而产生的汇兑差额，计入当期损益。 </w:t>
      </w:r>
    </w:p>
    <w:p>
      <w:pPr>
        <w:pStyle w:val="BodyText"/>
        <w:spacing w:line="319" w:lineRule="auto" w:before="76"/>
        <w:ind w:left="512" w:right="93"/>
        <w:jc w:val="left"/>
      </w:pPr>
      <w:r>
        <w:rPr>
          <w:rFonts w:ascii="宋体" w:hAnsi="宋体" w:cs="宋体" w:eastAsia="宋体" w:hint="default"/>
          <w:b/>
          <w:bCs/>
        </w:rPr>
        <w:t>（3）外币报表折算方法</w:t>
      </w:r>
      <w:r>
        <w:rPr>
          <w:rFonts w:ascii="宋体" w:hAnsi="宋体" w:cs="宋体" w:eastAsia="宋体" w:hint="default"/>
          <w:b/>
          <w:bCs/>
          <w:w w:val="99"/>
        </w:rPr>
        <w:t> </w:t>
      </w:r>
      <w:r>
        <w:rPr/>
        <w:t>对企业境外经营财务报表进行折算前先调整境外经营的会计期间和会计政策，使之与企业会计期间和会计政策相一致，</w:t>
      </w:r>
    </w:p>
    <w:p>
      <w:pPr>
        <w:pStyle w:val="BodyText"/>
        <w:spacing w:line="316" w:lineRule="auto" w:before="17"/>
        <w:ind w:right="192"/>
        <w:jc w:val="both"/>
      </w:pPr>
      <w:r>
        <w:rPr>
          <w:spacing w:val="-2"/>
        </w:rPr>
        <w:t>再根据调整后会计政策及会计期间编制相应货币（记账本位币以外的货币）的财务报表，再按照以下方法对境外经营财务报</w:t>
      </w:r>
      <w:r>
        <w:rPr>
          <w:spacing w:val="-65"/>
        </w:rPr>
        <w:t> </w:t>
      </w:r>
      <w:r>
        <w:rPr>
          <w:spacing w:val="-65"/>
        </w:rPr>
      </w:r>
      <w:r>
        <w:rPr/>
        <w:t>表进行折算： </w:t>
      </w:r>
    </w:p>
    <w:p>
      <w:pPr>
        <w:pStyle w:val="BodyText"/>
        <w:spacing w:line="316" w:lineRule="auto" w:before="19"/>
        <w:ind w:right="93" w:firstLine="360"/>
        <w:jc w:val="left"/>
      </w:pPr>
      <w:r>
        <w:rPr>
          <w:spacing w:val="-2"/>
        </w:rPr>
        <w:t>①资产负债表中的资产和负债项目，采用资产负债表日的即期汇率折算，所有者权益项目除“未分配利润”项目外，其</w:t>
      </w:r>
      <w:r>
        <w:rPr/>
        <w:t> 他项目采用发生时的即期汇率折算。 </w:t>
      </w:r>
    </w:p>
    <w:p>
      <w:pPr>
        <w:pStyle w:val="BodyText"/>
        <w:spacing w:line="240" w:lineRule="auto" w:before="18"/>
        <w:ind w:left="512" w:right="93"/>
        <w:jc w:val="left"/>
      </w:pPr>
      <w:r>
        <w:rPr/>
        <w:t>②利润表中的收入和费用项目，采用交易发生日的即期汇率或即期汇率的近似汇率折算。 </w:t>
      </w:r>
    </w:p>
    <w:p>
      <w:pPr>
        <w:pStyle w:val="BodyText"/>
        <w:spacing w:line="316" w:lineRule="auto" w:before="76"/>
        <w:ind w:right="93" w:firstLine="360"/>
        <w:jc w:val="left"/>
      </w:pPr>
      <w:r>
        <w:rPr>
          <w:spacing w:val="-2"/>
        </w:rPr>
        <w:t>③产生的外币财务报表折算差额，在编制合并财务报表时，在合并资产负债表中所有者权益项目下单独列示“其他综合</w:t>
      </w:r>
      <w:r>
        <w:rPr/>
        <w:t> 收益”。</w:t>
      </w:r>
      <w:r>
        <w:rPr>
          <w:spacing w:val="1"/>
        </w:rPr>
        <w:t> </w:t>
      </w:r>
      <w:r>
        <w:rPr/>
        <w:t> </w:t>
      </w:r>
    </w:p>
    <w:p>
      <w:pPr>
        <w:pStyle w:val="BodyText"/>
        <w:spacing w:line="319" w:lineRule="auto" w:before="18"/>
        <w:ind w:right="93" w:firstLine="360"/>
        <w:jc w:val="left"/>
      </w:pPr>
      <w:r>
        <w:rPr>
          <w:spacing w:val="-2"/>
        </w:rPr>
        <w:t>④外币现金流量以及境外子公司的现金流量，采用现金流量发生日的即期汇率或即期汇率的近似汇率折算。汇率变动对</w:t>
      </w:r>
      <w:r>
        <w:rPr/>
        <w:t> 现金的影响额应当作为调节项目，在现金流量表中单独列报。 </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right="93"/>
        <w:jc w:val="left"/>
        <w:rPr>
          <w:b w:val="0"/>
          <w:bCs w:val="0"/>
        </w:rPr>
      </w:pPr>
      <w:r>
        <w:rPr/>
        <w:t>（1）金融资产的分类</w:t>
      </w:r>
      <w:r>
        <w:rPr>
          <w:w w:val="99"/>
        </w:rPr>
        <w:t> </w:t>
      </w:r>
      <w:r>
        <w:rPr>
          <w:b w:val="0"/>
          <w:bCs w:val="0"/>
        </w:rPr>
      </w:r>
    </w:p>
    <w:p>
      <w:pPr>
        <w:pStyle w:val="BodyText"/>
        <w:spacing w:line="319" w:lineRule="auto" w:before="76"/>
        <w:ind w:left="512" w:right="93"/>
        <w:jc w:val="left"/>
      </w:pPr>
      <w:r>
        <w:rPr/>
        <w:t>①以公允价值计量且其变动计入当期损益的金融资产 </w:t>
      </w:r>
      <w:r>
        <w:rPr>
          <w:spacing w:val="-2"/>
        </w:rPr>
        <w:t>包括交易性金融资产和直接指定为以公允价值计量且其变动计入当期损益的金融资产，前者主要是指本公司为了近期内</w:t>
      </w:r>
    </w:p>
    <w:p>
      <w:pPr>
        <w:pStyle w:val="BodyText"/>
        <w:spacing w:line="316" w:lineRule="auto" w:before="17"/>
        <w:ind w:right="192"/>
        <w:jc w:val="both"/>
      </w:pPr>
      <w:r>
        <w:rPr>
          <w:spacing w:val="-2"/>
        </w:rPr>
        <w:t>出售而持有的股票、债券、基金以及不作为有效套期工具的衍生工具投资。这类资产在初始计量时按照取得时的公允价值作</w:t>
      </w:r>
      <w:r>
        <w:rPr>
          <w:spacing w:val="-66"/>
        </w:rPr>
        <w:t> </w:t>
      </w:r>
      <w:r>
        <w:rPr>
          <w:spacing w:val="-66"/>
        </w:rPr>
      </w:r>
      <w:r>
        <w:rPr>
          <w:spacing w:val="-2"/>
        </w:rPr>
        <w:t>为初始确认金额，相关的交易费用在发生时计入当期损益。支付的价款中包含已宣告但尚未发放的现金股利或已到付息但尚</w:t>
      </w:r>
      <w:r>
        <w:rPr>
          <w:spacing w:val="-64"/>
        </w:rPr>
        <w:t> </w:t>
      </w:r>
      <w:r>
        <w:rPr>
          <w:spacing w:val="-64"/>
        </w:rPr>
      </w:r>
      <w:r>
        <w:rPr>
          <w:spacing w:val="-2"/>
        </w:rPr>
        <w:t>未领取的债券利息，单独确认为应收项目。在持有期间取得利息或现金股利，确认为投资收益。资产负债表日，本公司将这</w:t>
      </w:r>
      <w:r>
        <w:rPr>
          <w:spacing w:val="-67"/>
        </w:rPr>
        <w:t> </w:t>
      </w:r>
      <w:r>
        <w:rPr>
          <w:spacing w:val="-67"/>
        </w:rPr>
      </w:r>
      <w:r>
        <w:rPr>
          <w:spacing w:val="-2"/>
        </w:rPr>
        <w:t>类金融资产以公允价值计量且其变动计入当期损益。这类金融资产在处置时，其公允价值与初始入账金额之间的差额确认为</w:t>
      </w:r>
      <w:r>
        <w:rPr>
          <w:spacing w:val="-64"/>
        </w:rPr>
        <w:t> </w:t>
      </w:r>
      <w:r>
        <w:rPr>
          <w:spacing w:val="-64"/>
        </w:rPr>
      </w:r>
      <w:r>
        <w:rPr/>
        <w:t>投资收益，同时调整公允价值变动损益。 </w:t>
      </w:r>
    </w:p>
    <w:p>
      <w:pPr>
        <w:pStyle w:val="BodyText"/>
        <w:spacing w:line="316" w:lineRule="auto" w:before="19"/>
        <w:ind w:left="512" w:right="93"/>
        <w:jc w:val="left"/>
      </w:pPr>
      <w:r>
        <w:rPr/>
        <w:t>②持有至到期投资 </w:t>
      </w:r>
      <w:r>
        <w:rPr>
          <w:spacing w:val="-2"/>
        </w:rPr>
        <w:t>主要是指到期日固定、回收金额固定或可确定，且本公司具有明确意图和能力持有至到期的国债、公司债券等。这类金</w:t>
      </w:r>
    </w:p>
    <w:p>
      <w:pPr>
        <w:pStyle w:val="BodyText"/>
        <w:spacing w:line="316" w:lineRule="auto" w:before="18"/>
        <w:ind w:right="192"/>
        <w:jc w:val="both"/>
      </w:pPr>
      <w:r>
        <w:rPr/>
        <w:t>融资产按照取得时的公允价值和相关交易费用之和作为初始确认金额。支付价款中包含的已到付息期但尚未发放的债券利</w:t>
      </w:r>
      <w:r>
        <w:rPr>
          <w:spacing w:val="-11"/>
        </w:rPr>
        <w:t> </w:t>
      </w:r>
      <w:r>
        <w:rPr>
          <w:spacing w:val="-11"/>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 </w:t>
      </w:r>
    </w:p>
    <w:p>
      <w:pPr>
        <w:pStyle w:val="BodyText"/>
        <w:spacing w:line="319" w:lineRule="auto" w:before="18"/>
        <w:ind w:left="512" w:right="93"/>
        <w:jc w:val="left"/>
      </w:pPr>
      <w:r>
        <w:rPr/>
        <w:t>③应收款项 应收款项主要包括应收账款、其他应收款和长期应收款等。应收账款是指本公司销售商品或提供劳务形成的应收款项。</w:t>
      </w:r>
    </w:p>
    <w:p>
      <w:pPr>
        <w:pStyle w:val="BodyText"/>
        <w:spacing w:line="240" w:lineRule="auto" w:before="17"/>
        <w:ind w:right="0"/>
        <w:jc w:val="both"/>
      </w:pPr>
      <w:r>
        <w:rPr/>
        <w:t>应收账款按从购货方应收的合同或协议价款作为初始确认金额。 </w:t>
      </w:r>
    </w:p>
    <w:p>
      <w:pPr>
        <w:pStyle w:val="BodyText"/>
        <w:spacing w:line="319" w:lineRule="auto" w:before="76"/>
        <w:ind w:left="512" w:right="93"/>
        <w:jc w:val="left"/>
      </w:pPr>
      <w:r>
        <w:rPr/>
        <w:t>④可供出售金融资产 </w:t>
      </w:r>
      <w:r>
        <w:rPr>
          <w:spacing w:val="-2"/>
        </w:rPr>
        <w:t>主要是指本公司没有划分为以公允价值计量且其变动计入当期损益的金融资产、持有至到期投资、贷款和应收款项的金</w:t>
      </w:r>
    </w:p>
    <w:p>
      <w:pPr>
        <w:pStyle w:val="BodyText"/>
        <w:spacing w:line="240" w:lineRule="auto" w:before="17"/>
        <w:ind w:right="0"/>
        <w:jc w:val="both"/>
      </w:pPr>
      <w:r>
        <w:rPr/>
        <w:t>融资产。可供出售金融资产按照取得该金融资产的公允价值和相关交易费用之和作为初始确认金额。支付的价款中包含的已</w:t>
      </w:r>
    </w:p>
    <w:p>
      <w:pPr>
        <w:spacing w:after="0" w:line="240"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2"/>
        <w:jc w:val="both"/>
      </w:pPr>
      <w:r>
        <w:rPr>
          <w:spacing w:val="-2"/>
        </w:rPr>
        <w:t>到付息期但尚未领取的债券利息或已宣告但尚未发放的现金股利，单独确认为应收项目。可供出售金融资产持有期间取得的</w:t>
      </w:r>
      <w:r>
        <w:rPr>
          <w:spacing w:val="-64"/>
        </w:rPr>
        <w:t> </w:t>
      </w:r>
      <w:r>
        <w:rPr>
          <w:spacing w:val="-64"/>
        </w:rPr>
      </w:r>
      <w:r>
        <w:rPr/>
        <w:t>利息或现金股利计入投资收益。 </w:t>
      </w:r>
    </w:p>
    <w:p>
      <w:pPr>
        <w:pStyle w:val="BodyText"/>
        <w:spacing w:line="316" w:lineRule="auto" w:before="19"/>
        <w:ind w:right="189" w:firstLine="360"/>
        <w:jc w:val="both"/>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r>
        <w:rPr>
          <w:spacing w:val="-65"/>
        </w:rPr>
        <w:t> </w:t>
      </w:r>
      <w:r>
        <w:rPr>
          <w:spacing w:val="-65"/>
        </w:rPr>
      </w:r>
      <w:r>
        <w:rPr>
          <w:spacing w:val="-2"/>
        </w:rPr>
        <w:t>负债表日，可供出售金融资产以公允价值计量，且其变动计入其他综合收益。处置可供出售金融资产时，将取得的价款与该</w:t>
      </w:r>
      <w:r>
        <w:rPr>
          <w:spacing w:val="-65"/>
        </w:rPr>
        <w:t> </w:t>
      </w:r>
      <w:r>
        <w:rPr>
          <w:spacing w:val="-65"/>
        </w:rPr>
      </w:r>
      <w:r>
        <w:rPr>
          <w:spacing w:val="-2"/>
        </w:rPr>
        <w:t>金融资产账面价值之间差额计入投资收益；同时，将原计入所有者权益的公允价值变动累计额对应处置部分的金额转出，计</w:t>
      </w:r>
      <w:r>
        <w:rPr>
          <w:spacing w:val="-66"/>
        </w:rPr>
        <w:t> </w:t>
      </w:r>
      <w:r>
        <w:rPr>
          <w:spacing w:val="-66"/>
        </w:rPr>
      </w:r>
      <w:r>
        <w:rPr/>
        <w:t>入投资收益。 </w:t>
      </w:r>
    </w:p>
    <w:p>
      <w:pPr>
        <w:pStyle w:val="Heading4"/>
        <w:spacing w:line="240" w:lineRule="auto" w:before="18"/>
        <w:ind w:right="93"/>
        <w:jc w:val="left"/>
        <w:rPr>
          <w:b w:val="0"/>
          <w:bCs w:val="0"/>
        </w:rPr>
      </w:pPr>
      <w:r>
        <w:rPr/>
        <w:t>（2）金融负债的分类</w:t>
      </w:r>
      <w:r>
        <w:rPr>
          <w:w w:val="99"/>
        </w:rPr>
        <w:t> </w:t>
      </w:r>
      <w:r>
        <w:rPr>
          <w:b w:val="0"/>
          <w:bCs w:val="0"/>
        </w:rPr>
      </w:r>
    </w:p>
    <w:p>
      <w:pPr>
        <w:pStyle w:val="BodyText"/>
        <w:spacing w:line="316" w:lineRule="auto" w:before="76"/>
        <w:ind w:right="189" w:firstLine="360"/>
        <w:jc w:val="both"/>
      </w:pPr>
      <w:r>
        <w:rPr>
          <w:spacing w:val="-2"/>
        </w:rPr>
        <w:t>①以公允价值计量且其变动计入当期损益的金融负债，包括交易性金融负债和指定为以公允价值计量且其变动计入当期</w:t>
      </w:r>
      <w:r>
        <w:rPr/>
        <w:t> </w:t>
      </w:r>
      <w:r>
        <w:rPr>
          <w:spacing w:val="-2"/>
        </w:rPr>
        <w:t>损益的金融负债；这类金融负债初始确认时以公允价值计量，相关交易费用直接计入当期损益，资产负债表日将公允价值变</w:t>
      </w:r>
      <w:r>
        <w:rPr>
          <w:spacing w:val="-63"/>
        </w:rPr>
        <w:t> </w:t>
      </w:r>
      <w:r>
        <w:rPr>
          <w:spacing w:val="-63"/>
        </w:rPr>
      </w:r>
      <w:r>
        <w:rPr/>
        <w:t>动计入当期损益。 </w:t>
      </w:r>
    </w:p>
    <w:p>
      <w:pPr>
        <w:pStyle w:val="BodyText"/>
        <w:spacing w:line="240" w:lineRule="auto" w:before="19"/>
        <w:ind w:left="512" w:right="93"/>
        <w:jc w:val="left"/>
      </w:pPr>
      <w:r>
        <w:rPr/>
        <w:t>②其他金融负债，是指以公允价值计量且其变动计入当期损益的金融负债以外的金融负债。 </w:t>
      </w:r>
    </w:p>
    <w:p>
      <w:pPr>
        <w:pStyle w:val="BodyText"/>
        <w:spacing w:line="316" w:lineRule="auto" w:before="76"/>
        <w:ind w:left="512" w:right="93"/>
        <w:jc w:val="left"/>
      </w:pPr>
      <w:r>
        <w:rPr>
          <w:rFonts w:ascii="宋体" w:hAnsi="宋体" w:cs="宋体" w:eastAsia="宋体" w:hint="default"/>
          <w:b/>
          <w:bCs/>
        </w:rPr>
        <w:t>（3）金融资产的重分类</w:t>
      </w:r>
      <w:r>
        <w:rPr>
          <w:rFonts w:ascii="宋体" w:hAnsi="宋体" w:cs="宋体" w:eastAsia="宋体" w:hint="default"/>
          <w:b/>
          <w:bCs/>
          <w:w w:val="99"/>
        </w:rPr>
        <w:t> </w:t>
      </w:r>
      <w:r>
        <w:rPr/>
        <w:t>因持有意图或能力发生改变，使某项投资不再适合划分为持有至到期投资的，本公司将其重分类为可供出售金融资产，</w:t>
      </w:r>
    </w:p>
    <w:p>
      <w:pPr>
        <w:pStyle w:val="BodyText"/>
        <w:spacing w:line="316" w:lineRule="auto" w:before="19"/>
        <w:ind w:right="189"/>
        <w:jc w:val="both"/>
      </w:pPr>
      <w:r>
        <w:rPr>
          <w:spacing w:val="-2"/>
        </w:rPr>
        <w:t>并以公允价值进行后续计量。持有至到期投资部分出售或重分类的金额较大，且不属于《企业会计准则第22号——金融工具</w:t>
      </w:r>
      <w:r>
        <w:rPr>
          <w:spacing w:val="-65"/>
        </w:rPr>
        <w:t> </w:t>
      </w:r>
      <w:r>
        <w:rPr>
          <w:spacing w:val="-65"/>
        </w:rPr>
      </w:r>
      <w:r>
        <w:rPr>
          <w:spacing w:val="-2"/>
        </w:rPr>
        <w:t>确认和计量》第十六条所指的例外情况，使该投资的剩余部分不再适合划分为持有至到期投资的，本公司应当将该投资的剩</w:t>
      </w:r>
      <w:r>
        <w:rPr>
          <w:spacing w:val="-63"/>
        </w:rPr>
        <w:t> </w:t>
      </w:r>
      <w:r>
        <w:rPr>
          <w:spacing w:val="-63"/>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 </w:t>
      </w:r>
    </w:p>
    <w:p>
      <w:pPr>
        <w:pStyle w:val="BodyText"/>
        <w:spacing w:line="316" w:lineRule="auto" w:before="18"/>
        <w:ind w:right="93" w:firstLine="360"/>
        <w:jc w:val="left"/>
      </w:pPr>
      <w:r>
        <w:rPr>
          <w:spacing w:val="-2"/>
        </w:rPr>
        <w:t>重分类日，该投资的账面价值与公允价值之间的差额计入其他综合收益，在该可供出售金融资产发生减值或终止确认时</w:t>
      </w:r>
      <w:r>
        <w:rPr/>
        <w:t> 转出，计入当期损益。 </w:t>
      </w:r>
    </w:p>
    <w:p>
      <w:pPr>
        <w:spacing w:line="316" w:lineRule="auto" w:before="19"/>
        <w:ind w:left="512" w:right="4233" w:firstLine="0"/>
        <w:jc w:val="left"/>
        <w:rPr>
          <w:rFonts w:ascii="宋体" w:hAnsi="宋体" w:cs="宋体" w:eastAsia="宋体" w:hint="default"/>
          <w:sz w:val="18"/>
          <w:szCs w:val="18"/>
        </w:rPr>
      </w:pPr>
      <w:r>
        <w:rPr>
          <w:rFonts w:ascii="宋体" w:hAnsi="宋体" w:cs="宋体" w:eastAsia="宋体" w:hint="default"/>
          <w:b/>
          <w:bCs/>
          <w:sz w:val="18"/>
          <w:szCs w:val="18"/>
        </w:rPr>
        <w:t>（4）金融负债与权益工具的区分</w:t>
      </w:r>
      <w:r>
        <w:rPr>
          <w:rFonts w:ascii="宋体" w:hAnsi="宋体" w:cs="宋体" w:eastAsia="宋体" w:hint="default"/>
          <w:b/>
          <w:bCs/>
          <w:w w:val="99"/>
          <w:sz w:val="18"/>
          <w:szCs w:val="18"/>
        </w:rPr>
        <w:t> </w:t>
      </w:r>
      <w:r>
        <w:rPr>
          <w:rFonts w:ascii="宋体" w:hAnsi="宋体" w:cs="宋体" w:eastAsia="宋体" w:hint="default"/>
          <w:sz w:val="18"/>
          <w:szCs w:val="18"/>
        </w:rPr>
        <w:t>除特殊情况外，金融负债与权益工具按照下列原则进行区分： </w:t>
      </w:r>
    </w:p>
    <w:p>
      <w:pPr>
        <w:pStyle w:val="BodyText"/>
        <w:spacing w:line="316" w:lineRule="auto" w:before="18"/>
        <w:ind w:right="93" w:firstLine="360"/>
        <w:jc w:val="left"/>
      </w:pPr>
      <w:r>
        <w:rPr/>
        <w:t>①如果本公司不能无条件地避免以交付现金或其他金融资产来履行一项合同义务，则该合同义务符合金融负债的定义。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 </w:t>
      </w:r>
    </w:p>
    <w:p>
      <w:pPr>
        <w:pStyle w:val="BodyText"/>
        <w:spacing w:line="316" w:lineRule="auto" w:before="18"/>
        <w:ind w:right="93" w:firstLine="360"/>
        <w:jc w:val="left"/>
      </w:pPr>
      <w:r>
        <w:rPr>
          <w:spacing w:val="-2"/>
        </w:rPr>
        <w:t>②如果一项金融工具须用或可用本公司自身权益工具进行结算，需要考虑用于结算该工具的本公司自身权益工具，是作</w:t>
      </w:r>
      <w:r>
        <w:rPr/>
        <w:t> </w:t>
      </w:r>
      <w:r>
        <w:rPr>
          <w:spacing w:val="-4"/>
        </w:rPr>
        <w:t>为现金或其他金融资产的替代品，还是为了使该工具持有方享有在发行方扣除所有负债后的资产中的剩余权益。如果是前者，</w:t>
      </w:r>
      <w:r>
        <w:rPr>
          <w:spacing w:val="-44"/>
        </w:rPr>
        <w:t> </w:t>
      </w:r>
      <w:r>
        <w:rPr>
          <w:spacing w:val="-44"/>
        </w:rPr>
      </w:r>
      <w:r>
        <w:rPr>
          <w:spacing w:val="-2"/>
        </w:rPr>
        <w:t>该工具是发行方的金融负债；如果是后者，该工具是发行方的权益工具。在某些情况下，一项金融工具合同规定本公司须用</w:t>
      </w:r>
      <w:r>
        <w:rPr>
          <w:spacing w:val="-64"/>
        </w:rPr>
        <w:t> </w:t>
      </w:r>
      <w:r>
        <w:rPr>
          <w:spacing w:val="-64"/>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r>
        <w:rPr>
          <w:spacing w:val="-64"/>
        </w:rPr>
        <w:t> </w:t>
      </w:r>
      <w:r>
        <w:rPr>
          <w:spacing w:val="-64"/>
        </w:rPr>
      </w:r>
      <w:r>
        <w:rPr/>
        <w:t>以外变量（例如利率、某种商品的价格或某项金融工具的价格）的变动而变动，该合同分类为金融负债。 </w:t>
      </w:r>
    </w:p>
    <w:p>
      <w:pPr>
        <w:spacing w:line="319" w:lineRule="auto" w:before="18"/>
        <w:ind w:left="512" w:right="6033" w:firstLine="0"/>
        <w:jc w:val="left"/>
        <w:rPr>
          <w:rFonts w:ascii="宋体" w:hAnsi="宋体" w:cs="宋体" w:eastAsia="宋体" w:hint="default"/>
          <w:sz w:val="18"/>
          <w:szCs w:val="18"/>
        </w:rPr>
      </w:pPr>
      <w:r>
        <w:rPr>
          <w:rFonts w:ascii="宋体" w:hAnsi="宋体" w:cs="宋体" w:eastAsia="宋体" w:hint="default"/>
          <w:b/>
          <w:bCs/>
          <w:sz w:val="18"/>
          <w:szCs w:val="18"/>
        </w:rPr>
        <w:t>（5）金融资产转移</w:t>
      </w:r>
      <w:r>
        <w:rPr>
          <w:rFonts w:ascii="宋体" w:hAnsi="宋体" w:cs="宋体" w:eastAsia="宋体" w:hint="default"/>
          <w:b/>
          <w:bCs/>
          <w:w w:val="99"/>
          <w:sz w:val="18"/>
          <w:szCs w:val="18"/>
        </w:rPr>
        <w:t> </w:t>
      </w:r>
      <w:r>
        <w:rPr>
          <w:rFonts w:ascii="宋体" w:hAnsi="宋体" w:cs="宋体" w:eastAsia="宋体" w:hint="default"/>
          <w:sz w:val="18"/>
          <w:szCs w:val="18"/>
        </w:rPr>
        <w:t>金融资产转移是指下列两种情形： </w:t>
      </w:r>
    </w:p>
    <w:p>
      <w:pPr>
        <w:pStyle w:val="BodyText"/>
        <w:spacing w:line="316" w:lineRule="auto" w:before="17"/>
        <w:ind w:left="512" w:right="93"/>
        <w:jc w:val="left"/>
      </w:pPr>
      <w:r>
        <w:rPr/>
        <w:t>A.将收取金融资产现金流量的合同权利转移给另一方； </w:t>
      </w:r>
      <w:r>
        <w:rPr>
          <w:spacing w:val="-2"/>
        </w:rPr>
        <w:t>B.将金融资产整体或部分转移给另一方，但保留收取金融资产现金流量的合同权利，并承担将收取的现金流量支付给一</w:t>
      </w:r>
    </w:p>
    <w:p>
      <w:pPr>
        <w:pStyle w:val="BodyText"/>
        <w:spacing w:line="240" w:lineRule="auto" w:before="19"/>
        <w:ind w:right="0"/>
        <w:jc w:val="both"/>
      </w:pPr>
      <w:r>
        <w:rPr/>
        <w:t>个或多个收款方的合同义务。 </w:t>
      </w:r>
    </w:p>
    <w:p>
      <w:pPr>
        <w:pStyle w:val="BodyText"/>
        <w:spacing w:line="316" w:lineRule="auto" w:before="76"/>
        <w:ind w:left="512" w:right="93"/>
        <w:jc w:val="left"/>
      </w:pPr>
      <w:r>
        <w:rPr/>
        <w:t>①终止确认所转移的金融资产 </w:t>
      </w:r>
      <w:r>
        <w:rPr>
          <w:spacing w:val="-2"/>
        </w:rPr>
        <w:t>已将金融资产所有权上几乎所有的风险和报酬转移给转入方的，或既没有转移也没有保留金融资产所有权上几乎所有的</w:t>
      </w:r>
    </w:p>
    <w:p>
      <w:pPr>
        <w:pStyle w:val="BodyText"/>
        <w:spacing w:line="316" w:lineRule="auto" w:before="19"/>
        <w:ind w:left="512" w:right="93" w:hanging="361"/>
        <w:jc w:val="left"/>
      </w:pPr>
      <w:r>
        <w:rPr/>
        <w:t>风险和报酬的，但放弃了对该金融资产控制的，终止确认该金融资产。 </w:t>
      </w:r>
      <w:r>
        <w:rPr>
          <w:spacing w:val="-2"/>
        </w:rPr>
        <w:t>在判断是否已放弃对所转移金融资产的控制时，注重转入方出售该金融资产的实际能力。转入方能够单独将转入的金融</w:t>
      </w:r>
    </w:p>
    <w:p>
      <w:pPr>
        <w:pStyle w:val="BodyText"/>
        <w:spacing w:line="319" w:lineRule="auto" w:before="18"/>
        <w:ind w:right="192"/>
        <w:jc w:val="both"/>
      </w:pPr>
      <w:r>
        <w:rPr>
          <w:spacing w:val="-2"/>
        </w:rPr>
        <w:t>资产整体出售给与其不存在关联方关系的第三方，且没有额外条件对此项出售加以限制的，表明企业已放弃对该金融资产的</w:t>
      </w:r>
      <w:r>
        <w:rPr>
          <w:spacing w:val="-64"/>
        </w:rPr>
        <w:t> </w:t>
      </w:r>
      <w:r>
        <w:rPr>
          <w:spacing w:val="-64"/>
        </w:rPr>
      </w:r>
      <w:r>
        <w:rPr/>
        <w:t>控制。 </w:t>
      </w:r>
    </w:p>
    <w:p>
      <w:pPr>
        <w:pStyle w:val="BodyText"/>
        <w:spacing w:line="316" w:lineRule="auto" w:before="17"/>
        <w:ind w:left="512" w:right="93"/>
        <w:jc w:val="left"/>
      </w:pPr>
      <w:r>
        <w:rPr/>
        <w:t>本公司在判断金融资产转移是否满足金融资产终止确认条件时，注重金融资产转移的实质。 金融资产整体转移满足终止确认条件的，将下列两项金额的差额计入当期损益： </w:t>
      </w:r>
    </w:p>
    <w:p>
      <w:pPr>
        <w:spacing w:after="0" w:line="316" w:lineRule="auto"/>
        <w:jc w:val="left"/>
        <w:sectPr>
          <w:footerReference w:type="default" r:id="rId22"/>
          <w:pgSz w:w="11910" w:h="16840"/>
          <w:pgMar w:footer="981" w:header="745" w:top="1060" w:bottom="1180" w:left="980" w:right="940"/>
          <w:pgNumType w:start="100"/>
        </w:sectPr>
      </w:pPr>
    </w:p>
    <w:p>
      <w:pPr>
        <w:spacing w:line="240" w:lineRule="auto" w:before="9"/>
        <w:rPr>
          <w:rFonts w:ascii="宋体" w:hAnsi="宋体" w:cs="宋体" w:eastAsia="宋体" w:hint="default"/>
          <w:sz w:val="25"/>
          <w:szCs w:val="25"/>
        </w:rPr>
      </w:pPr>
    </w:p>
    <w:p>
      <w:pPr>
        <w:pStyle w:val="BodyText"/>
        <w:spacing w:line="316" w:lineRule="auto" w:before="44"/>
        <w:ind w:left="512" w:right="148"/>
        <w:jc w:val="left"/>
      </w:pPr>
      <w:r>
        <w:rPr/>
        <w:t>A.所转移金融资产的账面价值； </w:t>
      </w:r>
      <w:r>
        <w:rPr>
          <w:spacing w:val="-2"/>
        </w:rPr>
        <w:t>B.因转移而收到的对价，与原直接计入所有者权益的公允价值变动累计额（涉及转移的金融资产为可供出售金融资产的</w:t>
      </w:r>
    </w:p>
    <w:p>
      <w:pPr>
        <w:pStyle w:val="BodyText"/>
        <w:spacing w:line="240" w:lineRule="auto" w:before="19"/>
        <w:ind w:right="148"/>
        <w:jc w:val="left"/>
      </w:pPr>
      <w:r>
        <w:rPr/>
        <w:t>情形）之和。 </w:t>
      </w:r>
    </w:p>
    <w:p>
      <w:pPr>
        <w:pStyle w:val="BodyText"/>
        <w:spacing w:line="316" w:lineRule="auto" w:before="76"/>
        <w:ind w:right="149"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4"/>
        </w:rPr>
        <w:t> </w:t>
      </w:r>
      <w:r>
        <w:rPr>
          <w:spacing w:val="-64"/>
        </w:rPr>
      </w:r>
      <w:r>
        <w:rPr/>
        <w:t>金额的差额计入当期损益： </w:t>
      </w:r>
    </w:p>
    <w:p>
      <w:pPr>
        <w:pStyle w:val="BodyText"/>
        <w:spacing w:line="316" w:lineRule="auto" w:before="18"/>
        <w:ind w:left="512" w:right="148"/>
        <w:jc w:val="left"/>
      </w:pPr>
      <w:r>
        <w:rPr/>
        <w:t>A.终止确认部分的账面价值； </w:t>
      </w:r>
      <w:r>
        <w:rPr>
          <w:spacing w:val="-2"/>
        </w:rPr>
        <w:t>B.终止确认部分的对价，与原直接计入所有者权益的公允价值变动累计额中对应终止确认部分的金额（涉及转移的金融</w:t>
      </w:r>
    </w:p>
    <w:p>
      <w:pPr>
        <w:pStyle w:val="BodyText"/>
        <w:spacing w:line="240" w:lineRule="auto" w:before="19"/>
        <w:ind w:right="148"/>
        <w:jc w:val="left"/>
      </w:pPr>
      <w:r>
        <w:rPr/>
        <w:t>资产为可供出售金融资产的情形）之和。 </w:t>
      </w:r>
    </w:p>
    <w:p>
      <w:pPr>
        <w:pStyle w:val="BodyText"/>
        <w:spacing w:line="316" w:lineRule="auto" w:before="76"/>
        <w:ind w:left="512" w:right="148"/>
        <w:jc w:val="left"/>
      </w:pPr>
      <w:r>
        <w:rPr/>
        <w:t>②继续涉入所转移的金融资产 </w:t>
      </w:r>
      <w:r>
        <w:rPr>
          <w:spacing w:val="-2"/>
        </w:rPr>
        <w:t>既没有转移也没有保留金融资产所有权上几乎所有的风险和报酬的，且未放弃对该金融资产控制的，应当按照其继续涉</w:t>
      </w:r>
    </w:p>
    <w:p>
      <w:pPr>
        <w:pStyle w:val="BodyText"/>
        <w:spacing w:line="316" w:lineRule="auto" w:before="19"/>
        <w:ind w:left="512" w:right="148" w:hanging="361"/>
        <w:jc w:val="left"/>
      </w:pPr>
      <w:r>
        <w:rPr/>
        <w:t>入所转移金融资产的程度确认有关金融资产，并相应确认有关负债。 继续涉入所转移金融资产的程度，是指该金融资产价值变动使企业面临的风险水平。 </w:t>
      </w:r>
    </w:p>
    <w:p>
      <w:pPr>
        <w:pStyle w:val="BodyText"/>
        <w:spacing w:line="319" w:lineRule="auto" w:before="18"/>
        <w:ind w:left="512" w:right="148"/>
        <w:jc w:val="left"/>
      </w:pPr>
      <w:r>
        <w:rPr/>
        <w:t>③继续确认所转移的金融资产 </w:t>
      </w:r>
      <w:r>
        <w:rPr>
          <w:spacing w:val="-2"/>
        </w:rPr>
        <w:t>仍保留与所转移金融资产所有权上几乎所有的风险和报酬的，应当继续确认所转移金融资产整体，并将收到的对价确认</w:t>
      </w:r>
    </w:p>
    <w:p>
      <w:pPr>
        <w:pStyle w:val="BodyText"/>
        <w:spacing w:line="316" w:lineRule="auto" w:before="17"/>
        <w:ind w:left="512" w:right="148" w:hanging="361"/>
        <w:jc w:val="left"/>
      </w:pPr>
      <w:r>
        <w:rPr/>
        <w:t>为一项金融负债。 </w:t>
      </w:r>
      <w:r>
        <w:rPr>
          <w:spacing w:val="-2"/>
        </w:rPr>
        <w:t>该金融资产与确认的相关金融负债不得相互抵销。在随后的会计期间，企业应当继续确认该金融资产产生的收入和该金</w:t>
      </w:r>
    </w:p>
    <w:p>
      <w:pPr>
        <w:pStyle w:val="BodyText"/>
        <w:spacing w:line="316" w:lineRule="auto" w:before="19"/>
        <w:ind w:right="148"/>
        <w:jc w:val="left"/>
      </w:pPr>
      <w:r>
        <w:rPr>
          <w:spacing w:val="-2"/>
        </w:rPr>
        <w:t>融负债产生的费用。所转移的金融资产以摊余成本计量的，确认的相关负债不得指定为以公允价值计量且其变动计入当期损</w:t>
      </w:r>
      <w:r>
        <w:rPr>
          <w:spacing w:val="-64"/>
        </w:rPr>
        <w:t> </w:t>
      </w:r>
      <w:r>
        <w:rPr>
          <w:spacing w:val="-64"/>
        </w:rPr>
      </w:r>
      <w:r>
        <w:rPr/>
        <w:t>益的金融负债。 </w:t>
      </w:r>
    </w:p>
    <w:p>
      <w:pPr>
        <w:spacing w:line="319" w:lineRule="auto" w:before="18"/>
        <w:ind w:left="512" w:right="1673" w:firstLine="0"/>
        <w:jc w:val="left"/>
        <w:rPr>
          <w:rFonts w:ascii="宋体" w:hAnsi="宋体" w:cs="宋体" w:eastAsia="宋体" w:hint="default"/>
          <w:sz w:val="18"/>
          <w:szCs w:val="18"/>
        </w:rPr>
      </w:pPr>
      <w:r>
        <w:rPr>
          <w:rFonts w:ascii="宋体" w:hAnsi="宋体" w:cs="宋体" w:eastAsia="宋体" w:hint="default"/>
          <w:b/>
          <w:bCs/>
          <w:sz w:val="18"/>
          <w:szCs w:val="18"/>
        </w:rPr>
        <w:t>（6）金融负债终止确认</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金融负债的现时义务全部或部分已经解除的，终止确认该金融负债或其一部分。 </w:t>
      </w:r>
    </w:p>
    <w:p>
      <w:pPr>
        <w:pStyle w:val="BodyText"/>
        <w:spacing w:line="316" w:lineRule="auto" w:before="17"/>
        <w:ind w:right="149" w:firstLine="360"/>
        <w:jc w:val="both"/>
      </w:pPr>
      <w:r>
        <w:rPr>
          <w:spacing w:val="-2"/>
        </w:rPr>
        <w:t>将用于偿付金融负债的资产转入某个机构或设立信托，偿付债务的现时义务仍存在的，不终止确认该金融负债，也不终</w:t>
      </w:r>
      <w:r>
        <w:rPr/>
        <w:t> 止确认转出的资产。 </w:t>
      </w:r>
    </w:p>
    <w:p>
      <w:pPr>
        <w:pStyle w:val="BodyText"/>
        <w:spacing w:line="316" w:lineRule="auto" w:before="19"/>
        <w:ind w:right="152" w:firstLine="360"/>
        <w:jc w:val="both"/>
      </w:pPr>
      <w:r>
        <w:rPr>
          <w:spacing w:val="-2"/>
        </w:rPr>
        <w:t>与债权人之间签订协议，以承担新金融负债方式替换现存金融负债，且新金融负债与现存金融负债的合同条款实质上不</w:t>
      </w:r>
      <w:r>
        <w:rPr/>
        <w:t> 同的，终止确认现存金融负债，并同时确认新金融负债。 </w:t>
      </w:r>
    </w:p>
    <w:p>
      <w:pPr>
        <w:pStyle w:val="BodyText"/>
        <w:spacing w:line="319" w:lineRule="auto" w:before="18"/>
        <w:ind w:right="152" w:firstLine="360"/>
        <w:jc w:val="both"/>
      </w:pPr>
      <w:r>
        <w:rPr>
          <w:spacing w:val="-2"/>
        </w:rPr>
        <w:t>对现存金融负债全部或部分的合同条款作出实质性修改的，终止确认现存金融负债或其一部分，同时将修改条款后的金</w:t>
      </w:r>
      <w:r>
        <w:rPr/>
        <w:t> 融负债确认为一项新金融负债。 </w:t>
      </w:r>
    </w:p>
    <w:p>
      <w:pPr>
        <w:pStyle w:val="BodyText"/>
        <w:spacing w:line="316" w:lineRule="auto" w:before="17"/>
        <w:ind w:right="152" w:firstLine="360"/>
        <w:jc w:val="both"/>
      </w:pPr>
      <w:r>
        <w:rPr>
          <w:spacing w:val="-2"/>
        </w:rPr>
        <w:t>金融负债全部或部分终止确认的，将终止确认部分的账面价值与支付的对价（包括转出的非现金资产或承担的新金融负</w:t>
      </w:r>
      <w:r>
        <w:rPr/>
        <w:t> 债）之间的差额，计入当期损益。 </w:t>
      </w:r>
    </w:p>
    <w:p>
      <w:pPr>
        <w:spacing w:line="316" w:lineRule="auto" w:before="19"/>
        <w:ind w:left="512" w:right="148" w:firstLine="0"/>
        <w:jc w:val="left"/>
        <w:rPr>
          <w:rFonts w:ascii="宋体" w:hAnsi="宋体" w:cs="宋体" w:eastAsia="宋体" w:hint="default"/>
          <w:sz w:val="18"/>
          <w:szCs w:val="18"/>
        </w:rPr>
      </w:pPr>
      <w:r>
        <w:rPr>
          <w:rFonts w:ascii="宋体" w:hAnsi="宋体" w:cs="宋体" w:eastAsia="宋体" w:hint="default"/>
          <w:b/>
          <w:bCs/>
          <w:sz w:val="18"/>
          <w:szCs w:val="18"/>
        </w:rPr>
        <w:t>（7）金融资产和金融负债的抵销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金融资产和金融负债应当在资产负债表内分别列示，不得相互抵销。但同时满足下列条件的，以相互抵销后的净额在资</w:t>
      </w:r>
    </w:p>
    <w:p>
      <w:pPr>
        <w:pStyle w:val="BodyText"/>
        <w:spacing w:line="316" w:lineRule="auto" w:before="18"/>
        <w:ind w:left="512" w:right="2573" w:hanging="361"/>
        <w:jc w:val="left"/>
      </w:pPr>
      <w:r>
        <w:rPr/>
        <w:t>产负债表内列示： 本公司具有抵销已确认金额的法定权利，且该种法定权利是当前可执行的； 本公司计划以净额结算，或同时变现该金融资产和清偿该金融负债。 </w:t>
      </w:r>
    </w:p>
    <w:p>
      <w:pPr>
        <w:pStyle w:val="BodyText"/>
        <w:spacing w:line="240" w:lineRule="auto" w:before="18"/>
        <w:ind w:left="512" w:right="148"/>
        <w:jc w:val="left"/>
      </w:pPr>
      <w:r>
        <w:rPr/>
        <w:t>不满足终止确认条件的金融资产转移，转出方不得将已转移的金融资产和相关负债进行抵销。 </w:t>
      </w:r>
    </w:p>
    <w:p>
      <w:pPr>
        <w:pStyle w:val="Heading4"/>
        <w:spacing w:line="240" w:lineRule="auto"/>
        <w:ind w:right="148"/>
        <w:jc w:val="left"/>
        <w:rPr>
          <w:b w:val="0"/>
          <w:bCs w:val="0"/>
        </w:rPr>
      </w:pPr>
      <w:r>
        <w:rPr/>
        <w:t>（8）金融资产减值测试方法及减值准备计提方法</w:t>
      </w:r>
      <w:r>
        <w:rPr>
          <w:w w:val="99"/>
        </w:rPr>
        <w:t> </w:t>
      </w:r>
      <w:r>
        <w:rPr>
          <w:b w:val="0"/>
          <w:bCs w:val="0"/>
        </w:rPr>
      </w:r>
    </w:p>
    <w:p>
      <w:pPr>
        <w:pStyle w:val="BodyText"/>
        <w:spacing w:line="316" w:lineRule="auto" w:before="76"/>
        <w:ind w:left="512" w:right="4013"/>
        <w:jc w:val="left"/>
      </w:pPr>
      <w:r>
        <w:rPr/>
        <w:t>①金融资产发生减值的客观证据： A.发行方或债务人发生严重财务困难； B.债务人违反了合同条款，如偿付利息或本金发生违约或逾期等； </w:t>
      </w:r>
    </w:p>
    <w:p>
      <w:pPr>
        <w:pStyle w:val="BodyText"/>
        <w:spacing w:line="316" w:lineRule="auto" w:before="18"/>
        <w:ind w:left="512" w:right="1208"/>
        <w:jc w:val="left"/>
      </w:pPr>
      <w:r>
        <w:rPr/>
        <w:t>C.债权人出于经济或法律等方面的考虑，对发生财务困难的债务人作出让步； D.债务人可能倒闭或进行其他财务重组； E.因发行方发生重大财务困难，该金融资产无法在活跃市场继续交易； </w:t>
      </w:r>
    </w:p>
    <w:p>
      <w:pPr>
        <w:pStyle w:val="BodyText"/>
        <w:spacing w:line="316" w:lineRule="auto" w:before="18"/>
        <w:ind w:right="152" w:firstLine="360"/>
        <w:jc w:val="both"/>
      </w:pPr>
      <w:r>
        <w:rPr>
          <w:spacing w:val="-2"/>
        </w:rPr>
        <w:t>F.无法辨认一组金融资产中的某项资产的现金流量是否已经减少，但根据公开的数据对其进行总体评价后发现，该组金</w:t>
      </w:r>
      <w:r>
        <w:rPr/>
        <w:t> 融资产自初始确认以来的预计未来现金流量确已减少且可计量； </w:t>
      </w:r>
    </w:p>
    <w:p>
      <w:pPr>
        <w:spacing w:after="0" w:line="316" w:lineRule="auto"/>
        <w:jc w:val="both"/>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left="512" w:right="93"/>
        <w:jc w:val="left"/>
      </w:pPr>
      <w:r>
        <w:rPr/>
        <w:t>G.债务人经营所处的技术、市场、经济或法律环境等发生重大不利变化，使权益工具投资人可能无法收回投资成本； H.权益工具投资的公允价值发生严重或非暂时性下跌； </w:t>
      </w:r>
    </w:p>
    <w:p>
      <w:pPr>
        <w:pStyle w:val="BodyText"/>
        <w:spacing w:line="240" w:lineRule="auto" w:before="19"/>
        <w:ind w:left="512" w:right="93"/>
        <w:jc w:val="left"/>
      </w:pPr>
      <w:r>
        <w:rPr/>
        <w:t>I.其他表明金融资产发生减值的客观证据。 </w:t>
      </w:r>
    </w:p>
    <w:p>
      <w:pPr>
        <w:pStyle w:val="BodyText"/>
        <w:spacing w:line="316" w:lineRule="auto" w:before="76"/>
        <w:ind w:left="512" w:right="4233"/>
        <w:jc w:val="left"/>
      </w:pPr>
      <w:r>
        <w:rPr/>
        <w:t>②金融资产的减值测试（不包括应收款项） A．持有至到期投资减值测试 </w:t>
      </w:r>
    </w:p>
    <w:p>
      <w:pPr>
        <w:pStyle w:val="BodyText"/>
        <w:spacing w:line="316" w:lineRule="auto" w:before="19"/>
        <w:ind w:right="192" w:firstLine="360"/>
        <w:jc w:val="both"/>
      </w:pPr>
      <w:r>
        <w:rPr>
          <w:spacing w:val="-2"/>
        </w:rPr>
        <w:t>持有至到期投资发生减值时，将该持有至到期投资的账面价值减记至预计未来现金流量（不包括尚未发生的未来信用损</w:t>
      </w:r>
      <w:r>
        <w:rPr/>
        <w:t> 失）现值，减记的金额确认为资产减值损失，计入当期损益。 </w:t>
      </w:r>
    </w:p>
    <w:p>
      <w:pPr>
        <w:pStyle w:val="BodyText"/>
        <w:spacing w:line="316" w:lineRule="auto" w:before="18"/>
        <w:ind w:right="189" w:firstLine="360"/>
        <w:jc w:val="both"/>
      </w:pPr>
      <w:r>
        <w:rPr>
          <w:spacing w:val="-2"/>
        </w:rPr>
        <w:t>预计未来现金流量现值，按照该持有至到期投资的原实际利率折现确定，并考虑相关担保物的价值（取得和出售该担保</w:t>
      </w:r>
      <w:r>
        <w:rPr/>
        <w:t> </w:t>
      </w:r>
      <w:r>
        <w:rPr>
          <w:spacing w:val="-2"/>
        </w:rPr>
        <w:t>物发生的费用予以扣除）。原实际利率是初始确认该持有至到期投资时计算确定的实际利率。对于浮动利率的持有至到期投</w:t>
      </w:r>
      <w:r>
        <w:rPr>
          <w:spacing w:val="-66"/>
        </w:rPr>
        <w:t> </w:t>
      </w:r>
      <w:r>
        <w:rPr>
          <w:spacing w:val="-66"/>
        </w:rPr>
      </w:r>
      <w:r>
        <w:rPr/>
        <w:t>资，在计算未来现金流量现值时可采用合同规定的现行实际利率作为折现率。 </w:t>
      </w:r>
    </w:p>
    <w:p>
      <w:pPr>
        <w:pStyle w:val="BodyText"/>
        <w:spacing w:line="319" w:lineRule="auto" w:before="18"/>
        <w:ind w:right="192" w:firstLine="360"/>
        <w:jc w:val="both"/>
      </w:pPr>
      <w:r>
        <w:rPr>
          <w:spacing w:val="-2"/>
        </w:rPr>
        <w:t>即使合同条款因债务方或金融资产发行方发生财务困难而重新商定或修改，在确认减值损失时，仍用条款修改前所计算</w:t>
      </w:r>
      <w:r>
        <w:rPr/>
        <w:t> 的该金融资产的原实际利率计算。 </w:t>
      </w:r>
    </w:p>
    <w:p>
      <w:pPr>
        <w:pStyle w:val="BodyText"/>
        <w:spacing w:line="316" w:lineRule="auto" w:before="17"/>
        <w:ind w:right="192" w:firstLine="360"/>
        <w:jc w:val="both"/>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 </w:t>
      </w:r>
    </w:p>
    <w:p>
      <w:pPr>
        <w:pStyle w:val="BodyText"/>
        <w:spacing w:line="316" w:lineRule="auto" w:before="19"/>
        <w:ind w:left="512" w:right="93"/>
        <w:jc w:val="left"/>
      </w:pPr>
      <w:r>
        <w:rPr>
          <w:spacing w:val="-2"/>
        </w:rPr>
        <w:t>持有至到期投资发生减值后，利息收入按照确定减值损失时对未来现金流量进行折现采用的折现率作为利率计算确认。</w:t>
      </w:r>
      <w:r>
        <w:rPr>
          <w:spacing w:val="-76"/>
        </w:rPr>
        <w:t> </w:t>
      </w:r>
      <w:r>
        <w:rPr/>
        <w:t>B.可供出售金融资产减值测试 </w:t>
      </w:r>
      <w:r>
        <w:rPr>
          <w:spacing w:val="-2"/>
        </w:rPr>
        <w:t>在资产负债表日本公司对可供出售金融资产的减值情况进行分析，判断该项金融资产公允价值是否持续下降。通常情况</w:t>
      </w:r>
    </w:p>
    <w:p>
      <w:pPr>
        <w:pStyle w:val="BodyText"/>
        <w:spacing w:line="316" w:lineRule="auto" w:before="19"/>
        <w:ind w:right="189"/>
        <w:jc w:val="both"/>
      </w:pPr>
      <w:r>
        <w:rPr/>
        <w:t>下，如果可供出售金融资产的期末公允价值相对于成本的下跌幅度已达到或超过50%，或者持续下跌时间已达到或超过12个</w:t>
      </w:r>
      <w:r>
        <w:rPr>
          <w:spacing w:val="-85"/>
        </w:rPr>
        <w:t> </w:t>
      </w:r>
      <w:r>
        <w:rPr>
          <w:spacing w:val="-85"/>
        </w:rPr>
      </w:r>
      <w:r>
        <w:rPr/>
        <w:t>月，在综合考虑各种相关因素后，</w:t>
      </w:r>
      <w:r>
        <w:rPr>
          <w:spacing w:val="6"/>
        </w:rPr>
        <w:t> </w:t>
      </w:r>
      <w:r>
        <w:rPr/>
        <w:t>预期这种下降趋势属于非暂时性的，可以认定该可供出售金融资产已发生减值，确认减</w:t>
      </w:r>
      <w:r>
        <w:rPr/>
        <w:t> </w:t>
      </w:r>
      <w:r>
        <w:rPr>
          <w:spacing w:val="-2"/>
        </w:rPr>
        <w:t>值损失。可供出售金融资产发生减值的，在确认减值损失时，将原直接计入所有者权益的公允价值下降形成的累计损失一并</w:t>
      </w:r>
      <w:r>
        <w:rPr>
          <w:spacing w:val="-63"/>
        </w:rPr>
        <w:t> </w:t>
      </w:r>
      <w:r>
        <w:rPr>
          <w:spacing w:val="-63"/>
        </w:rPr>
      </w:r>
      <w:r>
        <w:rPr/>
        <w:t>转出，计入资产减值损失。 </w:t>
      </w:r>
    </w:p>
    <w:p>
      <w:pPr>
        <w:pStyle w:val="BodyText"/>
        <w:spacing w:line="316" w:lineRule="auto" w:before="18"/>
        <w:ind w:left="512" w:right="93"/>
        <w:jc w:val="left"/>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w:t>
      </w:r>
    </w:p>
    <w:p>
      <w:pPr>
        <w:pStyle w:val="BodyText"/>
        <w:spacing w:line="240" w:lineRule="auto" w:before="18"/>
        <w:ind w:right="0"/>
        <w:jc w:val="both"/>
      </w:pPr>
      <w:r>
        <w:rPr/>
        <w:t>计算确认。 </w:t>
      </w:r>
    </w:p>
    <w:p>
      <w:pPr>
        <w:pStyle w:val="BodyText"/>
        <w:spacing w:line="319" w:lineRule="auto" w:before="76"/>
        <w:ind w:right="192"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 </w:t>
      </w:r>
    </w:p>
    <w:p>
      <w:pPr>
        <w:spacing w:line="316" w:lineRule="auto" w:before="17"/>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（9）金融资产和金融负债公允价值的确定方法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本公司以主要市场的价格计量相关资产或负债的公允价值，不存在主要市场的，本公司以最有利市场的价格计量相关资</w:t>
      </w:r>
    </w:p>
    <w:p>
      <w:pPr>
        <w:pStyle w:val="BodyText"/>
        <w:spacing w:line="316" w:lineRule="auto" w:before="19"/>
        <w:ind w:left="512" w:right="93" w:hanging="361"/>
        <w:jc w:val="left"/>
      </w:pPr>
      <w:r>
        <w:rPr/>
        <w:t>产或负债的公允价值。 </w:t>
      </w:r>
      <w:r>
        <w:rPr>
          <w:spacing w:val="-2"/>
        </w:rPr>
        <w:t>主要市场，是指相关资产或负债交易量最大和交易活跃程度最高的市场；最有利市场，是指在考虑交易费用和运输费用</w:t>
      </w:r>
    </w:p>
    <w:p>
      <w:pPr>
        <w:pStyle w:val="BodyText"/>
        <w:spacing w:line="319" w:lineRule="auto" w:before="18"/>
        <w:ind w:right="192"/>
        <w:jc w:val="both"/>
      </w:pPr>
      <w:r>
        <w:rPr>
          <w:spacing w:val="-2"/>
        </w:rPr>
        <w:t>后，能够以最高金额出售相关资产或者以最低金额转移相关负债的市场。本公司采用市场参与者在对该资产或负债定价时为</w:t>
      </w:r>
      <w:r>
        <w:rPr>
          <w:spacing w:val="-64"/>
        </w:rPr>
        <w:t> </w:t>
      </w:r>
      <w:r>
        <w:rPr>
          <w:spacing w:val="-64"/>
        </w:rPr>
      </w:r>
      <w:r>
        <w:rPr/>
        <w:t>实现其经济利益最大化所使用的假设。 </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单项金额重大的判断依据或金额标准：单项金额超过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 元。</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48"/>
        <w:jc w:val="left"/>
      </w:pPr>
      <w:r>
        <w:rPr/>
        <w:t>组合中，采用账龄分析法计提坏账准备的：</w:t>
      </w:r>
    </w:p>
    <w:p>
      <w:pPr>
        <w:pStyle w:val="BodyText"/>
        <w:spacing w:line="240" w:lineRule="auto" w:before="115"/>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148"/>
        <w:jc w:val="left"/>
      </w:pPr>
      <w:r>
        <w:rPr/>
        <w:t>组合中，采用余额百分比法计提坏账准备的：</w:t>
      </w:r>
    </w:p>
    <w:p>
      <w:pPr>
        <w:pStyle w:val="BodyText"/>
        <w:spacing w:line="338" w:lineRule="auto" w:before="117"/>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有确凿证据表明该款项的信用风险特征明显不同于组合的信 用风险特征</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4</w:t>
      </w:r>
      <w:r>
        <w:rPr/>
        <w:t>） 按组合计提坏账准备的长期应收款</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48" w:firstLine="360"/>
        <w:jc w:val="left"/>
      </w:pPr>
      <w:r>
        <w:rPr>
          <w:spacing w:val="-2"/>
        </w:rPr>
        <w:t>对于无明显减值迹象表明不能够按照回款计划如期回款的长期应收款，按类似信用风险的特征按照长期应收款余额的5%</w:t>
      </w:r>
      <w:r>
        <w:rPr/>
        <w:t> 计提坏账准备。 </w:t>
      </w:r>
    </w:p>
    <w:p>
      <w:pPr>
        <w:spacing w:line="240" w:lineRule="auto" w:before="8"/>
        <w:rPr>
          <w:rFonts w:ascii="宋体" w:hAnsi="宋体" w:cs="宋体" w:eastAsia="宋体" w:hint="default"/>
          <w:sz w:val="22"/>
          <w:szCs w:val="22"/>
        </w:rPr>
      </w:pPr>
    </w:p>
    <w:p>
      <w:pPr>
        <w:pStyle w:val="Heading3"/>
        <w:spacing w:line="240" w:lineRule="auto"/>
        <w:ind w:right="148"/>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148"/>
        <w:jc w:val="left"/>
      </w:pPr>
      <w:r>
        <w:rPr>
          <w:rFonts w:ascii="宋体" w:hAnsi="宋体" w:cs="宋体" w:eastAsia="宋体" w:hint="default"/>
          <w:b/>
          <w:bCs/>
        </w:rPr>
        <w:t>（1）存货的分类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240" w:lineRule="auto" w:before="19"/>
        <w:ind w:right="148"/>
        <w:jc w:val="left"/>
      </w:pPr>
      <w:r>
        <w:rPr/>
        <w:t>耗用的材料和物料等，包括库存商品、发出商品、周转材料等。 </w:t>
      </w:r>
    </w:p>
    <w:p>
      <w:pPr>
        <w:spacing w:line="316" w:lineRule="auto" w:before="76"/>
        <w:ind w:left="512" w:right="5813" w:firstLine="0"/>
        <w:jc w:val="left"/>
        <w:rPr>
          <w:rFonts w:ascii="宋体" w:hAnsi="宋体" w:cs="宋体" w:eastAsia="宋体" w:hint="default"/>
          <w:sz w:val="18"/>
          <w:szCs w:val="18"/>
        </w:rPr>
      </w:pPr>
      <w:r>
        <w:rPr>
          <w:rFonts w:ascii="宋体" w:hAnsi="宋体" w:cs="宋体" w:eastAsia="宋体" w:hint="default"/>
          <w:b/>
          <w:bCs/>
          <w:sz w:val="18"/>
          <w:szCs w:val="18"/>
        </w:rPr>
        <w:t>（2）发出存货的计价方法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本公司存货发出时采用加权平均法计价。 </w:t>
      </w:r>
    </w:p>
    <w:p>
      <w:pPr>
        <w:spacing w:line="316" w:lineRule="auto" w:before="19"/>
        <w:ind w:left="512" w:right="1208" w:firstLine="0"/>
        <w:jc w:val="left"/>
        <w:rPr>
          <w:rFonts w:ascii="宋体" w:hAnsi="宋体" w:cs="宋体" w:eastAsia="宋体" w:hint="default"/>
          <w:sz w:val="18"/>
          <w:szCs w:val="18"/>
        </w:rPr>
      </w:pPr>
      <w:r>
        <w:rPr>
          <w:rFonts w:ascii="宋体" w:hAnsi="宋体" w:cs="宋体" w:eastAsia="宋体" w:hint="default"/>
          <w:b/>
          <w:bCs/>
          <w:sz w:val="18"/>
          <w:szCs w:val="18"/>
        </w:rPr>
        <w:t>（3）存货的盘存制度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本公司存货采用永续盘存制，每年至少盘点一次，盘盈及盘亏金额计入当年度损益。 </w:t>
      </w:r>
    </w:p>
    <w:p>
      <w:pPr>
        <w:spacing w:line="319" w:lineRule="auto" w:before="18"/>
        <w:ind w:left="512" w:right="148" w:firstLine="0"/>
        <w:jc w:val="left"/>
        <w:rPr>
          <w:rFonts w:ascii="宋体" w:hAnsi="宋体" w:cs="宋体" w:eastAsia="宋体" w:hint="default"/>
          <w:sz w:val="18"/>
          <w:szCs w:val="18"/>
        </w:rPr>
      </w:pPr>
      <w:r>
        <w:rPr>
          <w:rFonts w:ascii="宋体" w:hAnsi="宋体" w:cs="宋体" w:eastAsia="宋体" w:hint="default"/>
          <w:b/>
          <w:bCs/>
          <w:sz w:val="18"/>
          <w:szCs w:val="18"/>
        </w:rPr>
        <w:t>（4）存货跌价准备的计提方法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资产负债表日按成本与可变现净值孰低计量，存货成本高于其可变现净值的，计提存货跌价准备，计入当期损益。 </w:t>
      </w:r>
    </w:p>
    <w:p>
      <w:pPr>
        <w:spacing w:after="0" w:line="319"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2" w:right="93"/>
        <w:jc w:val="left"/>
      </w:pPr>
      <w:r>
        <w:rPr/>
        <w:t>在确定存货的可变现净值时</w:t>
      </w:r>
      <w:r>
        <w:rPr>
          <w:spacing w:val="-58"/>
        </w:rPr>
        <w:t>，</w:t>
      </w:r>
      <w:r>
        <w:rPr/>
        <w:t>以取得的可靠证据为基础</w:t>
      </w:r>
      <w:r>
        <w:rPr>
          <w:spacing w:val="-58"/>
        </w:rPr>
        <w:t>，</w:t>
      </w:r>
      <w:r>
        <w:rPr/>
        <w:t>并且考虑持有存货的目的</w:t>
      </w:r>
      <w:r>
        <w:rPr>
          <w:spacing w:val="-58"/>
        </w:rPr>
        <w:t>、</w:t>
      </w:r>
      <w:r>
        <w:rPr/>
        <w:t>资产负债表日后事项的影响等因素</w:t>
      </w:r>
      <w:r>
        <w:rPr>
          <w:spacing w:val="-89"/>
        </w:rPr>
        <w:t>。</w:t>
      </w:r>
      <w:r>
        <w:rPr/>
        <w:t> </w:t>
      </w:r>
    </w:p>
    <w:p>
      <w:pPr>
        <w:pStyle w:val="BodyText"/>
        <w:spacing w:line="316" w:lineRule="auto" w:before="76"/>
        <w:ind w:right="189" w:firstLine="360"/>
        <w:jc w:val="both"/>
      </w:pPr>
      <w:r>
        <w:rPr>
          <w:spacing w:val="-2"/>
        </w:rPr>
        <w:t>①产成品、商品和用于出售的材料等直接用于出售的存货，在正常生产经营过程中，以该存货的估计售价减去估计的销</w:t>
      </w:r>
      <w:r>
        <w:rPr/>
        <w:t> </w:t>
      </w:r>
      <w:r>
        <w:rPr>
          <w:spacing w:val="-2"/>
        </w:rPr>
        <w:t>售费用和相关税费后的金额确定其可变现净值。为执行销售合同或者劳务合同而持有的存货，以合同价格作为其可变现净值</w:t>
      </w:r>
      <w:r>
        <w:rPr>
          <w:spacing w:val="-64"/>
        </w:rPr>
        <w:t> </w:t>
      </w:r>
      <w:r>
        <w:rPr>
          <w:spacing w:val="-64"/>
        </w:rPr>
      </w:r>
      <w:r>
        <w:rPr>
          <w:spacing w:val="-2"/>
        </w:rPr>
        <w:t>的计量基础；如果持有存货的数量多于销售合同订购数量，超出部分的存货可变现净值以一般销售价格为计量基础。用于出</w:t>
      </w:r>
      <w:r>
        <w:rPr>
          <w:spacing w:val="-63"/>
        </w:rPr>
        <w:t> </w:t>
      </w:r>
      <w:r>
        <w:rPr>
          <w:spacing w:val="-63"/>
        </w:rPr>
      </w:r>
      <w:r>
        <w:rPr/>
        <w:t>售的材料等，以市场价格作为其可变现净值的计量基础。 </w:t>
      </w:r>
    </w:p>
    <w:p>
      <w:pPr>
        <w:pStyle w:val="BodyText"/>
        <w:spacing w:line="316" w:lineRule="auto" w:before="19"/>
        <w:ind w:right="93" w:firstLine="360"/>
        <w:jc w:val="left"/>
      </w:pPr>
      <w:r>
        <w:rPr>
          <w:spacing w:val="-4"/>
        </w:rPr>
        <w:t>②需要经过加工的材料存货，在正常生产经营过程中，以所生产的产成品的估计售价减去至完工时估计将要发生的成本、</w:t>
      </w:r>
      <w:r>
        <w:rPr/>
        <w:t> </w:t>
      </w:r>
      <w:r>
        <w:rPr>
          <w:spacing w:val="-2"/>
        </w:rPr>
        <w:t>估计的销售费用和相关税费后的金额确定其可变现净值。如果用其生产的产成品的可变现净值高于成本，则该材料按成本计</w:t>
      </w:r>
      <w:r>
        <w:rPr>
          <w:spacing w:val="-64"/>
        </w:rPr>
        <w:t> </w:t>
      </w:r>
      <w:r>
        <w:rPr>
          <w:spacing w:val="-64"/>
        </w:rPr>
      </w:r>
      <w:r>
        <w:rPr/>
        <w:t>量；如果材料价格的下降表明产成品的可变现净值低于成本，则该材料按可变现净值计量，按其差额计提存货跌价准备。 </w:t>
      </w:r>
    </w:p>
    <w:p>
      <w:pPr>
        <w:pStyle w:val="BodyText"/>
        <w:spacing w:line="240" w:lineRule="auto" w:before="19"/>
        <w:ind w:left="512" w:right="93"/>
        <w:jc w:val="left"/>
      </w:pPr>
      <w:r>
        <w:rPr/>
        <w:t>③存货跌价准备一般按单个存货项目计提；对于数量繁多、单价较低的存货，按存货类别计提。 </w:t>
      </w:r>
    </w:p>
    <w:p>
      <w:pPr>
        <w:pStyle w:val="BodyText"/>
        <w:spacing w:line="316" w:lineRule="auto" w:before="76"/>
        <w:ind w:right="93" w:firstLine="360"/>
        <w:jc w:val="left"/>
      </w:pPr>
      <w:r>
        <w:rPr>
          <w:spacing w:val="-2"/>
        </w:rPr>
        <w:t>④资产负债表日如果以前减记存货价值的影响因素已经消失，则减记的金额予以恢复，并在原已计提的存货跌价准备的</w:t>
      </w:r>
      <w:r>
        <w:rPr/>
        <w:t> 金额内转回，转回的金额计入当期损益。 </w:t>
      </w:r>
    </w:p>
    <w:p>
      <w:pPr>
        <w:pStyle w:val="Heading4"/>
        <w:spacing w:line="240" w:lineRule="auto" w:before="19"/>
        <w:ind w:right="93"/>
        <w:jc w:val="left"/>
        <w:rPr>
          <w:b w:val="0"/>
          <w:bCs w:val="0"/>
        </w:rPr>
      </w:pPr>
      <w:r>
        <w:rPr/>
        <w:t>（5）周转材料的摊销方法</w:t>
      </w:r>
      <w:r>
        <w:rPr>
          <w:w w:val="99"/>
        </w:rPr>
        <w:t> </w:t>
      </w:r>
      <w:r>
        <w:rPr>
          <w:b w:val="0"/>
          <w:bCs w:val="0"/>
        </w:rPr>
      </w:r>
    </w:p>
    <w:p>
      <w:pPr>
        <w:pStyle w:val="BodyText"/>
        <w:spacing w:line="240" w:lineRule="auto" w:before="76"/>
        <w:ind w:left="512" w:right="93"/>
        <w:jc w:val="left"/>
      </w:pPr>
      <w:r>
        <w:rPr/>
        <w:t>①低值易耗品摊销方法：在领用时采用一次转销法。 </w:t>
      </w:r>
    </w:p>
    <w:p>
      <w:pPr>
        <w:pStyle w:val="BodyText"/>
        <w:spacing w:line="240" w:lineRule="auto" w:before="76"/>
        <w:ind w:left="512" w:right="93"/>
        <w:jc w:val="left"/>
      </w:pPr>
      <w:r>
        <w:rPr/>
        <w:t>②包装物的摊销方法：在领用时采用一次转销法。 </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93"/>
        <w:jc w:val="left"/>
      </w:pPr>
      <w:r>
        <w:rPr/>
        <w:t>本公司将同时满足下列条件的本公司组成部分（或非流动资产）确认为持有待售：</w:t>
      </w:r>
    </w:p>
    <w:p>
      <w:pPr>
        <w:pStyle w:val="BodyText"/>
        <w:spacing w:line="240" w:lineRule="auto" w:before="76"/>
        <w:ind w:left="512" w:right="93"/>
        <w:jc w:val="left"/>
      </w:pPr>
      <w:r>
        <w:rPr/>
        <w:t>①该组成部分必须在其当前状况下仅根据出售此类组成部分的通常和惯用条款即可立即出售；</w:t>
      </w:r>
    </w:p>
    <w:p>
      <w:pPr>
        <w:pStyle w:val="BodyText"/>
        <w:spacing w:line="240" w:lineRule="auto" w:before="76"/>
        <w:ind w:left="512" w:right="0"/>
        <w:jc w:val="left"/>
      </w:pPr>
      <w:r>
        <w:rPr/>
        <w:t>②本公司已经就处置该组成部分作出决议，如按规定需得到股东批准的，已经取得了股东大会或相应权力机构的批准；</w:t>
      </w:r>
    </w:p>
    <w:p>
      <w:pPr>
        <w:pStyle w:val="BodyText"/>
        <w:spacing w:line="240" w:lineRule="auto" w:before="76"/>
        <w:ind w:left="512" w:right="93"/>
        <w:jc w:val="left"/>
      </w:pPr>
      <w:r>
        <w:rPr/>
        <w:t>③本公司已经与受让方签订了不可撤销的转让协议；</w:t>
      </w:r>
    </w:p>
    <w:p>
      <w:pPr>
        <w:pStyle w:val="BodyText"/>
        <w:spacing w:line="240" w:lineRule="auto" w:before="76"/>
        <w:ind w:left="512" w:right="93"/>
        <w:jc w:val="left"/>
      </w:pPr>
      <w:r>
        <w:rPr/>
        <w:t>④该项转让将在一年内完成。</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360"/>
        <w:jc w:val="left"/>
      </w:pPr>
      <w:r>
        <w:rPr>
          <w:spacing w:val="-2"/>
        </w:rPr>
        <w:t>本公司长期股权投资包括对被投资单位实施控制、重大影响的权益性投资，以及对合营企业的权益性投资。本公司能够</w:t>
      </w:r>
      <w:r>
        <w:rPr/>
        <w:t> 对被投资单位施加重大影响的，为本公司的联营企业。 </w:t>
      </w:r>
    </w:p>
    <w:p>
      <w:pPr>
        <w:spacing w:line="316" w:lineRule="auto" w:before="19"/>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（1）确定对被投资单位具有共同控制、重大影响的依据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18"/>
        <w:ind w:right="189"/>
        <w:jc w:val="both"/>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 </w:t>
      </w:r>
    </w:p>
    <w:p>
      <w:pPr>
        <w:pStyle w:val="BodyText"/>
        <w:spacing w:line="316" w:lineRule="auto" w:before="19"/>
        <w:ind w:right="19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 </w:t>
      </w:r>
    </w:p>
    <w:p>
      <w:pPr>
        <w:pStyle w:val="BodyText"/>
        <w:spacing w:line="316" w:lineRule="auto" w:before="18"/>
        <w:ind w:right="183" w:firstLine="360"/>
        <w:jc w:val="left"/>
      </w:pPr>
      <w:r>
        <w:rPr/>
        <w:t>当本公司直接或通过子公司间接拥有被投资单位20%（含20%）以上但低于50%的表决权股份时，一般认为对被投资单位 具有重大影响，除非有明确证据表明该种情况下不能参与被投资单位的生产经营决策，不形成重大影响。 </w:t>
      </w:r>
    </w:p>
    <w:p>
      <w:pPr>
        <w:pStyle w:val="Heading4"/>
        <w:spacing w:line="240" w:lineRule="auto" w:before="19"/>
        <w:ind w:right="93"/>
        <w:jc w:val="left"/>
        <w:rPr>
          <w:b w:val="0"/>
          <w:bCs w:val="0"/>
        </w:rPr>
      </w:pPr>
      <w:r>
        <w:rPr/>
        <w:t>（2）初始投资成本确定</w:t>
      </w:r>
      <w:r>
        <w:rPr>
          <w:w w:val="99"/>
        </w:rPr>
        <w:t> </w:t>
      </w:r>
      <w:r>
        <w:rPr>
          <w:b w:val="0"/>
          <w:bCs w:val="0"/>
        </w:rPr>
      </w:r>
    </w:p>
    <w:p>
      <w:pPr>
        <w:pStyle w:val="BodyText"/>
        <w:spacing w:line="316" w:lineRule="auto" w:before="76"/>
        <w:ind w:left="512" w:right="93"/>
        <w:jc w:val="left"/>
      </w:pPr>
      <w:r>
        <w:rPr/>
        <w:t>①企业合并形成的长期股权投资，按照下列规定确定其投资成本： </w:t>
      </w:r>
      <w:r>
        <w:rPr>
          <w:spacing w:val="-2"/>
        </w:rPr>
        <w:t>A.同一控制下的企业合并，合并方以支付现金、转让非现金资产或承担债务方式作为合并对价的，在合并日按照被合并</w:t>
      </w:r>
    </w:p>
    <w:p>
      <w:pPr>
        <w:pStyle w:val="BodyText"/>
        <w:spacing w:line="316" w:lineRule="auto" w:before="19"/>
        <w:ind w:right="189"/>
        <w:jc w:val="both"/>
      </w:pPr>
      <w:r>
        <w:rPr>
          <w:spacing w:val="-2"/>
        </w:rPr>
        <w:t>方所有者权益在最终控制方合并财务报表中的账面价值的份额作为长期股权投资的初始投资成本。长期股权投资初始投资成</w:t>
      </w:r>
      <w:r>
        <w:rPr>
          <w:spacing w:val="-64"/>
        </w:rPr>
        <w:t> </w:t>
      </w:r>
      <w:r>
        <w:rPr>
          <w:spacing w:val="-64"/>
        </w:rPr>
      </w:r>
      <w:r>
        <w:rPr>
          <w:spacing w:val="-2"/>
        </w:rPr>
        <w:t>本与支付的现金、转让的非现金资产以及所承担债务账面价值之间的差额，调整资本公积；资本公积不足冲减的，调整留存</w:t>
      </w:r>
      <w:r>
        <w:rPr>
          <w:spacing w:val="-64"/>
        </w:rPr>
        <w:t> </w:t>
      </w:r>
      <w:r>
        <w:rPr>
          <w:spacing w:val="-64"/>
        </w:rPr>
      </w:r>
      <w:r>
        <w:rPr/>
        <w:t>收益； </w:t>
      </w:r>
    </w:p>
    <w:p>
      <w:pPr>
        <w:spacing w:after="0" w:line="316"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2" w:firstLine="360"/>
        <w:jc w:val="both"/>
      </w:pPr>
      <w:r>
        <w:rPr>
          <w:spacing w:val="-2"/>
        </w:rPr>
        <w:t>B.同一控制下的企业合并，合并方以发行权益性证券作为合并对价的，在合并日按照被合并方所有者权益在最终控制方</w:t>
      </w:r>
      <w:r>
        <w:rPr/>
        <w:t> </w:t>
      </w:r>
      <w:r>
        <w:rPr>
          <w:spacing w:val="-2"/>
        </w:rPr>
        <w:t>合并财务报表中的账面价值的份额作为长期股权投资的初始投资成本。按照发行股份的面值总额作为股本，长期股权投资初</w:t>
      </w:r>
      <w:r>
        <w:rPr>
          <w:spacing w:val="-64"/>
        </w:rPr>
        <w:t> </w:t>
      </w:r>
      <w:r>
        <w:rPr>
          <w:spacing w:val="-64"/>
        </w:rPr>
      </w:r>
      <w:r>
        <w:rPr/>
        <w:t>始投资成本与所发行股份面值总额之间的差额，调整资本公积；资本公积不足冲减的，调整留存收益； </w:t>
      </w:r>
    </w:p>
    <w:p>
      <w:pPr>
        <w:pStyle w:val="BodyText"/>
        <w:spacing w:line="316" w:lineRule="auto" w:before="18"/>
        <w:ind w:right="192" w:firstLine="360"/>
        <w:jc w:val="both"/>
      </w:pPr>
      <w:r>
        <w:rPr>
          <w:spacing w:val="-2"/>
        </w:rPr>
        <w:t>C.非同一控制下的企业合并，以购买日为取得对被购买方的控制权而付出的资产、发生或承担的负债以及发行的权益性</w:t>
      </w:r>
      <w:r>
        <w:rPr/>
        <w:t> </w:t>
      </w:r>
      <w:r>
        <w:rPr>
          <w:spacing w:val="-2"/>
        </w:rPr>
        <w:t>证券的公允价值确定为合并成本作为长期股权投资的初始投资成本。合并方为企业合并发生的审计、法律服务、评估咨询等</w:t>
      </w:r>
      <w:r>
        <w:rPr>
          <w:spacing w:val="-66"/>
        </w:rPr>
        <w:t> </w:t>
      </w:r>
      <w:r>
        <w:rPr>
          <w:spacing w:val="-66"/>
        </w:rPr>
      </w:r>
      <w:r>
        <w:rPr/>
        <w:t>中介费用以及其他相关管理费用，于发生时计入当期损益。 </w:t>
      </w:r>
    </w:p>
    <w:p>
      <w:pPr>
        <w:pStyle w:val="BodyText"/>
        <w:spacing w:line="316" w:lineRule="auto" w:before="18"/>
        <w:ind w:left="512" w:right="93"/>
        <w:jc w:val="left"/>
      </w:pPr>
      <w:r>
        <w:rPr/>
        <w:t>②除企业合并形成的长期股权投资以外，其他方式取得的长期股权投资，按照下列规定确定其投资成本： </w:t>
      </w:r>
      <w:r>
        <w:rPr>
          <w:spacing w:val="-2"/>
        </w:rPr>
        <w:t>A.以支付现金取得的长期股权投资，按照实际支付的购买价款作为投资成本。初始投资成本包括与取得长期股权投资直</w:t>
      </w:r>
    </w:p>
    <w:p>
      <w:pPr>
        <w:pStyle w:val="BodyText"/>
        <w:spacing w:line="316" w:lineRule="auto" w:before="19"/>
        <w:ind w:left="512" w:right="93" w:hanging="361"/>
        <w:jc w:val="left"/>
      </w:pPr>
      <w:r>
        <w:rPr/>
        <w:t>接相关的费用、税金及其他必要支出； B.以发行权益性证券取得的长期股权投资，按照发行权益性证券的公允价值作为初始投资成本； </w:t>
      </w:r>
      <w:r>
        <w:rPr>
          <w:spacing w:val="-2"/>
        </w:rPr>
        <w:t>C.通过非货币性资产交换取得的长期股权投资，如果该项交换具有商业实质且换入资产或换出资产的公允价值能可靠计</w:t>
      </w:r>
    </w:p>
    <w:p>
      <w:pPr>
        <w:pStyle w:val="BodyText"/>
        <w:spacing w:line="316" w:lineRule="auto" w:before="19"/>
        <w:ind w:right="93"/>
        <w:jc w:val="left"/>
      </w:pPr>
      <w:r>
        <w:rPr>
          <w:spacing w:val="-2"/>
        </w:rPr>
        <w:t>量，则以换出资产的公允价值和相关税费作为初始投资成本，换出资产的公允价值与账面价值之间的差额计入当期损益；若</w:t>
      </w:r>
      <w:r>
        <w:rPr>
          <w:spacing w:val="-63"/>
        </w:rPr>
        <w:t> </w:t>
      </w:r>
      <w:r>
        <w:rPr>
          <w:spacing w:val="-63"/>
        </w:rPr>
      </w:r>
      <w:r>
        <w:rPr/>
        <w:t>非货币资产交换不同时具备上述两个条件，则按换出资产的账面价值和相关税费作为初始投资成本。 </w:t>
      </w:r>
    </w:p>
    <w:p>
      <w:pPr>
        <w:pStyle w:val="BodyText"/>
        <w:spacing w:line="319" w:lineRule="auto" w:before="18"/>
        <w:ind w:right="192" w:firstLine="360"/>
        <w:jc w:val="both"/>
      </w:pPr>
      <w:r>
        <w:rPr>
          <w:spacing w:val="-2"/>
        </w:rPr>
        <w:t>D.通过债务重组取得的长期股权投资，按取得的股权的公允价值作为初始投资成本，初始投资成本与债权账面价值之间</w:t>
      </w:r>
      <w:r>
        <w:rPr/>
        <w:t> 的差额计入当期损益。 </w:t>
      </w:r>
    </w:p>
    <w:p>
      <w:pPr>
        <w:spacing w:line="316" w:lineRule="auto" w:before="17"/>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（3）后续计量及损益确认方法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本公司能够对被投资单位实施控制的长期股权投资采用成本法核算；对联营企业和合营企业的长期股权投资采用权益法</w:t>
      </w:r>
    </w:p>
    <w:p>
      <w:pPr>
        <w:pStyle w:val="BodyText"/>
        <w:spacing w:line="240" w:lineRule="auto" w:before="19"/>
        <w:ind w:right="93"/>
        <w:jc w:val="left"/>
      </w:pPr>
      <w:r>
        <w:rPr/>
        <w:t>核算。 </w:t>
      </w:r>
    </w:p>
    <w:p>
      <w:pPr>
        <w:pStyle w:val="BodyText"/>
        <w:spacing w:line="316" w:lineRule="auto" w:before="76"/>
        <w:ind w:left="512" w:right="93"/>
        <w:jc w:val="left"/>
      </w:pPr>
      <w:r>
        <w:rPr/>
        <w:t>①成本法 </w:t>
      </w:r>
      <w:r>
        <w:rPr>
          <w:spacing w:val="-4"/>
        </w:rPr>
        <w:t>采用成本法核算的长期股权投资，追加或收回投资时调整长期股权投资的成本；被投资单位宣告分派的现金股利或利润，</w:t>
      </w:r>
    </w:p>
    <w:p>
      <w:pPr>
        <w:pStyle w:val="BodyText"/>
        <w:spacing w:line="240" w:lineRule="auto" w:before="19"/>
        <w:ind w:right="93"/>
        <w:jc w:val="left"/>
      </w:pPr>
      <w:r>
        <w:rPr/>
        <w:t>确认为当期投资收益。 </w:t>
      </w:r>
    </w:p>
    <w:p>
      <w:pPr>
        <w:pStyle w:val="BodyText"/>
        <w:spacing w:line="316" w:lineRule="auto" w:before="76"/>
        <w:ind w:left="512" w:right="4633"/>
        <w:jc w:val="left"/>
      </w:pPr>
      <w:r>
        <w:rPr/>
        <w:t>②权益法 按照权益法核算的长期股权投资，一般会计处理为： </w:t>
      </w:r>
    </w:p>
    <w:p>
      <w:pPr>
        <w:pStyle w:val="BodyText"/>
        <w:spacing w:line="316" w:lineRule="auto" w:before="19"/>
        <w:ind w:right="192" w:firstLine="360"/>
        <w:jc w:val="both"/>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 </w:t>
      </w:r>
    </w:p>
    <w:p>
      <w:pPr>
        <w:pStyle w:val="BodyText"/>
        <w:spacing w:line="316" w:lineRule="auto" w:before="19"/>
        <w:ind w:right="93"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3"/>
        </w:rPr>
        <w:t> </w:t>
      </w:r>
      <w:r>
        <w:rPr>
          <w:spacing w:val="-63"/>
        </w:rPr>
      </w:r>
      <w:r>
        <w:rPr>
          <w:spacing w:val="-4"/>
        </w:rPr>
        <w:t>值并计入所有者权益。在确认应享有被投资单位净损益的份额时，以取得投资时被投资单位可辨认净资产的公允价值为基础，</w:t>
      </w:r>
      <w:r>
        <w:rPr>
          <w:spacing w:val="-44"/>
        </w:rPr>
        <w:t> </w:t>
      </w:r>
      <w:r>
        <w:rPr>
          <w:spacing w:val="-44"/>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spacing w:val="-64"/>
        </w:rPr>
        <w:t> </w:t>
      </w:r>
      <w:r>
        <w:rPr>
          <w:spacing w:val="-64"/>
        </w:rPr>
      </w: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资单位发生的未实现内部交易损失属于资产减值损失的，应全额确认。 </w:t>
      </w:r>
    </w:p>
    <w:p>
      <w:pPr>
        <w:pStyle w:val="BodyText"/>
        <w:spacing w:line="316" w:lineRule="auto" w:before="18"/>
        <w:ind w:right="189"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3"/>
        </w:rPr>
        <w:t> </w:t>
      </w:r>
      <w:r>
        <w:rPr>
          <w:spacing w:val="-63"/>
        </w:rPr>
      </w:r>
      <w:r>
        <w:rPr/>
        <w:t>与账面价值之间的差额，以及原计入其他综合收益的累计公允价值变动应当转入改按权益法核算的当期损益。 </w:t>
      </w:r>
    </w:p>
    <w:p>
      <w:pPr>
        <w:pStyle w:val="BodyText"/>
        <w:spacing w:line="316" w:lineRule="auto" w:before="18"/>
        <w:ind w:right="192" w:firstLine="360"/>
        <w:jc w:val="both"/>
      </w:pPr>
      <w:r>
        <w:rPr>
          <w:spacing w:val="-2"/>
        </w:rPr>
        <w:t>因处置部分股权投资等原因丧失了对被投资单位的共同控制或重大影响的，处置后的剩余股权改按公允价值计量，其在</w:t>
      </w:r>
      <w:r>
        <w:rPr/>
        <w:t> </w:t>
      </w:r>
      <w:r>
        <w:rPr>
          <w:spacing w:val="-2"/>
        </w:rPr>
        <w:t>丧失共同控制或重大影响之日的公允价值与账面价值之间的差额计入当期损益。原股权投资因采用权益法核算而确认的其他</w:t>
      </w:r>
      <w:r>
        <w:rPr>
          <w:spacing w:val="-64"/>
        </w:rPr>
        <w:t> </w:t>
      </w:r>
      <w:r>
        <w:rPr>
          <w:spacing w:val="-64"/>
        </w:rPr>
      </w:r>
      <w:r>
        <w:rPr/>
        <w:t>综合收益，在终止采用权益法核算时采用与被投资单位直接处置相关资产或负债相同的基础进行会计处理。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t>投资性房地产计量模式</w:t>
      </w:r>
    </w:p>
    <w:p>
      <w:pPr>
        <w:spacing w:after="0" w:line="240" w:lineRule="auto"/>
        <w:jc w:val="left"/>
        <w:sectPr>
          <w:footerReference w:type="default" r:id="rId23"/>
          <w:pgSz w:w="11910" w:h="16840"/>
          <w:pgMar w:footer="981" w:header="745" w:top="1060" w:bottom="1180" w:left="980" w:right="940"/>
          <w:pgNumType w:start="105"/>
        </w:sectPr>
      </w:pPr>
    </w:p>
    <w:p>
      <w:pPr>
        <w:spacing w:line="240" w:lineRule="auto" w:before="9"/>
        <w:rPr>
          <w:rFonts w:ascii="宋体" w:hAnsi="宋体" w:cs="宋体" w:eastAsia="宋体" w:hint="default"/>
          <w:sz w:val="25"/>
          <w:szCs w:val="25"/>
        </w:rPr>
      </w:pPr>
    </w:p>
    <w:p>
      <w:pPr>
        <w:pStyle w:val="BodyText"/>
        <w:spacing w:line="360" w:lineRule="auto" w:before="44"/>
        <w:ind w:right="8513"/>
        <w:jc w:val="left"/>
      </w:pPr>
      <w:r>
        <w:rPr/>
        <w:t>成本法计量 折旧或摊销方法</w:t>
      </w:r>
    </w:p>
    <w:p>
      <w:pPr>
        <w:pStyle w:val="BodyText"/>
        <w:spacing w:line="240" w:lineRule="auto" w:before="25"/>
        <w:ind w:right="148"/>
        <w:jc w:val="left"/>
      </w:pPr>
      <w:r>
        <w:rPr/>
        <w:t>本公司对投资性房地产成本减累计减值及净残值后按直线法，按估计可使用年限计算折旧或摊销，计入当期损益。</w:t>
      </w:r>
    </w:p>
    <w:p>
      <w:pPr>
        <w:spacing w:line="240" w:lineRule="auto" w:before="0"/>
        <w:rPr>
          <w:rFonts w:ascii="宋体" w:hAnsi="宋体" w:cs="宋体" w:eastAsia="宋体" w:hint="default"/>
          <w:sz w:val="18"/>
          <w:szCs w:val="18"/>
        </w:rPr>
      </w:pPr>
    </w:p>
    <w:p>
      <w:pPr>
        <w:pStyle w:val="Heading3"/>
        <w:spacing w:line="240" w:lineRule="auto" w:before="120"/>
        <w:ind w:right="148"/>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8"/>
        <w:jc w:val="left"/>
      </w:pPr>
      <w:r>
        <w:rPr/>
        <w:t>固定资产在同时满足下列条件时，按取得时的实际成本予以确认：</w:t>
      </w:r>
    </w:p>
    <w:p>
      <w:pPr>
        <w:pStyle w:val="BodyText"/>
        <w:spacing w:line="240" w:lineRule="auto" w:before="76"/>
        <w:ind w:left="512" w:right="148"/>
        <w:jc w:val="left"/>
      </w:pPr>
      <w:r>
        <w:rPr/>
        <w:t>①与该固定资产有关的经济利益很可能流入企业。</w:t>
      </w:r>
    </w:p>
    <w:p>
      <w:pPr>
        <w:pStyle w:val="BodyText"/>
        <w:spacing w:line="316" w:lineRule="auto" w:before="76"/>
        <w:ind w:left="512" w:right="148"/>
        <w:jc w:val="left"/>
      </w:pPr>
      <w:r>
        <w:rPr/>
        <w:t>②该固定资产的成本能够可靠地计量。 </w:t>
      </w:r>
      <w:r>
        <w:rPr>
          <w:spacing w:val="-2"/>
        </w:rPr>
        <w:t>固定资产发生的后续支出，符合固定资产确认条件的计入固定资产成本；不符合固定资产确认条件的在发生时计入当期</w:t>
      </w:r>
    </w:p>
    <w:p>
      <w:pPr>
        <w:pStyle w:val="BodyText"/>
        <w:spacing w:line="240" w:lineRule="auto" w:before="18"/>
        <w:ind w:right="148"/>
        <w:jc w:val="left"/>
      </w:pPr>
      <w:r>
        <w:rPr/>
        <w:t>损益。</w:t>
      </w:r>
    </w:p>
    <w:p>
      <w:pPr>
        <w:spacing w:line="240" w:lineRule="auto" w:before="0"/>
        <w:rPr>
          <w:rFonts w:ascii="宋体" w:hAnsi="宋体" w:cs="宋体" w:eastAsia="宋体" w:hint="default"/>
          <w:sz w:val="18"/>
          <w:szCs w:val="18"/>
        </w:rPr>
      </w:pPr>
    </w:p>
    <w:p>
      <w:pPr>
        <w:pStyle w:val="Heading3"/>
        <w:spacing w:line="240" w:lineRule="auto" w:before="120"/>
        <w:ind w:right="14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1.8-4.5%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8"/>
        <w:jc w:val="left"/>
      </w:pPr>
      <w:r>
        <w:rPr/>
        <w:t>（1）在建工程以立项项目分类核算。 </w:t>
      </w:r>
    </w:p>
    <w:p>
      <w:pPr>
        <w:pStyle w:val="BodyText"/>
        <w:spacing w:line="316" w:lineRule="auto" w:before="76"/>
        <w:ind w:left="512" w:right="148"/>
        <w:jc w:val="left"/>
      </w:pPr>
      <w:r>
        <w:rPr/>
        <w:t>（2）在建工程结转为固定资产的标准和时点 </w:t>
      </w:r>
      <w:r>
        <w:rPr>
          <w:spacing w:val="-2"/>
        </w:rPr>
        <w:t>在建工程项目按建造该项资产达到预定可使用状态前所发生的全部支出，作为固定资产的入账价值。包括建筑费用、机</w:t>
      </w:r>
    </w:p>
    <w:p>
      <w:pPr>
        <w:pStyle w:val="BodyText"/>
        <w:spacing w:line="316" w:lineRule="auto" w:before="18"/>
        <w:ind w:right="149"/>
        <w:jc w:val="both"/>
      </w:pP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4"/>
        </w:rPr>
        <w:t> </w:t>
      </w:r>
      <w:r>
        <w:rPr>
          <w:spacing w:val="-64"/>
        </w:rPr>
      </w:r>
      <w:r>
        <w:rPr>
          <w:spacing w:val="-2"/>
        </w:rPr>
        <w:t>入固定资产。所建造的已达到预定可使用状态、但尚未办理竣工决算的固定资产，自达到预定可使用状态之日起，根据工程</w:t>
      </w:r>
      <w:r>
        <w:rPr>
          <w:spacing w:val="-65"/>
        </w:rPr>
        <w:t> </w:t>
      </w:r>
      <w:r>
        <w:rPr>
          <w:spacing w:val="-65"/>
        </w:rPr>
      </w:r>
      <w:r>
        <w:rPr>
          <w:spacing w:val="-2"/>
        </w:rPr>
        <w:t>预算、造价或者工程实际成本等，按估计的价值转入固定资产，并按本公司固定资产折旧政策计提固定资产的折旧，待办理</w:t>
      </w:r>
      <w:r>
        <w:rPr>
          <w:spacing w:val="-65"/>
        </w:rPr>
        <w:t> </w:t>
      </w:r>
      <w:r>
        <w:rPr>
          <w:spacing w:val="-65"/>
        </w:rPr>
      </w:r>
      <w:r>
        <w:rPr/>
        <w:t>竣工决算后，再按实际成本调整原来的暂估价值，但不调整原已计提的折旧额。 </w:t>
      </w:r>
    </w:p>
    <w:p>
      <w:pPr>
        <w:spacing w:after="0" w:line="316" w:lineRule="auto"/>
        <w:jc w:val="both"/>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spacing w:line="319" w:lineRule="auto" w:before="0"/>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（1）借款费用资本化的确认原则和资本化期间</w:t>
      </w:r>
      <w:r>
        <w:rPr>
          <w:rFonts w:ascii="宋体" w:hAnsi="宋体" w:cs="宋体" w:eastAsia="宋体" w:hint="default"/>
          <w:b/>
          <w:bCs/>
          <w:w w:val="99"/>
          <w:sz w:val="18"/>
          <w:szCs w:val="18"/>
        </w:rPr>
        <w:t> </w:t>
      </w:r>
      <w:r>
        <w:rPr>
          <w:rFonts w:ascii="宋体" w:hAnsi="宋体" w:cs="宋体" w:eastAsia="宋体" w:hint="default"/>
          <w:sz w:val="18"/>
          <w:szCs w:val="18"/>
        </w:rPr>
        <w:t>本公司发生的可直接归属于符合资本化条件的资产的购建或生产的借款费用在同时满足下列条件时予以资本化计入相</w:t>
      </w:r>
    </w:p>
    <w:p>
      <w:pPr>
        <w:pStyle w:val="BodyText"/>
        <w:spacing w:line="240" w:lineRule="auto" w:before="17"/>
        <w:ind w:right="93"/>
        <w:jc w:val="left"/>
      </w:pPr>
      <w:r>
        <w:rPr/>
        <w:t>关资产成本： </w:t>
      </w:r>
    </w:p>
    <w:p>
      <w:pPr>
        <w:pStyle w:val="BodyText"/>
        <w:spacing w:line="240" w:lineRule="auto" w:before="76"/>
        <w:ind w:left="512" w:right="93"/>
        <w:jc w:val="left"/>
      </w:pPr>
      <w:r>
        <w:rPr/>
        <w:t>①资产支出已经发生； </w:t>
      </w:r>
    </w:p>
    <w:p>
      <w:pPr>
        <w:pStyle w:val="BodyText"/>
        <w:spacing w:line="240" w:lineRule="auto" w:before="76"/>
        <w:ind w:left="512" w:right="93"/>
        <w:jc w:val="left"/>
      </w:pPr>
      <w:r>
        <w:rPr/>
        <w:t>②借款费用已经发生； </w:t>
      </w:r>
    </w:p>
    <w:p>
      <w:pPr>
        <w:pStyle w:val="BodyText"/>
        <w:spacing w:line="316" w:lineRule="auto" w:before="76"/>
        <w:ind w:left="512" w:right="93"/>
        <w:jc w:val="left"/>
      </w:pPr>
      <w:r>
        <w:rPr/>
        <w:t>③为使资产达到预定可使用状态所必要的购建或者生产活动已经开始。 其他的借款利息、折价或溢价和汇兑差额，计入发生当期的损益。 </w:t>
      </w:r>
      <w:r>
        <w:rPr>
          <w:spacing w:val="-4"/>
        </w:rPr>
        <w:t>符合资本化条件的资产在购建或者生产过程中发生非正常中断，且中断时间连续超过3个月的，暂停借款费用的资本化。</w:t>
      </w:r>
      <w:r>
        <w:rPr>
          <w:spacing w:val="-89"/>
        </w:rPr>
        <w:t> </w:t>
      </w:r>
      <w:r>
        <w:rPr>
          <w:spacing w:val="-2"/>
        </w:rPr>
        <w:t>当购建或者生产符合资本化条件的资产达到预定可使用或者可销售状态时，停止其借款费用的资本化；以后发生的借款</w:t>
      </w:r>
    </w:p>
    <w:p>
      <w:pPr>
        <w:pStyle w:val="BodyText"/>
        <w:spacing w:line="240" w:lineRule="auto" w:before="18"/>
        <w:ind w:right="93"/>
        <w:jc w:val="left"/>
      </w:pPr>
      <w:r>
        <w:rPr/>
        <w:t>费用于发生当期确认为费用。 </w:t>
      </w:r>
    </w:p>
    <w:p>
      <w:pPr>
        <w:spacing w:line="316" w:lineRule="auto" w:before="76"/>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（2）借款费用资本化率以及资本化金额的计算方法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为购建或者生产符合资本化条件的资产而借入专门借款的，以专门借款当期实际发生的利息费用，减去将尚未动用的借</w:t>
      </w:r>
    </w:p>
    <w:p>
      <w:pPr>
        <w:pStyle w:val="BodyText"/>
        <w:spacing w:line="316" w:lineRule="auto" w:before="18"/>
        <w:ind w:left="0" w:right="192"/>
        <w:jc w:val="right"/>
      </w:pPr>
      <w:r>
        <w:rPr/>
        <w:t>款资金存入银行取得的利息收入或者进行暂时性投资取得的投资收益后的金额，确定为专门借款利息费用的资本化金额。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w:t>
      </w:r>
      <w:r>
        <w:rPr/>
        <w:t> </w:t>
      </w:r>
      <w:r>
        <w:rPr>
          <w:spacing w:val="-2"/>
        </w:rPr>
        <w:t>部分的资产支出加权平均数乘以所占用一般借款的资本化率，计算确定一般借款应予资本化的利息金额。资本化率根据一般</w:t>
      </w:r>
    </w:p>
    <w:p>
      <w:pPr>
        <w:pStyle w:val="BodyText"/>
        <w:spacing w:line="240" w:lineRule="auto" w:before="18"/>
        <w:ind w:right="93"/>
        <w:jc w:val="left"/>
        <w:rPr>
          <w:rFonts w:ascii="宋体" w:hAnsi="宋体" w:cs="宋体" w:eastAsia="宋体" w:hint="default"/>
        </w:rPr>
      </w:pPr>
      <w:r>
        <w:rPr/>
        <w:t>借款加权平均利率计算确定。</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spacing w:line="316" w:lineRule="auto" w:before="0"/>
        <w:ind w:left="512" w:right="6753" w:firstLine="0"/>
        <w:jc w:val="left"/>
        <w:rPr>
          <w:rFonts w:ascii="宋体" w:hAnsi="宋体" w:cs="宋体" w:eastAsia="宋体" w:hint="default"/>
          <w:sz w:val="18"/>
          <w:szCs w:val="18"/>
        </w:rPr>
      </w:pPr>
      <w:r>
        <w:rPr>
          <w:rFonts w:ascii="宋体" w:hAnsi="宋体" w:cs="宋体" w:eastAsia="宋体" w:hint="default"/>
          <w:b/>
          <w:bCs/>
          <w:sz w:val="18"/>
          <w:szCs w:val="18"/>
        </w:rPr>
        <w:t>（1）无形资产的计价方法</w:t>
      </w:r>
      <w:r>
        <w:rPr>
          <w:rFonts w:ascii="宋体" w:hAnsi="宋体" w:cs="宋体" w:eastAsia="宋体" w:hint="default"/>
          <w:b/>
          <w:bCs/>
          <w:w w:val="99"/>
          <w:sz w:val="18"/>
          <w:szCs w:val="18"/>
        </w:rPr>
        <w:t> </w:t>
      </w:r>
      <w:r>
        <w:rPr>
          <w:rFonts w:ascii="宋体" w:hAnsi="宋体" w:cs="宋体" w:eastAsia="宋体" w:hint="default"/>
          <w:sz w:val="18"/>
          <w:szCs w:val="18"/>
        </w:rPr>
        <w:t>按取得时的实际成本入账。 </w:t>
      </w:r>
    </w:p>
    <w:p>
      <w:pPr>
        <w:pStyle w:val="Heading4"/>
        <w:spacing w:line="240" w:lineRule="auto" w:before="18"/>
        <w:ind w:right="93"/>
        <w:jc w:val="left"/>
        <w:rPr>
          <w:b w:val="0"/>
          <w:bCs w:val="0"/>
        </w:rPr>
      </w:pPr>
      <w:r>
        <w:rPr/>
        <w:t>（2）无形资产使用寿命及摊销</w:t>
      </w:r>
      <w:r>
        <w:rPr>
          <w:w w:val="99"/>
        </w:rPr>
        <w:t> </w:t>
      </w:r>
      <w:r>
        <w:rPr>
          <w:b w:val="0"/>
          <w:bCs w:val="0"/>
        </w:rPr>
      </w:r>
    </w:p>
    <w:p>
      <w:pPr>
        <w:pStyle w:val="BodyText"/>
        <w:spacing w:line="240" w:lineRule="auto" w:before="76"/>
        <w:ind w:left="512" w:right="93"/>
        <w:jc w:val="left"/>
      </w:pPr>
      <w:r>
        <w:rPr/>
        <w:t>①使用寿命有限的无形资产的使用寿命估计情况： </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438"/>
        <w:gridCol w:w="3245"/>
        <w:gridCol w:w="3974"/>
      </w:tblGrid>
      <w:tr>
        <w:trPr>
          <w:trHeight w:val="588" w:hRule="exact"/>
        </w:trPr>
        <w:tc>
          <w:tcPr>
            <w:tcW w:w="2438"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7"/>
              <w:ind w:left="98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324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7"/>
              <w:ind w:left="450" w:right="0"/>
              <w:jc w:val="center"/>
              <w:rPr>
                <w:rFonts w:ascii="宋体" w:hAnsi="宋体" w:cs="宋体" w:eastAsia="宋体" w:hint="default"/>
                <w:sz w:val="18"/>
                <w:szCs w:val="18"/>
              </w:rPr>
            </w:pPr>
            <w:r>
              <w:rPr>
                <w:rFonts w:ascii="宋体" w:hAnsi="宋体" w:cs="宋体" w:eastAsia="宋体" w:hint="default"/>
                <w:sz w:val="18"/>
                <w:szCs w:val="18"/>
              </w:rPr>
              <w:t>预计使用寿命 </w:t>
            </w:r>
          </w:p>
        </w:tc>
        <w:tc>
          <w:tcPr>
            <w:tcW w:w="3974" w:type="dxa"/>
            <w:tcBorders>
              <w:top w:val="single" w:sz="6" w:space="0" w:color="000000"/>
              <w:left w:val="single" w:sz="6" w:space="0" w:color="000000"/>
              <w:bottom w:val="single" w:sz="8" w:space="0" w:color="000000"/>
              <w:right w:val="nil" w:sz="6" w:space="0" w:color="auto"/>
            </w:tcBorders>
            <w:shd w:val="clear" w:color="auto" w:fill="D9D9D9"/>
          </w:tcPr>
          <w:p>
            <w:pPr>
              <w:pStyle w:val="TableParagraph"/>
              <w:spacing w:line="240" w:lineRule="auto" w:before="137"/>
              <w:ind w:left="443" w:right="0"/>
              <w:jc w:val="center"/>
              <w:rPr>
                <w:rFonts w:ascii="宋体" w:hAnsi="宋体" w:cs="宋体" w:eastAsia="宋体" w:hint="default"/>
                <w:sz w:val="18"/>
                <w:szCs w:val="18"/>
              </w:rPr>
            </w:pPr>
            <w:r>
              <w:rPr>
                <w:rFonts w:ascii="宋体" w:hAnsi="宋体" w:cs="宋体" w:eastAsia="宋体" w:hint="default"/>
                <w:sz w:val="18"/>
                <w:szCs w:val="18"/>
              </w:rPr>
              <w:t>依   </w:t>
            </w:r>
            <w:r>
              <w:rPr>
                <w:rFonts w:ascii="宋体" w:hAnsi="宋体" w:cs="宋体" w:eastAsia="宋体" w:hint="default"/>
                <w:spacing w:val="2"/>
                <w:sz w:val="18"/>
                <w:szCs w:val="18"/>
              </w:rPr>
              <w:t> </w:t>
            </w:r>
            <w:r>
              <w:rPr>
                <w:rFonts w:ascii="宋体" w:hAnsi="宋体" w:cs="宋体" w:eastAsia="宋体" w:hint="default"/>
                <w:spacing w:val="-3"/>
                <w:sz w:val="18"/>
                <w:szCs w:val="18"/>
              </w:rPr>
              <w:t>据</w:t>
            </w:r>
            <w:r>
              <w:rPr>
                <w:rFonts w:ascii="宋体" w:hAnsi="宋体" w:cs="宋体" w:eastAsia="宋体" w:hint="default"/>
                <w:sz w:val="18"/>
                <w:szCs w:val="18"/>
              </w:rPr>
              <w:t> </w:t>
            </w:r>
          </w:p>
        </w:tc>
      </w:tr>
      <w:tr>
        <w:trPr>
          <w:trHeight w:val="588" w:hRule="exact"/>
        </w:trPr>
        <w:tc>
          <w:tcPr>
            <w:tcW w:w="2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362" w:right="0"/>
              <w:jc w:val="left"/>
              <w:rPr>
                <w:rFonts w:ascii="宋体" w:hAnsi="宋体" w:cs="宋体" w:eastAsia="宋体" w:hint="default"/>
                <w:sz w:val="18"/>
                <w:szCs w:val="18"/>
              </w:rPr>
            </w:pPr>
            <w:r>
              <w:rPr>
                <w:rFonts w:ascii="宋体" w:hAnsi="宋体" w:cs="宋体" w:eastAsia="宋体" w:hint="default"/>
                <w:sz w:val="18"/>
                <w:szCs w:val="18"/>
              </w:rPr>
              <w:t>计算机软件 </w:t>
            </w:r>
          </w:p>
        </w:tc>
        <w:tc>
          <w:tcPr>
            <w:tcW w:w="32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450" w:right="0"/>
              <w:jc w:val="center"/>
              <w:rPr>
                <w:rFonts w:ascii="宋体" w:hAnsi="宋体" w:cs="宋体" w:eastAsia="宋体" w:hint="default"/>
                <w:sz w:val="18"/>
                <w:szCs w:val="18"/>
              </w:rPr>
            </w:pPr>
            <w:r>
              <w:rPr>
                <w:rFonts w:ascii="宋体" w:hAnsi="宋体" w:cs="宋体" w:eastAsia="宋体" w:hint="default"/>
                <w:sz w:val="18"/>
                <w:szCs w:val="18"/>
              </w:rPr>
              <w:t>10年 </w:t>
            </w:r>
          </w:p>
        </w:tc>
        <w:tc>
          <w:tcPr>
            <w:tcW w:w="39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left="443" w:right="0"/>
              <w:jc w:val="center"/>
              <w:rPr>
                <w:rFonts w:ascii="宋体" w:hAnsi="宋体" w:cs="宋体" w:eastAsia="宋体" w:hint="default"/>
                <w:sz w:val="18"/>
                <w:szCs w:val="18"/>
              </w:rPr>
            </w:pPr>
            <w:r>
              <w:rPr>
                <w:rFonts w:ascii="宋体" w:hAnsi="宋体" w:cs="宋体" w:eastAsia="宋体" w:hint="default"/>
                <w:sz w:val="18"/>
                <w:szCs w:val="18"/>
              </w:rPr>
              <w:t>预计受益年限 </w:t>
            </w:r>
          </w:p>
        </w:tc>
      </w:tr>
    </w:tbl>
    <w:p>
      <w:pPr>
        <w:pStyle w:val="BodyText"/>
        <w:spacing w:line="316" w:lineRule="auto" w:before="8"/>
        <w:ind w:right="93" w:firstLine="360"/>
        <w:jc w:val="left"/>
      </w:pPr>
      <w:r>
        <w:rPr>
          <w:spacing w:val="-2"/>
        </w:rPr>
        <w:t>每年年度终了，公司对使用寿命有限的无形资产的使用寿命及摊销方法进行复核。经复核，本期末无形资产的使用寿命</w:t>
      </w:r>
      <w:r>
        <w:rPr/>
        <w:t> 及摊销方法与以前估计未有不同。 </w:t>
      </w:r>
    </w:p>
    <w:p>
      <w:pPr>
        <w:pStyle w:val="BodyText"/>
        <w:spacing w:line="316" w:lineRule="auto" w:before="18"/>
        <w:ind w:right="93" w:firstLine="360"/>
        <w:jc w:val="left"/>
      </w:pPr>
      <w:r>
        <w:rPr/>
        <w:t>②无法预见无形资产为企业带来经济利益期限的，视为使用寿命不确定的无形资产。对于使用寿命不确定的无形资产，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 </w:t>
      </w:r>
    </w:p>
    <w:p>
      <w:pPr>
        <w:pStyle w:val="BodyText"/>
        <w:spacing w:line="319" w:lineRule="auto" w:before="18"/>
        <w:ind w:left="512" w:right="93"/>
        <w:jc w:val="left"/>
      </w:pPr>
      <w:r>
        <w:rPr/>
        <w:t>③无形资产的摊销 </w:t>
      </w:r>
      <w:r>
        <w:rPr>
          <w:spacing w:val="-2"/>
        </w:rPr>
        <w:t>对于使用寿命有限的无形资产，本公司在取得时判定其使用寿命，在使用寿命内采用直线法系统合理摊销，摊销金额按</w:t>
      </w:r>
    </w:p>
    <w:p>
      <w:pPr>
        <w:pStyle w:val="BodyText"/>
        <w:spacing w:line="316" w:lineRule="auto" w:before="17"/>
        <w:ind w:right="189"/>
        <w:jc w:val="both"/>
      </w:pPr>
      <w:r>
        <w:rPr>
          <w:spacing w:val="-2"/>
        </w:rPr>
        <w:t>受益项目计入当期损益</w:t>
      </w:r>
      <w:r>
        <w:rPr>
          <w:color w:val="FF0000"/>
          <w:spacing w:val="-2"/>
        </w:rPr>
        <w:t>。</w:t>
      </w:r>
      <w:r>
        <w:rPr>
          <w:spacing w:val="-2"/>
        </w:rPr>
        <w:t>具体应摊销金额为其成本扣除预计残值后的金额。已计提减值准备的无形资产，还应扣除已计提的</w:t>
      </w:r>
      <w:r>
        <w:rPr>
          <w:spacing w:val="-63"/>
        </w:rPr>
        <w:t> </w:t>
      </w:r>
      <w:r>
        <w:rPr>
          <w:spacing w:val="-63"/>
        </w:rPr>
      </w:r>
      <w:r>
        <w:rPr>
          <w:spacing w:val="-2"/>
        </w:rPr>
        <w:t>无形资产减值准备累计金额，残值为零。但下列情况除外：有第三方承诺在无形资产使用寿命结束时购买该无形资产或可以</w:t>
      </w:r>
      <w:r>
        <w:rPr>
          <w:spacing w:val="-65"/>
        </w:rPr>
        <w:t> </w:t>
      </w:r>
      <w:r>
        <w:rPr>
          <w:spacing w:val="-65"/>
        </w:rPr>
      </w:r>
      <w:r>
        <w:rPr/>
        <w:t>根据活跃市场得到预计残值信息，并且该市场在无形资产使用寿命结束时很可能存在。 </w:t>
      </w:r>
    </w:p>
    <w:p>
      <w:pPr>
        <w:pStyle w:val="BodyText"/>
        <w:spacing w:line="316" w:lineRule="auto" w:before="18"/>
        <w:ind w:right="93" w:firstLine="360"/>
        <w:jc w:val="left"/>
      </w:pPr>
      <w:r>
        <w:rPr>
          <w:spacing w:val="-2"/>
        </w:rPr>
        <w:t>对使用寿命不确定的无形资产，不予摊销。每年年度终了对使用寿命不确定的无形资产的使用寿命进行复核，如果有证</w:t>
      </w:r>
      <w:r>
        <w:rPr/>
        <w:t> 据表明无形资产的使用寿命是有限的，估计其使用寿命并在预计使用年限内系统合理摊销。 </w:t>
      </w:r>
    </w:p>
    <w:p>
      <w:pPr>
        <w:spacing w:after="0" w:line="316" w:lineRule="auto"/>
        <w:jc w:val="left"/>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3" w:firstLine="360"/>
        <w:jc w:val="left"/>
      </w:pPr>
      <w:r>
        <w:rPr>
          <w:spacing w:val="-2"/>
        </w:rPr>
        <w:t>①本公司将为进一步开发活动进行的资料及相关方面的准备活动作为研究阶段，无形资产研究阶段的支出在发生时计入</w:t>
      </w:r>
      <w:r>
        <w:rPr/>
        <w:t> 当期损益。 </w:t>
      </w:r>
    </w:p>
    <w:p>
      <w:pPr>
        <w:pStyle w:val="BodyText"/>
        <w:spacing w:line="316" w:lineRule="auto" w:before="17"/>
        <w:ind w:right="93" w:firstLine="360"/>
        <w:jc w:val="left"/>
      </w:pPr>
      <w:r>
        <w:rPr/>
        <w:t>②在本公司已完成研究阶段的工作后再进行的开发活动作为开发阶段。一般为项目立项申请经过研究阶段的研究分析， </w:t>
      </w:r>
      <w:r>
        <w:rPr>
          <w:spacing w:val="-2"/>
        </w:rPr>
        <w:t>评审形成立项报告后，研发项目组完成软件详细设计、代码编写、系统测试等工作，并且通过不断修订完善直至达到可使用</w:t>
      </w:r>
      <w:r>
        <w:rPr>
          <w:spacing w:val="-64"/>
        </w:rPr>
        <w:t> </w:t>
      </w:r>
      <w:r>
        <w:rPr>
          <w:spacing w:val="-64"/>
        </w:rPr>
      </w:r>
      <w:r>
        <w:rPr/>
        <w:t>或可销售状态。 </w:t>
      </w:r>
    </w:p>
    <w:p>
      <w:pPr>
        <w:pStyle w:val="BodyText"/>
        <w:spacing w:line="316" w:lineRule="auto" w:before="18"/>
        <w:ind w:left="512" w:right="903"/>
        <w:jc w:val="left"/>
      </w:pPr>
      <w:r>
        <w:rPr/>
        <w:t>开发阶段的支出同时满足下列条件时，才能确认为无形资产，否则计入当期损益： A.完成该无形资产以使其能够使用或出售在技术上具有可行性； B.具有完成该无形资产并使用或出售的意图； </w:t>
      </w:r>
    </w:p>
    <w:p>
      <w:pPr>
        <w:pStyle w:val="BodyText"/>
        <w:spacing w:line="316" w:lineRule="auto" w:before="18"/>
        <w:ind w:right="93" w:firstLine="360"/>
        <w:jc w:val="left"/>
      </w:pPr>
      <w:r>
        <w:rPr>
          <w:spacing w:val="-2"/>
        </w:rPr>
        <w:t>C.无形资产产生经济利益的方式，包括能够证明运用该无形资产生产的产品存在市场或无形资产自身存在市场，无形资</w:t>
      </w:r>
      <w:r>
        <w:rPr/>
        <w:t> 产将在内部使用的，能够证明其有用性； </w:t>
      </w:r>
    </w:p>
    <w:p>
      <w:pPr>
        <w:pStyle w:val="BodyText"/>
        <w:spacing w:line="316" w:lineRule="auto" w:before="19"/>
        <w:ind w:left="512" w:right="93"/>
        <w:jc w:val="left"/>
      </w:pPr>
      <w:r>
        <w:rPr/>
        <w:t>D.有足够的技术、财务资源和其他资源支持，以完成该无形资产的开发，并有能力使用或出售该无形资产； E.归属于该无形资产开发阶段的支出能够可靠地计量。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2"/>
        <w:rPr>
          <w:rFonts w:ascii="宋体" w:hAnsi="宋体" w:cs="宋体" w:eastAsia="宋体" w:hint="default"/>
          <w:b/>
          <w:bCs/>
          <w:sz w:val="26"/>
          <w:szCs w:val="26"/>
        </w:rPr>
      </w:pPr>
    </w:p>
    <w:p>
      <w:pPr>
        <w:spacing w:line="316" w:lineRule="auto" w:before="0"/>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（1）长期股权投资减值测试方法及会计处理方法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本公司在资产负债表日对长期股权投资进行逐项检查，根据被投资单位经营政策、法律环境、市场需求、行业及盈利能</w:t>
      </w:r>
    </w:p>
    <w:p>
      <w:pPr>
        <w:pStyle w:val="BodyText"/>
        <w:spacing w:line="316" w:lineRule="auto" w:before="19"/>
        <w:ind w:right="93"/>
        <w:jc w:val="left"/>
      </w:pP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 </w:t>
      </w:r>
    </w:p>
    <w:p>
      <w:pPr>
        <w:spacing w:line="319"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（2）投资性房地产减值测试方法及会计处理方法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资产负债表日按投资性房产的成本与可收回金额孰低计价，可收回金额低于成本的，按两者的差额计提减值准备。如果</w:t>
      </w:r>
    </w:p>
    <w:p>
      <w:pPr>
        <w:pStyle w:val="BodyText"/>
        <w:spacing w:line="240" w:lineRule="auto" w:before="17"/>
        <w:ind w:right="93"/>
        <w:jc w:val="left"/>
      </w:pPr>
      <w:r>
        <w:rPr/>
        <w:t>已经计提减值准备的投资性房地产的价值又得以恢复，前期已计提的减值准备不得转回。 </w:t>
      </w:r>
    </w:p>
    <w:p>
      <w:pPr>
        <w:spacing w:line="319" w:lineRule="auto" w:before="76"/>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（3）固定资产的减值测试方法及会计处理方法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本公司在资产负债表日对各项固定资产进行判断，当存在减值迹象，估计可收回金额低于其账面价值时，账面价值减记</w:t>
      </w:r>
    </w:p>
    <w:p>
      <w:pPr>
        <w:pStyle w:val="BodyText"/>
        <w:spacing w:line="316" w:lineRule="auto" w:before="17"/>
        <w:ind w:right="93"/>
        <w:jc w:val="left"/>
      </w:pPr>
      <w:r>
        <w:rPr/>
        <w:t>至可收回金额，减记的金额确认为资产减值损失，计入当期损益，同时计提相应的资产减值准备。资产减值损失一经确认， 在以后会计期间不再转回。当存在下列迹象的，按固定资产单项项目全额计提减值准备： </w:t>
      </w:r>
    </w:p>
    <w:p>
      <w:pPr>
        <w:pStyle w:val="BodyText"/>
        <w:spacing w:line="240" w:lineRule="auto" w:before="19"/>
        <w:ind w:left="512" w:right="93"/>
        <w:jc w:val="left"/>
      </w:pPr>
      <w:r>
        <w:rPr/>
        <w:t>①长期闲置不用，在可预见的未来不会再使用，且已无转让价值的固定资产； </w:t>
      </w:r>
    </w:p>
    <w:p>
      <w:pPr>
        <w:pStyle w:val="BodyText"/>
        <w:spacing w:line="240" w:lineRule="auto" w:before="76"/>
        <w:ind w:left="512" w:right="93"/>
        <w:jc w:val="left"/>
      </w:pPr>
      <w:r>
        <w:rPr/>
        <w:t>②由于技术进步等原因，已不可使用的固定资产； </w:t>
      </w:r>
    </w:p>
    <w:p>
      <w:pPr>
        <w:pStyle w:val="BodyText"/>
        <w:spacing w:line="316" w:lineRule="auto" w:before="76"/>
        <w:ind w:left="512" w:right="93"/>
        <w:jc w:val="left"/>
      </w:pPr>
      <w:r>
        <w:rPr/>
        <w:t>③虽然固定资产尚可使用，但使用后产生大量不合格品的固定资产； A.已遭毁损，以至于不再具有使用价值和转让价值的固定资产； B.其他实质上已经不能再给公司带来经济利益的固定资产。 </w:t>
      </w:r>
    </w:p>
    <w:p>
      <w:pPr>
        <w:spacing w:line="319"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（4）在建工程减值测试方法及会计处理方法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本公司于资产负债表日对在建工程进行全面检查，如果有证据表明在建工程已经发生了减值，估计可收回金额低于其账</w:t>
      </w:r>
    </w:p>
    <w:p>
      <w:pPr>
        <w:pStyle w:val="BodyText"/>
        <w:spacing w:line="316" w:lineRule="auto" w:before="17"/>
        <w:ind w:right="93"/>
        <w:jc w:val="left"/>
      </w:pPr>
      <w:r>
        <w:rPr/>
        <w:t>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r>
        <w:rPr>
          <w:spacing w:val="1"/>
        </w:rPr>
        <w:t> </w:t>
      </w:r>
      <w:r>
        <w:rPr/>
        <w:t> </w:t>
      </w:r>
    </w:p>
    <w:p>
      <w:pPr>
        <w:pStyle w:val="BodyText"/>
        <w:spacing w:line="240" w:lineRule="auto" w:before="19"/>
        <w:ind w:left="512" w:right="93"/>
        <w:jc w:val="left"/>
      </w:pPr>
      <w:r>
        <w:rPr/>
        <w:t>①长期停建并且预计在未来3年内不会重新开工的在建工程； </w:t>
      </w:r>
    </w:p>
    <w:p>
      <w:pPr>
        <w:pStyle w:val="BodyText"/>
        <w:spacing w:line="240" w:lineRule="auto" w:before="76"/>
        <w:ind w:left="512" w:right="93"/>
        <w:jc w:val="left"/>
      </w:pPr>
      <w:r>
        <w:rPr/>
        <w:t>②所建项目无论在性能上，还是在技术上已经落后，并且给企业带来的经济利益具有很大的不确定性；</w:t>
      </w:r>
      <w:r>
        <w:rPr>
          <w:spacing w:val="1"/>
        </w:rPr>
        <w:t> </w:t>
      </w:r>
      <w:r>
        <w:rPr/>
        <w:t> </w:t>
      </w:r>
    </w:p>
    <w:p>
      <w:pPr>
        <w:pStyle w:val="BodyText"/>
        <w:spacing w:line="240" w:lineRule="auto" w:before="76"/>
        <w:ind w:left="512" w:right="93"/>
        <w:jc w:val="left"/>
      </w:pPr>
      <w:r>
        <w:rPr/>
        <w:t>③其他足以证明在建工程已经发生减值的情形。 </w:t>
      </w:r>
    </w:p>
    <w:p>
      <w:pPr>
        <w:spacing w:line="316" w:lineRule="auto" w:before="76"/>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（5）无形资产减值测试方法及会计处理方法</w:t>
      </w:r>
      <w:r>
        <w:rPr>
          <w:rFonts w:ascii="宋体" w:hAnsi="宋体" w:cs="宋体" w:eastAsia="宋体" w:hint="default"/>
          <w:b/>
          <w:bCs/>
          <w:w w:val="99"/>
          <w:sz w:val="18"/>
          <w:szCs w:val="18"/>
        </w:rPr>
        <w:t> </w:t>
      </w:r>
      <w:r>
        <w:rPr>
          <w:rFonts w:ascii="宋体" w:hAnsi="宋体" w:cs="宋体" w:eastAsia="宋体" w:hint="default"/>
          <w:sz w:val="18"/>
          <w:szCs w:val="18"/>
        </w:rPr>
        <w:t>当无形资产的可收回金额低于其账面价值时，将资产的账面价值减记至可收回金额，减记的金额确认为资产减值损失，</w:t>
      </w:r>
    </w:p>
    <w:p>
      <w:pPr>
        <w:pStyle w:val="BodyText"/>
        <w:spacing w:line="319" w:lineRule="auto" w:before="18"/>
        <w:ind w:right="93"/>
        <w:jc w:val="left"/>
      </w:pPr>
      <w:r>
        <w:rPr>
          <w:spacing w:val="-2"/>
        </w:rPr>
        <w:t>计入当期损益，同时计提相应的无形资产减值准备。无形资产减值损失一经确认，在以后会计期间不再转回。存在下列一项</w:t>
      </w:r>
      <w:r>
        <w:rPr>
          <w:spacing w:val="-65"/>
        </w:rPr>
        <w:t> </w:t>
      </w:r>
      <w:r>
        <w:rPr>
          <w:spacing w:val="-65"/>
        </w:rPr>
      </w:r>
      <w:r>
        <w:rPr/>
        <w:t>或多项以下情况的，对无形资产进行减值测试： </w:t>
      </w:r>
    </w:p>
    <w:p>
      <w:pPr>
        <w:spacing w:after="0" w:line="319"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2" w:right="93"/>
        <w:jc w:val="left"/>
      </w:pPr>
      <w:r>
        <w:rPr/>
        <w:t>①该无形资产已被其他新技术等所替代，使其为企业创造经济利益的能力受到重大不利影响； </w:t>
      </w:r>
    </w:p>
    <w:p>
      <w:pPr>
        <w:pStyle w:val="BodyText"/>
        <w:spacing w:line="240" w:lineRule="auto" w:before="76"/>
        <w:ind w:left="512" w:right="93"/>
        <w:jc w:val="left"/>
      </w:pPr>
      <w:r>
        <w:rPr/>
        <w:t>②该无形资产的市价在当期大幅下跌，并在剩余年限内可能不会回升； </w:t>
      </w:r>
    </w:p>
    <w:p>
      <w:pPr>
        <w:pStyle w:val="BodyText"/>
        <w:spacing w:line="240" w:lineRule="auto" w:before="76"/>
        <w:ind w:left="512" w:right="93"/>
        <w:jc w:val="left"/>
      </w:pPr>
      <w:r>
        <w:rPr/>
        <w:t>③其他足以表明该无形资产的账面价值已超过可收回金额的情况。 </w:t>
      </w:r>
    </w:p>
    <w:p>
      <w:pPr>
        <w:pStyle w:val="BodyText"/>
        <w:spacing w:line="316" w:lineRule="auto" w:before="76"/>
        <w:ind w:left="512" w:right="93"/>
        <w:jc w:val="left"/>
      </w:pPr>
      <w:r>
        <w:rPr>
          <w:rFonts w:ascii="宋体" w:hAnsi="宋体" w:cs="宋体" w:eastAsia="宋体" w:hint="default"/>
          <w:b/>
          <w:bCs/>
        </w:rPr>
        <w:t>（6）商誉减值测试</w:t>
      </w:r>
      <w:r>
        <w:rPr>
          <w:rFonts w:ascii="宋体" w:hAnsi="宋体" w:cs="宋体" w:eastAsia="宋体" w:hint="default"/>
          <w:b/>
          <w:bCs/>
          <w:w w:val="99"/>
        </w:rPr>
        <w:t> </w:t>
      </w:r>
      <w:r>
        <w:rPr>
          <w:spacing w:val="-2"/>
        </w:rPr>
        <w:t>企业合并形成的商誉，至少在每年年度终了进行减值测试。本公司在对包含商誉的相关资产组或者资产组组合进行减值</w:t>
      </w:r>
    </w:p>
    <w:p>
      <w:pPr>
        <w:pStyle w:val="BodyText"/>
        <w:spacing w:line="316" w:lineRule="auto" w:before="19"/>
        <w:ind w:left="512" w:right="93" w:hanging="361"/>
        <w:jc w:val="left"/>
      </w:pPr>
      <w:r>
        <w:rPr/>
        <w:t>测试时，如与商誉相关的资产组或者资产组组合存在减值迹象的，按以下步骤处理： </w:t>
      </w:r>
      <w:r>
        <w:rPr>
          <w:spacing w:val="-2"/>
        </w:rPr>
        <w:t>首先对不包含商誉的资产组或者资产组组合进行减值测试，计算可收回金额，并与相关资产账面价值比较，确认相应的</w:t>
      </w:r>
    </w:p>
    <w:p>
      <w:pPr>
        <w:pStyle w:val="BodyText"/>
        <w:spacing w:line="316" w:lineRule="auto" w:before="18"/>
        <w:ind w:right="189"/>
        <w:jc w:val="both"/>
      </w:pPr>
      <w:r>
        <w:rPr>
          <w:spacing w:val="-5"/>
        </w:rPr>
        <w:t>减值损失；然后再对包含商誉的资产组或者资产组这组合进行减值测试，比较这些相关资产组或者资产组组合的账面价值（包</w:t>
      </w:r>
      <w:r>
        <w:rPr>
          <w:spacing w:val="-76"/>
        </w:rPr>
        <w:t> </w:t>
      </w:r>
      <w:r>
        <w:rPr>
          <w:spacing w:val="-76"/>
        </w:rPr>
      </w:r>
      <w:r>
        <w:rPr>
          <w:spacing w:val="-2"/>
        </w:rPr>
        <w:t>括所分摊的商誉的账面价值部分）与其可收回金额，如相关资产组或者资产组组合的可收回金额低于其账面价值的，就其差</w:t>
      </w:r>
      <w:r>
        <w:rPr>
          <w:spacing w:val="-66"/>
        </w:rPr>
        <w:t> </w:t>
      </w:r>
      <w:r>
        <w:rPr>
          <w:spacing w:val="-66"/>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1713"/>
        <w:jc w:val="left"/>
      </w:pPr>
      <w:r>
        <w:rPr/>
        <w:t>长期待摊费用核算本公司已经发生但应由本期和以后各期负担的分摊期限在一年以上的各项费用。 本公司长期待摊费用在受益期内平均摊销。</w:t>
      </w:r>
    </w:p>
    <w:tbl>
      <w:tblPr>
        <w:tblW w:w="0" w:type="auto"/>
        <w:jc w:val="left"/>
        <w:tblInd w:w="136" w:type="dxa"/>
        <w:tblLayout w:type="fixed"/>
        <w:tblCellMar>
          <w:top w:w="0" w:type="dxa"/>
          <w:left w:w="0" w:type="dxa"/>
          <w:bottom w:w="0" w:type="dxa"/>
          <w:right w:w="0" w:type="dxa"/>
        </w:tblCellMar>
        <w:tblLook w:val="01E0"/>
      </w:tblPr>
      <w:tblGrid>
        <w:gridCol w:w="3250"/>
        <w:gridCol w:w="6410"/>
      </w:tblGrid>
      <w:tr>
        <w:trPr>
          <w:trHeight w:val="583" w:hRule="exact"/>
        </w:trPr>
        <w:tc>
          <w:tcPr>
            <w:tcW w:w="325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3"/>
              <w:ind w:left="35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410" w:type="dxa"/>
            <w:tcBorders>
              <w:top w:val="single" w:sz="6" w:space="0" w:color="000000"/>
              <w:left w:val="single" w:sz="6" w:space="0" w:color="000000"/>
              <w:bottom w:val="single" w:sz="8" w:space="0" w:color="000000"/>
              <w:right w:val="nil" w:sz="6" w:space="0" w:color="auto"/>
            </w:tcBorders>
            <w:shd w:val="clear" w:color="auto" w:fill="D9D9D9"/>
          </w:tcPr>
          <w:p>
            <w:pPr>
              <w:pStyle w:val="TableParagraph"/>
              <w:spacing w:line="240" w:lineRule="auto" w:before="133"/>
              <w:ind w:left="350"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588" w:hRule="exact"/>
        </w:trPr>
        <w:tc>
          <w:tcPr>
            <w:tcW w:w="32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36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64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left="348" w:right="0"/>
              <w:jc w:val="center"/>
              <w:rPr>
                <w:rFonts w:ascii="宋体" w:hAnsi="宋体" w:cs="宋体" w:eastAsia="宋体" w:hint="default"/>
                <w:sz w:val="18"/>
                <w:szCs w:val="18"/>
              </w:rPr>
            </w:pPr>
            <w:r>
              <w:rPr>
                <w:rFonts w:ascii="宋体" w:hAnsi="宋体" w:cs="宋体" w:eastAsia="宋体" w:hint="default"/>
                <w:sz w:val="18"/>
                <w:szCs w:val="18"/>
              </w:rPr>
              <w:t>按房屋租赁期限</w:t>
            </w:r>
          </w:p>
        </w:tc>
      </w:tr>
    </w:tbl>
    <w:p>
      <w:pPr>
        <w:spacing w:line="240" w:lineRule="auto" w:before="5"/>
        <w:rPr>
          <w:rFonts w:ascii="宋体" w:hAnsi="宋体" w:cs="宋体" w:eastAsia="宋体" w:hint="default"/>
          <w:sz w:val="20"/>
          <w:szCs w:val="20"/>
        </w:rPr>
      </w:pPr>
    </w:p>
    <w:p>
      <w:pPr>
        <w:pStyle w:val="Heading3"/>
        <w:spacing w:line="240" w:lineRule="auto" w:before="36"/>
        <w:ind w:right="93"/>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2" w:right="93"/>
        <w:jc w:val="left"/>
      </w:pPr>
      <w:r>
        <w:rPr/>
        <w:t>①职工基本薪酬（工资、奖金、津贴、补贴） </w:t>
      </w:r>
      <w:r>
        <w:rPr>
          <w:spacing w:val="-2"/>
        </w:rPr>
        <w:t>本公司在职工为其提供服务的会计期间，将实际发生的短期薪酬确认为负债，并计入当期损益，其他会计准则要求或允</w:t>
      </w:r>
    </w:p>
    <w:p>
      <w:pPr>
        <w:pStyle w:val="BodyText"/>
        <w:spacing w:line="240" w:lineRule="auto" w:before="19"/>
        <w:ind w:right="93"/>
        <w:jc w:val="left"/>
      </w:pPr>
      <w:r>
        <w:rPr/>
        <w:t>许计入资产成本的除外。 </w:t>
      </w:r>
    </w:p>
    <w:p>
      <w:pPr>
        <w:pStyle w:val="BodyText"/>
        <w:spacing w:line="316" w:lineRule="auto" w:before="76"/>
        <w:ind w:left="512" w:right="93"/>
        <w:jc w:val="left"/>
      </w:pPr>
      <w:r>
        <w:rPr/>
        <w:t>②职工福利费 </w:t>
      </w:r>
      <w:r>
        <w:rPr>
          <w:spacing w:val="-4"/>
        </w:rPr>
        <w:t>本公司发生的职工福利费，在实际发生时根据实际发生额计入当期损益或相关资产成本。职工福利费为非货币性福利的，</w:t>
      </w:r>
    </w:p>
    <w:p>
      <w:pPr>
        <w:pStyle w:val="BodyText"/>
        <w:spacing w:line="240" w:lineRule="auto" w:before="19"/>
        <w:ind w:right="93"/>
        <w:jc w:val="left"/>
      </w:pPr>
      <w:r>
        <w:rPr/>
        <w:t>按照公允价值计量。 </w:t>
      </w:r>
    </w:p>
    <w:p>
      <w:pPr>
        <w:pStyle w:val="BodyText"/>
        <w:spacing w:line="316" w:lineRule="auto" w:before="76"/>
        <w:ind w:left="512" w:right="93"/>
        <w:jc w:val="left"/>
      </w:pPr>
      <w:r>
        <w:rPr/>
        <w:t>③医疗保险费、工伤保险费、生育保险费等社会保险费和住房公积金，以及工会经费和职工教育经费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pStyle w:val="BodyText"/>
        <w:spacing w:line="316" w:lineRule="auto" w:before="19"/>
        <w:ind w:right="93"/>
        <w:jc w:val="left"/>
      </w:pPr>
      <w:r>
        <w:rPr>
          <w:spacing w:val="-2"/>
        </w:rPr>
        <w:t>职工教育经费，在职工为其提供服务的会计期间，根据规定的计提基础和计提比例计算确定相应的职工薪酬金额，并确认相</w:t>
      </w:r>
      <w:r>
        <w:rPr>
          <w:spacing w:val="-63"/>
        </w:rPr>
        <w:t> </w:t>
      </w:r>
      <w:r>
        <w:rPr>
          <w:spacing w:val="-63"/>
        </w:rPr>
      </w:r>
      <w:r>
        <w:rPr/>
        <w:t>应负债，计入当期损益或相关资产成本。 </w:t>
      </w:r>
    </w:p>
    <w:p>
      <w:pPr>
        <w:pStyle w:val="BodyText"/>
        <w:spacing w:line="319" w:lineRule="auto" w:before="18"/>
        <w:ind w:left="512" w:right="93"/>
        <w:jc w:val="left"/>
      </w:pPr>
      <w:r>
        <w:rPr/>
        <w:t>④短期带薪缺勤 </w:t>
      </w:r>
      <w:r>
        <w:rPr>
          <w:spacing w:val="-2"/>
        </w:rPr>
        <w:t>本公司在职工提供服务从而增加了其未来享有的带薪缺勤权利时，确认与累积带薪缺勤相关的职工薪酬，并以累积未行</w:t>
      </w:r>
    </w:p>
    <w:p>
      <w:pPr>
        <w:pStyle w:val="BodyText"/>
        <w:spacing w:line="240" w:lineRule="auto" w:before="17"/>
        <w:ind w:right="93"/>
        <w:jc w:val="left"/>
      </w:pPr>
      <w:r>
        <w:rPr/>
        <w:t>使权利而增加的预期支付金额计量。本公司在职工实际发生缺勤的会计期间确认与非累积带薪缺勤相关的职工薪酬。 </w:t>
      </w:r>
    </w:p>
    <w:p>
      <w:pPr>
        <w:pStyle w:val="BodyText"/>
        <w:spacing w:line="316" w:lineRule="auto" w:before="76"/>
        <w:ind w:left="512" w:right="3333"/>
        <w:jc w:val="left"/>
      </w:pPr>
      <w:r>
        <w:rPr/>
        <w:t>⑤短期利润分享计划 利润分享计划同时满足下列条件的，本公司确认相关的应付职工薪酬： A.企业因过去事项导致现在具有支付职工薪酬的法定义务或推定义务； B.因利润分享计划所产生的应付职工薪酬义务金额能够可靠估计。 </w:t>
      </w:r>
    </w:p>
    <w:p>
      <w:pPr>
        <w:spacing w:after="0" w:line="316" w:lineRule="auto"/>
        <w:jc w:val="left"/>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2" w:right="148"/>
        <w:jc w:val="left"/>
      </w:pPr>
      <w:r>
        <w:rPr/>
        <w:t>①设定提存计划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17"/>
        <w:ind w:right="148"/>
        <w:jc w:val="left"/>
      </w:pPr>
      <w:r>
        <w:rPr/>
        <w:t>产成本。 </w:t>
      </w:r>
    </w:p>
    <w:p>
      <w:pPr>
        <w:pStyle w:val="BodyText"/>
        <w:spacing w:line="316" w:lineRule="auto" w:before="76"/>
        <w:ind w:right="152"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t>率确定），将全部应缴存金额以折现后的金额计量应付职工薪酬。 </w:t>
      </w:r>
    </w:p>
    <w:p>
      <w:pPr>
        <w:pStyle w:val="BodyText"/>
        <w:spacing w:line="319" w:lineRule="auto" w:before="18"/>
        <w:ind w:left="512" w:right="5273"/>
        <w:jc w:val="left"/>
      </w:pPr>
      <w:r>
        <w:rPr/>
        <w:t>②设定受益计划 A．确定设定受益计划义务的现值和当期服务成本 </w:t>
      </w:r>
    </w:p>
    <w:p>
      <w:pPr>
        <w:pStyle w:val="BodyText"/>
        <w:spacing w:line="316" w:lineRule="auto" w:before="17"/>
        <w:ind w:right="149" w:firstLine="360"/>
        <w:jc w:val="both"/>
      </w:pPr>
      <w:r>
        <w:rPr>
          <w:spacing w:val="-2"/>
        </w:rPr>
        <w:t>根据预期累计福利单位法，采用无偏且相互一致的精算假设对有关人口统计变量和财务变量等做出估计，计量设定受益</w:t>
      </w:r>
      <w:r>
        <w:rPr/>
        <w:t> </w:t>
      </w:r>
      <w:r>
        <w:rPr>
          <w:spacing w:val="-2"/>
        </w:rPr>
        <w:t>计划所产生的义务，并确定相关义务的归属期间。本公司按照相应的折现率（根据资产负债表日与设定受益计划义务期限和</w:t>
      </w:r>
      <w:r>
        <w:rPr>
          <w:spacing w:val="-63"/>
        </w:rPr>
        <w:t> </w:t>
      </w:r>
      <w:r>
        <w:rPr>
          <w:spacing w:val="-63"/>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 </w:t>
      </w:r>
    </w:p>
    <w:p>
      <w:pPr>
        <w:pStyle w:val="BodyText"/>
        <w:spacing w:line="319" w:lineRule="auto" w:before="18"/>
        <w:ind w:left="512" w:right="148"/>
        <w:jc w:val="left"/>
      </w:pPr>
      <w:r>
        <w:rPr/>
        <w:t>B.确认设定受益计划净负债或净资产 </w:t>
      </w:r>
      <w:r>
        <w:rPr>
          <w:spacing w:val="-2"/>
        </w:rPr>
        <w:t>设定受益计划存在资产的，本公司将设定受益计划义务现值减去设定受益计划资产公允价值所形成的赤字或盈余确认为</w:t>
      </w:r>
    </w:p>
    <w:p>
      <w:pPr>
        <w:pStyle w:val="BodyText"/>
        <w:spacing w:line="316" w:lineRule="auto" w:before="17"/>
        <w:ind w:left="512" w:right="148" w:hanging="361"/>
        <w:jc w:val="left"/>
      </w:pPr>
      <w:r>
        <w:rPr/>
        <w:t>一项设定受益计划净负债或净资产。 设定受益计划存在盈余的，本公司以设定受益计划的盈余和资产上限两项的孰低者计量设定受益计划净资产。 C.确定应计入资产成本或当期损益的金额 </w:t>
      </w:r>
      <w:r>
        <w:rPr>
          <w:spacing w:val="-2"/>
        </w:rPr>
        <w:t>服务成本，包括当期服务成本、过去服务成本和结算利得或损失。其中，除了其他会计准则要求或允许计入资产成本的</w:t>
      </w:r>
    </w:p>
    <w:p>
      <w:pPr>
        <w:pStyle w:val="BodyText"/>
        <w:spacing w:line="319" w:lineRule="auto" w:before="18"/>
        <w:ind w:left="512" w:right="148" w:hanging="361"/>
        <w:jc w:val="left"/>
      </w:pPr>
      <w:r>
        <w:rPr/>
        <w:t>当期服务成本之外，其他服务成本均计入当期损益。 </w:t>
      </w:r>
      <w:r>
        <w:rPr>
          <w:spacing w:val="-2"/>
        </w:rPr>
        <w:t>设定受益计划净负债或净资产的利息净额，包括计划资产的利息收益、设定受益计划义务的利息费用以及资产上限影响</w:t>
      </w:r>
    </w:p>
    <w:p>
      <w:pPr>
        <w:pStyle w:val="BodyText"/>
        <w:spacing w:line="316" w:lineRule="auto" w:before="17"/>
        <w:ind w:left="512" w:right="5813" w:hanging="361"/>
        <w:jc w:val="left"/>
      </w:pPr>
      <w:r>
        <w:rPr/>
        <w:t>的利息，均计入当期损益。 D.确定应计入其他综合收益的金额 </w:t>
      </w:r>
    </w:p>
    <w:p>
      <w:pPr>
        <w:pStyle w:val="BodyText"/>
        <w:spacing w:line="240" w:lineRule="auto" w:before="19"/>
        <w:ind w:left="512" w:right="148"/>
        <w:jc w:val="left"/>
      </w:pPr>
      <w:r>
        <w:rPr/>
        <w:t>重新计量设定受益计划净负债或净资产所产生的变动，包括： </w:t>
      </w:r>
    </w:p>
    <w:p>
      <w:pPr>
        <w:pStyle w:val="BodyText"/>
        <w:spacing w:line="240" w:lineRule="auto" w:before="76"/>
        <w:ind w:left="512" w:right="148"/>
        <w:jc w:val="left"/>
      </w:pPr>
      <w:r>
        <w:rPr/>
        <w:t>（a）精算利得或损失，即由于精算假设和经验调整导致之前所计量的设定受益计划义务现值的增加或减少； </w:t>
      </w:r>
    </w:p>
    <w:p>
      <w:pPr>
        <w:pStyle w:val="BodyText"/>
        <w:spacing w:line="240" w:lineRule="auto" w:before="76"/>
        <w:ind w:left="512" w:right="148"/>
        <w:jc w:val="left"/>
      </w:pPr>
      <w:r>
        <w:rPr/>
        <w:t>（b）计划资产回报，扣除包括在设定受益计划净负债或净资产的利息净额中的金额; </w:t>
      </w:r>
    </w:p>
    <w:p>
      <w:pPr>
        <w:pStyle w:val="BodyText"/>
        <w:spacing w:line="316" w:lineRule="auto" w:before="76"/>
        <w:ind w:left="512" w:right="0"/>
        <w:jc w:val="left"/>
      </w:pPr>
      <w:r>
        <w:rPr/>
        <w:t>（c）资产上限影响的变动，扣除包括在设定受益计划净负债或净资产的利息净额中的金额。 上述重新计量设定受益计划净负债或净资产所产生的变动直接计入其他综合收益,</w:t>
      </w:r>
      <w:r>
        <w:rPr>
          <w:spacing w:val="85"/>
        </w:rPr>
        <w:t> </w:t>
      </w:r>
      <w:r>
        <w:rPr/>
        <w:t>并且在后续会计期间不允许转回至</w:t>
      </w:r>
    </w:p>
    <w:p>
      <w:pPr>
        <w:pStyle w:val="BodyText"/>
        <w:spacing w:line="240" w:lineRule="auto" w:before="18"/>
        <w:ind w:right="148"/>
        <w:jc w:val="left"/>
      </w:pPr>
      <w:r>
        <w:rPr/>
        <w:t>损益，但本公司可以在权益范围内转移这些在其他综合收益中确认的金额。 </w:t>
      </w:r>
    </w:p>
    <w:p>
      <w:pPr>
        <w:spacing w:line="240" w:lineRule="auto" w:before="0"/>
        <w:rPr>
          <w:rFonts w:ascii="宋体" w:hAnsi="宋体" w:cs="宋体" w:eastAsia="宋体" w:hint="default"/>
          <w:sz w:val="18"/>
          <w:szCs w:val="18"/>
        </w:rPr>
      </w:pPr>
    </w:p>
    <w:p>
      <w:pPr>
        <w:pStyle w:val="Heading3"/>
        <w:spacing w:line="240" w:lineRule="auto" w:before="120"/>
        <w:ind w:right="148"/>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8"/>
        <w:jc w:val="left"/>
      </w:pPr>
      <w:r>
        <w:rPr/>
        <w:t>本公司向职工提供辞退福利的，在下列两者孰早日确认辞退福利产生的职工薪酬负债，并计入当期损益：</w:t>
      </w:r>
    </w:p>
    <w:p>
      <w:pPr>
        <w:pStyle w:val="BodyText"/>
        <w:spacing w:line="240" w:lineRule="auto" w:before="76"/>
        <w:ind w:left="512" w:right="148"/>
        <w:jc w:val="left"/>
      </w:pPr>
      <w:r>
        <w:rPr/>
        <w:t>①企业不能单方面撤回因解除劳动关系计划或裁减建议所提供的辞退福利时；</w:t>
      </w:r>
    </w:p>
    <w:p>
      <w:pPr>
        <w:pStyle w:val="BodyText"/>
        <w:spacing w:line="316" w:lineRule="auto" w:before="76"/>
        <w:ind w:left="512" w:right="148"/>
        <w:jc w:val="left"/>
      </w:pPr>
      <w:r>
        <w:rPr/>
        <w:t>②企业确认与涉及支付辞退福利的重组相关的成本或费用时。 </w:t>
      </w:r>
      <w:r>
        <w:rPr>
          <w:spacing w:val="-2"/>
        </w:rPr>
        <w:t>辞退福利预期在年度报告期结束后十二个月内不能完全支付的，参照相应的折现率（根据资产负债表日与设定受益计划</w:t>
      </w:r>
    </w:p>
    <w:p>
      <w:pPr>
        <w:pStyle w:val="BodyText"/>
        <w:spacing w:line="316" w:lineRule="auto" w:before="19"/>
        <w:ind w:right="148"/>
        <w:jc w:val="left"/>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p>
    <w:p>
      <w:pPr>
        <w:spacing w:line="240" w:lineRule="auto" w:before="10"/>
        <w:rPr>
          <w:rFonts w:ascii="宋体" w:hAnsi="宋体" w:cs="宋体" w:eastAsia="宋体" w:hint="default"/>
          <w:sz w:val="22"/>
          <w:szCs w:val="22"/>
        </w:rPr>
      </w:pPr>
    </w:p>
    <w:p>
      <w:pPr>
        <w:pStyle w:val="Heading3"/>
        <w:spacing w:line="240" w:lineRule="auto"/>
        <w:ind w:right="148"/>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2" w:right="148"/>
        <w:jc w:val="left"/>
      </w:pPr>
      <w:r>
        <w:rPr/>
        <w:t>①符合设定提存计划条件的 </w:t>
      </w:r>
      <w:r>
        <w:rPr>
          <w:spacing w:val="-2"/>
        </w:rPr>
        <w:t>本公司向职工提供的其他长期职工福利，符合设定提存计划条件的，将全部应缴存金额以折现后的金额计量应付职工薪</w:t>
      </w:r>
    </w:p>
    <w:p>
      <w:pPr>
        <w:pStyle w:val="BodyText"/>
        <w:spacing w:line="240" w:lineRule="auto" w:before="17"/>
        <w:ind w:right="148"/>
        <w:jc w:val="left"/>
      </w:pPr>
      <w:r>
        <w:rPr/>
        <w:t>酬。 </w:t>
      </w:r>
    </w:p>
    <w:p>
      <w:pPr>
        <w:spacing w:after="0" w:line="240" w:lineRule="auto"/>
        <w:jc w:val="left"/>
        <w:sectPr>
          <w:footerReference w:type="default" r:id="rId24"/>
          <w:pgSz w:w="11910" w:h="16840"/>
          <w:pgMar w:footer="981" w:header="745" w:top="1060" w:bottom="1180" w:left="980" w:right="980"/>
          <w:pgNumType w:start="110"/>
        </w:sectPr>
      </w:pPr>
    </w:p>
    <w:p>
      <w:pPr>
        <w:spacing w:line="240" w:lineRule="auto" w:before="9"/>
        <w:rPr>
          <w:rFonts w:ascii="宋体" w:hAnsi="宋体" w:cs="宋体" w:eastAsia="宋体" w:hint="default"/>
          <w:sz w:val="25"/>
          <w:szCs w:val="25"/>
        </w:rPr>
      </w:pPr>
    </w:p>
    <w:p>
      <w:pPr>
        <w:pStyle w:val="BodyText"/>
        <w:spacing w:line="316" w:lineRule="auto" w:before="44"/>
        <w:ind w:left="512" w:right="2198"/>
        <w:jc w:val="left"/>
      </w:pPr>
      <w:r>
        <w:rPr/>
        <w:t>②符合设定受益计划条件的 在报告期末，本公司将其他长期职工福利产生的职工薪酬成本确认为下列组成部分： A.服务成本； </w:t>
      </w:r>
    </w:p>
    <w:p>
      <w:pPr>
        <w:pStyle w:val="BodyText"/>
        <w:spacing w:line="316" w:lineRule="auto" w:before="18"/>
        <w:ind w:left="512" w:right="3333"/>
        <w:jc w:val="left"/>
      </w:pPr>
      <w:r>
        <w:rPr/>
        <w:t>B.其他长期职工福利净负债或净资产的利息净额； C.重新计量其他长期职工福利净负债或净资产所产生的变动。 为简化相关会计处理，上述项目的总净额计入当期损益或相关资产成本。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spacing w:line="316" w:lineRule="auto" w:before="0"/>
        <w:ind w:left="512" w:right="1668" w:firstLine="0"/>
        <w:jc w:val="left"/>
        <w:rPr>
          <w:rFonts w:ascii="宋体" w:hAnsi="宋体" w:cs="宋体" w:eastAsia="宋体" w:hint="default"/>
          <w:sz w:val="18"/>
          <w:szCs w:val="18"/>
        </w:rPr>
      </w:pPr>
      <w:r>
        <w:rPr>
          <w:rFonts w:ascii="宋体" w:hAnsi="宋体" w:cs="宋体" w:eastAsia="宋体" w:hint="default"/>
          <w:b/>
          <w:bCs/>
          <w:sz w:val="18"/>
          <w:szCs w:val="18"/>
        </w:rPr>
        <w:t>（1）预计负债的的确认标准</w:t>
      </w:r>
      <w:r>
        <w:rPr>
          <w:rFonts w:ascii="宋体" w:hAnsi="宋体" w:cs="宋体" w:eastAsia="宋体" w:hint="default"/>
          <w:b/>
          <w:bCs/>
          <w:w w:val="99"/>
          <w:sz w:val="18"/>
          <w:szCs w:val="18"/>
        </w:rPr>
        <w:t> </w:t>
      </w:r>
      <w:r>
        <w:rPr>
          <w:rFonts w:ascii="宋体" w:hAnsi="宋体" w:cs="宋体" w:eastAsia="宋体" w:hint="default"/>
          <w:sz w:val="18"/>
          <w:szCs w:val="18"/>
        </w:rPr>
        <w:t>如果与或有事项相关的义务同时符合以下条件，本公司将其确认为预计负债： </w:t>
      </w:r>
    </w:p>
    <w:p>
      <w:pPr>
        <w:pStyle w:val="BodyText"/>
        <w:spacing w:line="240" w:lineRule="auto" w:before="19"/>
        <w:ind w:left="512" w:right="93"/>
        <w:jc w:val="left"/>
      </w:pPr>
      <w:r>
        <w:rPr/>
        <w:t>①该义务是本公司承担的现时义务；</w:t>
      </w:r>
      <w:r>
        <w:rPr>
          <w:spacing w:val="1"/>
        </w:rPr>
        <w:t> </w:t>
      </w:r>
      <w:r>
        <w:rPr/>
        <w:t> </w:t>
      </w:r>
    </w:p>
    <w:p>
      <w:pPr>
        <w:pStyle w:val="BodyText"/>
        <w:spacing w:line="240" w:lineRule="auto" w:before="76"/>
        <w:ind w:left="512" w:right="93"/>
        <w:jc w:val="left"/>
      </w:pPr>
      <w:r>
        <w:rPr/>
        <w:t>②该义务的履行很可能导致经济利益流出本公司； </w:t>
      </w:r>
    </w:p>
    <w:p>
      <w:pPr>
        <w:pStyle w:val="BodyText"/>
        <w:spacing w:line="240" w:lineRule="auto" w:before="76"/>
        <w:ind w:left="512" w:right="93"/>
        <w:jc w:val="left"/>
      </w:pPr>
      <w:r>
        <w:rPr/>
        <w:t>③该义务的金额能够可靠地计量。 </w:t>
      </w:r>
    </w:p>
    <w:p>
      <w:pPr>
        <w:pStyle w:val="BodyText"/>
        <w:spacing w:line="316" w:lineRule="auto" w:before="76"/>
        <w:ind w:left="512" w:right="93"/>
        <w:jc w:val="left"/>
      </w:pPr>
      <w:r>
        <w:rPr>
          <w:rFonts w:ascii="宋体" w:hAnsi="宋体" w:cs="宋体" w:eastAsia="宋体" w:hint="default"/>
          <w:b/>
          <w:bCs/>
        </w:rPr>
        <w:t>（2）预计负债的计量方法</w:t>
      </w:r>
      <w:r>
        <w:rPr>
          <w:rFonts w:ascii="宋体" w:hAnsi="宋体" w:cs="宋体" w:eastAsia="宋体" w:hint="default"/>
          <w:b/>
          <w:bCs/>
          <w:w w:val="99"/>
        </w:rPr>
        <w:t> </w:t>
      </w:r>
      <w:r>
        <w:rPr>
          <w:spacing w:val="-2"/>
        </w:rPr>
        <w:t>预计负债按照履行相关现时义务所需支出的最佳估计数进行初始计量，并综合考虑与或事项有关的风险、不确定性和货</w:t>
      </w:r>
    </w:p>
    <w:p>
      <w:pPr>
        <w:pStyle w:val="BodyText"/>
        <w:spacing w:line="319" w:lineRule="auto" w:before="18"/>
        <w:ind w:right="93"/>
        <w:jc w:val="left"/>
      </w:pP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 </w:t>
      </w:r>
    </w:p>
    <w:p>
      <w:pPr>
        <w:spacing w:line="240" w:lineRule="auto" w:before="8"/>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2"/>
        <w:rPr>
          <w:rFonts w:ascii="宋体" w:hAnsi="宋体" w:cs="宋体" w:eastAsia="宋体" w:hint="default"/>
          <w:b/>
          <w:bCs/>
          <w:sz w:val="26"/>
          <w:szCs w:val="26"/>
        </w:rPr>
      </w:pPr>
    </w:p>
    <w:p>
      <w:pPr>
        <w:spacing w:line="316" w:lineRule="auto" w:before="0"/>
        <w:ind w:left="512" w:right="3333" w:firstLine="0"/>
        <w:jc w:val="left"/>
        <w:rPr>
          <w:rFonts w:ascii="宋体" w:hAnsi="宋体" w:cs="宋体" w:eastAsia="宋体" w:hint="default"/>
          <w:sz w:val="18"/>
          <w:szCs w:val="18"/>
        </w:rPr>
      </w:pPr>
      <w:r>
        <w:rPr>
          <w:rFonts w:ascii="宋体" w:hAnsi="宋体" w:cs="宋体" w:eastAsia="宋体" w:hint="default"/>
          <w:b/>
          <w:bCs/>
          <w:sz w:val="18"/>
          <w:szCs w:val="18"/>
        </w:rPr>
        <w:t>（1）股份支付的种类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本公司股份支付包括以现金结算的股份支付和以权益结算的股份支付。 </w:t>
      </w:r>
    </w:p>
    <w:p>
      <w:pPr>
        <w:pStyle w:val="Heading4"/>
        <w:spacing w:line="240" w:lineRule="auto" w:before="18"/>
        <w:ind w:right="93"/>
        <w:jc w:val="left"/>
        <w:rPr>
          <w:b w:val="0"/>
          <w:bCs w:val="0"/>
        </w:rPr>
      </w:pPr>
      <w:r>
        <w:rPr/>
        <w:t>（2）权益工具公允价值的确定方法</w:t>
      </w:r>
      <w:r>
        <w:rPr>
          <w:w w:val="99"/>
        </w:rPr>
        <w:t> </w:t>
      </w:r>
      <w:r>
        <w:rPr>
          <w:b w:val="0"/>
          <w:bCs w:val="0"/>
        </w:rPr>
      </w:r>
    </w:p>
    <w:p>
      <w:pPr>
        <w:pStyle w:val="BodyText"/>
        <w:spacing w:line="316" w:lineRule="auto" w:before="76"/>
        <w:ind w:right="93" w:firstLine="360"/>
        <w:jc w:val="left"/>
      </w:pPr>
      <w:r>
        <w:rPr>
          <w:spacing w:val="-2"/>
        </w:rPr>
        <w:t>①对于授予职工的股份，其公允价值按公司股份的市场价格计量，同时考虑授予股份所依据的条款和条件（不包括市场</w:t>
      </w:r>
      <w:r>
        <w:rPr/>
        <w:t> 条件之外的可行权条件）进行调整。 </w:t>
      </w:r>
    </w:p>
    <w:p>
      <w:pPr>
        <w:pStyle w:val="BodyText"/>
        <w:spacing w:line="319" w:lineRule="auto" w:before="18"/>
        <w:ind w:right="93" w:firstLine="360"/>
        <w:jc w:val="left"/>
      </w:pPr>
      <w:r>
        <w:rPr>
          <w:spacing w:val="-2"/>
        </w:rPr>
        <w:t>②对于授予职工的股票期权，在许多情况下难以获得其市场价格。如果不存在条款和条件相似的交易期权，公司选择适</w:t>
      </w:r>
      <w:r>
        <w:rPr/>
        <w:t> 用的期权定价模型估计所授予的期权的公允价值。 </w:t>
      </w:r>
    </w:p>
    <w:p>
      <w:pPr>
        <w:spacing w:line="316" w:lineRule="auto" w:before="17"/>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（3）确认可行权权益工具最佳估计的依据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在等待期内每个资产负债表日，公司根据最新取得的可行权职工人数变动等后续信息作出最佳估计，修正预计可行权的</w:t>
      </w:r>
    </w:p>
    <w:p>
      <w:pPr>
        <w:pStyle w:val="BodyText"/>
        <w:spacing w:line="240" w:lineRule="auto" w:before="19"/>
        <w:ind w:right="93"/>
        <w:jc w:val="left"/>
      </w:pPr>
      <w:r>
        <w:rPr/>
        <w:t>权益工具数量，以作出可行权权益工具的最佳估计。 </w:t>
      </w:r>
    </w:p>
    <w:p>
      <w:pPr>
        <w:pStyle w:val="Heading4"/>
        <w:spacing w:line="240" w:lineRule="auto"/>
        <w:ind w:right="93"/>
        <w:jc w:val="left"/>
        <w:rPr>
          <w:b w:val="0"/>
          <w:bCs w:val="0"/>
        </w:rPr>
      </w:pPr>
      <w:r>
        <w:rPr/>
        <w:t>（4）股份支付计划实施的会计处理</w:t>
      </w:r>
      <w:r>
        <w:rPr>
          <w:w w:val="99"/>
        </w:rPr>
        <w:t> </w:t>
      </w:r>
      <w:r>
        <w:rPr>
          <w:b w:val="0"/>
          <w:bCs w:val="0"/>
        </w:rPr>
      </w:r>
    </w:p>
    <w:p>
      <w:pPr>
        <w:pStyle w:val="BodyText"/>
        <w:spacing w:line="319" w:lineRule="auto" w:before="76"/>
        <w:ind w:right="93" w:firstLine="360"/>
        <w:jc w:val="left"/>
      </w:pPr>
      <w:r>
        <w:rPr>
          <w:spacing w:val="-2"/>
        </w:rPr>
        <w:t>①授予后立即可行权的以现金结算的股份支付，在授予日以本公司承担负债的公允价值计入相关成本或费用，相应增加</w:t>
      </w:r>
      <w:r>
        <w:rPr/>
        <w:t> 负债。并在结算前的每个资产负债表日和结算日对负债的公允价值重新计量，将其变动计入损益。 </w:t>
      </w:r>
    </w:p>
    <w:p>
      <w:pPr>
        <w:pStyle w:val="BodyText"/>
        <w:spacing w:line="316" w:lineRule="auto" w:before="17"/>
        <w:ind w:right="93" w:firstLine="360"/>
        <w:jc w:val="left"/>
      </w:pPr>
      <w:r>
        <w:rPr>
          <w:spacing w:val="-2"/>
        </w:rPr>
        <w:t>②完成等待期内的服务或达到规定业绩条件以后才可行权的以现金结算的股份支付，在等待期内的每个资产负债表日以</w:t>
      </w:r>
      <w:r>
        <w:rPr/>
        <w:t> 对可行权情况的最佳估计为基础，按本公司承担负债的公允价值金额，将当期取得的服务计入成本或费用和相应的负债。 </w:t>
      </w:r>
    </w:p>
    <w:p>
      <w:pPr>
        <w:pStyle w:val="BodyText"/>
        <w:spacing w:line="316" w:lineRule="auto" w:before="19"/>
        <w:ind w:right="93" w:firstLine="360"/>
        <w:jc w:val="left"/>
      </w:pPr>
      <w:r>
        <w:rPr/>
        <w:t>③授予后立即可行权的换取职工服务的以权益结算的股份支付，在授予日以权益工具的公允价值计入相关成本或费用， 相应增加资本公积。 </w:t>
      </w:r>
    </w:p>
    <w:p>
      <w:pPr>
        <w:pStyle w:val="BodyText"/>
        <w:spacing w:line="316" w:lineRule="auto" w:before="18"/>
        <w:ind w:right="189" w:firstLine="360"/>
        <w:jc w:val="both"/>
      </w:pPr>
      <w:r>
        <w:rPr>
          <w:spacing w:val="-2"/>
        </w:rPr>
        <w:t>④完成等待期内的服务或达到规定业绩条件以后才可行权换取职工服务的以权益结算的股份支付，在等待期内的每个资</w:t>
      </w:r>
      <w:r>
        <w:rPr/>
        <w:t> </w:t>
      </w:r>
      <w:r>
        <w:rPr>
          <w:spacing w:val="-2"/>
        </w:rPr>
        <w:t>产负债表日，以对可行权权益工具数量的最佳估计为基础，按权益工具授予日的公允价值，将当期取得的服务计入成本或费</w:t>
      </w:r>
      <w:r>
        <w:rPr>
          <w:spacing w:val="-63"/>
        </w:rPr>
        <w:t> </w:t>
      </w:r>
      <w:r>
        <w:rPr>
          <w:spacing w:val="-63"/>
        </w:rPr>
      </w:r>
      <w:r>
        <w:rPr/>
        <w:t>用和资本公积。 </w:t>
      </w:r>
    </w:p>
    <w:p>
      <w:pPr>
        <w:spacing w:line="319"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（5）股份支付计划修改的会计处理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本公司对股份支付计划进行修改时，若修改增加了所授予权益工具的公允价值，按照权益工具公允价值的增加相应地确</w:t>
      </w:r>
    </w:p>
    <w:p>
      <w:pPr>
        <w:pStyle w:val="BodyText"/>
        <w:spacing w:line="316" w:lineRule="auto" w:before="17"/>
        <w:ind w:right="93"/>
        <w:jc w:val="left"/>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p>
    <w:p>
      <w:pPr>
        <w:spacing w:after="0" w:line="316" w:lineRule="auto"/>
        <w:jc w:val="left"/>
        <w:sectPr>
          <w:footerReference w:type="default" r:id="rId25"/>
          <w:pgSz w:w="11910" w:h="16840"/>
          <w:pgMar w:footer="981" w:header="745" w:top="1060" w:bottom="1180" w:left="980" w:right="940"/>
          <w:pgNumType w:start="111"/>
        </w:sectPr>
      </w:pPr>
    </w:p>
    <w:p>
      <w:pPr>
        <w:spacing w:line="240" w:lineRule="auto" w:before="9"/>
        <w:rPr>
          <w:rFonts w:ascii="宋体" w:hAnsi="宋体" w:cs="宋体" w:eastAsia="宋体" w:hint="default"/>
          <w:sz w:val="25"/>
          <w:szCs w:val="25"/>
        </w:rPr>
      </w:pPr>
    </w:p>
    <w:p>
      <w:pPr>
        <w:pStyle w:val="BodyText"/>
        <w:spacing w:line="316" w:lineRule="auto" w:before="44"/>
        <w:ind w:right="93"/>
        <w:jc w:val="left"/>
      </w:pP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 </w:t>
      </w:r>
    </w:p>
    <w:p>
      <w:pPr>
        <w:spacing w:line="316" w:lineRule="auto" w:before="19"/>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（6）股份支付计划终止的会计处理</w:t>
      </w:r>
      <w:r>
        <w:rPr>
          <w:rFonts w:ascii="宋体" w:hAnsi="宋体" w:cs="宋体" w:eastAsia="宋体" w:hint="default"/>
          <w:b/>
          <w:bCs/>
          <w:w w:val="99"/>
          <w:sz w:val="18"/>
          <w:szCs w:val="18"/>
        </w:rPr>
        <w:t> </w:t>
      </w:r>
      <w:r>
        <w:rPr>
          <w:rFonts w:ascii="宋体" w:hAnsi="宋体" w:cs="宋体" w:eastAsia="宋体" w:hint="default"/>
          <w:spacing w:val="-5"/>
          <w:sz w:val="18"/>
          <w:szCs w:val="18"/>
        </w:rPr>
        <w:t>如果在等待期内取消了所授予的权益工具或结算了所授予的权益工具（因未满足可行权条件而被取消的除外），本公司：</w:t>
      </w:r>
      <w:r>
        <w:rPr>
          <w:rFonts w:ascii="宋体" w:hAnsi="宋体" w:cs="宋体" w:eastAsia="宋体" w:hint="default"/>
          <w:sz w:val="18"/>
          <w:szCs w:val="18"/>
        </w:rPr>
        <w:t> </w:t>
      </w:r>
    </w:p>
    <w:p>
      <w:pPr>
        <w:pStyle w:val="BodyText"/>
        <w:spacing w:line="240" w:lineRule="auto" w:before="18"/>
        <w:ind w:left="512" w:right="93"/>
        <w:jc w:val="left"/>
      </w:pPr>
      <w:r>
        <w:rPr/>
        <w:t>①将取消或结算作为加速可行权处理，立即确认原本应在剩余等待期内确认的金额； </w:t>
      </w:r>
    </w:p>
    <w:p>
      <w:pPr>
        <w:pStyle w:val="BodyText"/>
        <w:spacing w:line="316" w:lineRule="auto" w:before="76"/>
        <w:ind w:right="192" w:firstLine="360"/>
        <w:jc w:val="both"/>
      </w:pPr>
      <w:r>
        <w:rPr>
          <w:spacing w:val="-2"/>
        </w:rPr>
        <w:t>②在取消或结算时支付给职工的所有款项均作为权益的回购处理，回购支付的金额高于该权益工具在回购日公允价值的</w:t>
      </w:r>
      <w:r>
        <w:rPr/>
        <w:t> 部分，计入当期费用。 </w:t>
      </w:r>
    </w:p>
    <w:p>
      <w:pPr>
        <w:pStyle w:val="BodyText"/>
        <w:spacing w:line="319" w:lineRule="auto" w:before="18"/>
        <w:ind w:right="192" w:firstLine="360"/>
        <w:jc w:val="both"/>
      </w:pPr>
      <w:r>
        <w:rPr>
          <w:spacing w:val="-2"/>
        </w:rPr>
        <w:t>本公司如果回购其职工已可行权的权益工具，冲减企业的所有者权益；回购支付的款项高于该权益工具在回购日公允价</w:t>
      </w:r>
      <w:r>
        <w:rPr/>
        <w:t> 值的部分，计入当期损益。 </w:t>
      </w:r>
    </w:p>
    <w:p>
      <w:pPr>
        <w:spacing w:line="240" w:lineRule="auto" w:before="8"/>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93"/>
        <w:jc w:val="left"/>
      </w:pPr>
      <w:r>
        <w:rPr>
          <w:rFonts w:ascii="宋体" w:hAnsi="宋体" w:cs="宋体" w:eastAsia="宋体" w:hint="default"/>
          <w:b/>
          <w:bCs/>
        </w:rPr>
        <w:t>（1）销售商品收入</w:t>
      </w:r>
      <w:r>
        <w:rPr>
          <w:rFonts w:ascii="宋体" w:hAnsi="宋体" w:cs="宋体" w:eastAsia="宋体" w:hint="default"/>
          <w:b/>
          <w:bCs/>
          <w:w w:val="99"/>
        </w:rPr>
        <w:t> </w:t>
      </w:r>
      <w:r>
        <w:rPr>
          <w:spacing w:val="-2"/>
        </w:rPr>
        <w:t>公司已将商品所有权上的主要风险和报酬转移给购买方；公司既没有保留与所有权相联系的继续管理权，也没有对已售</w:t>
      </w:r>
    </w:p>
    <w:p>
      <w:pPr>
        <w:pStyle w:val="BodyText"/>
        <w:spacing w:line="316" w:lineRule="auto" w:before="19"/>
        <w:ind w:right="93"/>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 </w:t>
      </w:r>
    </w:p>
    <w:p>
      <w:pPr>
        <w:pStyle w:val="BodyText"/>
        <w:spacing w:line="319" w:lineRule="auto" w:before="18"/>
        <w:ind w:left="512" w:right="93"/>
        <w:jc w:val="left"/>
      </w:pPr>
      <w:r>
        <w:rPr>
          <w:rFonts w:ascii="宋体" w:hAnsi="宋体" w:cs="宋体" w:eastAsia="宋体" w:hint="default"/>
          <w:b/>
          <w:bCs/>
        </w:rPr>
        <w:t>（2）定制软件销售收入</w:t>
      </w:r>
      <w:r>
        <w:rPr>
          <w:rFonts w:ascii="宋体" w:hAnsi="宋体" w:cs="宋体" w:eastAsia="宋体" w:hint="default"/>
          <w:b/>
          <w:bCs/>
          <w:w w:val="99"/>
        </w:rPr>
        <w:t> </w:t>
      </w:r>
      <w:r>
        <w:rPr>
          <w:spacing w:val="-2"/>
        </w:rPr>
        <w:t>提供定制软件劳务交易的结果在资产负债表日能够可靠估计的（同时满足收入的金额能够可靠地计量、相关经济利益很</w:t>
      </w:r>
    </w:p>
    <w:p>
      <w:pPr>
        <w:pStyle w:val="BodyText"/>
        <w:spacing w:line="316" w:lineRule="auto" w:before="17"/>
        <w:ind w:right="93"/>
        <w:jc w:val="left"/>
      </w:pPr>
      <w:r>
        <w:rPr>
          <w:spacing w:val="-2"/>
        </w:rPr>
        <w:t>可能流入、交易的完工进度能够可靠地确定、交易中已发生和将发生的成本能够可靠地计量），采用完工百分比法确认提供</w:t>
      </w:r>
      <w:r>
        <w:rPr>
          <w:spacing w:val="-64"/>
        </w:rPr>
        <w:t> </w:t>
      </w:r>
      <w:r>
        <w:rPr>
          <w:spacing w:val="-64"/>
        </w:rPr>
      </w:r>
      <w:r>
        <w:rPr/>
        <w:t>劳务的收入，并按已经发生的成本占估计总成本的比例确定提供劳务交易的完工进度。 </w:t>
      </w:r>
    </w:p>
    <w:p>
      <w:pPr>
        <w:pStyle w:val="BodyText"/>
        <w:spacing w:line="316" w:lineRule="auto" w:before="19"/>
        <w:ind w:right="189" w:firstLine="360"/>
        <w:jc w:val="both"/>
      </w:pPr>
      <w:r>
        <w:rPr>
          <w:spacing w:val="-2"/>
        </w:rPr>
        <w:t>提供定制软件劳务交易的结果在资产负债表日不能够可靠估计的，若已经发生的劳务成本预计能够得到补偿，按已经发</w:t>
      </w:r>
      <w:r>
        <w:rPr/>
        <w:t> </w:t>
      </w:r>
      <w:r>
        <w:rPr>
          <w:spacing w:val="-2"/>
        </w:rPr>
        <w:t>生的劳务成本金额确认提供劳务收入，并按相同金额结转劳务成本；若已经发生的劳务成本预计不能够得到补偿，将已经发</w:t>
      </w:r>
      <w:r>
        <w:rPr>
          <w:spacing w:val="-63"/>
        </w:rPr>
        <w:t> </w:t>
      </w:r>
      <w:r>
        <w:rPr>
          <w:spacing w:val="-63"/>
        </w:rPr>
      </w:r>
      <w:r>
        <w:rPr/>
        <w:t>生的劳务成本计入当期损益，不确认劳务收入。 </w:t>
      </w:r>
    </w:p>
    <w:p>
      <w:pPr>
        <w:pStyle w:val="BodyText"/>
        <w:spacing w:line="240" w:lineRule="auto" w:before="19"/>
        <w:ind w:left="512" w:right="93"/>
        <w:jc w:val="left"/>
      </w:pPr>
      <w:r>
        <w:rPr/>
        <w:t>由公司负责免费维护的完工软件产品，在确认收入的同时，合理地估计并按收入的2%预提软件维护费用。 </w:t>
      </w:r>
    </w:p>
    <w:p>
      <w:pPr>
        <w:pStyle w:val="BodyText"/>
        <w:spacing w:line="316" w:lineRule="auto" w:before="76"/>
        <w:ind w:left="512" w:right="93"/>
        <w:jc w:val="left"/>
      </w:pPr>
      <w:r>
        <w:rPr>
          <w:rFonts w:ascii="宋体" w:hAnsi="宋体" w:cs="宋体" w:eastAsia="宋体" w:hint="default"/>
          <w:b/>
          <w:bCs/>
        </w:rPr>
        <w:t>（3）提供劳务收入</w:t>
      </w:r>
      <w:r>
        <w:rPr>
          <w:rFonts w:ascii="宋体" w:hAnsi="宋体" w:cs="宋体" w:eastAsia="宋体" w:hint="default"/>
          <w:b/>
          <w:bCs/>
          <w:w w:val="99"/>
        </w:rPr>
        <w:t> </w:t>
      </w:r>
      <w:r>
        <w:rPr>
          <w:spacing w:val="-2"/>
        </w:rPr>
        <w:t>根据合同约定提供了相应服务，取得明确的收款证据，相关成本能够可靠地计量时，确认收入。合同规定约定服务期限</w:t>
      </w:r>
    </w:p>
    <w:p>
      <w:pPr>
        <w:pStyle w:val="BodyText"/>
        <w:spacing w:line="316" w:lineRule="auto" w:before="19"/>
        <w:ind w:right="93"/>
        <w:jc w:val="left"/>
      </w:pPr>
      <w:r>
        <w:rPr>
          <w:spacing w:val="-2"/>
        </w:rPr>
        <w:t>的，在合同约定的服务期限内，按进度确认收入；合同明确约定了服务成果需经客户验收确认的，根据客户验收情况确认收</w:t>
      </w:r>
      <w:r>
        <w:rPr>
          <w:spacing w:val="-64"/>
        </w:rPr>
        <w:t> </w:t>
      </w:r>
      <w:r>
        <w:rPr>
          <w:spacing w:val="-64"/>
        </w:rPr>
      </w:r>
      <w:r>
        <w:rPr/>
        <w:t>入。与定制软件销售具有类似特征的服务收入参照定制软件销售收入确认政策采用完工百分比法确认提供劳务的收入。 </w:t>
      </w:r>
    </w:p>
    <w:p>
      <w:pPr>
        <w:pStyle w:val="BodyText"/>
        <w:spacing w:line="316" w:lineRule="auto" w:before="18"/>
        <w:ind w:left="512" w:right="93"/>
        <w:jc w:val="left"/>
      </w:pPr>
      <w:r>
        <w:rPr>
          <w:rFonts w:ascii="宋体" w:hAnsi="宋体" w:cs="宋体" w:eastAsia="宋体" w:hint="default"/>
          <w:b/>
          <w:bCs/>
        </w:rPr>
        <w:t>（4）让渡资产使用权收入</w:t>
      </w:r>
      <w:r>
        <w:rPr>
          <w:rFonts w:ascii="宋体" w:hAnsi="宋体" w:cs="宋体" w:eastAsia="宋体" w:hint="default"/>
          <w:b/>
          <w:bCs/>
          <w:w w:val="99"/>
        </w:rPr>
        <w:t> </w:t>
      </w:r>
      <w:r>
        <w:rPr>
          <w:spacing w:val="-2"/>
        </w:rPr>
        <w:t>与交易相关的经济利益很可能流入企业，收入的金额能够可靠地计量时，分别下列情况确定让渡资产使用权收入金额：</w:t>
      </w:r>
      <w:r>
        <w:rPr>
          <w:spacing w:val="-76"/>
        </w:rPr>
        <w:t> </w:t>
      </w:r>
      <w:r>
        <w:rPr/>
        <w:t>A.利息收入金额，按照他人使用本企业货币资金的时间和实际利率计算确定。 B.使用费收入金额，按照有关合同或协议约定的收费时间和方法计算确定。 </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93"/>
        <w:jc w:val="left"/>
      </w:pPr>
      <w:r>
        <w:rPr/>
        <w:t>本公司从政府取得的、用于购建或以其他方式形成长期资产的补助，确认为与资产相关的政府补助。 </w:t>
      </w:r>
      <w:r>
        <w:rPr>
          <w:spacing w:val="-2"/>
        </w:rPr>
        <w:t>与资产相关的政府补助，确认为递延收益，并在相关资产使用寿命内平均分配，计入当期损益。但是，以名义金额计量</w:t>
      </w:r>
    </w:p>
    <w:p>
      <w:pPr>
        <w:pStyle w:val="BodyText"/>
        <w:spacing w:line="240" w:lineRule="auto" w:before="18"/>
        <w:ind w:right="93"/>
        <w:jc w:val="left"/>
      </w:pPr>
      <w:r>
        <w:rPr/>
        <w:t>的政府补助，直接计入当期损益。</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92" w:firstLine="360"/>
        <w:jc w:val="both"/>
      </w:pPr>
      <w:r>
        <w:rPr>
          <w:spacing w:val="-2"/>
        </w:rPr>
        <w:t>本公司将从政府取得的各种奖励、定额补贴、财政贴息、拨付的研发经费（不包括购建固定资产）等与资产相关的政府</w:t>
      </w:r>
      <w:r>
        <w:rPr/>
        <w:t> 补助之外的政府补助，确认为与收益相关的政府补助。 </w:t>
      </w:r>
    </w:p>
    <w:p>
      <w:pPr>
        <w:spacing w:after="0" w:line="319" w:lineRule="auto"/>
        <w:jc w:val="both"/>
        <w:sectPr>
          <w:footerReference w:type="default" r:id="rId26"/>
          <w:pgSz w:w="11910" w:h="16840"/>
          <w:pgMar w:footer="981" w:header="745" w:top="1060" w:bottom="1180" w:left="980" w:right="940"/>
          <w:pgNumType w:start="112"/>
        </w:sectPr>
      </w:pPr>
    </w:p>
    <w:p>
      <w:pPr>
        <w:spacing w:line="240" w:lineRule="auto" w:before="9"/>
        <w:rPr>
          <w:rFonts w:ascii="宋体" w:hAnsi="宋体" w:cs="宋体" w:eastAsia="宋体" w:hint="default"/>
          <w:sz w:val="25"/>
          <w:szCs w:val="25"/>
        </w:rPr>
      </w:pPr>
    </w:p>
    <w:p>
      <w:pPr>
        <w:pStyle w:val="BodyText"/>
        <w:spacing w:line="240" w:lineRule="auto" w:before="44"/>
        <w:ind w:left="512" w:right="93"/>
        <w:jc w:val="left"/>
      </w:pPr>
      <w:r>
        <w:rPr/>
        <w:t>与收益相关的政府补助，分别下列情况处理：</w:t>
      </w:r>
      <w:r>
        <w:rPr>
          <w:spacing w:val="1"/>
        </w:rPr>
        <w:t> </w:t>
      </w:r>
      <w:r>
        <w:rPr/>
        <w:t> </w:t>
      </w:r>
    </w:p>
    <w:p>
      <w:pPr>
        <w:pStyle w:val="BodyText"/>
        <w:spacing w:line="240" w:lineRule="auto" w:before="76"/>
        <w:ind w:left="512" w:right="93"/>
        <w:jc w:val="left"/>
      </w:pPr>
      <w:r>
        <w:rPr/>
        <w:t>①用于补偿公司以后期间的相关费用或损失的，确认为递延收益，并在确认相关费用的期间，计入当期损益； </w:t>
      </w:r>
    </w:p>
    <w:p>
      <w:pPr>
        <w:pStyle w:val="BodyText"/>
        <w:spacing w:line="240" w:lineRule="auto" w:before="76"/>
        <w:ind w:left="512" w:right="93"/>
        <w:jc w:val="left"/>
      </w:pPr>
      <w:r>
        <w:rPr/>
        <w:t>②用于补偿公司已发生的相关费用或损失的，计入当期损益。 </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 </w:t>
      </w:r>
    </w:p>
    <w:p>
      <w:pPr>
        <w:spacing w:line="316"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（1）递延所得税资产的确认</w:t>
      </w:r>
      <w:r>
        <w:rPr>
          <w:rFonts w:ascii="宋体" w:hAnsi="宋体" w:cs="宋体" w:eastAsia="宋体" w:hint="default"/>
          <w:b/>
          <w:bCs/>
          <w:w w:val="99"/>
          <w:sz w:val="18"/>
          <w:szCs w:val="18"/>
        </w:rPr>
        <w:t> </w:t>
      </w:r>
      <w:r>
        <w:rPr>
          <w:rFonts w:ascii="宋体" w:hAnsi="宋体" w:cs="宋体" w:eastAsia="宋体" w:hint="default"/>
          <w:spacing w:val="-4"/>
          <w:sz w:val="18"/>
          <w:szCs w:val="18"/>
        </w:rPr>
        <w:t>对于可抵扣暂时性差异，其对所得税的影响额按预计转回期间的所得税税率计算，并将该影响额确认为递延所得税资产，</w:t>
      </w:r>
    </w:p>
    <w:p>
      <w:pPr>
        <w:pStyle w:val="BodyText"/>
        <w:spacing w:line="316" w:lineRule="auto" w:before="19"/>
        <w:ind w:left="512" w:right="93" w:hanging="361"/>
        <w:jc w:val="left"/>
      </w:pPr>
      <w:r>
        <w:rPr/>
        <w:t>但是以本公司很可能取得用来抵扣可抵扣暂时性差异、可抵扣亏损和税款抵减的未来应纳税所得额为限。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w:t>
      </w:r>
    </w:p>
    <w:p>
      <w:pPr>
        <w:pStyle w:val="BodyText"/>
        <w:spacing w:line="240" w:lineRule="auto" w:before="18"/>
        <w:ind w:right="93"/>
        <w:jc w:val="left"/>
      </w:pPr>
      <w:r>
        <w:rPr/>
        <w:t>延所得税资产： </w:t>
      </w:r>
    </w:p>
    <w:p>
      <w:pPr>
        <w:pStyle w:val="BodyText"/>
        <w:spacing w:line="240" w:lineRule="auto" w:before="76"/>
        <w:ind w:left="512" w:right="93"/>
        <w:jc w:val="left"/>
      </w:pPr>
      <w:r>
        <w:rPr/>
        <w:t>A. 该项交易不是企业合并； </w:t>
      </w:r>
    </w:p>
    <w:p>
      <w:pPr>
        <w:pStyle w:val="BodyText"/>
        <w:spacing w:line="316" w:lineRule="auto" w:before="76"/>
        <w:ind w:left="512" w:right="93"/>
        <w:jc w:val="left"/>
      </w:pPr>
      <w:r>
        <w:rPr/>
        <w:t>B. 交易发生时既不影响会计利润也不影响应纳税所得额（或可抵扣亏损）。 </w:t>
      </w:r>
      <w:r>
        <w:rPr>
          <w:spacing w:val="-2"/>
        </w:rPr>
        <w:t>本公司对与子公司、联营公司及合营企业投资相关的可抵扣暂时性差异，同时满足下列两项条件的，其对所得税的影响</w:t>
      </w:r>
    </w:p>
    <w:p>
      <w:pPr>
        <w:pStyle w:val="BodyText"/>
        <w:spacing w:line="240" w:lineRule="auto" w:before="19"/>
        <w:ind w:right="93"/>
        <w:jc w:val="left"/>
      </w:pPr>
      <w:r>
        <w:rPr/>
        <w:t>额（才能）确认为递延所得税资产： </w:t>
      </w:r>
    </w:p>
    <w:p>
      <w:pPr>
        <w:pStyle w:val="BodyText"/>
        <w:spacing w:line="240" w:lineRule="auto" w:before="76"/>
        <w:ind w:left="512" w:right="93"/>
        <w:jc w:val="left"/>
      </w:pPr>
      <w:r>
        <w:rPr/>
        <w:t>A. 暂时性差异在可预见的未来很可能转回； </w:t>
      </w:r>
    </w:p>
    <w:p>
      <w:pPr>
        <w:pStyle w:val="BodyText"/>
        <w:spacing w:line="319" w:lineRule="auto" w:before="76"/>
        <w:ind w:left="512" w:right="93"/>
        <w:jc w:val="left"/>
      </w:pPr>
      <w:r>
        <w:rPr/>
        <w:t>B. 未来很可能获得用来抵扣可抵扣暂时性差异的应纳税所得额； </w:t>
      </w:r>
      <w:r>
        <w:rPr>
          <w:spacing w:val="-2"/>
        </w:rPr>
        <w:t>资产负债表日，有确凿证据表明未来期间很可能获得足够的应纳税所得额用来抵扣可抵扣暂时性差异的，确认以前期间</w:t>
      </w:r>
    </w:p>
    <w:p>
      <w:pPr>
        <w:pStyle w:val="BodyText"/>
        <w:spacing w:line="316" w:lineRule="auto" w:before="17"/>
        <w:ind w:left="512" w:right="93" w:hanging="361"/>
        <w:jc w:val="left"/>
      </w:pPr>
      <w:r>
        <w:rPr/>
        <w:t>未确认的递延所得税资产。 </w:t>
      </w:r>
      <w:r>
        <w:rPr>
          <w:spacing w:val="-2"/>
        </w:rPr>
        <w:t>在资产负债表日，本公司对递延所得税资产的账面价值进行复核。如果未来期间很可能无法获得足够的应纳税所得额用</w:t>
      </w:r>
    </w:p>
    <w:p>
      <w:pPr>
        <w:pStyle w:val="BodyText"/>
        <w:spacing w:line="316" w:lineRule="auto" w:before="19"/>
        <w:ind w:right="93"/>
        <w:jc w:val="left"/>
      </w:pPr>
      <w:r>
        <w:rPr>
          <w:spacing w:val="-2"/>
        </w:rPr>
        <w:t>以抵扣递延所得税资产的利益，减记递延所得税资产的账面价值。在很可能获得足够的应纳税所得额时，减记的金额予以转</w:t>
      </w:r>
      <w:r>
        <w:rPr>
          <w:spacing w:val="-63"/>
        </w:rPr>
        <w:t> </w:t>
      </w:r>
      <w:r>
        <w:rPr>
          <w:spacing w:val="-63"/>
        </w:rPr>
      </w:r>
      <w:r>
        <w:rPr/>
        <w:t>回。 </w:t>
      </w:r>
    </w:p>
    <w:p>
      <w:pPr>
        <w:spacing w:line="319" w:lineRule="auto" w:before="18"/>
        <w:ind w:left="512" w:right="93" w:firstLine="0"/>
        <w:jc w:val="left"/>
        <w:rPr>
          <w:rFonts w:ascii="宋体" w:hAnsi="宋体" w:cs="宋体" w:eastAsia="宋体" w:hint="default"/>
          <w:sz w:val="18"/>
          <w:szCs w:val="18"/>
        </w:rPr>
      </w:pPr>
      <w:r>
        <w:rPr>
          <w:rFonts w:ascii="宋体" w:hAnsi="宋体" w:cs="宋体" w:eastAsia="宋体" w:hint="default"/>
          <w:b/>
          <w:bCs/>
          <w:sz w:val="18"/>
          <w:szCs w:val="18"/>
        </w:rPr>
        <w:t>（2）递延所得税负债的确认</w:t>
      </w:r>
      <w:r>
        <w:rPr>
          <w:rFonts w:ascii="宋体" w:hAnsi="宋体" w:cs="宋体" w:eastAsia="宋体" w:hint="default"/>
          <w:b/>
          <w:bCs/>
          <w:w w:val="99"/>
          <w:sz w:val="18"/>
          <w:szCs w:val="18"/>
        </w:rPr>
        <w:t> </w:t>
      </w:r>
      <w:r>
        <w:rPr>
          <w:rFonts w:ascii="宋体" w:hAnsi="宋体" w:cs="宋体" w:eastAsia="宋体" w:hint="default"/>
          <w:spacing w:val="-2"/>
          <w:sz w:val="18"/>
          <w:szCs w:val="18"/>
        </w:rPr>
        <w:t>本公司所有应纳税暂时性差异均按预计转回期间的所得税税率计量对所得税的影响，并将该影响额确认为递延所得税负</w:t>
      </w:r>
    </w:p>
    <w:p>
      <w:pPr>
        <w:pStyle w:val="BodyText"/>
        <w:spacing w:line="240" w:lineRule="auto" w:before="17"/>
        <w:ind w:right="93"/>
        <w:jc w:val="left"/>
      </w:pPr>
      <w:r>
        <w:rPr/>
        <w:t>债，但下列情况的除外： </w:t>
      </w:r>
    </w:p>
    <w:p>
      <w:pPr>
        <w:pStyle w:val="BodyText"/>
        <w:spacing w:line="319" w:lineRule="auto" w:before="76"/>
        <w:ind w:left="512" w:right="903"/>
        <w:jc w:val="left"/>
      </w:pPr>
      <w:r>
        <w:rPr/>
        <w:t>①因下列交易或事项中产生的应纳税暂时性差异对所得税的影响不确认为递延所得税负债： A.商誉的初始确认； </w:t>
      </w:r>
    </w:p>
    <w:p>
      <w:pPr>
        <w:pStyle w:val="BodyText"/>
        <w:spacing w:line="316" w:lineRule="auto" w:before="17"/>
        <w:ind w:right="93" w:firstLine="360"/>
        <w:jc w:val="left"/>
      </w:pPr>
      <w:r>
        <w:rPr>
          <w:spacing w:val="-2"/>
        </w:rPr>
        <w:t>B.具有以下特征的交易中产生的资产或负债的初始确认：该交易不是企业合并，并且交易发生时既不影响会计利润也不</w:t>
      </w:r>
      <w:r>
        <w:rPr/>
        <w:t> 影响应纳税所得额或可抵扣亏损。 </w:t>
      </w:r>
    </w:p>
    <w:p>
      <w:pPr>
        <w:pStyle w:val="BodyText"/>
        <w:spacing w:line="316" w:lineRule="auto" w:before="19"/>
        <w:ind w:right="93" w:firstLine="360"/>
        <w:jc w:val="left"/>
      </w:pPr>
      <w:r>
        <w:rPr>
          <w:spacing w:val="-2"/>
        </w:rPr>
        <w:t>②本公司对与子公司、合营企业及联营企业投资相关的应纳税暂时性差异，其对所得税的影响额一般确认为递延所得税</w:t>
      </w:r>
      <w:r>
        <w:rPr/>
        <w:t> 负债，但同时满足以下两项条件的除外： </w:t>
      </w:r>
    </w:p>
    <w:p>
      <w:pPr>
        <w:pStyle w:val="BodyText"/>
        <w:spacing w:line="319" w:lineRule="auto" w:before="18"/>
        <w:ind w:left="512" w:right="4233"/>
        <w:jc w:val="left"/>
      </w:pPr>
      <w:r>
        <w:rPr/>
        <w:t>A.本公司能够控制暂时性差异转回的时间； B.该暂时性差异在可预见的未来很可能不会转回。 </w:t>
      </w:r>
    </w:p>
    <w:p>
      <w:pPr>
        <w:pStyle w:val="Heading4"/>
        <w:spacing w:line="240" w:lineRule="auto" w:before="14"/>
        <w:ind w:right="93"/>
        <w:jc w:val="left"/>
        <w:rPr>
          <w:b w:val="0"/>
          <w:bCs w:val="0"/>
        </w:rPr>
      </w:pPr>
      <w:r>
        <w:rPr/>
        <w:t>（3）特定交易或事项所涉及的递延所得税负债或资产的确认</w:t>
      </w:r>
      <w:r>
        <w:rPr>
          <w:w w:val="99"/>
        </w:rPr>
        <w:t> </w:t>
      </w:r>
      <w:r>
        <w:rPr>
          <w:b w:val="0"/>
          <w:bCs w:val="0"/>
        </w:rPr>
      </w:r>
    </w:p>
    <w:p>
      <w:pPr>
        <w:pStyle w:val="BodyText"/>
        <w:spacing w:line="316" w:lineRule="auto" w:before="76"/>
        <w:ind w:left="512" w:right="93"/>
        <w:jc w:val="left"/>
      </w:pPr>
      <w:r>
        <w:rPr/>
        <w:t>①与企业合并相关的递延所得税负债或资产 非同一控制下企业合并产生的应纳税暂时性差异或可抵扣暂时性差异，在确认递延所得税负债或递延所得税资产的同</w:t>
      </w:r>
    </w:p>
    <w:p>
      <w:pPr>
        <w:pStyle w:val="BodyText"/>
        <w:spacing w:line="240" w:lineRule="auto" w:before="19"/>
        <w:ind w:right="93"/>
        <w:jc w:val="left"/>
      </w:pPr>
      <w:r>
        <w:rPr/>
        <w:t>时，相关的递延所得税费用（或收益），通常调整企业合并中所确认的商誉。 </w:t>
      </w:r>
    </w:p>
    <w:p>
      <w:pPr>
        <w:pStyle w:val="BodyText"/>
        <w:spacing w:line="316" w:lineRule="auto" w:before="76"/>
        <w:ind w:left="512" w:right="93"/>
        <w:jc w:val="left"/>
      </w:pPr>
      <w:r>
        <w:rPr/>
        <w:t>②直接计入所有者权益的项目 </w:t>
      </w:r>
      <w:r>
        <w:rPr>
          <w:spacing w:val="-2"/>
        </w:rPr>
        <w:t>与直接计入所有者权益的交易或者事项相关的当期所得税和递延所得税，计入所有者权益。暂时性差异对所得税的影响</w:t>
      </w:r>
    </w:p>
    <w:p>
      <w:pPr>
        <w:pStyle w:val="BodyText"/>
        <w:spacing w:line="316" w:lineRule="auto" w:before="19"/>
        <w:ind w:right="93"/>
        <w:jc w:val="left"/>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p>
    <w:p>
      <w:pPr>
        <w:spacing w:after="0" w:line="316"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认时计入所有者权益等。 </w:t>
      </w:r>
    </w:p>
    <w:p>
      <w:pPr>
        <w:pStyle w:val="BodyText"/>
        <w:spacing w:line="319" w:lineRule="auto" w:before="76"/>
        <w:ind w:left="512" w:right="4233"/>
        <w:jc w:val="left"/>
      </w:pPr>
      <w:r>
        <w:rPr/>
        <w:t>③可弥补亏损和税款抵减 A.本公司自身经营产生的可弥补亏损以及税款抵减 </w:t>
      </w:r>
    </w:p>
    <w:p>
      <w:pPr>
        <w:pStyle w:val="BodyText"/>
        <w:spacing w:line="316" w:lineRule="auto" w:before="17"/>
        <w:ind w:right="189" w:firstLine="360"/>
        <w:jc w:val="both"/>
      </w:pPr>
      <w:r>
        <w:rPr/>
        <w:t>可抵扣亏损是指按照税法规定计算确定的准予用以后年度的应纳税所得额弥补的亏损。</w:t>
      </w:r>
      <w:r>
        <w:rPr>
          <w:spacing w:val="3"/>
        </w:rPr>
        <w:t> </w:t>
      </w:r>
      <w:r>
        <w:rPr/>
        <w:t>对于按照税法规定可以结转以</w:t>
      </w:r>
      <w:r>
        <w:rPr/>
        <w:t> </w:t>
      </w:r>
      <w:r>
        <w:rPr>
          <w:spacing w:val="-2"/>
        </w:rPr>
        <w:t>后年度的未弥补亏损（可抵扣亏损）和税款抵减，视同可抵扣暂时性差异处理。在预计可利用可弥补亏损或税款抵减的未来</w:t>
      </w:r>
      <w:r>
        <w:rPr>
          <w:spacing w:val="-64"/>
        </w:rPr>
        <w:t> </w:t>
      </w:r>
      <w:r>
        <w:rPr>
          <w:spacing w:val="-64"/>
        </w:rPr>
      </w:r>
      <w:r>
        <w:rPr>
          <w:spacing w:val="-2"/>
        </w:rPr>
        <w:t>期间内很可能取得足够的应纳税所得额时，以很可能取得的应纳税所得额为限，确认相应的递延所得税资产，同时减少当期</w:t>
      </w:r>
      <w:r>
        <w:rPr>
          <w:spacing w:val="-63"/>
        </w:rPr>
        <w:t> </w:t>
      </w:r>
      <w:r>
        <w:rPr>
          <w:spacing w:val="-63"/>
        </w:rPr>
      </w:r>
      <w:r>
        <w:rPr/>
        <w:t>利润表中的所得税费用。 </w:t>
      </w:r>
    </w:p>
    <w:p>
      <w:pPr>
        <w:pStyle w:val="BodyText"/>
        <w:spacing w:line="319" w:lineRule="auto" w:before="18"/>
        <w:ind w:left="512" w:right="93"/>
        <w:jc w:val="left"/>
      </w:pPr>
      <w:r>
        <w:rPr/>
        <w:t>B.因企业合并而形成的可弥补的被合并企业的未弥补亏损 在企业合并中，本公司取得被购买方的可抵扣暂时性差异，在购买日不符合递延所得税资产确认条件的，不予以确认。</w:t>
      </w:r>
    </w:p>
    <w:p>
      <w:pPr>
        <w:pStyle w:val="BodyText"/>
        <w:spacing w:line="316" w:lineRule="auto" w:before="17"/>
        <w:ind w:right="192"/>
        <w:jc w:val="both"/>
      </w:pPr>
      <w:r>
        <w:rPr>
          <w:spacing w:val="-2"/>
        </w:rPr>
        <w:t>购买日后12个月内，如取得新的或进一步的信息表明购买日的相关情况已经存在，预期被购买方在购买日可抵扣暂时性差异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 </w:t>
      </w:r>
    </w:p>
    <w:p>
      <w:pPr>
        <w:pStyle w:val="BodyText"/>
        <w:spacing w:line="316" w:lineRule="auto" w:before="18"/>
        <w:ind w:left="512" w:right="93"/>
        <w:jc w:val="left"/>
      </w:pPr>
      <w:r>
        <w:rPr/>
        <w:t>④合并抵销形成的暂时性差异 </w:t>
      </w:r>
      <w:r>
        <w:rPr>
          <w:spacing w:val="-2"/>
        </w:rPr>
        <w:t>本公司在编制合并财务报表时，因抵销未实现内部销售损益导致合并资产负债表中资产、负债的账面价值与其在所属纳</w:t>
      </w:r>
    </w:p>
    <w:p>
      <w:pPr>
        <w:pStyle w:val="BodyText"/>
        <w:spacing w:line="316" w:lineRule="auto" w:before="19"/>
        <w:ind w:right="192"/>
        <w:jc w:val="both"/>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 </w:t>
      </w:r>
    </w:p>
    <w:p>
      <w:pPr>
        <w:pStyle w:val="BodyText"/>
        <w:spacing w:line="319" w:lineRule="auto" w:before="18"/>
        <w:ind w:left="512" w:right="93"/>
        <w:jc w:val="left"/>
      </w:pPr>
      <w:r>
        <w:rPr/>
        <w:t>⑤以权益结算的股份支付 </w:t>
      </w:r>
      <w:r>
        <w:rPr>
          <w:spacing w:val="-2"/>
        </w:rPr>
        <w:t>如果税法规定与股份支付相关的支出允许税前扣除，在按照会计准则规定确认成本费用的期间内，本公司根据会计期末</w:t>
      </w:r>
    </w:p>
    <w:p>
      <w:pPr>
        <w:pStyle w:val="BodyText"/>
        <w:spacing w:line="316" w:lineRule="auto" w:before="17"/>
        <w:ind w:right="192"/>
        <w:jc w:val="both"/>
      </w:pPr>
      <w:r>
        <w:rPr>
          <w:spacing w:val="-2"/>
        </w:rPr>
        <w:t>取得信息估计可税前扣除的金额计算确定其计税基础及由此产生的暂时性差异，符合确认条件的情况下确认相关的递延所得</w:t>
      </w:r>
      <w:r>
        <w:rPr>
          <w:spacing w:val="-64"/>
        </w:rPr>
        <w:t> </w:t>
      </w:r>
      <w:r>
        <w:rPr>
          <w:spacing w:val="-64"/>
        </w:rPr>
      </w: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应直接计入所得税权益。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9" w:firstLine="360"/>
        <w:jc w:val="both"/>
      </w:pPr>
      <w:r>
        <w:rPr>
          <w:spacing w:val="-2"/>
        </w:rPr>
        <w:t>①本公司作为经营租赁承租人时，将经营租赁的租金支出，在租赁期内各个期间按照直线法或根据租赁资产的使用量计</w:t>
      </w:r>
      <w:r>
        <w:rPr/>
        <w:t> </w:t>
      </w:r>
      <w:r>
        <w:rPr>
          <w:spacing w:val="-2"/>
        </w:rPr>
        <w:t>入当期损益。出租人提供免租期的，本公司将租金总额在不扣除免租期的整个租赁期内，按直线法或其他合理的方法进行分</w:t>
      </w:r>
      <w:r>
        <w:rPr>
          <w:spacing w:val="-63"/>
        </w:rPr>
        <w:t> </w:t>
      </w:r>
      <w:r>
        <w:rPr>
          <w:spacing w:val="-63"/>
        </w:rPr>
      </w:r>
      <w:r>
        <w:rPr>
          <w:spacing w:val="-2"/>
        </w:rPr>
        <w:t>摊，免租期内确认租金费用及相应的负债。出租人承担了承租人某些费用的，本公司按该费用从租金费用总额中扣除后的租</w:t>
      </w:r>
      <w:r>
        <w:rPr>
          <w:spacing w:val="-63"/>
        </w:rPr>
        <w:t> </w:t>
      </w:r>
      <w:r>
        <w:rPr>
          <w:spacing w:val="-63"/>
        </w:rPr>
      </w:r>
      <w:r>
        <w:rPr/>
        <w:t>金费用余额在租赁期内进行分摊。</w:t>
      </w:r>
    </w:p>
    <w:p>
      <w:pPr>
        <w:pStyle w:val="BodyText"/>
        <w:spacing w:line="240" w:lineRule="auto" w:before="18"/>
        <w:ind w:left="512" w:right="93"/>
        <w:jc w:val="left"/>
      </w:pPr>
      <w:r>
        <w:rPr/>
        <w:t>初始直接费用，计入当期损益。如协议约定或有租金的在实际发生时计入当期损益。</w:t>
      </w:r>
    </w:p>
    <w:p>
      <w:pPr>
        <w:pStyle w:val="BodyText"/>
        <w:spacing w:line="316" w:lineRule="auto" w:before="76"/>
        <w:ind w:right="189" w:firstLine="360"/>
        <w:jc w:val="both"/>
      </w:pPr>
      <w:r>
        <w:rPr>
          <w:spacing w:val="-2"/>
        </w:rPr>
        <w:t>②本公司作为经营租赁出租人时，采用直线法将收到的租金在租赁期内确认为收益。出租人提供免租期的，出租人将租</w:t>
      </w:r>
      <w:r>
        <w:rPr/>
        <w:t> </w:t>
      </w:r>
      <w:r>
        <w:rPr>
          <w:spacing w:val="-2"/>
        </w:rPr>
        <w:t>金总额在不扣除免租期的整个租赁期内，按直线法或其他合理的方法进行分配，免租期内出租人也确认租金收入。承担了承</w:t>
      </w:r>
      <w:r>
        <w:rPr>
          <w:spacing w:val="-63"/>
        </w:rPr>
        <w:t> </w:t>
      </w:r>
      <w:r>
        <w:rPr>
          <w:spacing w:val="-63"/>
        </w:rPr>
      </w:r>
      <w:r>
        <w:rPr/>
        <w:t>租人某些费用的，本公司按该费用自租金收入总额中扣除后的租金收入余额在租赁期内进行分配。</w:t>
      </w:r>
    </w:p>
    <w:p>
      <w:pPr>
        <w:pStyle w:val="BodyText"/>
        <w:spacing w:line="316" w:lineRule="auto" w:before="19"/>
        <w:ind w:right="192" w:firstLine="360"/>
        <w:jc w:val="both"/>
      </w:pPr>
      <w:r>
        <w:rPr>
          <w:spacing w:val="-2"/>
        </w:rPr>
        <w:t>初始直接费用，计入当期损益。金额较大的予以资本化，在整个经营租赁期内按照与确认租金收入相同的基础分期计入</w:t>
      </w:r>
      <w:r>
        <w:rPr/>
        <w:t> 当期损益。如协议约定或有租金的在实际发生时计入当期收益。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both"/>
      </w:pPr>
      <w:r>
        <w:rPr>
          <w:spacing w:val="-2"/>
        </w:rPr>
        <w:t>①本公司作为融资租赁承租人时，在租赁期开始日，将租赁开始日租赁资产公允价值与最低租赁付款额现值两者中较低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3"/>
        </w:rPr>
        <w:t> </w:t>
      </w:r>
      <w:r>
        <w:rPr>
          <w:spacing w:val="-63"/>
        </w:rPr>
      </w:r>
      <w:r>
        <w:rPr/>
        <w:t>期间采用实际利率法进行分摊，确认为当期融资费用，计入财务费用。 </w:t>
      </w:r>
    </w:p>
    <w:p>
      <w:pPr>
        <w:pStyle w:val="BodyText"/>
        <w:spacing w:line="319" w:lineRule="auto" w:before="18"/>
        <w:ind w:left="512" w:right="93"/>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240" w:lineRule="auto" w:before="17"/>
        <w:ind w:right="0"/>
        <w:jc w:val="both"/>
      </w:pPr>
      <w:r>
        <w:rPr/>
        <w:t>理确定租赁期届满时本公司将会取得租赁资产所有权，以租赁期开始日租赁资产的寿命作为折旧期间；如果无法合理确定租</w:t>
      </w:r>
    </w:p>
    <w:p>
      <w:pPr>
        <w:spacing w:after="0" w:line="240"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8"/>
        <w:jc w:val="left"/>
      </w:pPr>
      <w:r>
        <w:rPr/>
        <w:t>赁期届满后本公司是否能够取得租赁资产的所有权，以租赁期与租赁资产寿命两者中较短者作为折旧期间。 </w:t>
      </w:r>
    </w:p>
    <w:p>
      <w:pPr>
        <w:pStyle w:val="BodyText"/>
        <w:spacing w:line="316" w:lineRule="auto" w:before="76"/>
        <w:ind w:right="149" w:firstLine="360"/>
        <w:jc w:val="both"/>
      </w:pPr>
      <w:r>
        <w:rPr>
          <w:spacing w:val="-2"/>
        </w:rPr>
        <w:t>②本公司作为融资租赁出租人时，于租赁期开始日将租赁开始日最低租赁应收款额与初始直接费用之和作为应收融资租</w:t>
      </w:r>
      <w:r>
        <w:rPr/>
        <w:t> </w:t>
      </w:r>
      <w:r>
        <w:rPr>
          <w:spacing w:val="-2"/>
        </w:rPr>
        <w:t>赁款的入账价值，计入资产负债表的长期应收款，同时记录未担保余值；将最低租赁应收款额、初始直接费用及未担保余值</w:t>
      </w:r>
      <w:r>
        <w:rPr>
          <w:spacing w:val="-65"/>
        </w:rPr>
        <w:t> </w:t>
      </w:r>
      <w:r>
        <w:rPr>
          <w:spacing w:val="-65"/>
        </w:rPr>
      </w:r>
      <w:r>
        <w:rPr/>
        <w:t>之和与其现值之和的差额作为未实现融资收益，在租赁期内各个期间采用实际利率法确认为租赁收入，计入租赁收入/业务</w:t>
      </w:r>
      <w:r>
        <w:rPr>
          <w:spacing w:val="-84"/>
        </w:rPr>
        <w:t> </w:t>
      </w:r>
      <w:r>
        <w:rPr>
          <w:spacing w:val="-84"/>
        </w:rPr>
      </w:r>
      <w:r>
        <w:rPr/>
        <w:t>业务收入。 </w:t>
      </w:r>
    </w:p>
    <w:p>
      <w:pPr>
        <w:spacing w:line="240" w:lineRule="auto" w:before="10"/>
        <w:rPr>
          <w:rFonts w:ascii="宋体" w:hAnsi="宋体" w:cs="宋体" w:eastAsia="宋体" w:hint="default"/>
          <w:sz w:val="22"/>
          <w:szCs w:val="22"/>
        </w:rPr>
      </w:pPr>
    </w:p>
    <w:p>
      <w:pPr>
        <w:pStyle w:val="Heading3"/>
        <w:spacing w:line="240" w:lineRule="auto"/>
        <w:ind w:right="148"/>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8"/>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河道维护管理费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48"/>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山西金仕达卫宁软件科技有限公司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北京宇信网景信息技术有限公司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上海天健源达信息科技有限公司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360"/>
        <w:jc w:val="both"/>
      </w:pPr>
      <w:r>
        <w:rPr>
          <w:spacing w:val="-2"/>
        </w:rPr>
        <w:t>（1）根据《财政部国家税务总局关于软件产品增值税政策的通知》（财税[2011]100号），增值税一般纳税人销售其自</w:t>
      </w:r>
      <w:r>
        <w:rPr/>
        <w:t> 行开发生产的软件产品，按17%税率征收增值税后，对其增值税实际税负超过3%的部分实行即征即退政策。 </w:t>
      </w:r>
    </w:p>
    <w:p>
      <w:pPr>
        <w:pStyle w:val="BodyText"/>
        <w:spacing w:line="319" w:lineRule="auto" w:before="18"/>
        <w:ind w:right="192" w:firstLine="360"/>
        <w:jc w:val="both"/>
      </w:pPr>
      <w:r>
        <w:rPr>
          <w:spacing w:val="-2"/>
        </w:rPr>
        <w:t>（2）根据财税[2011]111号财政部、国家税务总局《关于在上海市开展交通运输业和部分现代服务业营业税改征增值税</w:t>
      </w:r>
      <w:r>
        <w:rPr/>
        <w:t> 试点的通知》的相关规定，本公司部分符合技术合同免征条件的营业收入免征增值税。 </w:t>
      </w:r>
    </w:p>
    <w:p>
      <w:pPr>
        <w:pStyle w:val="BodyText"/>
        <w:spacing w:line="316" w:lineRule="auto" w:before="17"/>
        <w:ind w:right="189" w:firstLine="360"/>
        <w:jc w:val="both"/>
      </w:pPr>
      <w:r>
        <w:rPr/>
        <w:t>（3）本公司于2009年被上海市科学技术委员会、上海市财政局、上海市国家税务局、上海市地方税务局联合认定为高 </w:t>
      </w:r>
      <w:r>
        <w:rPr>
          <w:spacing w:val="5"/>
        </w:rPr>
        <w:t>新技术企业（证书编号：GR20093100077，有效期三年），2012年本公司在高新技术企业复审中获得通过（证书编号：</w:t>
      </w:r>
      <w:r>
        <w:rPr>
          <w:spacing w:val="-44"/>
        </w:rPr>
        <w:t> </w:t>
      </w:r>
      <w:r>
        <w:rPr>
          <w:spacing w:val="-44"/>
        </w:rPr>
      </w:r>
      <w:r>
        <w:rPr>
          <w:spacing w:val="-2"/>
        </w:rPr>
        <w:t>GF201231000411，有效期三年），根据国家对高新技术企业的相关税收政策，本公司自2012年起按15％的税率缴纳企业所得</w:t>
      </w:r>
      <w:r>
        <w:rPr>
          <w:spacing w:val="-46"/>
        </w:rPr>
        <w:t> </w:t>
      </w:r>
      <w:r>
        <w:rPr>
          <w:spacing w:val="-46"/>
        </w:rPr>
      </w:r>
      <w:r>
        <w:rPr>
          <w:spacing w:val="-2"/>
        </w:rPr>
        <w:t>税。2015年本公司在高新技术企业重新认定中获得通过（证书编号：GR201531001012，有效期三年），根据国家对高新技术</w:t>
      </w:r>
      <w:r>
        <w:rPr>
          <w:spacing w:val="-52"/>
        </w:rPr>
        <w:t> </w:t>
      </w:r>
      <w:r>
        <w:rPr>
          <w:spacing w:val="-52"/>
        </w:rPr>
      </w:r>
      <w:r>
        <w:rPr/>
        <w:t>企业的相关税收政策，本公司自2015年起按15％的税率缴纳企业所得税。 </w:t>
      </w:r>
    </w:p>
    <w:p>
      <w:pPr>
        <w:pStyle w:val="BodyText"/>
        <w:spacing w:line="316" w:lineRule="auto" w:before="19"/>
        <w:ind w:right="189" w:firstLine="360"/>
        <w:jc w:val="both"/>
      </w:pPr>
      <w:r>
        <w:rPr>
          <w:spacing w:val="-2"/>
        </w:rPr>
        <w:t>（4）根据上海市浦东新区国家税务局《企业所得税优惠事先备案结果通知书》（浦税十六所备（2013）4号），本公司</w:t>
      </w:r>
      <w:r>
        <w:rPr/>
        <w:t> </w:t>
      </w:r>
      <w:r>
        <w:rPr>
          <w:spacing w:val="-2"/>
        </w:rPr>
        <w:t>之子公司上海金仕达卫宁软件科技有限公司符合《财政部、国家税务总局关于进一步鼓励软件产业和集成电路产业发展企业</w:t>
      </w:r>
      <w:r>
        <w:rPr>
          <w:spacing w:val="-64"/>
        </w:rPr>
        <w:t> </w:t>
      </w:r>
      <w:r>
        <w:rPr>
          <w:spacing w:val="-64"/>
        </w:rPr>
      </w:r>
      <w:r>
        <w:rPr>
          <w:spacing w:val="-2"/>
        </w:rPr>
        <w:t>所得税政策的通知》（财税[2012]27号文）关于“新办集成电路设计企业和软件企业减免税”的规定，自2012年度起，第一</w:t>
      </w:r>
      <w:r>
        <w:rPr>
          <w:spacing w:val="-56"/>
        </w:rPr>
        <w:t> </w:t>
      </w:r>
      <w:r>
        <w:rPr>
          <w:spacing w:val="-56"/>
        </w:rPr>
      </w:r>
      <w:r>
        <w:rPr/>
        <w:t>年至第二年免征企业所得税，第三年至第五年按25%的法定税率减半征收所得税。本年度为第四年减半征收所得税。 </w:t>
      </w:r>
    </w:p>
    <w:p>
      <w:pPr>
        <w:pStyle w:val="BodyText"/>
        <w:spacing w:line="316" w:lineRule="auto" w:before="18"/>
        <w:ind w:right="93" w:firstLine="360"/>
        <w:jc w:val="left"/>
      </w:pPr>
      <w:r>
        <w:rPr/>
        <w:t>（5）山西金仕达卫宁软件科技有限公司于2014年9月30日取得山西省科学技术厅、山西省财政厅、山西省国家税务局、 山西省地方税务局核发的高新技术企业证书（证书编号：GR201414000025，有效期3年）。经山西省太原市地方税务局高新</w:t>
      </w:r>
      <w:r>
        <w:rPr>
          <w:spacing w:val="-85"/>
        </w:rPr>
        <w:t> </w:t>
      </w:r>
      <w:r>
        <w:rPr>
          <w:spacing w:val="-85"/>
        </w:rPr>
      </w:r>
      <w:r>
        <w:rPr/>
        <w:t>技术产业开发区分局审核同意，山西金仕达卫宁软件科技有限公司自2014年起按15％的税率缴纳企业所得税。 </w:t>
      </w:r>
    </w:p>
    <w:p>
      <w:pPr>
        <w:pStyle w:val="BodyText"/>
        <w:spacing w:line="316" w:lineRule="auto" w:before="18"/>
        <w:ind w:right="192" w:firstLine="360"/>
        <w:jc w:val="both"/>
      </w:pPr>
      <w:r>
        <w:rPr>
          <w:spacing w:val="-2"/>
        </w:rPr>
        <w:t>（6）2013年9月11日，上海天健源达信息科技有限公司经上海市经济和信息化委员会认定为软件企业。根据上海市地方</w:t>
      </w:r>
      <w:r>
        <w:rPr/>
        <w:t> </w:t>
      </w:r>
      <w:r>
        <w:rPr>
          <w:spacing w:val="-2"/>
        </w:rPr>
        <w:t>税务局闸北分局《企业所得税优惠审批结果通知书》（沪地税闸十六[2014]000003号），上海天健符合《财政部、国家税务</w:t>
      </w:r>
      <w:r>
        <w:rPr>
          <w:spacing w:val="-55"/>
        </w:rPr>
        <w:t> </w:t>
      </w:r>
      <w:r>
        <w:rPr>
          <w:spacing w:val="-55"/>
        </w:rPr>
      </w:r>
      <w:r>
        <w:rPr>
          <w:spacing w:val="-2"/>
        </w:rPr>
        <w:t>总局关于进一步鼓励软件产业和集成电路产业发展企业所得税政策的通知》（财税[2012]27号文）关于“新办集成电路设计</w:t>
      </w:r>
      <w:r>
        <w:rPr>
          <w:spacing w:val="-59"/>
        </w:rPr>
        <w:t> </w:t>
      </w:r>
      <w:r>
        <w:rPr>
          <w:spacing w:val="-59"/>
        </w:rPr>
      </w:r>
      <w:r>
        <w:rPr/>
        <w:t>企业和软件企业减免税”的规定，自2013年度起，第一年至第二年免征企业所得税，第三年至第五年按25%的法定税率减半</w:t>
      </w:r>
      <w:r>
        <w:rPr>
          <w:spacing w:val="-86"/>
        </w:rPr>
        <w:t> </w:t>
      </w:r>
      <w:r>
        <w:rPr>
          <w:spacing w:val="-86"/>
        </w:rPr>
      </w:r>
      <w:r>
        <w:rPr/>
        <w:t>征收所得税。上海天健源达信息科技有限公司本年度为第三年减半征收所得税。 </w:t>
      </w:r>
    </w:p>
    <w:p>
      <w:pPr>
        <w:pStyle w:val="BodyText"/>
        <w:spacing w:line="316" w:lineRule="auto" w:before="19"/>
        <w:ind w:right="192" w:firstLine="360"/>
        <w:jc w:val="both"/>
      </w:pPr>
      <w:r>
        <w:rPr/>
        <w:t>（7）北京宇信网景信息技术有限公司于2012年10月30日取得北京市科学技术委员会、北京市财政局、北京市国家税务 </w:t>
      </w:r>
      <w:r>
        <w:rPr>
          <w:spacing w:val="-2"/>
        </w:rPr>
        <w:t>局、北京市地方税务局核发的高新技术企业证书（证书编号：GF201211001850，有效期三年）。北京宇信网景信息技术有限</w:t>
      </w:r>
      <w:r>
        <w:rPr>
          <w:spacing w:val="-55"/>
        </w:rPr>
        <w:t> </w:t>
      </w:r>
      <w:r>
        <w:rPr>
          <w:spacing w:val="-55"/>
        </w:rPr>
      </w:r>
      <w:r>
        <w:rPr>
          <w:spacing w:val="-2"/>
        </w:rPr>
        <w:t>公司自2012年起按15％的税率缴纳企业所得税。2015年北京宇信网景信息技术有限公司在高新技术企业重新认定中获得通过</w:t>
      </w:r>
    </w:p>
    <w:p>
      <w:pPr>
        <w:pStyle w:val="BodyText"/>
        <w:spacing w:line="316" w:lineRule="auto" w:before="19"/>
        <w:ind w:right="93"/>
        <w:jc w:val="left"/>
      </w:pPr>
      <w:r>
        <w:rPr>
          <w:spacing w:val="-2"/>
        </w:rPr>
        <w:t>（证书编号：GR201511003375，有效期三年），根据国家对高新技术企业的相关税收政策，北京宇信网景信息技术有限公司</w:t>
      </w:r>
      <w:r>
        <w:rPr>
          <w:spacing w:val="-52"/>
        </w:rPr>
        <w:t> </w:t>
      </w:r>
      <w:r>
        <w:rPr>
          <w:spacing w:val="-52"/>
        </w:rPr>
      </w:r>
      <w:r>
        <w:rPr/>
        <w:t>自2015年起按15％的税率缴纳企业所得税。 </w:t>
      </w:r>
    </w:p>
    <w:p>
      <w:pPr>
        <w:pStyle w:val="BodyText"/>
        <w:spacing w:line="316" w:lineRule="auto" w:before="18"/>
        <w:ind w:right="93" w:firstLine="360"/>
        <w:jc w:val="left"/>
      </w:pPr>
      <w:r>
        <w:rPr/>
        <w:t>（8）新疆金仕达卫宁软件有限公司根据乌鲁木齐市天山区国家税务局《企业所得税优惠事项备案表》，符合《财政部 </w:t>
      </w:r>
      <w:r>
        <w:rPr>
          <w:spacing w:val="-2"/>
        </w:rPr>
        <w:t>国家税务总局关于企业所得税若干优惠政策的通知》（财税[2008]1号），自2014年度起，第一年至第二年免征企业所得税，</w:t>
      </w:r>
      <w:r>
        <w:rPr>
          <w:spacing w:val="-52"/>
        </w:rPr>
        <w:t> </w:t>
      </w:r>
      <w:r>
        <w:rPr>
          <w:spacing w:val="-52"/>
        </w:rPr>
      </w:r>
      <w:r>
        <w:rPr/>
        <w:t>第三年至第五年按25%的法定税率减半征收所得税。新疆金仕达卫宁软件有限公司本年度为第二年免征企业所得税。 </w:t>
      </w:r>
    </w:p>
    <w:p>
      <w:pPr>
        <w:pStyle w:val="BodyText"/>
        <w:spacing w:line="316" w:lineRule="auto" w:before="18"/>
        <w:ind w:right="192" w:firstLine="360"/>
        <w:jc w:val="both"/>
      </w:pPr>
      <w:r>
        <w:rPr/>
        <w:t>（9）杭州东联软件有限公司于2012年10月29日取得浙江省科学技术厅、浙江省财政厅、浙江省国家税务局、浙江省地 </w:t>
      </w:r>
      <w:r>
        <w:rPr>
          <w:spacing w:val="-5"/>
        </w:rPr>
        <w:t>方税务局核发的高新技术企业证书（证书编号：GF201233000529）。经浙江省杭州市地方税务局滨江分局审核同意，公司2012</w:t>
      </w:r>
      <w:r>
        <w:rPr>
          <w:spacing w:val="-36"/>
        </w:rPr>
        <w:t> </w:t>
      </w:r>
      <w:r>
        <w:rPr>
          <w:spacing w:val="-36"/>
        </w:rPr>
      </w:r>
      <w:r>
        <w:rPr/>
        <w:t>年度至2014年度按15%的税率缴纳企业所得税。2015年杭州东联软件有限公司在高新技术企业重新认定中获得通过（证书编</w:t>
      </w:r>
      <w:r>
        <w:rPr>
          <w:spacing w:val="-86"/>
        </w:rPr>
        <w:t> </w:t>
      </w:r>
      <w:r>
        <w:rPr>
          <w:spacing w:val="-86"/>
        </w:rPr>
      </w:r>
      <w:r>
        <w:rPr>
          <w:spacing w:val="-2"/>
        </w:rPr>
        <w:t>号：GR201533001295，有效期三年），根据国家对高新技术企业的相关税收政策，杭州东联软件有限公司自2015年起按15％</w:t>
      </w:r>
      <w:r>
        <w:rPr>
          <w:spacing w:val="-47"/>
        </w:rPr>
        <w:t> </w:t>
      </w:r>
      <w:r>
        <w:rPr>
          <w:spacing w:val="-47"/>
        </w:rPr>
      </w:r>
      <w:r>
        <w:rPr/>
        <w:t>的税率缴纳企业所得税。 </w:t>
      </w:r>
    </w:p>
    <w:p>
      <w:pPr>
        <w:pStyle w:val="BodyText"/>
        <w:spacing w:line="316" w:lineRule="auto" w:before="18"/>
        <w:ind w:right="192" w:firstLine="360"/>
        <w:jc w:val="both"/>
      </w:pPr>
      <w:r>
        <w:rPr/>
        <w:t>（10）浙江万鼎信息技术有限公司2013年9月26日取得浙江省科学技术厅、浙江省财政厅、浙江省国家税务局、浙江省 地方税务局核发的高新技术企业证书（证书编号：GF201333000160，有效期3年）。经浙江省杭州市地方税务局滨江分局审</w:t>
      </w:r>
      <w:r>
        <w:rPr>
          <w:spacing w:val="-85"/>
        </w:rPr>
        <w:t> </w:t>
      </w:r>
      <w:r>
        <w:rPr>
          <w:spacing w:val="-85"/>
        </w:rPr>
      </w:r>
      <w:r>
        <w:rPr/>
        <w:t>核同意，浙江万鼎信息技术有限公司2013年度至2015年度享受15%的税率优惠。 </w:t>
      </w:r>
    </w:p>
    <w:p>
      <w:pPr>
        <w:spacing w:after="0" w:line="316" w:lineRule="auto"/>
        <w:jc w:val="both"/>
        <w:sectPr>
          <w:pgSz w:w="11910" w:h="16840"/>
          <w:pgMar w:header="745" w:footer="981"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8"/>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324,933.88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320,758.09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210,166,913.62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356,905,647.04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16,257,487.25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5,615,415.92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226,749,334.75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362,841,821.05</w:t>
            </w:r>
          </w:p>
        </w:tc>
      </w:tr>
    </w:tbl>
    <w:p>
      <w:pPr>
        <w:pStyle w:val="BodyText"/>
        <w:spacing w:line="300" w:lineRule="auto" w:before="8"/>
        <w:ind w:right="148" w:firstLine="360"/>
        <w:jc w:val="left"/>
      </w:pPr>
      <w:r>
        <w:rPr>
          <w:spacing w:val="-2"/>
        </w:rPr>
        <w:t>注：期末其他货币资金中</w:t>
      </w:r>
      <w:r>
        <w:rPr>
          <w:rFonts w:ascii="Times New Roman" w:hAnsi="Times New Roman" w:cs="Times New Roman" w:eastAsia="Times New Roman" w:hint="default"/>
          <w:spacing w:val="-2"/>
        </w:rPr>
        <w:t>16,257,487.25</w:t>
      </w:r>
      <w:r>
        <w:rPr>
          <w:spacing w:val="-2"/>
        </w:rPr>
        <w:t>元系公司为开具保函和银行承兑汇票存入的保证金（其中</w:t>
      </w:r>
      <w:r>
        <w:rPr>
          <w:rFonts w:ascii="Times New Roman" w:hAnsi="Times New Roman" w:cs="Times New Roman" w:eastAsia="Times New Roman" w:hint="default"/>
          <w:spacing w:val="-2"/>
        </w:rPr>
        <w:t>9,403,856.00</w:t>
      </w:r>
      <w:r>
        <w:rPr>
          <w:spacing w:val="-2"/>
        </w:rPr>
        <w:t>元距保证期</w:t>
      </w:r>
      <w:r>
        <w:rPr/>
        <w:t> 结束超过</w:t>
      </w:r>
      <w:r>
        <w:rPr>
          <w:rFonts w:ascii="Times New Roman" w:hAnsi="Times New Roman" w:cs="Times New Roman" w:eastAsia="Times New Roman" w:hint="default"/>
        </w:rPr>
        <w:t>3</w:t>
      </w:r>
      <w:r>
        <w:rPr/>
        <w:t>个月）。除此之外，期末货币资金中无其他因抵押、质押或冻结等对使用有限制、有潜在回收风险的款项。</w:t>
      </w:r>
    </w:p>
    <w:p>
      <w:pPr>
        <w:spacing w:line="240" w:lineRule="auto" w:before="4"/>
        <w:rPr>
          <w:rFonts w:ascii="宋体" w:hAnsi="宋体" w:cs="宋体" w:eastAsia="宋体" w:hint="default"/>
          <w:sz w:val="22"/>
          <w:szCs w:val="22"/>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5,251,500.00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6,495,000.00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5,251,500.00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6,495,000.00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397"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3"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8"/>
              <w:ind w:left="22" w:right="158"/>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625,135,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424.41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99.78%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69,980,1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42.80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555,155,2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81.61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417,761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,121.48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99.81%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43,019,13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374,741,98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1,387,31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1,387,31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778,739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778,739.0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626,522,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739.41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71,367,4</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57.80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11.39%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555,155,2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81.61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418,539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,860.48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43,797,87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374,741,98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397,903,533.68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19,894,676.75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137,209,521.45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13,720,952.15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62,409,269.60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18,722,780.90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16,748,784.89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8,374,392.45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7,984,871.17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6,387,896.93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2,879,443.62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2,879,443.62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625,135,424.41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69,980,142.80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11.19%</w:t>
            </w: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40"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26,167,403.71 </w:t>
      </w:r>
      <w:r>
        <w:rPr/>
        <w:t>元；本期收回或转回坏账准备金额</w:t>
      </w:r>
      <w:r>
        <w:rPr>
          <w:spacing w:val="-46"/>
        </w:rPr>
        <w:t> </w:t>
      </w:r>
      <w:r>
        <w:rPr>
          <w:rFonts w:ascii="Times New Roman" w:hAnsi="Times New Roman" w:cs="Times New Roman" w:eastAsia="Times New Roman" w:hint="default"/>
        </w:rPr>
        <w:t>20,944.00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953" w:space="1875"/>
            <w:col w:w="1122"/>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3612"/>
        <w:gridCol w:w="1982"/>
        <w:gridCol w:w="2189"/>
        <w:gridCol w:w="1865"/>
      </w:tblGrid>
      <w:tr>
        <w:trPr>
          <w:trHeight w:val="895" w:hRule="exact"/>
        </w:trPr>
        <w:tc>
          <w:tcPr>
            <w:tcW w:w="3612"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2"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3"/>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8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319" w:lineRule="auto" w:before="133"/>
              <w:ind w:left="816" w:right="5" w:hanging="809"/>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1865" w:type="dxa"/>
            <w:tcBorders>
              <w:top w:val="single" w:sz="6" w:space="0" w:color="000000"/>
              <w:left w:val="single" w:sz="6" w:space="0" w:color="000000"/>
              <w:bottom w:val="single" w:sz="8" w:space="0" w:color="000000"/>
              <w:right w:val="nil" w:sz="6" w:space="0" w:color="auto"/>
            </w:tcBorders>
            <w:shd w:val="clear" w:color="auto" w:fill="D9D9D9"/>
          </w:tcPr>
          <w:p>
            <w:pPr>
              <w:pStyle w:val="TableParagraph"/>
              <w:spacing w:line="240" w:lineRule="auto" w:before="133"/>
              <w:ind w:left="571"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6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河北循证医药科技股份有限公司</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933" w:right="-2"/>
              <w:jc w:val="left"/>
              <w:rPr>
                <w:rFonts w:ascii="Times New Roman" w:hAnsi="Times New Roman" w:cs="Times New Roman" w:eastAsia="Times New Roman" w:hint="default"/>
                <w:sz w:val="18"/>
                <w:szCs w:val="18"/>
              </w:rPr>
            </w:pPr>
            <w:r>
              <w:rPr>
                <w:rFonts w:ascii="Times New Roman"/>
                <w:sz w:val="18"/>
              </w:rPr>
              <w:t>13,517,840.00</w:t>
            </w:r>
          </w:p>
        </w:tc>
        <w:tc>
          <w:tcPr>
            <w:tcW w:w="21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2.16%</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1046" w:right="0"/>
              <w:jc w:val="left"/>
              <w:rPr>
                <w:rFonts w:ascii="Times New Roman" w:hAnsi="Times New Roman" w:cs="Times New Roman" w:eastAsia="Times New Roman" w:hint="default"/>
                <w:sz w:val="18"/>
                <w:szCs w:val="18"/>
              </w:rPr>
            </w:pPr>
            <w:r>
              <w:rPr>
                <w:rFonts w:ascii="Times New Roman"/>
                <w:sz w:val="18"/>
              </w:rPr>
              <w:t>675,892.00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3612"/>
        <w:gridCol w:w="1982"/>
        <w:gridCol w:w="2189"/>
        <w:gridCol w:w="1874"/>
      </w:tblGrid>
      <w:tr>
        <w:trPr>
          <w:trHeight w:val="350" w:hRule="exact"/>
        </w:trPr>
        <w:tc>
          <w:tcPr>
            <w:tcW w:w="36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北京市海淀区卫生局</w:t>
            </w:r>
          </w:p>
        </w:tc>
        <w:tc>
          <w:tcPr>
            <w:tcW w:w="19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12,479,623.20</w:t>
            </w:r>
          </w:p>
        </w:tc>
        <w:tc>
          <w:tcPr>
            <w:tcW w:w="218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1.99%</w:t>
            </w:r>
          </w:p>
        </w:tc>
        <w:tc>
          <w:tcPr>
            <w:tcW w:w="187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878,763.95</w:t>
            </w:r>
          </w:p>
        </w:tc>
      </w:tr>
      <w:tr>
        <w:trPr>
          <w:trHeight w:val="346" w:hRule="exact"/>
        </w:trPr>
        <w:tc>
          <w:tcPr>
            <w:tcW w:w="36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内蒙古自治区人民医院</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12,263,440.00</w:t>
            </w:r>
          </w:p>
        </w:tc>
        <w:tc>
          <w:tcPr>
            <w:tcW w:w="21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1.96%</w:t>
            </w:r>
          </w:p>
        </w:tc>
        <w:tc>
          <w:tcPr>
            <w:tcW w:w="18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z w:val="18"/>
              </w:rPr>
              <w:t>1,983,272.00</w:t>
            </w:r>
          </w:p>
        </w:tc>
      </w:tr>
      <w:tr>
        <w:trPr>
          <w:trHeight w:val="348" w:hRule="exact"/>
        </w:trPr>
        <w:tc>
          <w:tcPr>
            <w:tcW w:w="36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广州白云心理医院</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12,150,000.00</w:t>
            </w:r>
          </w:p>
        </w:tc>
        <w:tc>
          <w:tcPr>
            <w:tcW w:w="21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1.94%</w:t>
            </w:r>
          </w:p>
        </w:tc>
        <w:tc>
          <w:tcPr>
            <w:tcW w:w="18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607,500.00</w:t>
            </w:r>
          </w:p>
        </w:tc>
      </w:tr>
      <w:tr>
        <w:trPr>
          <w:trHeight w:val="346" w:hRule="exact"/>
        </w:trPr>
        <w:tc>
          <w:tcPr>
            <w:tcW w:w="36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石河子大学医学院第一附属医院</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11,832,850.00</w:t>
            </w:r>
          </w:p>
        </w:tc>
        <w:tc>
          <w:tcPr>
            <w:tcW w:w="21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1.89%</w:t>
            </w:r>
          </w:p>
        </w:tc>
        <w:tc>
          <w:tcPr>
            <w:tcW w:w="18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6"/>
              <w:jc w:val="right"/>
              <w:rPr>
                <w:rFonts w:ascii="Times New Roman" w:hAnsi="Times New Roman" w:cs="Times New Roman" w:eastAsia="Times New Roman" w:hint="default"/>
                <w:sz w:val="18"/>
                <w:szCs w:val="18"/>
              </w:rPr>
            </w:pPr>
            <w:r>
              <w:rPr>
                <w:rFonts w:ascii="Times New Roman"/>
                <w:sz w:val="18"/>
              </w:rPr>
              <w:t>591,642.50</w:t>
            </w:r>
          </w:p>
        </w:tc>
      </w:tr>
      <w:tr>
        <w:trPr>
          <w:trHeight w:val="468" w:hRule="exact"/>
        </w:trPr>
        <w:tc>
          <w:tcPr>
            <w:tcW w:w="3612" w:type="dxa"/>
            <w:tcBorders>
              <w:top w:val="single" w:sz="8" w:space="0" w:color="000000"/>
              <w:left w:val="single" w:sz="6" w:space="0" w:color="000000"/>
              <w:bottom w:val="single" w:sz="8" w:space="0" w:color="000000"/>
              <w:right w:val="single" w:sz="6" w:space="0" w:color="000000"/>
            </w:tcBorders>
          </w:tcPr>
          <w:p>
            <w:pPr>
              <w:pStyle w:val="TableParagraph"/>
              <w:tabs>
                <w:tab w:pos="542" w:val="left" w:leader="none"/>
              </w:tabs>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62,243,753.20</w:t>
            </w:r>
          </w:p>
        </w:tc>
        <w:tc>
          <w:tcPr>
            <w:tcW w:w="21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9.94%</w:t>
            </w:r>
          </w:p>
        </w:tc>
        <w:tc>
          <w:tcPr>
            <w:tcW w:w="18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6"/>
              <w:jc w:val="right"/>
              <w:rPr>
                <w:rFonts w:ascii="Times New Roman" w:hAnsi="Times New Roman" w:cs="Times New Roman" w:eastAsia="Times New Roman" w:hint="default"/>
                <w:sz w:val="18"/>
                <w:szCs w:val="18"/>
              </w:rPr>
            </w:pPr>
            <w:r>
              <w:rPr>
                <w:rFonts w:ascii="Times New Roman"/>
                <w:w w:val="95"/>
                <w:sz w:val="18"/>
              </w:rPr>
              <w:t>4,737,070.45</w:t>
            </w:r>
          </w:p>
        </w:tc>
      </w:tr>
    </w:tbl>
    <w:p>
      <w:pPr>
        <w:spacing w:line="240" w:lineRule="auto" w:before="3"/>
        <w:rPr>
          <w:rFonts w:ascii="宋体" w:hAnsi="宋体" w:cs="宋体" w:eastAsia="宋体" w:hint="default"/>
          <w:b/>
          <w:bCs/>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7,923,382.79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85.32%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7,306,819.98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95.57%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1,134,604.05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218,330.37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117,906.95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73,230.00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110,743.39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46,863.39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9,286,637.18</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7,645,243.74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8"/>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4104"/>
        <w:gridCol w:w="2938"/>
        <w:gridCol w:w="2606"/>
      </w:tblGrid>
      <w:tr>
        <w:trPr>
          <w:trHeight w:val="895" w:hRule="exact"/>
        </w:trPr>
        <w:tc>
          <w:tcPr>
            <w:tcW w:w="410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38"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06" w:type="dxa"/>
            <w:tcBorders>
              <w:top w:val="single" w:sz="6" w:space="0" w:color="000000"/>
              <w:left w:val="single" w:sz="6" w:space="0" w:color="000000"/>
              <w:bottom w:val="single" w:sz="8" w:space="0" w:color="000000"/>
              <w:right w:val="nil" w:sz="6" w:space="0" w:color="auto"/>
            </w:tcBorders>
            <w:shd w:val="clear" w:color="auto" w:fill="D9D9D9"/>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占预付账款期末余额</w:t>
            </w:r>
          </w:p>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合计数的比例</w:t>
            </w:r>
          </w:p>
        </w:tc>
      </w:tr>
      <w:tr>
        <w:trPr>
          <w:trHeight w:val="348" w:hRule="exact"/>
        </w:trPr>
        <w:tc>
          <w:tcPr>
            <w:tcW w:w="41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深圳市创捷供应链有限公司</w:t>
            </w:r>
          </w:p>
        </w:tc>
        <w:tc>
          <w:tcPr>
            <w:tcW w:w="29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w w:val="95"/>
                <w:sz w:val="18"/>
              </w:rPr>
              <w:t>1,526,325.00</w:t>
            </w:r>
          </w:p>
        </w:tc>
        <w:tc>
          <w:tcPr>
            <w:tcW w:w="26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z w:val="18"/>
              </w:rPr>
              <w:t>16.44%</w:t>
            </w:r>
          </w:p>
        </w:tc>
      </w:tr>
      <w:tr>
        <w:trPr>
          <w:trHeight w:val="348" w:hRule="exact"/>
        </w:trPr>
        <w:tc>
          <w:tcPr>
            <w:tcW w:w="41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佳杰科技（上海）有限公司</w:t>
            </w:r>
          </w:p>
        </w:tc>
        <w:tc>
          <w:tcPr>
            <w:tcW w:w="29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1,250,026.89</w:t>
            </w:r>
          </w:p>
        </w:tc>
        <w:tc>
          <w:tcPr>
            <w:tcW w:w="26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z w:val="18"/>
              </w:rPr>
              <w:t>13.46%</w:t>
            </w:r>
          </w:p>
        </w:tc>
      </w:tr>
      <w:tr>
        <w:trPr>
          <w:trHeight w:val="346" w:hRule="exact"/>
        </w:trPr>
        <w:tc>
          <w:tcPr>
            <w:tcW w:w="41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麦迪斯顿（北京）医疗科技有限公司</w:t>
            </w:r>
          </w:p>
        </w:tc>
        <w:tc>
          <w:tcPr>
            <w:tcW w:w="29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1,190,695.00</w:t>
            </w:r>
          </w:p>
        </w:tc>
        <w:tc>
          <w:tcPr>
            <w:tcW w:w="26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z w:val="18"/>
              </w:rPr>
              <w:t>12.82%</w:t>
            </w:r>
          </w:p>
        </w:tc>
      </w:tr>
      <w:tr>
        <w:trPr>
          <w:trHeight w:val="348" w:hRule="exact"/>
        </w:trPr>
        <w:tc>
          <w:tcPr>
            <w:tcW w:w="41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普瑞特电子产品经销部</w:t>
            </w:r>
          </w:p>
        </w:tc>
        <w:tc>
          <w:tcPr>
            <w:tcW w:w="29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w w:val="95"/>
                <w:sz w:val="18"/>
              </w:rPr>
              <w:t>1,000,000.00</w:t>
            </w:r>
          </w:p>
        </w:tc>
        <w:tc>
          <w:tcPr>
            <w:tcW w:w="26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z w:val="18"/>
              </w:rPr>
              <w:t>10.77%</w:t>
            </w:r>
          </w:p>
        </w:tc>
      </w:tr>
      <w:tr>
        <w:trPr>
          <w:trHeight w:val="346" w:hRule="exact"/>
        </w:trPr>
        <w:tc>
          <w:tcPr>
            <w:tcW w:w="41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北京优士创新高新技术有限公司</w:t>
            </w:r>
          </w:p>
        </w:tc>
        <w:tc>
          <w:tcPr>
            <w:tcW w:w="29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860,869.80</w:t>
            </w:r>
          </w:p>
        </w:tc>
        <w:tc>
          <w:tcPr>
            <w:tcW w:w="26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9.27%</w:t>
            </w:r>
          </w:p>
        </w:tc>
      </w:tr>
      <w:tr>
        <w:trPr>
          <w:trHeight w:val="348" w:hRule="exact"/>
        </w:trPr>
        <w:tc>
          <w:tcPr>
            <w:tcW w:w="4104" w:type="dxa"/>
            <w:tcBorders>
              <w:top w:val="single" w:sz="8" w:space="0" w:color="000000"/>
              <w:left w:val="single" w:sz="6" w:space="0" w:color="000000"/>
              <w:bottom w:val="single" w:sz="8" w:space="0" w:color="000000"/>
              <w:right w:val="single" w:sz="6" w:space="0" w:color="000000"/>
            </w:tcBorders>
          </w:tcPr>
          <w:p>
            <w:pPr>
              <w:pStyle w:val="TableParagraph"/>
              <w:tabs>
                <w:tab w:pos="467"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w w:val="95"/>
                <w:sz w:val="18"/>
              </w:rPr>
              <w:t>5,827,916.69</w:t>
            </w:r>
          </w:p>
        </w:tc>
        <w:tc>
          <w:tcPr>
            <w:tcW w:w="260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z w:val="18"/>
              </w:rPr>
              <w:t>62.76%</w:t>
            </w:r>
          </w:p>
        </w:tc>
      </w:tr>
    </w:tbl>
    <w:p>
      <w:pPr>
        <w:spacing w:line="240" w:lineRule="auto" w:before="3"/>
        <w:rPr>
          <w:rFonts w:ascii="宋体" w:hAnsi="宋体" w:cs="宋体" w:eastAsia="宋体" w:hint="default"/>
          <w:b/>
          <w:bCs/>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1,298,955.06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1,298,955.06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31,313,2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40.91%</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31,313,21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21,893,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970.85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37.45%</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21,893,970.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45,231,9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98.74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59.09%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6,317,30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13.97%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38,914,69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36,561,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727.93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4,566,633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31,995,094.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76,545,2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08.81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6,317,30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70,227,90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58,455,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698.78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4,566,633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53,889,065.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1" w:header="745" w:top="1060" w:bottom="1180" w:left="980" w:right="980"/>
          <w:pgNumType w:start="12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20,645,953.29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9"/>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6,098,532.33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9"/>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4,568,724.45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9"/>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31,313,210.07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29,887,179.31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1,493,012.18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7,365,412.92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736,541.30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3,285,758.91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985,727.67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2,884,442.60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1,442,221.30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759,360.00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1,049,845.00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1,049,845.00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45,231,998.74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6,317,307.45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13.97%</w:t>
            </w: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980"/>
        </w:sectPr>
      </w:pPr>
    </w:p>
    <w:p>
      <w:pPr>
        <w:pStyle w:val="BodyText"/>
        <w:spacing w:line="338" w:lineRule="auto" w:before="44"/>
        <w:ind w:right="-13"/>
        <w:jc w:val="left"/>
      </w:pPr>
      <w:r>
        <w:rPr/>
        <w:t>本期计提坏账准备金额</w:t>
      </w:r>
      <w:r>
        <w:rPr>
          <w:spacing w:val="-46"/>
        </w:rPr>
        <w:t> </w:t>
      </w:r>
      <w:r>
        <w:rPr>
          <w:rFonts w:ascii="Times New Roman" w:hAnsi="Times New Roman" w:cs="Times New Roman" w:eastAsia="Times New Roman" w:hint="default"/>
        </w:rPr>
        <w:t>1,441,523.10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58" w:space="2369"/>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28,417,169.28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27,058,980.80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20,645,953.29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17,386,668.25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11,087,255.26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7,093,013.01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软件产品增值税即征即退款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4,568,724.45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3,138,721.20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6,098,532.33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1,368,581.40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5,727,574.20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2,409,734.12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76,545,208.81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58,455,698.78</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20,645,953.29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26.97%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w:t>
            </w: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r>
      <w:tr>
        <w:trPr>
          <w:trHeight w:val="317"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有限责任公司深圳</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w w:val="95"/>
                <w:sz w:val="18"/>
              </w:rPr>
              <w:t>6,098,532.33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7.97%</w:t>
            </w:r>
          </w:p>
        </w:tc>
        <w:tc>
          <w:tcPr>
            <w:tcW w:w="1596" w:type="dxa"/>
            <w:vMerge/>
            <w:tcBorders>
              <w:left w:val="single" w:sz="4" w:space="0" w:color="000000"/>
              <w:right w:val="single" w:sz="4" w:space="0" w:color="000000"/>
            </w:tcBorders>
          </w:tcPr>
          <w:p>
            <w:pPr/>
          </w:p>
        </w:tc>
      </w:tr>
      <w:tr>
        <w:trPr>
          <w:trHeight w:val="353"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分公司</w:t>
            </w: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4,568,724.45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征即退款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上海中医药大学附 属龙华医院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2,231,238.00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494,723.80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合肥市政府采购中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1,871,444.00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93,572.20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35,415,892.07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588,296.00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5"/>
        <w:gridCol w:w="1913"/>
        <w:gridCol w:w="1918"/>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4,568,724.45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月、批复及税 收退还书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4,568,724.45</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21,258,700.11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21,258,700.11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20,053,142.46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20,053,142.46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20,366,304.00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20,366,304.00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8,206,700.43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8,206,700.43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41,625,004.11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41,625,004.11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28,259,842.89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28,259,842.89</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分期收款销售应收款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4,806,596.60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4,806,596.60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预付房租及物业费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362,831.14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419,722.62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21,552.00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144,956.00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804,105.76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144,956.00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56,650,000.00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56,650,000.00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1" w:right="0"/>
              <w:jc w:val="left"/>
              <w:rPr>
                <w:rFonts w:ascii="Times New Roman" w:hAnsi="Times New Roman" w:cs="Times New Roman" w:eastAsia="Times New Roman" w:hint="default"/>
                <w:sz w:val="18"/>
                <w:szCs w:val="18"/>
              </w:rPr>
            </w:pPr>
            <w:r>
              <w:rPr>
                <w:rFonts w:ascii="Times New Roman"/>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5,000,000.00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56,650,000.00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56,650,000.00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5,000,000.00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56,650,000.00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56,650,000.00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1" w:right="0"/>
              <w:jc w:val="left"/>
              <w:rPr>
                <w:rFonts w:ascii="Times New Roman" w:hAnsi="Times New Roman" w:cs="Times New Roman" w:eastAsia="Times New Roman" w:hint="default"/>
                <w:sz w:val="18"/>
                <w:szCs w:val="18"/>
              </w:rPr>
            </w:pPr>
            <w:r>
              <w:rPr>
                <w:rFonts w:ascii="Times New Roman"/>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5,000,000.00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3D3D3"/>
          </w:tcPr>
          <w:p>
            <w:pPr/>
          </w:p>
        </w:tc>
        <w:tc>
          <w:tcPr>
            <w:tcW w:w="871" w:type="dxa"/>
            <w:vMerge/>
            <w:tcBorders>
              <w:left w:val="single" w:sz="4" w:space="0" w:color="000000"/>
              <w:bottom w:val="single" w:sz="4" w:space="0" w:color="000000"/>
              <w:right w:val="single" w:sz="4" w:space="0" w:color="000000"/>
            </w:tcBorders>
            <w:shd w:val="clear" w:color="auto" w:fill="D3D3D3"/>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上海卫生</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信息工程 技术研究 中心有限</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sz w:val="18"/>
              </w:rPr>
              <w:t>14.29%</w:t>
            </w:r>
          </w:p>
        </w:tc>
        <w:tc>
          <w:tcPr>
            <w:tcW w:w="871" w:type="dxa"/>
            <w:vMerge/>
            <w:tcBorders>
              <w:left w:val="single" w:sz="4" w:space="0" w:color="000000"/>
              <w:right w:val="single" w:sz="4" w:space="0" w:color="000000"/>
            </w:tcBorders>
          </w:tcPr>
          <w:p>
            <w:pP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厦门纳龙 科技有限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上海千骥</w:t>
            </w: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星鹤创业 投资中心</w:t>
            </w:r>
          </w:p>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9.36%</w:t>
            </w:r>
          </w:p>
        </w:tc>
        <w:tc>
          <w:tcPr>
            <w:tcW w:w="871" w:type="dxa"/>
            <w:vMerge/>
            <w:tcBorders>
              <w:left w:val="single" w:sz="4" w:space="0" w:color="000000"/>
              <w:right w:val="single" w:sz="4" w:space="0" w:color="000000"/>
            </w:tcBorders>
          </w:tcPr>
          <w:p>
            <w:pP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上海好医</w:t>
            </w: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通健康信 息咨询有</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25,650,000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25,650,000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16.54%</w:t>
            </w:r>
          </w:p>
        </w:tc>
        <w:tc>
          <w:tcPr>
            <w:tcW w:w="871" w:type="dxa"/>
            <w:vMerge/>
            <w:tcBorders>
              <w:left w:val="single" w:sz="4" w:space="0" w:color="000000"/>
              <w:right w:val="single" w:sz="4" w:space="0" w:color="000000"/>
            </w:tcBorders>
          </w:tcPr>
          <w:p>
            <w:pP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6"/>
        <w:gridCol w:w="1166"/>
        <w:gridCol w:w="1169"/>
        <w:gridCol w:w="1166"/>
        <w:gridCol w:w="1166"/>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16,772,234.82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838,611.74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15,933,623.08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26,646,628.20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1,332,331.41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25,314,296.79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6%-6.4%</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16,772,234.82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838,611.74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15,933,623.08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26,646,628.20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1,332,331.41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25,314,296.79</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浙江绎盛</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谷信息技</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20,000,00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443,175.1</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20,443,17</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术有限公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6</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5.16</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23" w:firstLine="91"/>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0"/>
                <w:sz w:val="18"/>
              </w:rPr>
              <w:t> </w:t>
            </w:r>
            <w:r>
              <w:rPr>
                <w:rFonts w:ascii="Times New Roman"/>
                <w:spacing w:val="-40"/>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3,750,763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-688,244.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3,062,518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23,750,76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23,505,69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23,750,76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23,505,69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39,438,740.02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3,265,521.96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4,169,738.39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46,874,000.37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8,524,031.30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2,153,131.96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1,597,085.90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12,274,249.16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2,469,410.68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1,114,530.15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3,583,940.83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6,054,620.62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2,153,131.96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482,555.75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8,690,308.33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212,286.76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148,753.50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429,760.50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790,800.76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212,286.76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148,753.50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429,760.50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790,800.76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47,750,484.56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5,269,900.42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5,337,063.79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58,357,448.77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17,110,367.29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2,055,540.99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1,176,248.00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20,342,156.28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11,718,722.49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1,794,651.24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1,216,683.14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14,730,056.87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7,714,345.44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528,441.65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847,328.52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9,090,115.61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4,004,377.05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1,266,209.59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369,354.62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5,639,941.26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182,660.40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147,502.62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313,220.75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643,383.77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182,660.40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147,502.62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313,220.75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643,383.77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28,646,429.38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3,702,689.61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2,079,710.39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34,428,829.38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19,104,055.18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1,567,210.81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3,257,353.40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23,928,619.39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22,328,372.73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1,209,980.97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2,993,490.39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26,531,844.09</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总部基地大楼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199,582,437.51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199,582,437.51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199,582,437.51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199,582,437.51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1"/>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总部基 地大楼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396,986,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199,582,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437.51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199,582,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437.51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0"/>
              <w:jc w:val="both"/>
              <w:rPr>
                <w:rFonts w:ascii="宋体" w:hAnsi="宋体" w:cs="宋体" w:eastAsia="宋体" w:hint="default"/>
                <w:sz w:val="18"/>
                <w:szCs w:val="18"/>
              </w:rPr>
            </w:pPr>
            <w:r>
              <w:rPr>
                <w:rFonts w:ascii="宋体" w:hAnsi="宋体" w:cs="宋体" w:eastAsia="宋体" w:hint="default"/>
                <w:sz w:val="18"/>
                <w:szCs w:val="18"/>
              </w:rPr>
              <w:t>自有资 金及募 股资金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396,986,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199,582,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437.51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199,582,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437.51</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12,095,377.13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12,095,377.13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32,478,929.73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32,478,929.73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2,438,309.30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2,438,309.30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23,859,020.43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23,859,020.43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6,181,600.00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6,181,600.00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44,574,306.86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44,574,306.86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928,667.31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928,667.31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8,467,283.70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8,467,283.70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3,925,447.03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3,925,447.03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4,541,836.67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4,541,836.67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9,395,951.01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9,395,951.01</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35,178,355.85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35,178,355.85</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11,166,709.82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11,166,709.82</w:t>
            </w:r>
          </w:p>
        </w:tc>
      </w:tr>
    </w:tbl>
    <w:p>
      <w:pPr>
        <w:pStyle w:val="BodyText"/>
        <w:spacing w:line="240" w:lineRule="auto" w:before="49"/>
        <w:ind w:right="148"/>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53.53%</w:t>
      </w:r>
      <w:r>
        <w:rPr/>
        <w:t>。</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3"/>
        <w:gridCol w:w="1063"/>
        <w:gridCol w:w="1063"/>
        <w:gridCol w:w="1063"/>
        <w:gridCol w:w="1061"/>
        <w:gridCol w:w="1063"/>
        <w:gridCol w:w="1063"/>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2"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48"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7"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智慧医疗信 息系统一期 工程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22,974,627.3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884,393.07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23,859,020.4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智慧医疗信 息系统二期 工程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23,320,706.2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23,320,706.2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355" w:hRule="exact"/>
        </w:trPr>
        <w:tc>
          <w:tcPr>
            <w:tcW w:w="106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商业保险理</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16"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赔支付及风 险控制管理</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8,067,011.68</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8,067,011.68</w:t>
            </w:r>
          </w:p>
        </w:tc>
      </w:tr>
      <w:tr>
        <w:trPr>
          <w:trHeight w:val="360" w:hRule="exact"/>
        </w:trPr>
        <w:tc>
          <w:tcPr>
            <w:tcW w:w="1062"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22,974,627.3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32,272,111.0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23,859,020.4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31,387,717.9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978"/>
        <w:gridCol w:w="1807"/>
        <w:gridCol w:w="2256"/>
        <w:gridCol w:w="2616"/>
      </w:tblGrid>
      <w:tr>
        <w:trPr>
          <w:trHeight w:val="451" w:hRule="exact"/>
        </w:trPr>
        <w:tc>
          <w:tcPr>
            <w:tcW w:w="2978"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tabs>
                <w:tab w:pos="467" w:val="left" w:leader="none"/>
              </w:tabs>
              <w:spacing w:line="240" w:lineRule="auto" w:before="121"/>
              <w:ind w:right="4"/>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7"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21"/>
              <w:ind w:left="264" w:right="0"/>
              <w:jc w:val="left"/>
              <w:rPr>
                <w:rFonts w:ascii="宋体" w:hAnsi="宋体" w:cs="宋体" w:eastAsia="宋体" w:hint="default"/>
                <w:sz w:val="18"/>
                <w:szCs w:val="18"/>
              </w:rPr>
            </w:pPr>
            <w:r>
              <w:rPr>
                <w:rFonts w:ascii="宋体" w:hAnsi="宋体" w:cs="宋体" w:eastAsia="宋体" w:hint="default"/>
                <w:sz w:val="18"/>
                <w:szCs w:val="18"/>
              </w:rPr>
              <w:t>资本化开始时点</w:t>
            </w:r>
          </w:p>
        </w:tc>
        <w:tc>
          <w:tcPr>
            <w:tcW w:w="225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21"/>
              <w:ind w:left="307" w:right="0"/>
              <w:jc w:val="left"/>
              <w:rPr>
                <w:rFonts w:ascii="宋体" w:hAnsi="宋体" w:cs="宋体" w:eastAsia="宋体" w:hint="default"/>
                <w:sz w:val="18"/>
                <w:szCs w:val="18"/>
              </w:rPr>
            </w:pPr>
            <w:r>
              <w:rPr>
                <w:rFonts w:ascii="宋体" w:hAnsi="宋体" w:cs="宋体" w:eastAsia="宋体" w:hint="default"/>
                <w:sz w:val="18"/>
                <w:szCs w:val="18"/>
              </w:rPr>
              <w:t>截至期末的研发进度</w:t>
            </w:r>
          </w:p>
        </w:tc>
        <w:tc>
          <w:tcPr>
            <w:tcW w:w="2616" w:type="dxa"/>
            <w:tcBorders>
              <w:top w:val="single" w:sz="6" w:space="0" w:color="000000"/>
              <w:left w:val="single" w:sz="6" w:space="0" w:color="000000"/>
              <w:bottom w:val="single" w:sz="8" w:space="0" w:color="000000"/>
              <w:right w:val="nil" w:sz="6" w:space="0" w:color="auto"/>
            </w:tcBorders>
            <w:shd w:val="clear" w:color="auto" w:fill="D9D9D9"/>
          </w:tcPr>
          <w:p>
            <w:pPr>
              <w:pStyle w:val="TableParagraph"/>
              <w:spacing w:line="240" w:lineRule="auto" w:before="121"/>
              <w:ind w:left="669"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978"/>
        <w:gridCol w:w="1807"/>
        <w:gridCol w:w="2256"/>
        <w:gridCol w:w="2616"/>
      </w:tblGrid>
      <w:tr>
        <w:trPr>
          <w:trHeight w:val="470" w:hRule="exact"/>
        </w:trPr>
        <w:tc>
          <w:tcPr>
            <w:tcW w:w="297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智慧医疗信息系统二期工程</w:t>
            </w:r>
          </w:p>
        </w:tc>
        <w:tc>
          <w:tcPr>
            <w:tcW w:w="180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7"/>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5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进行中</w:t>
            </w:r>
          </w:p>
        </w:tc>
        <w:tc>
          <w:tcPr>
            <w:tcW w:w="2616" w:type="dxa"/>
            <w:vMerge w:val="restart"/>
            <w:tcBorders>
              <w:top w:val="single" w:sz="6" w:space="0" w:color="000000"/>
              <w:left w:val="single" w:sz="6" w:space="0" w:color="000000"/>
              <w:right w:val="nil" w:sz="6" w:space="0" w:color="auto"/>
            </w:tcBorders>
          </w:tcPr>
          <w:p>
            <w:pPr>
              <w:pStyle w:val="TableParagraph"/>
              <w:spacing w:line="316" w:lineRule="auto" w:before="137"/>
              <w:ind w:left="38" w:right="48"/>
              <w:jc w:val="center"/>
              <w:rPr>
                <w:rFonts w:ascii="宋体" w:hAnsi="宋体" w:cs="宋体" w:eastAsia="宋体" w:hint="default"/>
                <w:sz w:val="18"/>
                <w:szCs w:val="18"/>
              </w:rPr>
            </w:pPr>
            <w:r>
              <w:rPr>
                <w:rFonts w:ascii="宋体" w:hAnsi="宋体" w:cs="宋体" w:eastAsia="宋体" w:hint="default"/>
                <w:sz w:val="18"/>
                <w:szCs w:val="18"/>
              </w:rPr>
              <w:t>通过评审立项，项目开发工作开 展，完成设计方案并达到预期要 求</w:t>
            </w:r>
          </w:p>
        </w:tc>
      </w:tr>
      <w:tr>
        <w:trPr>
          <w:trHeight w:val="658" w:hRule="exact"/>
        </w:trPr>
        <w:tc>
          <w:tcPr>
            <w:tcW w:w="2978"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13"/>
              <w:ind w:left="2" w:right="0"/>
              <w:jc w:val="left"/>
              <w:rPr>
                <w:rFonts w:ascii="宋体" w:hAnsi="宋体" w:cs="宋体" w:eastAsia="宋体" w:hint="default"/>
                <w:sz w:val="18"/>
                <w:szCs w:val="18"/>
              </w:rPr>
            </w:pPr>
            <w:r>
              <w:rPr>
                <w:rFonts w:ascii="宋体" w:hAnsi="宋体" w:cs="宋体" w:eastAsia="宋体" w:hint="default"/>
                <w:spacing w:val="4"/>
                <w:sz w:val="18"/>
                <w:szCs w:val="18"/>
              </w:rPr>
              <w:t>商业保险理赔支付及风险控制管理平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w:t>
            </w:r>
          </w:p>
        </w:tc>
        <w:tc>
          <w:tcPr>
            <w:tcW w:w="1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right="4"/>
              <w:jc w:val="center"/>
              <w:rPr>
                <w:rFonts w:ascii="宋体" w:hAnsi="宋体" w:cs="宋体" w:eastAsia="宋体" w:hint="default"/>
                <w:sz w:val="18"/>
                <w:szCs w:val="18"/>
              </w:rPr>
            </w:pPr>
            <w:r>
              <w:rPr>
                <w:rFonts w:ascii="宋体" w:hAnsi="宋体" w:cs="宋体" w:eastAsia="宋体" w:hint="default"/>
                <w:sz w:val="18"/>
                <w:szCs w:val="18"/>
              </w:rPr>
              <w:t>进行中</w:t>
            </w:r>
          </w:p>
        </w:tc>
        <w:tc>
          <w:tcPr>
            <w:tcW w:w="2616" w:type="dxa"/>
            <w:vMerge/>
            <w:tcBorders>
              <w:left w:val="single" w:sz="6" w:space="0" w:color="000000"/>
              <w:bottom w:val="single" w:sz="8" w:space="0" w:color="000000"/>
              <w:right w:val="nil" w:sz="6" w:space="0" w:color="auto"/>
            </w:tcBorders>
          </w:tcPr>
          <w:p>
            <w:pPr/>
          </w:p>
        </w:tc>
      </w:tr>
      <w:tr>
        <w:trPr>
          <w:trHeight w:val="504" w:hRule="exact"/>
        </w:trPr>
        <w:tc>
          <w:tcPr>
            <w:tcW w:w="297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384" w:right="0"/>
              <w:jc w:val="left"/>
              <w:rPr>
                <w:rFonts w:ascii="宋体" w:hAnsi="宋体" w:cs="宋体" w:eastAsia="宋体" w:hint="default"/>
                <w:sz w:val="18"/>
                <w:szCs w:val="18"/>
              </w:rPr>
            </w:pPr>
            <w:r>
              <w:rPr>
                <w:rFonts w:ascii="宋体" w:hAnsi="宋体" w:cs="宋体" w:eastAsia="宋体" w:hint="default"/>
                <w:sz w:val="18"/>
                <w:szCs w:val="18"/>
              </w:rPr>
              <w:t>智慧医疗信息系统一期工程</w:t>
            </w:r>
          </w:p>
        </w:tc>
        <w:tc>
          <w:tcPr>
            <w:tcW w:w="1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完成</w:t>
            </w:r>
          </w:p>
        </w:tc>
        <w:tc>
          <w:tcPr>
            <w:tcW w:w="261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山西金仕达卫宁 软件科技有限公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242,582,492.94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242,582,492.94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北京宇信网景信 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20,121,727.60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20,121,727.60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上海天健源达信 息科技有限公司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12,699,975.90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12,699,975.90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18,784,374.06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18,784,374.06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28,396,597.99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28,396,597.99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天津津微首佳软 件技术有限公司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55,710,999.80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55,710,999.80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275,404,196.44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102,891,971.85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378,296,168.29</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355"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6" w:right="0"/>
              <w:jc w:val="left"/>
              <w:rPr>
                <w:rFonts w:ascii="Times New Roman" w:hAnsi="Times New Roman" w:cs="Times New Roman" w:eastAsia="Times New Roman" w:hint="default"/>
                <w:sz w:val="18"/>
                <w:szCs w:val="18"/>
              </w:rPr>
            </w:pPr>
            <w:r>
              <w:rPr>
                <w:rFonts w:ascii="Times New Roman"/>
                <w:sz w:val="18"/>
              </w:rPr>
              <w:t>4,914,117.87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2,283,337.64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4,541,646.66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2,655,808.85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6" w:right="0"/>
              <w:jc w:val="left"/>
              <w:rPr>
                <w:rFonts w:ascii="Times New Roman" w:hAnsi="Times New Roman" w:cs="Times New Roman" w:eastAsia="Times New Roman" w:hint="default"/>
                <w:sz w:val="18"/>
                <w:szCs w:val="18"/>
              </w:rPr>
            </w:pPr>
            <w:r>
              <w:rPr>
                <w:rFonts w:ascii="Times New Roman"/>
                <w:sz w:val="18"/>
              </w:rPr>
              <w:t>4,914,117.87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2,283,337.64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4,541,646.66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2,655,808.85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78,776,355.76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11,899,223.71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49,696,841.96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7,618,708.78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111,876,073.94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16,599,954.31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11,901,576.22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1,487,697.03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1,575,100.00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236,265.00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264,000.00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8,494,521.30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1,298,919.17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6,256,042.68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973,169.62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1,801,075.44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226,091.31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7,254,987.33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1,057,321.02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465,330.55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69,799.58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202,988,456.99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30,330,253.08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76,869,448.19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11,400,896.45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6,489,400.59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5,874,998.36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6,489,400.59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5,874,998.36</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1,648,452.98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1,648,452.98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3,837,785.58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3,837,785.58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388,759.80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388,759.80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614,402.23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6,489,400.59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5,874,998.36</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预付对外投资款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4" w:lineRule="auto" w:before="8"/>
        <w:ind w:right="152" w:firstLine="36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日，公司与北京天鹏恒宇科技发展有限公司（以下简称“北京天鹏”）及其现有股东贾俊卿、北 </w:t>
      </w:r>
      <w:r>
        <w:rPr>
          <w:spacing w:val="-2"/>
        </w:rPr>
        <w:t>京天鹏众智投资管理中心（有限合伙）（以下简称“天鹏众智”）、李亚楠共同签署了《股权投资协议》，约定公司以自有</w:t>
      </w:r>
      <w:r>
        <w:rPr>
          <w:spacing w:val="-72"/>
        </w:rPr>
        <w:t> </w:t>
      </w:r>
      <w:r>
        <w:rPr>
          <w:spacing w:val="-72"/>
        </w:rPr>
      </w:r>
      <w:r>
        <w:rPr/>
        <w:t>资金以股权收购及增资的方式参股北京天鹏。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日，公司向天鹏众智支付</w:t>
      </w:r>
      <w:r>
        <w:rPr>
          <w:rFonts w:ascii="Times New Roman" w:hAnsi="Times New Roman" w:cs="Times New Roman" w:eastAsia="Times New Roman" w:hint="default"/>
        </w:rPr>
        <w:t>4.6279%</w:t>
      </w:r>
      <w:r>
        <w:rPr/>
        <w:t>的股权转让款</w:t>
      </w:r>
      <w:r>
        <w:rPr>
          <w:rFonts w:ascii="Times New Roman" w:hAnsi="Times New Roman" w:cs="Times New Roman" w:eastAsia="Times New Roman" w:hint="default"/>
        </w:rPr>
        <w:t>500</w:t>
      </w:r>
      <w:r>
        <w:rPr/>
        <w:t>万元，同时</w:t>
      </w:r>
      <w:r>
        <w:rPr>
          <w:spacing w:val="-23"/>
        </w:rPr>
        <w:t> </w:t>
      </w:r>
      <w:r>
        <w:rPr>
          <w:spacing w:val="-23"/>
        </w:rPr>
      </w:r>
      <w:r>
        <w:rPr>
          <w:spacing w:val="-1"/>
        </w:rPr>
        <w:t>支付北京天鹏增资款</w:t>
      </w:r>
      <w:r>
        <w:rPr>
          <w:rFonts w:ascii="Times New Roman" w:hAnsi="Times New Roman" w:cs="Times New Roman" w:eastAsia="Times New Roman" w:hint="default"/>
          <w:spacing w:val="-1"/>
        </w:rPr>
        <w:t>650</w:t>
      </w:r>
      <w:r>
        <w:rPr>
          <w:spacing w:val="-1"/>
        </w:rPr>
        <w:t>万元。本报告期末，工商登记变更手续尚在办理中，股权转让交易未完成，预付投资款</w:t>
      </w:r>
      <w:r>
        <w:rPr>
          <w:rFonts w:ascii="Times New Roman" w:hAnsi="Times New Roman" w:cs="Times New Roman" w:eastAsia="Times New Roman" w:hint="default"/>
          <w:spacing w:val="-1"/>
        </w:rPr>
        <w:t>1,150</w:t>
      </w:r>
      <w:r>
        <w:rPr>
          <w:spacing w:val="-1"/>
        </w:rPr>
        <w:t>万元列</w:t>
      </w:r>
      <w:r>
        <w:rPr>
          <w:spacing w:val="-72"/>
        </w:rPr>
        <w:t> </w:t>
      </w:r>
      <w:r>
        <w:rPr>
          <w:spacing w:val="-72"/>
        </w:rPr>
      </w:r>
      <w:r>
        <w:rPr/>
        <w:t>入其他非流动资产。</w:t>
      </w:r>
    </w:p>
    <w:p>
      <w:pPr>
        <w:pStyle w:val="BodyText"/>
        <w:spacing w:line="300" w:lineRule="auto" w:before="28"/>
        <w:ind w:right="152"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日，公司与永泰技术集团有限公司签订股权收购协议，收购永泰技术集团有限公司持有深圳市医点通互</w:t>
      </w:r>
      <w:r>
        <w:rPr/>
        <w:t> 联网技术股份有限公司</w:t>
      </w:r>
      <w:r>
        <w:rPr>
          <w:rFonts w:ascii="Times New Roman" w:hAnsi="Times New Roman" w:cs="Times New Roman" w:eastAsia="Times New Roman" w:hint="default"/>
        </w:rPr>
        <w:t>90%</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日，公司支付首期股权转让款</w:t>
      </w:r>
      <w:r>
        <w:rPr>
          <w:rFonts w:ascii="Times New Roman" w:hAnsi="Times New Roman" w:cs="Times New Roman" w:eastAsia="Times New Roman" w:hint="default"/>
        </w:rPr>
        <w:t>1,200</w:t>
      </w:r>
      <w:r>
        <w:rPr/>
        <w:t>万元。本报告期末，工商登记变更手</w:t>
      </w:r>
      <w:r>
        <w:rPr>
          <w:spacing w:val="-22"/>
        </w:rPr>
        <w:t> </w:t>
      </w:r>
      <w:r>
        <w:rPr>
          <w:spacing w:val="-22"/>
        </w:rPr>
      </w:r>
      <w:r>
        <w:rPr/>
        <w:t>续尚在办理中，股权转让交易未完成，预付投资款</w:t>
      </w:r>
      <w:r>
        <w:rPr>
          <w:rFonts w:ascii="Times New Roman" w:hAnsi="Times New Roman" w:cs="Times New Roman" w:eastAsia="Times New Roman" w:hint="default"/>
        </w:rPr>
        <w:t>1,200</w:t>
      </w:r>
      <w:r>
        <w:rPr/>
        <w:t>万元列入其他非流动资产。</w:t>
      </w:r>
    </w:p>
    <w:p>
      <w:pPr>
        <w:spacing w:line="240" w:lineRule="auto" w:before="5"/>
        <w:rPr>
          <w:rFonts w:ascii="宋体" w:hAnsi="宋体" w:cs="宋体" w:eastAsia="宋体" w:hint="default"/>
          <w:sz w:val="22"/>
          <w:szCs w:val="22"/>
        </w:rPr>
      </w:pPr>
    </w:p>
    <w:p>
      <w:pPr>
        <w:pStyle w:val="Heading3"/>
        <w:spacing w:line="240" w:lineRule="auto"/>
        <w:ind w:right="148"/>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150,010,000.00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3,000,000.00</w:t>
            </w:r>
          </w:p>
        </w:tc>
      </w:tr>
    </w:tbl>
    <w:p>
      <w:pPr>
        <w:pStyle w:val="BodyText"/>
        <w:spacing w:line="240" w:lineRule="auto" w:before="49"/>
        <w:ind w:right="148"/>
        <w:jc w:val="left"/>
      </w:pPr>
      <w:r>
        <w:rPr/>
        <w:t>短期借款分类的说明：</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590"/>
        <w:gridCol w:w="1764"/>
        <w:gridCol w:w="1706"/>
        <w:gridCol w:w="1704"/>
        <w:gridCol w:w="1896"/>
      </w:tblGrid>
      <w:tr>
        <w:trPr>
          <w:trHeight w:val="468" w:hRule="exact"/>
        </w:trPr>
        <w:tc>
          <w:tcPr>
            <w:tcW w:w="259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6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7"/>
              <w:ind w:left="51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7"/>
              <w:ind w:left="398"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896" w:type="dxa"/>
            <w:tcBorders>
              <w:top w:val="single" w:sz="6" w:space="0" w:color="000000"/>
              <w:left w:val="single" w:sz="6" w:space="0" w:color="000000"/>
              <w:bottom w:val="single" w:sz="8" w:space="0" w:color="000000"/>
              <w:right w:val="nil" w:sz="6" w:space="0" w:color="auto"/>
            </w:tcBorders>
            <w:shd w:val="clear" w:color="auto" w:fill="D9D9D9"/>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68" w:hRule="exact"/>
        </w:trPr>
        <w:tc>
          <w:tcPr>
            <w:tcW w:w="25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2" w:right="0"/>
              <w:jc w:val="left"/>
              <w:rPr>
                <w:rFonts w:ascii="宋体" w:hAnsi="宋体" w:cs="宋体" w:eastAsia="宋体" w:hint="default"/>
                <w:sz w:val="18"/>
                <w:szCs w:val="18"/>
              </w:rPr>
            </w:pPr>
            <w:r>
              <w:rPr>
                <w:rFonts w:ascii="宋体" w:hAnsi="宋体" w:cs="宋体" w:eastAsia="宋体" w:hint="default"/>
                <w:sz w:val="18"/>
                <w:szCs w:val="18"/>
              </w:rPr>
              <w:t>周炜（注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5"/>
                <w:sz w:val="18"/>
              </w:rPr>
              <w:t>150,000,000.00</w:t>
            </w:r>
          </w:p>
        </w:tc>
        <w:tc>
          <w:tcPr>
            <w:tcW w:w="170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2015-7-13</w:t>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2016-5-26</w:t>
            </w:r>
          </w:p>
        </w:tc>
        <w:tc>
          <w:tcPr>
            <w:tcW w:w="18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right="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80" w:hRule="exact"/>
        </w:trPr>
        <w:tc>
          <w:tcPr>
            <w:tcW w:w="2590"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3"/>
              <w:ind w:left="2" w:right="50"/>
              <w:jc w:val="left"/>
              <w:rPr>
                <w:rFonts w:ascii="宋体" w:hAnsi="宋体" w:cs="宋体" w:eastAsia="宋体" w:hint="default"/>
                <w:sz w:val="18"/>
                <w:szCs w:val="18"/>
              </w:rPr>
            </w:pPr>
            <w:r>
              <w:rPr>
                <w:rFonts w:ascii="宋体" w:hAnsi="宋体" w:cs="宋体" w:eastAsia="宋体" w:hint="default"/>
                <w:sz w:val="18"/>
                <w:szCs w:val="18"/>
              </w:rPr>
              <w:t>北京中关村科技融资担保有限公 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10,000.00</w:t>
            </w:r>
          </w:p>
        </w:tc>
        <w:tc>
          <w:tcPr>
            <w:tcW w:w="170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2015-6-25</w:t>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2016-6-24</w:t>
            </w:r>
          </w:p>
        </w:tc>
        <w:tc>
          <w:tcPr>
            <w:tcW w:w="18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right="7"/>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16" w:lineRule="auto" w:before="8"/>
        <w:ind w:left="512" w:right="148"/>
        <w:jc w:val="left"/>
      </w:pPr>
      <w:r>
        <w:rPr/>
        <w:t>注1：公司实际控制人、控股股东周炜先生为公司向宁波银行贷款1.5亿元提供连带责任保证担保。 </w:t>
      </w:r>
      <w:r>
        <w:rPr>
          <w:spacing w:val="-2"/>
        </w:rPr>
        <w:t>注2：本公司之子公司北京宇信网景信息技术有限公司截至2015年12月31日止保证借款余额为1万元，系北京宇信网景信</w:t>
      </w:r>
    </w:p>
    <w:p>
      <w:pPr>
        <w:pStyle w:val="BodyText"/>
        <w:spacing w:line="240" w:lineRule="auto" w:before="18"/>
        <w:ind w:right="148"/>
        <w:jc w:val="left"/>
      </w:pPr>
      <w:r>
        <w:rPr/>
        <w:t>息技术有限公司与北京中关村科技融资担保有限公司共同签署的为期一年的借款保证协议。 </w:t>
      </w:r>
    </w:p>
    <w:p>
      <w:pPr>
        <w:spacing w:line="240" w:lineRule="auto" w:before="0"/>
        <w:rPr>
          <w:rFonts w:ascii="宋体" w:hAnsi="宋体" w:cs="宋体" w:eastAsia="宋体" w:hint="default"/>
          <w:sz w:val="18"/>
          <w:szCs w:val="18"/>
        </w:rPr>
      </w:pPr>
    </w:p>
    <w:p>
      <w:pPr>
        <w:pStyle w:val="Heading3"/>
        <w:spacing w:line="240" w:lineRule="auto" w:before="120"/>
        <w:ind w:right="148"/>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8,420,695.00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8,420,695.00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8"/>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footerReference w:type="default" r:id="rId28"/>
          <w:pgSz w:w="11910" w:h="16840"/>
          <w:pgMar w:footer="981" w:header="745" w:top="1060" w:bottom="1180" w:left="980" w:right="980"/>
          <w:pgNumType w:start="13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109,397,080.03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81,812,518.73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109,397,080.03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81,812,518.73</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63,826,373.17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55,631,813.13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63,826,373.17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55,631,813.13</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14,473,823.19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199,832,271.68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195,644,033.59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18,662,061.28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123,547.20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21,668,416.47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21,585,316.91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206,646.76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15,390.00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14,597,370.39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221,516,078.15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217,244,740.50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18,868,708.04</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13,956,322.96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174,918,144.55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170,771,924.58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18,102,542.93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52,843.00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5,985,500.75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6,036,310.75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2,033.00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107,167.59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10,559,365.86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10,497,638.38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168,895.07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103,326.87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9,243,253.97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9,186,781.34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159,799.50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508,177.85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507,223.59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894.86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3,900.12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807,934.04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803,633.45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8,200.71</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178,181.82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6,881,165.21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6,863,182.26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196,164.77</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179,307.82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1,488,095.31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1,474,977.62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192,425.51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14,473,823.19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199,832,271.68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195,644,033.59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18,662,061.28</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131,533.56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20,413,122.93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20,335,512.21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209,144.28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-7,986.36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1,255,293.54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1,249,804.70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-2,497.52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123,547.20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21,668,416.47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21,585,316.91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206,646.76</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47,141,245.20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21,796,623.40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5,832,693.01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7,726,722.18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80,875,882.76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7,670,973.62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2,864,061.16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1,383,346.07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2,040,757.88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986,650.12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323,309.14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243,863.76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139,077,949.15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39,808,179.15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27</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465,330.55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465,330.55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应付费用款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15,563,504.56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14,201,898.50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15,557,900.00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5,479,946.00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2,955,123.32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4,165,175.20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3,069,346.34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2,219,256.33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68,145,874.22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82,066,276.03</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秦皇岛市亿德力计算机科技有限公司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3,685,134.69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呼和浩特庆硕科技有限公司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2,184,640.78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36,869,775.47</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47,000,000.00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30</w:t>
      </w:r>
      <w:r>
        <w:rPr/>
        <w:t>、长期应付款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31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8,494,521.30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6,256,042.70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软件销售免费服务期预提</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8,494,521.30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6,256,042.70</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32</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4,135,000.00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4,319,900.00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1,575,100.00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4,135,000.00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4,319,900.00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1,575,100.00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8"/>
        <w:jc w:val="left"/>
      </w:pPr>
      <w:r>
        <w:rPr/>
        <w:t>涉及政府补助的项目：</w:t>
      </w:r>
    </w:p>
    <w:p>
      <w:pPr>
        <w:pStyle w:val="BodyText"/>
        <w:spacing w:line="240" w:lineRule="auto" w:before="115"/>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9" w:right="45"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408" w:right="21"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基于健康档的区 域医疗信息集成 管理系统研发及 应用示范项目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基于物联网的健 康管家平台及产 业化（糖尿病领 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基于体感终端的 优生优育智能物 联网数据预处理 决策系统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卫宁健康信息服 务云平台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2,660,000.00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2,359,900.00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年度上海产 业转型升级发展 专项基金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年企业技术 中心能力建设项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4,135,000.00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4,319,900.00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1,575,100.00</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33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218,495,368.00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8,893,754.00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109,268,971.00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218,537,943.00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336,700,668.00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555,196,036.00</w:t>
            </w:r>
          </w:p>
        </w:tc>
      </w:tr>
    </w:tbl>
    <w:p>
      <w:pPr>
        <w:pStyle w:val="BodyText"/>
        <w:spacing w:line="300" w:lineRule="auto" w:before="8"/>
        <w:ind w:left="512" w:right="178"/>
        <w:jc w:val="left"/>
      </w:pPr>
      <w:r>
        <w:rPr/>
        <w:t>注</w:t>
      </w:r>
      <w:r>
        <w:rPr>
          <w:rFonts w:ascii="Times New Roman" w:hAnsi="Times New Roman" w:cs="Times New Roman" w:eastAsia="Times New Roman" w:hint="default"/>
        </w:rPr>
        <w:t>1</w:t>
      </w:r>
      <w:r>
        <w:rPr/>
        <w:t>：报告期内其他变动为公司实际控制人、部分董事、监事和高级管理人员及其他人员减持。 </w:t>
      </w:r>
      <w:r>
        <w:rPr>
          <w:spacing w:val="-3"/>
        </w:rPr>
        <w:t>注</w:t>
      </w:r>
      <w:r>
        <w:rPr>
          <w:rFonts w:ascii="Times New Roman" w:hAnsi="Times New Roman" w:cs="Times New Roman" w:eastAsia="Times New Roman" w:hint="default"/>
          <w:spacing w:val="-3"/>
        </w:rPr>
        <w:t>2</w:t>
      </w:r>
      <w:r>
        <w:rPr>
          <w:spacing w:val="-3"/>
        </w:rPr>
        <w:t>：经公司</w:t>
      </w:r>
      <w:r>
        <w:rPr>
          <w:rFonts w:ascii="Times New Roman" w:hAnsi="Times New Roman" w:cs="Times New Roman" w:eastAsia="Times New Roman" w:hint="default"/>
          <w:spacing w:val="-3"/>
        </w:rPr>
        <w:t>2014</w:t>
      </w:r>
      <w:r>
        <w:rPr>
          <w:spacing w:val="-3"/>
        </w:rPr>
        <w:t>年度股东大会决议，公司以未来实施</w:t>
      </w:r>
      <w:r>
        <w:rPr>
          <w:rFonts w:ascii="Times New Roman" w:hAnsi="Times New Roman" w:cs="Times New Roman" w:eastAsia="Times New Roman" w:hint="default"/>
          <w:spacing w:val="-3"/>
        </w:rPr>
        <w:t>2014 </w:t>
      </w:r>
      <w:r>
        <w:rPr>
          <w:rFonts w:ascii="Times New Roman" w:hAnsi="Times New Roman" w:cs="Times New Roman" w:eastAsia="Times New Roman" w:hint="default"/>
          <w:spacing w:val="8"/>
        </w:rPr>
        <w:t> </w:t>
      </w:r>
      <w:r>
        <w:rPr/>
        <w:t>年度权益分配方案时股权登记日的总股本为基数向全体股东</w:t>
      </w:r>
    </w:p>
    <w:p>
      <w:pPr>
        <w:pStyle w:val="BodyText"/>
        <w:spacing w:line="300" w:lineRule="auto" w:before="13"/>
        <w:ind w:right="93"/>
        <w:jc w:val="left"/>
      </w:pPr>
      <w:r>
        <w:rPr>
          <w:spacing w:val="-3"/>
        </w:rPr>
        <w:t>每</w:t>
      </w:r>
      <w:r>
        <w:rPr>
          <w:rFonts w:ascii="Times New Roman" w:hAnsi="Times New Roman" w:cs="Times New Roman" w:eastAsia="Times New Roman" w:hint="default"/>
          <w:spacing w:val="-3"/>
        </w:rPr>
        <w:t>10</w:t>
      </w:r>
      <w:r>
        <w:rPr>
          <w:spacing w:val="-3"/>
        </w:rPr>
        <w:t>股送</w:t>
      </w:r>
      <w:r>
        <w:rPr>
          <w:rFonts w:ascii="Times New Roman" w:hAnsi="Times New Roman" w:cs="Times New Roman" w:eastAsia="Times New Roman" w:hint="default"/>
          <w:spacing w:val="-3"/>
        </w:rPr>
        <w:t>5</w:t>
      </w:r>
      <w:r>
        <w:rPr>
          <w:spacing w:val="-3"/>
        </w:rPr>
        <w:t>股并派发现金股利人民币</w:t>
      </w:r>
      <w:r>
        <w:rPr>
          <w:rFonts w:ascii="Times New Roman" w:hAnsi="Times New Roman" w:cs="Times New Roman" w:eastAsia="Times New Roman" w:hint="default"/>
          <w:spacing w:val="-3"/>
        </w:rPr>
        <w:t>1.3</w:t>
      </w:r>
      <w:r>
        <w:rPr>
          <w:spacing w:val="-3"/>
        </w:rPr>
        <w:t>元（含税），同时以资本公积金向全体股东每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股，共计增加</w:t>
      </w:r>
      <w:r>
        <w:rPr>
          <w:rFonts w:ascii="Times New Roman" w:hAnsi="Times New Roman" w:cs="Times New Roman" w:eastAsia="Times New Roman" w:hint="default"/>
          <w:spacing w:val="-3"/>
        </w:rPr>
        <w:t>327,806,914</w:t>
      </w:r>
      <w:r>
        <w:rPr>
          <w:spacing w:val="-3"/>
        </w:rPr>
        <w:t>股，</w:t>
      </w:r>
      <w:r>
        <w:rPr>
          <w:spacing w:val="-28"/>
        </w:rPr>
        <w:t> </w:t>
      </w:r>
      <w:r>
        <w:rPr/>
        <w:t>增加股本人民币</w:t>
      </w:r>
      <w:r>
        <w:rPr>
          <w:rFonts w:ascii="Times New Roman" w:hAnsi="Times New Roman" w:cs="Times New Roman" w:eastAsia="Times New Roman" w:hint="default"/>
        </w:rPr>
        <w:t>327,806,914.00</w:t>
      </w:r>
      <w:r>
        <w:rPr/>
        <w:t>元。</w:t>
      </w:r>
    </w:p>
    <w:p>
      <w:pPr>
        <w:pStyle w:val="BodyText"/>
        <w:spacing w:line="300" w:lineRule="auto" w:before="13"/>
        <w:ind w:right="183" w:firstLine="360"/>
        <w:jc w:val="left"/>
      </w:pPr>
      <w:r>
        <w:rPr/>
        <w:t>注</w:t>
      </w:r>
      <w:r>
        <w:rPr>
          <w:rFonts w:ascii="Times New Roman" w:hAnsi="Times New Roman" w:cs="Times New Roman" w:eastAsia="Times New Roman" w:hint="default"/>
        </w:rPr>
        <w:t>3</w:t>
      </w:r>
      <w:r>
        <w:rPr/>
        <w:t>：报告期内公司股票期权激励计划授予期权行权共计行权</w:t>
      </w:r>
      <w:r>
        <w:rPr>
          <w:rFonts w:ascii="Times New Roman" w:hAnsi="Times New Roman" w:cs="Times New Roman" w:eastAsia="Times New Roman" w:hint="default"/>
        </w:rPr>
        <w:t>8,893,754</w:t>
      </w:r>
      <w:r>
        <w:rPr/>
        <w:t>股，引起公司股本数量增加</w:t>
      </w:r>
      <w:r>
        <w:rPr>
          <w:rFonts w:ascii="Times New Roman" w:hAnsi="Times New Roman" w:cs="Times New Roman" w:eastAsia="Times New Roman" w:hint="default"/>
        </w:rPr>
        <w:t>8,893,754</w:t>
      </w:r>
      <w:r>
        <w:rPr/>
        <w:t>股，增加股 本人民币</w:t>
      </w:r>
      <w:r>
        <w:rPr>
          <w:rFonts w:ascii="Times New Roman" w:hAnsi="Times New Roman" w:cs="Times New Roman" w:eastAsia="Times New Roman" w:hint="default"/>
        </w:rPr>
        <w:t>8,893,754</w:t>
      </w:r>
      <w:r>
        <w:rPr/>
        <w:t>元。</w:t>
      </w:r>
    </w:p>
    <w:p>
      <w:pPr>
        <w:spacing w:line="240" w:lineRule="auto" w:before="4"/>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34</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229,887,154.65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93,714,118.89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222,120,510.86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101,480,762.68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13,101,177.81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39,526,722.21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17,094,823.38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35,533,076.64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242,988,332.46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133,240,841.10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239,215,334.24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137,013,839.32</w:t>
            </w:r>
          </w:p>
        </w:tc>
      </w:tr>
    </w:tbl>
    <w:p>
      <w:pPr>
        <w:pStyle w:val="BodyText"/>
        <w:spacing w:line="360" w:lineRule="auto" w:before="49"/>
        <w:ind w:left="512" w:right="5674" w:hanging="361"/>
        <w:jc w:val="left"/>
      </w:pPr>
      <w:r>
        <w:rPr/>
        <w:t>其他说明，包括本期增减变动情况、变动原因说明： 资本公积本期增加主要为：</w:t>
      </w:r>
    </w:p>
    <w:p>
      <w:pPr>
        <w:pStyle w:val="BodyText"/>
        <w:spacing w:line="236" w:lineRule="exact"/>
        <w:ind w:left="512" w:right="93"/>
        <w:jc w:val="left"/>
      </w:pPr>
      <w:r>
        <w:rPr/>
        <w:t>（</w:t>
      </w:r>
      <w:r>
        <w:rPr>
          <w:rFonts w:ascii="Times New Roman" w:hAnsi="Times New Roman" w:cs="Times New Roman" w:eastAsia="Times New Roman" w:hint="default"/>
        </w:rPr>
        <w:t>1</w:t>
      </w:r>
      <w:r>
        <w:rPr/>
        <w:t>）本年度有</w:t>
      </w:r>
      <w:r>
        <w:rPr>
          <w:rFonts w:ascii="Times New Roman" w:hAnsi="Times New Roman" w:cs="Times New Roman" w:eastAsia="Times New Roman" w:hint="default"/>
        </w:rPr>
        <w:t>8,893,754</w:t>
      </w:r>
      <w:r>
        <w:rPr/>
        <w:t>份股票期权行权，行权溢价部分</w:t>
      </w:r>
      <w:r>
        <w:rPr>
          <w:rFonts w:ascii="Times New Roman" w:hAnsi="Times New Roman" w:cs="Times New Roman" w:eastAsia="Times New Roman" w:hint="default"/>
        </w:rPr>
        <w:t>76,619,295.51</w:t>
      </w:r>
      <w:r>
        <w:rPr/>
        <w:t>元计入股本溢价。同时，从其他资本公积转入股</w:t>
      </w:r>
    </w:p>
    <w:p>
      <w:pPr>
        <w:pStyle w:val="BodyText"/>
        <w:spacing w:line="240" w:lineRule="auto" w:before="63"/>
        <w:ind w:right="93"/>
        <w:jc w:val="left"/>
      </w:pPr>
      <w:r>
        <w:rPr/>
        <w:t>本溢价</w:t>
      </w:r>
      <w:r>
        <w:rPr>
          <w:rFonts w:ascii="Times New Roman" w:hAnsi="Times New Roman" w:cs="Times New Roman" w:eastAsia="Times New Roman" w:hint="default"/>
        </w:rPr>
        <w:t>17,094,823.38</w:t>
      </w:r>
      <w:r>
        <w:rPr/>
        <w:t>元。合计增加股本溢价</w:t>
      </w:r>
      <w:r>
        <w:rPr>
          <w:rFonts w:ascii="Times New Roman" w:hAnsi="Times New Roman" w:cs="Times New Roman" w:eastAsia="Times New Roman" w:hint="default"/>
        </w:rPr>
        <w:t>93,714,118.89</w:t>
      </w:r>
      <w:r>
        <w:rPr/>
        <w:t>元。</w:t>
      </w:r>
    </w:p>
    <w:p>
      <w:pPr>
        <w:pStyle w:val="BodyText"/>
        <w:spacing w:line="300" w:lineRule="auto" w:before="62"/>
        <w:ind w:left="512" w:right="4188"/>
        <w:jc w:val="left"/>
      </w:pPr>
      <w:r>
        <w:rPr/>
        <w:t>（</w:t>
      </w:r>
      <w:r>
        <w:rPr>
          <w:rFonts w:ascii="Times New Roman" w:hAnsi="Times New Roman" w:cs="Times New Roman" w:eastAsia="Times New Roman" w:hint="default"/>
        </w:rPr>
        <w:t>2</w:t>
      </w:r>
      <w:r>
        <w:rPr/>
        <w:t>）公司股票期权计划本期分摊的股权激励成本</w:t>
      </w:r>
      <w:r>
        <w:rPr>
          <w:rFonts w:ascii="Times New Roman" w:hAnsi="Times New Roman" w:cs="Times New Roman" w:eastAsia="Times New Roman" w:hint="default"/>
        </w:rPr>
        <w:t>39,526,722.21</w:t>
      </w:r>
      <w:r>
        <w:rPr/>
        <w:t>元。 资本公积本期减少主要为：</w:t>
      </w:r>
    </w:p>
    <w:p>
      <w:pPr>
        <w:pStyle w:val="BodyText"/>
        <w:spacing w:line="240" w:lineRule="auto" w:before="31"/>
        <w:ind w:left="512" w:right="93"/>
        <w:jc w:val="left"/>
      </w:pPr>
      <w:r>
        <w:rPr/>
        <w:t>（</w:t>
      </w:r>
      <w:r>
        <w:rPr>
          <w:rFonts w:ascii="Times New Roman" w:hAnsi="Times New Roman" w:cs="Times New Roman" w:eastAsia="Times New Roman" w:hint="default"/>
        </w:rPr>
        <w:t>1</w:t>
      </w:r>
      <w:r>
        <w:rPr/>
        <w:t>）因资本公积转增股本导致股本溢价减少</w:t>
      </w:r>
      <w:r>
        <w:rPr>
          <w:rFonts w:ascii="Times New Roman" w:hAnsi="Times New Roman" w:cs="Times New Roman" w:eastAsia="Times New Roman" w:hint="default"/>
        </w:rPr>
        <w:t>218,537,943.00</w:t>
      </w:r>
      <w:r>
        <w:rPr/>
        <w:t>元，详见附注七、</w:t>
      </w:r>
      <w:r>
        <w:rPr>
          <w:rFonts w:ascii="Times New Roman" w:hAnsi="Times New Roman" w:cs="Times New Roman" w:eastAsia="Times New Roman" w:hint="default"/>
        </w:rPr>
        <w:t>30</w:t>
      </w:r>
      <w:r>
        <w:rPr/>
        <w:t>。</w:t>
      </w:r>
    </w:p>
    <w:p>
      <w:pPr>
        <w:pStyle w:val="BodyText"/>
        <w:spacing w:line="240" w:lineRule="auto" w:before="62"/>
        <w:ind w:left="512" w:right="93"/>
        <w:jc w:val="left"/>
      </w:pPr>
      <w:r>
        <w:rPr/>
        <w:t>（</w:t>
      </w:r>
      <w:r>
        <w:rPr>
          <w:rFonts w:ascii="Times New Roman" w:hAnsi="Times New Roman" w:cs="Times New Roman" w:eastAsia="Times New Roman" w:hint="default"/>
        </w:rPr>
        <w:t>2</w:t>
      </w:r>
      <w:r>
        <w:rPr/>
        <w:t>）本年度已行权的股权激励成本</w:t>
      </w:r>
      <w:r>
        <w:rPr>
          <w:rFonts w:ascii="Times New Roman" w:hAnsi="Times New Roman" w:cs="Times New Roman" w:eastAsia="Times New Roman" w:hint="default"/>
        </w:rPr>
        <w:t>17,094,823.38</w:t>
      </w:r>
      <w:r>
        <w:rPr/>
        <w:t>元从其他资本公积转入股本溢价。</w:t>
      </w:r>
    </w:p>
    <w:p>
      <w:pPr>
        <w:pStyle w:val="BodyText"/>
        <w:spacing w:line="300" w:lineRule="auto" w:before="62"/>
        <w:ind w:right="93" w:firstLine="360"/>
        <w:jc w:val="left"/>
      </w:pPr>
      <w:r>
        <w:rPr>
          <w:spacing w:val="-1"/>
        </w:rPr>
        <w:t>（</w:t>
      </w:r>
      <w:r>
        <w:rPr>
          <w:rFonts w:ascii="Times New Roman" w:hAnsi="Times New Roman" w:cs="Times New Roman" w:eastAsia="Times New Roman" w:hint="default"/>
          <w:spacing w:val="-1"/>
        </w:rPr>
        <w:t>3</w:t>
      </w:r>
      <w:r>
        <w:rPr>
          <w:spacing w:val="-1"/>
        </w:rPr>
        <w:t>）本年度因购买子公司北京宇信网景信息技术有限公司</w:t>
      </w:r>
      <w:r>
        <w:rPr>
          <w:rFonts w:ascii="Times New Roman" w:hAnsi="Times New Roman" w:cs="Times New Roman" w:eastAsia="Times New Roman" w:hint="default"/>
          <w:spacing w:val="-1"/>
        </w:rPr>
        <w:t>20%</w:t>
      </w:r>
      <w:r>
        <w:rPr>
          <w:spacing w:val="-1"/>
        </w:rPr>
        <w:t>少数股东股权而减少股本溢价</w:t>
      </w:r>
      <w:r>
        <w:rPr>
          <w:rFonts w:ascii="Times New Roman" w:hAnsi="Times New Roman" w:cs="Times New Roman" w:eastAsia="Times New Roman" w:hint="default"/>
          <w:spacing w:val="-1"/>
        </w:rPr>
        <w:t>3,178,647.06</w:t>
      </w:r>
      <w:r>
        <w:rPr>
          <w:spacing w:val="-1"/>
        </w:rPr>
        <w:t>元；因增资子</w:t>
      </w:r>
      <w:r>
        <w:rPr/>
        <w:t> 公司浙江万鼎信息技术有限公司而减少股本溢价</w:t>
      </w:r>
      <w:r>
        <w:rPr>
          <w:rFonts w:ascii="Times New Roman" w:hAnsi="Times New Roman" w:cs="Times New Roman" w:eastAsia="Times New Roman" w:hint="default"/>
        </w:rPr>
        <w:t>403,920.80</w:t>
      </w:r>
      <w:r>
        <w:rPr/>
        <w:t>元。详见附注九、在其他主体中权益、2。</w:t>
      </w:r>
    </w:p>
    <w:p>
      <w:pPr>
        <w:spacing w:line="240" w:lineRule="auto" w:before="4"/>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34,354,157.14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10,448,825.95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44,802,983.09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34,354,157.14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10,448,825.95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44,802,983.09</w:t>
            </w:r>
          </w:p>
        </w:tc>
      </w:tr>
    </w:tbl>
    <w:p>
      <w:pPr>
        <w:pStyle w:val="BodyText"/>
        <w:spacing w:line="360" w:lineRule="auto" w:before="49"/>
        <w:ind w:left="512" w:right="993" w:hanging="361"/>
        <w:jc w:val="left"/>
      </w:pPr>
      <w:r>
        <w:rPr/>
        <w:t>盈余公积说明，包括本期增减变动情况、变动原因说明： 本期盈余公积增加系本公司按《公司法》及本公司章程有关规定，按本期净利润</w:t>
      </w:r>
      <w:r>
        <w:rPr>
          <w:rFonts w:ascii="Times New Roman" w:hAnsi="Times New Roman" w:cs="Times New Roman" w:eastAsia="Times New Roman" w:hint="default"/>
        </w:rPr>
        <w:t>10</w:t>
      </w:r>
      <w:r>
        <w:rPr/>
        <w:t>％提取法定盈余公积金。</w:t>
      </w:r>
    </w:p>
    <w:p>
      <w:pPr>
        <w:spacing w:after="0" w:line="360" w:lineRule="auto"/>
        <w:jc w:val="left"/>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272,353,526.74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182,234,099.73</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272,353,526.74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182,234,099.73</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152,503,714.77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120,971,589.46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10,448,825.95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9,785,811.74</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28,936,999.45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21,066,350.71</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转作股本的普通股股利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109,268,971.00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276,202,445.11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272,353,526.74</w:t>
            </w:r>
          </w:p>
        </w:tc>
      </w:tr>
    </w:tbl>
    <w:p>
      <w:pPr>
        <w:pStyle w:val="BodyText"/>
        <w:spacing w:line="240" w:lineRule="auto" w:before="49"/>
        <w:ind w:right="148"/>
        <w:jc w:val="left"/>
      </w:pPr>
      <w:r>
        <w:rPr/>
        <w:t>调整期初未分配利润明细：</w:t>
      </w:r>
    </w:p>
    <w:p>
      <w:pPr>
        <w:pStyle w:val="BodyText"/>
        <w:spacing w:line="240" w:lineRule="auto" w:before="117"/>
        <w:ind w:right="148"/>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right="148"/>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48"/>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48"/>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right="148"/>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753,157,662.57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345,492,493.57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491,411,568.18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222,778,188.37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753,157,662.57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345,492,493.57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491,411,568.18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222,778,188.37</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38</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5,183,052.66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3,933,963.24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3,697,272.16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2,809,780.78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583,428.35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415,391.87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1,257.69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9,466,348.52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7,160,393.58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45,430,283.22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24,252,441.87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22,943,555.55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20,899,523.07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21,172,752.74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18,748,182.79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12,446,616.85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10,881,468.49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4,511,349.61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2,501,307.63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1,587,919.44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1,912,135.98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560,075.29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452,205.33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444,880.37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137,107.41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109,097,433.07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79,784,372.57</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46,302,304.47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18,087,785.75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17,192,487.56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7,023,410.86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13,048,479.18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9,310,810.86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67,574,451.20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35,278,737.71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12,726,466.83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10,879,788.08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423,882.22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439,426.01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2,611,173.82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2,564,561.42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159,879,245.28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83,584,520.69</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3,139,323.17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3,439,897.76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8,500,215.27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-300,574.59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-8,427,015.27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225,659.64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130,115.74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-74,914.95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-8,296,899.53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r>
        <w:rPr/>
        <w:pict>
          <v:group style="position:absolute;margin-left:269.640015pt;margin-top:734.52002pt;width:52.7pt;height:33.15pt;mso-position-horizontal-relative:page;mso-position-vertical-relative:page;z-index:-988480" coordorigin="5393,14690" coordsize="1054,663">
            <v:group style="position:absolute;left:5393;top:14690;width:1054;height:663" coordorigin="5393,14690" coordsize="1054,663">
              <v:shape style="position:absolute;left:5393;top:14690;width:1054;height:663" coordorigin="5393,14690" coordsize="1054,663" path="m5393,14690l6446,14690,6446,15353,5393,15353,5393,14690xe" filled="true" fillcolor="#ffffff" stroked="false">
                <v:path arrowok="t"/>
                <v:fill type="solid"/>
              </v:shape>
            </v:group>
            <v:group style="position:absolute;left:5417;top:14825;width:1006;height:394" coordorigin="5417,14825" coordsize="1006,394">
              <v:shape style="position:absolute;left:5417;top:14825;width:1006;height:394" coordorigin="5417,14825" coordsize="1006,394" path="m5417,14825l6422,14825,6422,15218,5417,15218,5417,14825xe" filled="true" fillcolor="#ffffff" stroked="false">
                <v:path arrowok="t"/>
                <v:fill type="solid"/>
              </v:shape>
            </v:group>
            <w10:wrap type="none"/>
          </v:group>
        </w:pict>
      </w:r>
    </w:p>
    <w:p>
      <w:pPr>
        <w:pStyle w:val="Heading3"/>
        <w:spacing w:line="240" w:lineRule="auto" w:before="36"/>
        <w:ind w:right="148"/>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27,347,241.91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16,635,962.94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27,347,241.91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16,635,962.94</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-245,069.69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-245,069.69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52,637,009.74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39,068,445.23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16,214,704.12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589,248.84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263,212.61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589,248.84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53,226,258.58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39,331,657.84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16,803,952.96</w:t>
            </w:r>
          </w:p>
        </w:tc>
      </w:tr>
    </w:tbl>
    <w:p>
      <w:pPr>
        <w:pStyle w:val="BodyText"/>
        <w:spacing w:line="240" w:lineRule="auto" w:before="49"/>
        <w:ind w:right="148"/>
        <w:jc w:val="left"/>
      </w:pPr>
      <w:r>
        <w:rPr/>
        <w:t>计入当期损益的政府补助：</w:t>
      </w:r>
    </w:p>
    <w:p>
      <w:pPr>
        <w:pStyle w:val="BodyText"/>
        <w:spacing w:line="240" w:lineRule="auto" w:before="115"/>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35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7"/>
              <w:jc w:val="righ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3" w:right="130"/>
              <w:jc w:val="both"/>
              <w:rPr>
                <w:rFonts w:ascii="宋体" w:hAnsi="宋体" w:cs="宋体" w:eastAsia="宋体" w:hint="default"/>
                <w:sz w:val="18"/>
                <w:szCs w:val="18"/>
              </w:rPr>
            </w:pPr>
            <w:r>
              <w:rPr>
                <w:rFonts w:ascii="宋体" w:hAnsi="宋体" w:cs="宋体" w:eastAsia="宋体" w:hint="default"/>
                <w:sz w:val="18"/>
                <w:szCs w:val="18"/>
              </w:rPr>
              <w:t>软件产品增 值税即征即 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国家税务局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36,422,305.6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28,675,173.2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30"/>
              <w:jc w:val="both"/>
              <w:rPr>
                <w:rFonts w:ascii="宋体" w:hAnsi="宋体" w:cs="宋体" w:eastAsia="宋体" w:hint="default"/>
                <w:sz w:val="18"/>
                <w:szCs w:val="18"/>
              </w:rPr>
            </w:pPr>
            <w:r>
              <w:rPr>
                <w:rFonts w:ascii="宋体" w:hAnsi="宋体" w:cs="宋体" w:eastAsia="宋体" w:hint="default"/>
                <w:sz w:val="18"/>
                <w:szCs w:val="18"/>
              </w:rPr>
              <w:t>上海市浦东 新区财政扶 持</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上海市浦东 新区财政局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w w:val="95"/>
                <w:sz w:val="18"/>
              </w:rPr>
              <w:t>6,265,000.00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6" w:right="0"/>
              <w:jc w:val="left"/>
              <w:rPr>
                <w:rFonts w:ascii="Times New Roman" w:hAnsi="Times New Roman" w:cs="Times New Roman" w:eastAsia="Times New Roman" w:hint="default"/>
                <w:sz w:val="18"/>
                <w:szCs w:val="18"/>
              </w:rPr>
            </w:pPr>
            <w:r>
              <w:rPr>
                <w:rFonts w:ascii="Times New Roman"/>
                <w:sz w:val="18"/>
              </w:rPr>
              <w:t>4,140,000.00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卫宁健康信 息服务云平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上海市国库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2,359,900.00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6"/>
          <w:szCs w:val="26"/>
        </w:rPr>
      </w:pPr>
    </w:p>
    <w:p>
      <w:pPr>
        <w:pStyle w:val="BodyText"/>
        <w:tabs>
          <w:tab w:pos="1247" w:val="left" w:leader="none"/>
          <w:tab w:pos="3373" w:val="left" w:leader="none"/>
        </w:tabs>
        <w:spacing w:line="319" w:lineRule="auto" w:before="44"/>
        <w:ind w:left="3373" w:right="5669" w:hanging="3193"/>
        <w:jc w:val="left"/>
      </w:pPr>
      <w:r>
        <w:rPr/>
        <w:t>台</w:t>
        <w:tab/>
        <w:t>收付中心</w:t>
        <w:tab/>
        <w:t>改造等获得 的补助</w:t>
      </w:r>
    </w:p>
    <w:p>
      <w:pPr>
        <w:spacing w:after="0" w:line="319" w:lineRule="auto"/>
        <w:jc w:val="left"/>
        <w:sectPr>
          <w:pgSz w:w="11910" w:h="16840"/>
          <w:pgMar w:header="745" w:footer="981" w:top="1060" w:bottom="1180" w:left="980" w:right="980"/>
        </w:sectPr>
      </w:pPr>
    </w:p>
    <w:p>
      <w:pPr>
        <w:spacing w:line="240" w:lineRule="auto" w:before="2"/>
        <w:rPr>
          <w:rFonts w:ascii="宋体" w:hAnsi="宋体" w:cs="宋体" w:eastAsia="宋体" w:hint="default"/>
          <w:sz w:val="20"/>
          <w:szCs w:val="20"/>
        </w:rPr>
      </w:pPr>
    </w:p>
    <w:p>
      <w:pPr>
        <w:pStyle w:val="BodyText"/>
        <w:spacing w:line="316" w:lineRule="auto"/>
        <w:ind w:left="181" w:right="0"/>
        <w:jc w:val="both"/>
      </w:pPr>
      <w:r>
        <w:rPr/>
        <w:t>健康素质提 升工程一期 科研经费</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舟山市卫生 和计划生育</w:t>
      </w:r>
      <w:r>
        <w:rPr>
          <w:spacing w:val="73"/>
        </w:rPr>
        <w:t> </w:t>
      </w:r>
      <w:r>
        <w:rPr/>
        <w:t>补助</w:t>
      </w:r>
      <w:r>
        <w:rPr/>
        <w:t> 局</w:t>
      </w:r>
    </w:p>
    <w:p>
      <w:pPr>
        <w:pStyle w:val="BodyText"/>
        <w:spacing w:line="310" w:lineRule="atLeast" w:before="34"/>
        <w:ind w:left="181" w:right="5472"/>
        <w:jc w:val="left"/>
      </w:pPr>
      <w:r>
        <w:rPr/>
        <w:br w:type="column"/>
      </w:r>
      <w:r>
        <w:rPr/>
        <w:t>因研究开发、 技术更新及</w:t>
      </w:r>
    </w:p>
    <w:p>
      <w:pPr>
        <w:pStyle w:val="BodyText"/>
        <w:tabs>
          <w:tab w:pos="2307" w:val="left" w:leader="none"/>
          <w:tab w:pos="3431" w:val="left" w:leader="none"/>
          <w:tab w:pos="5495" w:val="left" w:leader="none"/>
        </w:tabs>
        <w:spacing w:line="123" w:lineRule="exact"/>
        <w:ind w:left="1244" w:right="0"/>
        <w:jc w:val="left"/>
      </w:pPr>
      <w:r>
        <w:rPr/>
        <w:t>否</w:t>
        <w:tab/>
        <w:t>否</w:t>
        <w:tab/>
      </w:r>
      <w:r>
        <w:rPr>
          <w:rFonts w:ascii="Times New Roman" w:hAnsi="Times New Roman" w:cs="Times New Roman" w:eastAsia="Times New Roman" w:hint="default"/>
        </w:rPr>
        <w:t>1,414,285.66</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年企业 技术中心能 力建设项目</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上海市浦东</w:t>
      </w:r>
    </w:p>
    <w:p>
      <w:pPr>
        <w:pStyle w:val="BodyText"/>
        <w:spacing w:line="156" w:lineRule="exact"/>
        <w:ind w:left="0" w:right="0"/>
        <w:jc w:val="right"/>
      </w:pPr>
      <w:r>
        <w:rPr/>
        <w:t>补助</w:t>
      </w:r>
    </w:p>
    <w:p>
      <w:pPr>
        <w:pStyle w:val="BodyText"/>
        <w:spacing w:line="196" w:lineRule="exact"/>
        <w:ind w:left="77" w:right="0"/>
        <w:jc w:val="left"/>
      </w:pPr>
      <w:r>
        <w:rPr/>
        <w:t>新区财政局</w:t>
      </w:r>
    </w:p>
    <w:p>
      <w:pPr>
        <w:pStyle w:val="BodyText"/>
        <w:spacing w:line="312" w:lineRule="exact" w:before="5"/>
        <w:ind w:left="181" w:right="5472"/>
        <w:jc w:val="left"/>
      </w:pPr>
      <w:r>
        <w:rPr/>
        <w:br w:type="column"/>
      </w:r>
      <w:r>
        <w:rPr/>
        <w:t>因研究开发、 技术更新及</w:t>
      </w:r>
    </w:p>
    <w:p>
      <w:pPr>
        <w:pStyle w:val="BodyText"/>
        <w:tabs>
          <w:tab w:pos="2307" w:val="left" w:leader="none"/>
          <w:tab w:pos="3431"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rPr>
        <w:t>1,300,000.00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基于物联网 的健康管家 平台及产业</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125" w:right="-20"/>
        <w:jc w:val="left"/>
      </w:pPr>
      <w:r>
        <w:rPr/>
        <w:t>上海市经济 和信息化委</w:t>
      </w:r>
      <w:r>
        <w:rPr>
          <w:spacing w:val="73"/>
        </w:rPr>
        <w:t> </w:t>
      </w:r>
      <w:r>
        <w:rPr/>
        <w:t>补助</w:t>
      </w:r>
    </w:p>
    <w:p>
      <w:pPr>
        <w:pStyle w:val="BodyText"/>
        <w:spacing w:line="310" w:lineRule="atLeast" w:before="126"/>
        <w:ind w:left="181" w:right="5472"/>
        <w:jc w:val="left"/>
      </w:pPr>
      <w:r>
        <w:rPr/>
        <w:br w:type="column"/>
      </w:r>
      <w:r>
        <w:rPr/>
        <w:t>因研究开发、 技术更新及</w:t>
      </w:r>
    </w:p>
    <w:p>
      <w:pPr>
        <w:pStyle w:val="BodyText"/>
        <w:tabs>
          <w:tab w:pos="2307" w:val="left" w:leader="none"/>
          <w:tab w:pos="3431" w:val="left" w:leader="none"/>
          <w:tab w:pos="4628" w:val="left" w:leader="none"/>
        </w:tabs>
        <w:spacing w:line="123" w:lineRule="exact"/>
        <w:ind w:left="1244" w:right="0"/>
        <w:jc w:val="left"/>
      </w:pPr>
      <w:r>
        <w:rPr/>
        <w:t>否</w:t>
        <w:tab/>
        <w:t>否</w:t>
        <w:tab/>
      </w:r>
      <w:r>
        <w:rPr>
          <w:rFonts w:ascii="Times New Roman" w:hAnsi="Times New Roman" w:cs="Times New Roman" w:eastAsia="Times New Roman" w:hint="default"/>
        </w:rPr>
        <w:t>1,080,000.00</w:t>
        <w:tab/>
        <w:t>540,000.00</w:t>
      </w:r>
      <w:r>
        <w:rPr>
          <w:rFonts w:ascii="Times New Roman" w:hAnsi="Times New Roman" w:cs="Times New Roman" w:eastAsia="Times New Roman" w:hint="default"/>
          <w:spacing w:val="10"/>
        </w:rPr>
        <w:t> </w:t>
      </w:r>
      <w:r>
        <w:rPr/>
        <w:t>与收益相关</w:t>
      </w:r>
    </w:p>
    <w:p>
      <w:pPr>
        <w:pStyle w:val="BodyText"/>
        <w:spacing w:line="165" w:lineRule="exact"/>
        <w:ind w:left="181" w:right="5472"/>
        <w:jc w:val="left"/>
      </w:pPr>
      <w:r>
        <w:rPr/>
        <w:t>改造等获得</w:t>
      </w:r>
    </w:p>
    <w:p>
      <w:pPr>
        <w:spacing w:after="0" w:line="165" w:lineRule="exact"/>
        <w:jc w:val="left"/>
        <w:sectPr>
          <w:type w:val="continuous"/>
          <w:pgSz w:w="11910" w:h="16840"/>
          <w:pgMar w:top="1060" w:bottom="1180" w:left="980" w:right="980"/>
          <w:cols w:num="3" w:equalWidth="0">
            <w:col w:w="1082" w:space="40"/>
            <w:col w:w="1549" w:space="521"/>
            <w:col w:w="6758"/>
          </w:cols>
        </w:sectPr>
      </w:pPr>
    </w:p>
    <w:p>
      <w:pPr>
        <w:pStyle w:val="BodyText"/>
        <w:spacing w:line="180" w:lineRule="exact"/>
        <w:ind w:left="181" w:right="-19"/>
        <w:jc w:val="left"/>
      </w:pPr>
      <w:r>
        <w:rPr>
          <w:spacing w:val="-12"/>
        </w:rPr>
        <w:t>化（糖尿病领</w:t>
      </w:r>
      <w:r>
        <w:rPr>
          <w:spacing w:val="-33"/>
        </w:rPr>
        <w:t> </w:t>
      </w:r>
      <w:r>
        <w:rPr/>
        <w:t>员会</w:t>
      </w:r>
    </w:p>
    <w:p>
      <w:pPr>
        <w:pStyle w:val="BodyText"/>
        <w:spacing w:line="240" w:lineRule="auto" w:before="76"/>
        <w:ind w:left="181" w:right="-19"/>
        <w:jc w:val="left"/>
      </w:pPr>
      <w:r>
        <w:rPr/>
        <w:t>域）</w:t>
      </w:r>
    </w:p>
    <w:p>
      <w:pPr>
        <w:spacing w:before="100"/>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608" w:space="1584"/>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浦东新区软 件和信息服 务业企业并 购重组奖励</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上海市浦东</w:t>
      </w:r>
    </w:p>
    <w:p>
      <w:pPr>
        <w:pStyle w:val="BodyText"/>
        <w:spacing w:line="156" w:lineRule="exact"/>
        <w:ind w:left="0" w:right="0"/>
        <w:jc w:val="right"/>
      </w:pPr>
      <w:r>
        <w:rPr/>
        <w:t>补助</w:t>
      </w:r>
    </w:p>
    <w:p>
      <w:pPr>
        <w:pStyle w:val="BodyText"/>
        <w:spacing w:line="196" w:lineRule="exact"/>
        <w:ind w:left="125" w:right="-20"/>
        <w:jc w:val="left"/>
      </w:pPr>
      <w:r>
        <w:rPr/>
        <w:t>新区财政局</w:t>
      </w:r>
    </w:p>
    <w:p>
      <w:pPr>
        <w:pStyle w:val="BodyText"/>
        <w:spacing w:line="312" w:lineRule="exact" w:before="5"/>
        <w:ind w:left="181" w:right="5472"/>
        <w:jc w:val="left"/>
      </w:pPr>
      <w:r>
        <w:rPr/>
        <w:br w:type="column"/>
      </w:r>
      <w:r>
        <w:rPr/>
        <w:t>因研究开发、 技术更新及</w:t>
      </w:r>
    </w:p>
    <w:p>
      <w:pPr>
        <w:pStyle w:val="BodyText"/>
        <w:tabs>
          <w:tab w:pos="2307" w:val="left" w:leader="none"/>
          <w:tab w:pos="3431"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rPr>
        <w:t>1,000,000.00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4"/>
        <w:rPr>
          <w:rFonts w:ascii="宋体" w:hAnsi="宋体" w:cs="宋体" w:eastAsia="宋体" w:hint="default"/>
          <w:sz w:val="20"/>
          <w:szCs w:val="20"/>
        </w:rPr>
      </w:pPr>
    </w:p>
    <w:p>
      <w:pPr>
        <w:pStyle w:val="BodyText"/>
        <w:spacing w:line="316" w:lineRule="auto"/>
        <w:ind w:left="181" w:right="0"/>
        <w:jc w:val="both"/>
      </w:pPr>
      <w:r>
        <w:rPr/>
        <w:t>新技术新产 品推广应用 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20"/>
        <w:jc w:val="left"/>
      </w:pPr>
      <w:r>
        <w:rPr/>
        <w:t>上海市浦东</w:t>
      </w:r>
    </w:p>
    <w:p>
      <w:pPr>
        <w:pStyle w:val="BodyText"/>
        <w:spacing w:line="156" w:lineRule="exact"/>
        <w:ind w:left="0" w:right="0"/>
        <w:jc w:val="right"/>
      </w:pPr>
      <w:r>
        <w:rPr/>
        <w:t>补助</w:t>
      </w:r>
    </w:p>
    <w:p>
      <w:pPr>
        <w:pStyle w:val="BodyText"/>
        <w:spacing w:line="196" w:lineRule="exact"/>
        <w:ind w:left="125" w:right="-20"/>
        <w:jc w:val="left"/>
      </w:pPr>
      <w:r>
        <w:rPr/>
        <w:t>新区财政局</w:t>
      </w:r>
    </w:p>
    <w:p>
      <w:pPr>
        <w:pStyle w:val="BodyText"/>
        <w:spacing w:line="310" w:lineRule="atLeast" w:before="35"/>
        <w:ind w:left="181" w:right="5472"/>
        <w:jc w:val="left"/>
      </w:pPr>
      <w:r>
        <w:rPr/>
        <w:br w:type="column"/>
      </w:r>
      <w:r>
        <w:rPr/>
        <w:t>因研究开发、 技术更新及</w:t>
      </w:r>
    </w:p>
    <w:p>
      <w:pPr>
        <w:pStyle w:val="BodyText"/>
        <w:tabs>
          <w:tab w:pos="2307" w:val="left" w:leader="none"/>
          <w:tab w:pos="3565" w:val="left" w:leader="none"/>
          <w:tab w:pos="5495" w:val="left" w:leader="none"/>
        </w:tabs>
        <w:spacing w:line="123" w:lineRule="exact"/>
        <w:ind w:left="1244" w:right="0"/>
        <w:jc w:val="left"/>
      </w:pPr>
      <w:r>
        <w:rPr/>
        <w:t>否</w:t>
        <w:tab/>
        <w:t>否</w:t>
        <w:tab/>
      </w:r>
      <w:r>
        <w:rPr>
          <w:rFonts w:ascii="Times New Roman" w:hAnsi="Times New Roman" w:cs="Times New Roman" w:eastAsia="Times New Roman" w:hint="default"/>
        </w:rPr>
        <w:t>700,000.00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应用于移动 客户端的智 慧医疗服务 云平台专项 资金</w:t>
      </w:r>
    </w:p>
    <w:p>
      <w:pPr>
        <w:pStyle w:val="BodyText"/>
        <w:spacing w:line="310" w:lineRule="atLeast" w:before="126"/>
        <w:ind w:left="125" w:right="503"/>
        <w:jc w:val="left"/>
      </w:pPr>
      <w:r>
        <w:rPr/>
        <w:br w:type="column"/>
      </w:r>
      <w:r>
        <w:rPr/>
        <w:t>天津市滨海 新区工业和</w:t>
      </w:r>
    </w:p>
    <w:p>
      <w:pPr>
        <w:pStyle w:val="BodyText"/>
        <w:spacing w:line="116" w:lineRule="exact"/>
        <w:ind w:left="0" w:right="0"/>
        <w:jc w:val="right"/>
      </w:pPr>
      <w:r>
        <w:rPr/>
        <w:t>补助</w:t>
      </w:r>
    </w:p>
    <w:p>
      <w:pPr>
        <w:pStyle w:val="BodyText"/>
        <w:spacing w:line="196" w:lineRule="exact"/>
        <w:ind w:left="125" w:right="-20"/>
        <w:jc w:val="left"/>
      </w:pPr>
      <w:r>
        <w:rPr/>
        <w:t>信息化委员</w:t>
      </w:r>
    </w:p>
    <w:p>
      <w:pPr>
        <w:pStyle w:val="BodyText"/>
        <w:spacing w:line="240" w:lineRule="auto" w:before="76"/>
        <w:ind w:left="125" w:right="-20"/>
        <w:jc w:val="left"/>
      </w:pPr>
      <w:r>
        <w:rPr/>
        <w:t>会</w:t>
      </w:r>
    </w:p>
    <w:p>
      <w:pPr>
        <w:pStyle w:val="BodyText"/>
        <w:spacing w:line="310" w:lineRule="atLeast" w:before="126"/>
        <w:ind w:left="181" w:right="5472"/>
        <w:jc w:val="left"/>
      </w:pPr>
      <w:r>
        <w:rPr/>
        <w:br w:type="column"/>
      </w:r>
      <w:r>
        <w:rPr/>
        <w:t>因研究开发、 技术更新及</w:t>
      </w:r>
    </w:p>
    <w:p>
      <w:pPr>
        <w:pStyle w:val="BodyText"/>
        <w:tabs>
          <w:tab w:pos="2307" w:val="left" w:leader="none"/>
          <w:tab w:pos="3565" w:val="left" w:leader="none"/>
          <w:tab w:pos="5495" w:val="left" w:leader="none"/>
        </w:tabs>
        <w:spacing w:line="123" w:lineRule="exact"/>
        <w:ind w:left="1244" w:right="0"/>
        <w:jc w:val="left"/>
      </w:pPr>
      <w:r>
        <w:rPr/>
        <w:t>否</w:t>
        <w:tab/>
        <w:t>否</w:t>
        <w:tab/>
      </w:r>
      <w:r>
        <w:rPr>
          <w:rFonts w:ascii="Times New Roman" w:hAnsi="Times New Roman" w:cs="Times New Roman" w:eastAsia="Times New Roman" w:hint="default"/>
        </w:rPr>
        <w:t>600,000.00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316" w:lineRule="auto" w:before="110"/>
        <w:ind w:left="181" w:right="0"/>
        <w:jc w:val="both"/>
      </w:pPr>
      <w:r>
        <w:rPr/>
        <w:t>基于健康档 案的区域医 疗信息集成 管理系统研 发及应用示 范项目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BodyText"/>
        <w:tabs>
          <w:tab w:pos="1188" w:val="left" w:leader="none"/>
        </w:tabs>
        <w:spacing w:line="240" w:lineRule="auto"/>
        <w:ind w:left="125" w:right="-20"/>
        <w:jc w:val="left"/>
      </w:pPr>
      <w:r>
        <w:rPr/>
        <w:t>财政部</w:t>
        <w:tab/>
        <w:t>补助</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310" w:lineRule="atLeast"/>
        <w:ind w:left="181" w:right="5472"/>
        <w:jc w:val="left"/>
      </w:pPr>
      <w:r>
        <w:rPr/>
        <w:t>因研究开发、 技术更新及</w:t>
      </w:r>
    </w:p>
    <w:p>
      <w:pPr>
        <w:pStyle w:val="BodyText"/>
        <w:tabs>
          <w:tab w:pos="2307" w:val="left" w:leader="none"/>
          <w:tab w:pos="3565" w:val="left" w:leader="none"/>
        </w:tabs>
        <w:spacing w:line="123" w:lineRule="exact"/>
        <w:ind w:left="1244" w:right="0"/>
        <w:jc w:val="left"/>
      </w:pPr>
      <w:r>
        <w:rPr/>
        <w:t>否</w:t>
        <w:tab/>
        <w:t>否</w:t>
        <w:tab/>
      </w:r>
      <w:r>
        <w:rPr>
          <w:rFonts w:ascii="Times New Roman" w:hAnsi="Times New Roman" w:cs="Times New Roman" w:eastAsia="Times New Roman" w:hint="default"/>
        </w:rPr>
        <w:t>500,000.00   3,000,000.00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2"/>
        <w:rPr>
          <w:rFonts w:ascii="宋体" w:hAnsi="宋体" w:cs="宋体" w:eastAsia="宋体" w:hint="default"/>
          <w:sz w:val="20"/>
          <w:szCs w:val="20"/>
        </w:rPr>
      </w:pPr>
    </w:p>
    <w:p>
      <w:pPr>
        <w:pStyle w:val="BodyText"/>
        <w:spacing w:line="316" w:lineRule="auto"/>
        <w:ind w:left="181" w:right="0"/>
        <w:jc w:val="both"/>
      </w:pPr>
      <w:r>
        <w:rPr/>
        <w:t>上海市重点 软件企业专 项奖励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pStyle w:val="BodyText"/>
        <w:tabs>
          <w:tab w:pos="1188" w:val="left" w:leader="none"/>
        </w:tabs>
        <w:spacing w:line="240" w:lineRule="auto"/>
        <w:ind w:left="125" w:right="-20"/>
        <w:jc w:val="left"/>
      </w:pPr>
      <w:r>
        <w:rPr/>
        <w:t>地方财政</w:t>
        <w:tab/>
        <w:t>补助</w:t>
      </w:r>
    </w:p>
    <w:p>
      <w:pPr>
        <w:pStyle w:val="BodyText"/>
        <w:spacing w:line="310" w:lineRule="atLeast" w:before="33"/>
        <w:ind w:left="181" w:right="5472"/>
        <w:jc w:val="left"/>
      </w:pPr>
      <w:r>
        <w:rPr/>
        <w:br w:type="column"/>
      </w:r>
      <w:r>
        <w:rPr/>
        <w:t>因研究开发、 技术更新及</w:t>
      </w:r>
    </w:p>
    <w:p>
      <w:pPr>
        <w:pStyle w:val="BodyText"/>
        <w:tabs>
          <w:tab w:pos="2307" w:val="left" w:leader="none"/>
          <w:tab w:pos="3565" w:val="left" w:leader="none"/>
        </w:tabs>
        <w:spacing w:line="123" w:lineRule="exact"/>
        <w:ind w:left="1244" w:right="0"/>
        <w:jc w:val="left"/>
      </w:pPr>
      <w:r>
        <w:rPr/>
        <w:t>否</w:t>
        <w:tab/>
        <w:t>否</w:t>
        <w:tab/>
      </w:r>
      <w:r>
        <w:rPr>
          <w:rFonts w:ascii="Times New Roman" w:hAnsi="Times New Roman" w:cs="Times New Roman" w:eastAsia="Times New Roman" w:hint="default"/>
        </w:rPr>
        <w:t>380,000.00   1,020,000.00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2" w:lineRule="exact" w:before="5"/>
        <w:ind w:left="181" w:right="-20"/>
        <w:jc w:val="left"/>
      </w:pPr>
      <w:r>
        <w:rPr/>
        <w:t>基于体感终 端的优生优</w:t>
      </w:r>
    </w:p>
    <w:p>
      <w:pPr>
        <w:spacing w:line="240" w:lineRule="auto" w:before="11"/>
        <w:rPr>
          <w:rFonts w:ascii="宋体" w:hAnsi="宋体" w:cs="宋体" w:eastAsia="宋体" w:hint="default"/>
          <w:sz w:val="13"/>
          <w:szCs w:val="13"/>
        </w:rPr>
      </w:pPr>
      <w:r>
        <w:rPr/>
        <w:br w:type="column"/>
      </w:r>
      <w:r>
        <w:rPr>
          <w:rFonts w:ascii="宋体"/>
          <w:sz w:val="13"/>
        </w:rPr>
      </w:r>
    </w:p>
    <w:p>
      <w:pPr>
        <w:pStyle w:val="BodyText"/>
        <w:spacing w:line="240" w:lineRule="auto"/>
        <w:ind w:left="125" w:right="-20"/>
        <w:jc w:val="left"/>
      </w:pPr>
      <w:r>
        <w:rPr/>
        <w:t>上海爱建信</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81" w:right="0"/>
        <w:jc w:val="left"/>
      </w:pPr>
      <w:r>
        <w:rPr/>
        <w:t>因研究开发、</w:t>
      </w:r>
    </w:p>
    <w:p>
      <w:pPr>
        <w:spacing w:after="0" w:line="240" w:lineRule="auto"/>
        <w:jc w:val="left"/>
        <w:sectPr>
          <w:type w:val="continuous"/>
          <w:pgSz w:w="11910" w:h="16840"/>
          <w:pgMar w:top="1060" w:bottom="1180" w:left="980" w:right="980"/>
          <w:cols w:num="3" w:equalWidth="0">
            <w:col w:w="1082" w:space="40"/>
            <w:col w:w="1026" w:space="1044"/>
            <w:col w:w="6758"/>
          </w:cols>
        </w:sectPr>
      </w:pPr>
    </w:p>
    <w:p>
      <w:pPr>
        <w:pStyle w:val="BodyText"/>
        <w:spacing w:line="319" w:lineRule="auto" w:before="39"/>
        <w:ind w:left="181" w:right="-20"/>
        <w:jc w:val="left"/>
      </w:pPr>
      <w:r>
        <w:rPr/>
        <w:pict>
          <v:group style="position:absolute;margin-left:56.400002pt;margin-top:71.760017pt;width:478.95pt;height:697.2pt;mso-position-horizontal-relative:page;mso-position-vertical-relative:page;z-index:-988456" coordorigin="1128,1435" coordsize="9579,13944">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pt" strokecolor="#000000">
                <v:path arrowok="t"/>
              </v:shape>
            </v:group>
            <v:group style="position:absolute;left:5393;top:2124;width:1054;height:1328" coordorigin="5393,2124" coordsize="1054,1328">
              <v:shape style="position:absolute;left:5393;top:2124;width:1054;height:1328" coordorigin="5393,2124" coordsize="1054,1328" path="m5393,2124l6446,2124,6446,3451,5393,3451,5393,2124xe" filled="true" fillcolor="#ffffff" stroked="false">
                <v:path arrowok="t"/>
                <v:fill type="solid"/>
              </v:shape>
            </v:group>
            <v:group style="position:absolute;left:5417;top:2592;width:1006;height:392" coordorigin="5417,2592" coordsize="1006,392">
              <v:shape style="position:absolute;left:5417;top:2592;width:1006;height:392" coordorigin="5417,2592" coordsize="1006,392" path="m5417,2592l6422,2592,6422,2983,5417,2983,5417,2592xe" filled="true" fillcolor="#ffffff" stroked="false">
                <v:path arrowok="t"/>
                <v:fill type="solid"/>
              </v:shape>
            </v:group>
            <v:group style="position:absolute;left:1138;top:2119;width:1056;height:2" coordorigin="1138,2119" coordsize="1056,2">
              <v:shape style="position:absolute;left:1138;top:2119;width:1056;height:2" coordorigin="1138,2119" coordsize="1056,0" path="m1138,2119l2194,2119e" filled="false" stroked="true" strokeweight=".48pt" strokecolor="#000000">
                <v:path arrowok="t"/>
              </v:shape>
            </v:group>
            <v:group style="position:absolute;left:2203;top:2119;width:1054;height:2" coordorigin="2203,2119" coordsize="1054,2">
              <v:shape style="position:absolute;left:2203;top:2119;width:1054;height:2" coordorigin="2203,2119" coordsize="1054,0" path="m2203,2119l3257,2119e" filled="false" stroked="true" strokeweight=".48pt" strokecolor="#000000">
                <v:path arrowok="t"/>
              </v:shape>
            </v:group>
            <v:group style="position:absolute;left:3266;top:2119;width:1054;height:2" coordorigin="3266,2119" coordsize="1054,2">
              <v:shape style="position:absolute;left:3266;top:2119;width:1054;height:2" coordorigin="3266,2119" coordsize="1054,0" path="m3266,2119l4320,2119e" filled="false" stroked="true" strokeweight=".48pt" strokecolor="#000000">
                <v:path arrowok="t"/>
              </v:shape>
            </v:group>
            <v:group style="position:absolute;left:4330;top:2119;width:1054;height:2" coordorigin="4330,2119" coordsize="1054,2">
              <v:shape style="position:absolute;left:4330;top:2119;width:1054;height:2" coordorigin="4330,2119" coordsize="1054,0" path="m4330,2119l5383,2119e" filled="false" stroked="true" strokeweight=".48pt" strokecolor="#000000">
                <v:path arrowok="t"/>
              </v:shape>
            </v:group>
            <v:group style="position:absolute;left:5393;top:2119;width:1052;height:2" coordorigin="5393,2119" coordsize="1052,2">
              <v:shape style="position:absolute;left:5393;top:2119;width:1052;height:2" coordorigin="5393,2119" coordsize="1052,0" path="m5393,2119l6444,2119e" filled="false" stroked="true" strokeweight=".48pt" strokecolor="#000000">
                <v:path arrowok="t"/>
              </v:shape>
            </v:group>
            <v:group style="position:absolute;left:6454;top:2119;width:1054;height:2" coordorigin="6454,2119" coordsize="1054,2">
              <v:shape style="position:absolute;left:6454;top:2119;width:1054;height:2" coordorigin="6454,2119" coordsize="1054,0" path="m6454,2119l7507,2119e" filled="false" stroked="true" strokeweight=".48pt" strokecolor="#000000">
                <v:path arrowok="t"/>
              </v:shape>
            </v:group>
            <v:group style="position:absolute;left:7517;top:2119;width:1054;height:2" coordorigin="7517,2119" coordsize="1054,2">
              <v:shape style="position:absolute;left:7517;top:2119;width:1054;height:2" coordorigin="7517,2119" coordsize="1054,0" path="m7517,2119l8570,2119e" filled="false" stroked="true" strokeweight=".48pt" strokecolor="#000000">
                <v:path arrowok="t"/>
              </v:shape>
            </v:group>
            <v:group style="position:absolute;left:8580;top:2119;width:1054;height:2" coordorigin="8580,2119" coordsize="1054,2">
              <v:shape style="position:absolute;left:8580;top:2119;width:1054;height:2" coordorigin="8580,2119" coordsize="1054,0" path="m8580,2119l9634,2119e" filled="false" stroked="true" strokeweight=".48pt" strokecolor="#000000">
                <v:path arrowok="t"/>
              </v:shape>
            </v:group>
            <v:group style="position:absolute;left:9643;top:2119;width:1054;height:2" coordorigin="9643,2119" coordsize="1054,2">
              <v:shape style="position:absolute;left:9643;top:2119;width:1054;height:2" coordorigin="9643,2119" coordsize="1054,0" path="m9643,2119l10697,2119e" filled="false" stroked="true" strokeweight=".48pt" strokecolor="#000000">
                <v:path arrowok="t"/>
              </v:shape>
            </v:group>
            <v:group style="position:absolute;left:5393;top:3461;width:1054;height:1330" coordorigin="5393,3461" coordsize="1054,1330">
              <v:shape style="position:absolute;left:5393;top:3461;width:1054;height:1330" coordorigin="5393,3461" coordsize="1054,1330" path="m5393,3461l6446,3461,6446,4790,5393,4790,5393,3461xe" filled="true" fillcolor="#ffffff" stroked="false">
                <v:path arrowok="t"/>
                <v:fill type="solid"/>
              </v:shape>
            </v:group>
            <v:group style="position:absolute;left:5417;top:3929;width:1006;height:394" coordorigin="5417,3929" coordsize="1006,394">
              <v:shape style="position:absolute;left:5417;top:3929;width:1006;height:394" coordorigin="5417,3929" coordsize="1006,394" path="m5417,3929l6422,3929,6422,4322,5417,4322,5417,3929xe" filled="true" fillcolor="#ffffff" stroked="false">
                <v:path arrowok="t"/>
                <v:fill type="solid"/>
              </v:shape>
            </v:group>
            <v:group style="position:absolute;left:1138;top:3456;width:1056;height:2" coordorigin="1138,3456" coordsize="1056,2">
              <v:shape style="position:absolute;left:1138;top:3456;width:1056;height:2" coordorigin="1138,3456" coordsize="1056,0" path="m1138,3456l2194,3456e" filled="false" stroked="true" strokeweight=".48pt" strokecolor="#000000">
                <v:path arrowok="t"/>
              </v:shape>
            </v:group>
            <v:group style="position:absolute;left:2203;top:3456;width:1054;height:2" coordorigin="2203,3456" coordsize="1054,2">
              <v:shape style="position:absolute;left:2203;top:3456;width:1054;height:2" coordorigin="2203,3456" coordsize="1054,0" path="m2203,3456l3257,3456e" filled="false" stroked="true" strokeweight=".48pt" strokecolor="#000000">
                <v:path arrowok="t"/>
              </v:shape>
            </v:group>
            <v:group style="position:absolute;left:3266;top:3456;width:1054;height:2" coordorigin="3266,3456" coordsize="1054,2">
              <v:shape style="position:absolute;left:3266;top:3456;width:1054;height:2" coordorigin="3266,3456" coordsize="1054,0" path="m3266,3456l4320,3456e" filled="false" stroked="true" strokeweight=".48pt" strokecolor="#000000">
                <v:path arrowok="t"/>
              </v:shape>
            </v:group>
            <v:group style="position:absolute;left:4330;top:3456;width:1054;height:2" coordorigin="4330,3456" coordsize="1054,2">
              <v:shape style="position:absolute;left:4330;top:3456;width:1054;height:2" coordorigin="4330,3456" coordsize="1054,0" path="m4330,3456l5383,3456e" filled="false" stroked="true" strokeweight=".48pt" strokecolor="#000000">
                <v:path arrowok="t"/>
              </v:shape>
            </v:group>
            <v:group style="position:absolute;left:5393;top:3456;width:1052;height:2" coordorigin="5393,3456" coordsize="1052,2">
              <v:shape style="position:absolute;left:5393;top:3456;width:1052;height:2" coordorigin="5393,3456" coordsize="1052,0" path="m5393,3456l6444,3456e" filled="false" stroked="true" strokeweight=".48pt" strokecolor="#000000">
                <v:path arrowok="t"/>
              </v:shape>
            </v:group>
            <v:group style="position:absolute;left:6454;top:3456;width:1054;height:2" coordorigin="6454,3456" coordsize="1054,2">
              <v:shape style="position:absolute;left:6454;top:3456;width:1054;height:2" coordorigin="6454,3456" coordsize="1054,0" path="m6454,3456l7507,3456e" filled="false" stroked="true" strokeweight=".48pt" strokecolor="#000000">
                <v:path arrowok="t"/>
              </v:shape>
            </v:group>
            <v:group style="position:absolute;left:7517;top:3456;width:1054;height:2" coordorigin="7517,3456" coordsize="1054,2">
              <v:shape style="position:absolute;left:7517;top:3456;width:1054;height:2" coordorigin="7517,3456" coordsize="1054,0" path="m7517,3456l8570,3456e" filled="false" stroked="true" strokeweight=".48pt" strokecolor="#000000">
                <v:path arrowok="t"/>
              </v:shape>
            </v:group>
            <v:group style="position:absolute;left:8580;top:3456;width:1054;height:2" coordorigin="8580,3456" coordsize="1054,2">
              <v:shape style="position:absolute;left:8580;top:3456;width:1054;height:2" coordorigin="8580,3456" coordsize="1054,0" path="m8580,3456l9634,3456e" filled="false" stroked="true" strokeweight=".48pt" strokecolor="#000000">
                <v:path arrowok="t"/>
              </v:shape>
            </v:group>
            <v:group style="position:absolute;left:9643;top:3456;width:1054;height:2" coordorigin="9643,3456" coordsize="1054,2">
              <v:shape style="position:absolute;left:9643;top:3456;width:1054;height:2" coordorigin="9643,3456" coordsize="1054,0" path="m9643,3456l10697,3456e" filled="false" stroked="true" strokeweight=".48pt" strokecolor="#000000">
                <v:path arrowok="t"/>
              </v:shape>
            </v:group>
            <v:group style="position:absolute;left:5393;top:4800;width:1054;height:1640" coordorigin="5393,4800" coordsize="1054,1640">
              <v:shape style="position:absolute;left:5393;top:4800;width:1054;height:1640" coordorigin="5393,4800" coordsize="1054,1640" path="m5393,4800l6446,4800,6446,6439,5393,6439,5393,4800xe" filled="true" fillcolor="#ffffff" stroked="false">
                <v:path arrowok="t"/>
                <v:fill type="solid"/>
              </v:shape>
            </v:group>
            <v:group style="position:absolute;left:5417;top:5424;width:1006;height:392" coordorigin="5417,5424" coordsize="1006,392">
              <v:shape style="position:absolute;left:5417;top:5424;width:1006;height:392" coordorigin="5417,5424" coordsize="1006,392" path="m5417,5424l6422,5424,6422,5815,5417,5815,5417,5424xe" filled="true" fillcolor="#ffffff" stroked="false">
                <v:path arrowok="t"/>
                <v:fill type="solid"/>
              </v:shape>
            </v:group>
            <v:group style="position:absolute;left:1138;top:4795;width:1056;height:2" coordorigin="1138,4795" coordsize="1056,2">
              <v:shape style="position:absolute;left:1138;top:4795;width:1056;height:2" coordorigin="1138,4795" coordsize="1056,0" path="m1138,4795l2194,4795e" filled="false" stroked="true" strokeweight=".48pt" strokecolor="#000000">
                <v:path arrowok="t"/>
              </v:shape>
            </v:group>
            <v:group style="position:absolute;left:2203;top:4795;width:1054;height:2" coordorigin="2203,4795" coordsize="1054,2">
              <v:shape style="position:absolute;left:2203;top:4795;width:1054;height:2" coordorigin="2203,4795" coordsize="1054,0" path="m2203,4795l3257,4795e" filled="false" stroked="true" strokeweight=".48pt" strokecolor="#000000">
                <v:path arrowok="t"/>
              </v:shape>
            </v:group>
            <v:group style="position:absolute;left:3266;top:4795;width:1054;height:2" coordorigin="3266,4795" coordsize="1054,2">
              <v:shape style="position:absolute;left:3266;top:4795;width:1054;height:2" coordorigin="3266,4795" coordsize="1054,0" path="m3266,4795l4320,4795e" filled="false" stroked="true" strokeweight=".48pt" strokecolor="#000000">
                <v:path arrowok="t"/>
              </v:shape>
            </v:group>
            <v:group style="position:absolute;left:4330;top:4795;width:1054;height:2" coordorigin="4330,4795" coordsize="1054,2">
              <v:shape style="position:absolute;left:4330;top:4795;width:1054;height:2" coordorigin="4330,4795" coordsize="1054,0" path="m4330,4795l5383,4795e" filled="false" stroked="true" strokeweight=".48pt" strokecolor="#000000">
                <v:path arrowok="t"/>
              </v:shape>
            </v:group>
            <v:group style="position:absolute;left:5393;top:4795;width:1052;height:2" coordorigin="5393,4795" coordsize="1052,2">
              <v:shape style="position:absolute;left:5393;top:4795;width:1052;height:2" coordorigin="5393,4795" coordsize="1052,0" path="m5393,4795l6444,4795e" filled="false" stroked="true" strokeweight=".48pt" strokecolor="#000000">
                <v:path arrowok="t"/>
              </v:shape>
            </v:group>
            <v:group style="position:absolute;left:6454;top:4795;width:1054;height:2" coordorigin="6454,4795" coordsize="1054,2">
              <v:shape style="position:absolute;left:6454;top:4795;width:1054;height:2" coordorigin="6454,4795" coordsize="1054,0" path="m6454,4795l7507,4795e" filled="false" stroked="true" strokeweight=".48pt" strokecolor="#000000">
                <v:path arrowok="t"/>
              </v:shape>
            </v:group>
            <v:group style="position:absolute;left:7517;top:4795;width:1054;height:2" coordorigin="7517,4795" coordsize="1054,2">
              <v:shape style="position:absolute;left:7517;top:4795;width:1054;height:2" coordorigin="7517,4795" coordsize="1054,0" path="m7517,4795l8570,4795e" filled="false" stroked="true" strokeweight=".48pt" strokecolor="#000000">
                <v:path arrowok="t"/>
              </v:shape>
            </v:group>
            <v:group style="position:absolute;left:8580;top:4795;width:1054;height:2" coordorigin="8580,4795" coordsize="1054,2">
              <v:shape style="position:absolute;left:8580;top:4795;width:1054;height:2" coordorigin="8580,4795" coordsize="1054,0" path="m8580,4795l9634,4795e" filled="false" stroked="true" strokeweight=".48pt" strokecolor="#000000">
                <v:path arrowok="t"/>
              </v:shape>
            </v:group>
            <v:group style="position:absolute;left:9643;top:4795;width:1054;height:2" coordorigin="9643,4795" coordsize="1054,2">
              <v:shape style="position:absolute;left:9643;top:4795;width:1054;height:2" coordorigin="9643,4795" coordsize="1054,0" path="m9643,4795l10697,4795e" filled="false" stroked="true" strokeweight=".48pt" strokecolor="#000000">
                <v:path arrowok="t"/>
              </v:shape>
            </v:group>
            <v:group style="position:absolute;left:5393;top:6449;width:1054;height:1330" coordorigin="5393,6449" coordsize="1054,1330">
              <v:shape style="position:absolute;left:5393;top:6449;width:1054;height:1330" coordorigin="5393,6449" coordsize="1054,1330" path="m5393,6449l6446,6449,6446,7778,5393,7778,5393,6449xe" filled="true" fillcolor="#ffffff" stroked="false">
                <v:path arrowok="t"/>
                <v:fill type="solid"/>
              </v:shape>
            </v:group>
            <v:group style="position:absolute;left:5417;top:6917;width:1006;height:394" coordorigin="5417,6917" coordsize="1006,394">
              <v:shape style="position:absolute;left:5417;top:6917;width:1006;height:394" coordorigin="5417,6917" coordsize="1006,394" path="m5417,6917l6422,6917,6422,7310,5417,7310,5417,6917xe" filled="true" fillcolor="#ffffff" stroked="false">
                <v:path arrowok="t"/>
                <v:fill type="solid"/>
              </v:shape>
            </v:group>
            <v:group style="position:absolute;left:1138;top:6444;width:1056;height:2" coordorigin="1138,6444" coordsize="1056,2">
              <v:shape style="position:absolute;left:1138;top:6444;width:1056;height:2" coordorigin="1138,6444" coordsize="1056,0" path="m1138,6444l2194,6444e" filled="false" stroked="true" strokeweight=".48pt" strokecolor="#000000">
                <v:path arrowok="t"/>
              </v:shape>
            </v:group>
            <v:group style="position:absolute;left:2203;top:6444;width:1054;height:2" coordorigin="2203,6444" coordsize="1054,2">
              <v:shape style="position:absolute;left:2203;top:6444;width:1054;height:2" coordorigin="2203,6444" coordsize="1054,0" path="m2203,6444l3257,6444e" filled="false" stroked="true" strokeweight=".48pt" strokecolor="#000000">
                <v:path arrowok="t"/>
              </v:shape>
            </v:group>
            <v:group style="position:absolute;left:3266;top:6444;width:1054;height:2" coordorigin="3266,6444" coordsize="1054,2">
              <v:shape style="position:absolute;left:3266;top:6444;width:1054;height:2" coordorigin="3266,6444" coordsize="1054,0" path="m3266,6444l4320,6444e" filled="false" stroked="true" strokeweight=".48pt" strokecolor="#000000">
                <v:path arrowok="t"/>
              </v:shape>
            </v:group>
            <v:group style="position:absolute;left:4330;top:6444;width:1054;height:2" coordorigin="4330,6444" coordsize="1054,2">
              <v:shape style="position:absolute;left:4330;top:6444;width:1054;height:2" coordorigin="4330,6444" coordsize="1054,0" path="m4330,6444l5383,6444e" filled="false" stroked="true" strokeweight=".48pt" strokecolor="#000000">
                <v:path arrowok="t"/>
              </v:shape>
            </v:group>
            <v:group style="position:absolute;left:5393;top:6444;width:1052;height:2" coordorigin="5393,6444" coordsize="1052,2">
              <v:shape style="position:absolute;left:5393;top:6444;width:1052;height:2" coordorigin="5393,6444" coordsize="1052,0" path="m5393,6444l6444,6444e" filled="false" stroked="true" strokeweight=".48pt" strokecolor="#000000">
                <v:path arrowok="t"/>
              </v:shape>
            </v:group>
            <v:group style="position:absolute;left:6454;top:6444;width:1054;height:2" coordorigin="6454,6444" coordsize="1054,2">
              <v:shape style="position:absolute;left:6454;top:6444;width:1054;height:2" coordorigin="6454,6444" coordsize="1054,0" path="m6454,6444l7507,6444e" filled="false" stroked="true" strokeweight=".48pt" strokecolor="#000000">
                <v:path arrowok="t"/>
              </v:shape>
            </v:group>
            <v:group style="position:absolute;left:7517;top:6444;width:1054;height:2" coordorigin="7517,6444" coordsize="1054,2">
              <v:shape style="position:absolute;left:7517;top:6444;width:1054;height:2" coordorigin="7517,6444" coordsize="1054,0" path="m7517,6444l8570,6444e" filled="false" stroked="true" strokeweight=".48pt" strokecolor="#000000">
                <v:path arrowok="t"/>
              </v:shape>
            </v:group>
            <v:group style="position:absolute;left:8580;top:6444;width:1054;height:2" coordorigin="8580,6444" coordsize="1054,2">
              <v:shape style="position:absolute;left:8580;top:6444;width:1054;height:2" coordorigin="8580,6444" coordsize="1054,0" path="m8580,6444l9634,6444e" filled="false" stroked="true" strokeweight=".48pt" strokecolor="#000000">
                <v:path arrowok="t"/>
              </v:shape>
            </v:group>
            <v:group style="position:absolute;left:9643;top:6444;width:1054;height:2" coordorigin="9643,6444" coordsize="1054,2">
              <v:shape style="position:absolute;left:9643;top:6444;width:1054;height:2" coordorigin="9643,6444" coordsize="1054,0" path="m9643,6444l10697,6444e" filled="false" stroked="true" strokeweight=".48pt" strokecolor="#000000">
                <v:path arrowok="t"/>
              </v:shape>
            </v:group>
            <v:group style="position:absolute;left:5393;top:7788;width:1054;height:1328" coordorigin="5393,7788" coordsize="1054,1328">
              <v:shape style="position:absolute;left:5393;top:7788;width:1054;height:1328" coordorigin="5393,7788" coordsize="1054,1328" path="m5393,7788l6446,7788,6446,9115,5393,9115,5393,7788xe" filled="true" fillcolor="#ffffff" stroked="false">
                <v:path arrowok="t"/>
                <v:fill type="solid"/>
              </v:shape>
            </v:group>
            <v:group style="position:absolute;left:5417;top:8256;width:1006;height:392" coordorigin="5417,8256" coordsize="1006,392">
              <v:shape style="position:absolute;left:5417;top:8256;width:1006;height:392" coordorigin="5417,8256" coordsize="1006,392" path="m5417,8256l6422,8256,6422,8647,5417,8647,5417,8256xe" filled="true" fillcolor="#ffffff" stroked="false">
                <v:path arrowok="t"/>
                <v:fill type="solid"/>
              </v:shape>
            </v:group>
            <v:group style="position:absolute;left:1138;top:7783;width:1056;height:2" coordorigin="1138,7783" coordsize="1056,2">
              <v:shape style="position:absolute;left:1138;top:7783;width:1056;height:2" coordorigin="1138,7783" coordsize="1056,0" path="m1138,7783l2194,7783e" filled="false" stroked="true" strokeweight=".48pt" strokecolor="#000000">
                <v:path arrowok="t"/>
              </v:shape>
            </v:group>
            <v:group style="position:absolute;left:2203;top:7783;width:1054;height:2" coordorigin="2203,7783" coordsize="1054,2">
              <v:shape style="position:absolute;left:2203;top:7783;width:1054;height:2" coordorigin="2203,7783" coordsize="1054,0" path="m2203,7783l3257,7783e" filled="false" stroked="true" strokeweight=".48pt" strokecolor="#000000">
                <v:path arrowok="t"/>
              </v:shape>
            </v:group>
            <v:group style="position:absolute;left:3266;top:7783;width:1054;height:2" coordorigin="3266,7783" coordsize="1054,2">
              <v:shape style="position:absolute;left:3266;top:7783;width:1054;height:2" coordorigin="3266,7783" coordsize="1054,0" path="m3266,7783l4320,7783e" filled="false" stroked="true" strokeweight=".48pt" strokecolor="#000000">
                <v:path arrowok="t"/>
              </v:shape>
            </v:group>
            <v:group style="position:absolute;left:4330;top:7783;width:1054;height:2" coordorigin="4330,7783" coordsize="1054,2">
              <v:shape style="position:absolute;left:4330;top:7783;width:1054;height:2" coordorigin="4330,7783" coordsize="1054,0" path="m4330,7783l5383,7783e" filled="false" stroked="true" strokeweight=".48pt" strokecolor="#000000">
                <v:path arrowok="t"/>
              </v:shape>
            </v:group>
            <v:group style="position:absolute;left:5393;top:7783;width:1052;height:2" coordorigin="5393,7783" coordsize="1052,2">
              <v:shape style="position:absolute;left:5393;top:7783;width:1052;height:2" coordorigin="5393,7783" coordsize="1052,0" path="m5393,7783l6444,7783e" filled="false" stroked="true" strokeweight=".48pt" strokecolor="#000000">
                <v:path arrowok="t"/>
              </v:shape>
            </v:group>
            <v:group style="position:absolute;left:6454;top:7783;width:1054;height:2" coordorigin="6454,7783" coordsize="1054,2">
              <v:shape style="position:absolute;left:6454;top:7783;width:1054;height:2" coordorigin="6454,7783" coordsize="1054,0" path="m6454,7783l7507,7783e" filled="false" stroked="true" strokeweight=".48pt" strokecolor="#000000">
                <v:path arrowok="t"/>
              </v:shape>
            </v:group>
            <v:group style="position:absolute;left:7517;top:7783;width:1054;height:2" coordorigin="7517,7783" coordsize="1054,2">
              <v:shape style="position:absolute;left:7517;top:7783;width:1054;height:2" coordorigin="7517,7783" coordsize="1054,0" path="m7517,7783l8570,7783e" filled="false" stroked="true" strokeweight=".48pt" strokecolor="#000000">
                <v:path arrowok="t"/>
              </v:shape>
            </v:group>
            <v:group style="position:absolute;left:8580;top:7783;width:1054;height:2" coordorigin="8580,7783" coordsize="1054,2">
              <v:shape style="position:absolute;left:8580;top:7783;width:1054;height:2" coordorigin="8580,7783" coordsize="1054,0" path="m8580,7783l9634,7783e" filled="false" stroked="true" strokeweight=".48pt" strokecolor="#000000">
                <v:path arrowok="t"/>
              </v:shape>
            </v:group>
            <v:group style="position:absolute;left:9643;top:7783;width:1054;height:2" coordorigin="9643,7783" coordsize="1054,2">
              <v:shape style="position:absolute;left:9643;top:7783;width:1054;height:2" coordorigin="9643,7783" coordsize="1054,0" path="m9643,7783l10697,7783e" filled="false" stroked="true" strokeweight=".48pt" strokecolor="#000000">
                <v:path arrowok="t"/>
              </v:shape>
            </v:group>
            <v:group style="position:absolute;left:5393;top:9125;width:1054;height:1642" coordorigin="5393,9125" coordsize="1054,1642">
              <v:shape style="position:absolute;left:5393;top:9125;width:1054;height:1642" coordorigin="5393,9125" coordsize="1054,1642" path="m5393,9125l6446,9125,6446,10766,5393,10766,5393,9125xe" filled="true" fillcolor="#ffffff" stroked="false">
                <v:path arrowok="t"/>
                <v:fill type="solid"/>
              </v:shape>
            </v:group>
            <v:group style="position:absolute;left:5417;top:9749;width:1006;height:394" coordorigin="5417,9749" coordsize="1006,394">
              <v:shape style="position:absolute;left:5417;top:9749;width:1006;height:394" coordorigin="5417,9749" coordsize="1006,394" path="m5417,9749l6422,9749,6422,10142,5417,10142,5417,9749xe" filled="true" fillcolor="#ffffff" stroked="false">
                <v:path arrowok="t"/>
                <v:fill type="solid"/>
              </v:shape>
            </v:group>
            <v:group style="position:absolute;left:1138;top:9120;width:1056;height:2" coordorigin="1138,9120" coordsize="1056,2">
              <v:shape style="position:absolute;left:1138;top:9120;width:1056;height:2" coordorigin="1138,9120" coordsize="1056,0" path="m1138,9120l2194,9120e" filled="false" stroked="true" strokeweight=".48pt" strokecolor="#000000">
                <v:path arrowok="t"/>
              </v:shape>
            </v:group>
            <v:group style="position:absolute;left:2203;top:9120;width:1054;height:2" coordorigin="2203,9120" coordsize="1054,2">
              <v:shape style="position:absolute;left:2203;top:9120;width:1054;height:2" coordorigin="2203,9120" coordsize="1054,0" path="m2203,9120l3257,9120e" filled="false" stroked="true" strokeweight=".48pt" strokecolor="#000000">
                <v:path arrowok="t"/>
              </v:shape>
            </v:group>
            <v:group style="position:absolute;left:3266;top:9120;width:1054;height:2" coordorigin="3266,9120" coordsize="1054,2">
              <v:shape style="position:absolute;left:3266;top:9120;width:1054;height:2" coordorigin="3266,9120" coordsize="1054,0" path="m3266,9120l4320,9120e" filled="false" stroked="true" strokeweight=".48pt" strokecolor="#000000">
                <v:path arrowok="t"/>
              </v:shape>
            </v:group>
            <v:group style="position:absolute;left:4330;top:9120;width:1054;height:2" coordorigin="4330,9120" coordsize="1054,2">
              <v:shape style="position:absolute;left:4330;top:9120;width:1054;height:2" coordorigin="4330,9120" coordsize="1054,0" path="m4330,9120l5383,9120e" filled="false" stroked="true" strokeweight=".48pt" strokecolor="#000000">
                <v:path arrowok="t"/>
              </v:shape>
            </v:group>
            <v:group style="position:absolute;left:5393;top:9120;width:1052;height:2" coordorigin="5393,9120" coordsize="1052,2">
              <v:shape style="position:absolute;left:5393;top:9120;width:1052;height:2" coordorigin="5393,9120" coordsize="1052,0" path="m5393,9120l6444,9120e" filled="false" stroked="true" strokeweight=".48pt" strokecolor="#000000">
                <v:path arrowok="t"/>
              </v:shape>
            </v:group>
            <v:group style="position:absolute;left:6454;top:9120;width:1054;height:2" coordorigin="6454,9120" coordsize="1054,2">
              <v:shape style="position:absolute;left:6454;top:9120;width:1054;height:2" coordorigin="6454,9120" coordsize="1054,0" path="m6454,9120l7507,9120e" filled="false" stroked="true" strokeweight=".48pt" strokecolor="#000000">
                <v:path arrowok="t"/>
              </v:shape>
            </v:group>
            <v:group style="position:absolute;left:7517;top:9120;width:1054;height:2" coordorigin="7517,9120" coordsize="1054,2">
              <v:shape style="position:absolute;left:7517;top:9120;width:1054;height:2" coordorigin="7517,9120" coordsize="1054,0" path="m7517,9120l8570,9120e" filled="false" stroked="true" strokeweight=".48pt" strokecolor="#000000">
                <v:path arrowok="t"/>
              </v:shape>
            </v:group>
            <v:group style="position:absolute;left:8580;top:9120;width:1054;height:2" coordorigin="8580,9120" coordsize="1054,2">
              <v:shape style="position:absolute;left:8580;top:9120;width:1054;height:2" coordorigin="8580,9120" coordsize="1054,0" path="m8580,9120l9634,9120e" filled="false" stroked="true" strokeweight=".48pt" strokecolor="#000000">
                <v:path arrowok="t"/>
              </v:shape>
            </v:group>
            <v:group style="position:absolute;left:9643;top:9120;width:1054;height:2" coordorigin="9643,9120" coordsize="1054,2">
              <v:shape style="position:absolute;left:9643;top:9120;width:1054;height:2" coordorigin="9643,9120" coordsize="1054,0" path="m9643,9120l10697,9120e" filled="false" stroked="true" strokeweight=".48pt" strokecolor="#000000">
                <v:path arrowok="t"/>
              </v:shape>
            </v:group>
            <v:group style="position:absolute;left:5393;top:10776;width:1054;height:1952" coordorigin="5393,10776" coordsize="1054,1952">
              <v:shape style="position:absolute;left:5393;top:10776;width:1054;height:1952" coordorigin="5393,10776" coordsize="1054,1952" path="m5393,10776l6446,10776,6446,12727,5393,12727,5393,10776xe" filled="true" fillcolor="#ffffff" stroked="false">
                <v:path arrowok="t"/>
                <v:fill type="solid"/>
              </v:shape>
            </v:group>
            <v:group style="position:absolute;left:5417;top:11556;width:1006;height:392" coordorigin="5417,11556" coordsize="1006,392">
              <v:shape style="position:absolute;left:5417;top:11556;width:1006;height:392" coordorigin="5417,11556" coordsize="1006,392" path="m5417,11556l6422,11556,6422,11947,5417,11947,5417,11556xe" filled="true" fillcolor="#ffffff" stroked="false">
                <v:path arrowok="t"/>
                <v:fill type="solid"/>
              </v:shape>
            </v:group>
            <v:group style="position:absolute;left:1138;top:10771;width:1056;height:2" coordorigin="1138,10771" coordsize="1056,2">
              <v:shape style="position:absolute;left:1138;top:10771;width:1056;height:2" coordorigin="1138,10771" coordsize="1056,0" path="m1138,10771l2194,10771e" filled="false" stroked="true" strokeweight=".48pt" strokecolor="#000000">
                <v:path arrowok="t"/>
              </v:shape>
            </v:group>
            <v:group style="position:absolute;left:2203;top:10771;width:1054;height:2" coordorigin="2203,10771" coordsize="1054,2">
              <v:shape style="position:absolute;left:2203;top:10771;width:1054;height:2" coordorigin="2203,10771" coordsize="1054,0" path="m2203,10771l3257,10771e" filled="false" stroked="true" strokeweight=".48pt" strokecolor="#000000">
                <v:path arrowok="t"/>
              </v:shape>
            </v:group>
            <v:group style="position:absolute;left:3266;top:10771;width:1054;height:2" coordorigin="3266,10771" coordsize="1054,2">
              <v:shape style="position:absolute;left:3266;top:10771;width:1054;height:2" coordorigin="3266,10771" coordsize="1054,0" path="m3266,10771l4320,10771e" filled="false" stroked="true" strokeweight=".48pt" strokecolor="#000000">
                <v:path arrowok="t"/>
              </v:shape>
            </v:group>
            <v:group style="position:absolute;left:4330;top:10771;width:1054;height:2" coordorigin="4330,10771" coordsize="1054,2">
              <v:shape style="position:absolute;left:4330;top:10771;width:1054;height:2" coordorigin="4330,10771" coordsize="1054,0" path="m4330,10771l5383,10771e" filled="false" stroked="true" strokeweight=".48pt" strokecolor="#000000">
                <v:path arrowok="t"/>
              </v:shape>
            </v:group>
            <v:group style="position:absolute;left:5393;top:10771;width:1052;height:2" coordorigin="5393,10771" coordsize="1052,2">
              <v:shape style="position:absolute;left:5393;top:10771;width:1052;height:2" coordorigin="5393,10771" coordsize="1052,0" path="m5393,10771l6444,10771e" filled="false" stroked="true" strokeweight=".48pt" strokecolor="#000000">
                <v:path arrowok="t"/>
              </v:shape>
            </v:group>
            <v:group style="position:absolute;left:6454;top:10771;width:1054;height:2" coordorigin="6454,10771" coordsize="1054,2">
              <v:shape style="position:absolute;left:6454;top:10771;width:1054;height:2" coordorigin="6454,10771" coordsize="1054,0" path="m6454,10771l7507,10771e" filled="false" stroked="true" strokeweight=".48pt" strokecolor="#000000">
                <v:path arrowok="t"/>
              </v:shape>
            </v:group>
            <v:group style="position:absolute;left:7517;top:10771;width:1054;height:2" coordorigin="7517,10771" coordsize="1054,2">
              <v:shape style="position:absolute;left:7517;top:10771;width:1054;height:2" coordorigin="7517,10771" coordsize="1054,0" path="m7517,10771l8570,10771e" filled="false" stroked="true" strokeweight=".48pt" strokecolor="#000000">
                <v:path arrowok="t"/>
              </v:shape>
            </v:group>
            <v:group style="position:absolute;left:8580;top:10771;width:1054;height:2" coordorigin="8580,10771" coordsize="1054,2">
              <v:shape style="position:absolute;left:8580;top:10771;width:1054;height:2" coordorigin="8580,10771" coordsize="1054,0" path="m8580,10771l9634,10771e" filled="false" stroked="true" strokeweight=".48pt" strokecolor="#000000">
                <v:path arrowok="t"/>
              </v:shape>
            </v:group>
            <v:group style="position:absolute;left:9643;top:10771;width:1054;height:2" coordorigin="9643,10771" coordsize="1054,2">
              <v:shape style="position:absolute;left:9643;top:10771;width:1054;height:2" coordorigin="9643,10771" coordsize="1054,0" path="m9643,10771l10697,10771e" filled="false" stroked="true" strokeweight=".48pt" strokecolor="#000000">
                <v:path arrowok="t"/>
              </v:shape>
            </v:group>
            <v:group style="position:absolute;left:5393;top:12737;width:1054;height:1330" coordorigin="5393,12737" coordsize="1054,1330">
              <v:shape style="position:absolute;left:5393;top:12737;width:1054;height:1330" coordorigin="5393,12737" coordsize="1054,1330" path="m5393,12737l6446,12737,6446,14066,5393,14066,5393,12737xe" filled="true" fillcolor="#ffffff" stroked="false">
                <v:path arrowok="t"/>
                <v:fill type="solid"/>
              </v:shape>
            </v:group>
            <v:group style="position:absolute;left:5417;top:13205;width:1006;height:394" coordorigin="5417,13205" coordsize="1006,394">
              <v:shape style="position:absolute;left:5417;top:13205;width:1006;height:394" coordorigin="5417,13205" coordsize="1006,394" path="m5417,13205l6422,13205,6422,13598,5417,13598,5417,13205xe" filled="true" fillcolor="#ffffff" stroked="false">
                <v:path arrowok="t"/>
                <v:fill type="solid"/>
              </v:shape>
            </v:group>
            <v:group style="position:absolute;left:1138;top:12732;width:1056;height:2" coordorigin="1138,12732" coordsize="1056,2">
              <v:shape style="position:absolute;left:1138;top:12732;width:1056;height:2" coordorigin="1138,12732" coordsize="1056,0" path="m1138,12732l2194,12732e" filled="false" stroked="true" strokeweight=".48pt" strokecolor="#000000">
                <v:path arrowok="t"/>
              </v:shape>
            </v:group>
            <v:group style="position:absolute;left:2203;top:12732;width:1054;height:2" coordorigin="2203,12732" coordsize="1054,2">
              <v:shape style="position:absolute;left:2203;top:12732;width:1054;height:2" coordorigin="2203,12732" coordsize="1054,0" path="m2203,12732l3257,12732e" filled="false" stroked="true" strokeweight=".48pt" strokecolor="#000000">
                <v:path arrowok="t"/>
              </v:shape>
            </v:group>
            <v:group style="position:absolute;left:3266;top:12732;width:1054;height:2" coordorigin="3266,12732" coordsize="1054,2">
              <v:shape style="position:absolute;left:3266;top:12732;width:1054;height:2" coordorigin="3266,12732" coordsize="1054,0" path="m3266,12732l4320,12732e" filled="false" stroked="true" strokeweight=".48pt" strokecolor="#000000">
                <v:path arrowok="t"/>
              </v:shape>
            </v:group>
            <v:group style="position:absolute;left:4330;top:12732;width:1054;height:2" coordorigin="4330,12732" coordsize="1054,2">
              <v:shape style="position:absolute;left:4330;top:12732;width:1054;height:2" coordorigin="4330,12732" coordsize="1054,0" path="m4330,12732l5383,12732e" filled="false" stroked="true" strokeweight=".48pt" strokecolor="#000000">
                <v:path arrowok="t"/>
              </v:shape>
            </v:group>
            <v:group style="position:absolute;left:5393;top:12732;width:1052;height:2" coordorigin="5393,12732" coordsize="1052,2">
              <v:shape style="position:absolute;left:5393;top:12732;width:1052;height:2" coordorigin="5393,12732" coordsize="1052,0" path="m5393,12732l6444,12732e" filled="false" stroked="true" strokeweight=".48pt" strokecolor="#000000">
                <v:path arrowok="t"/>
              </v:shape>
            </v:group>
            <v:group style="position:absolute;left:6454;top:12732;width:1054;height:2" coordorigin="6454,12732" coordsize="1054,2">
              <v:shape style="position:absolute;left:6454;top:12732;width:1054;height:2" coordorigin="6454,12732" coordsize="1054,0" path="m6454,12732l7507,12732e" filled="false" stroked="true" strokeweight=".48pt" strokecolor="#000000">
                <v:path arrowok="t"/>
              </v:shape>
            </v:group>
            <v:group style="position:absolute;left:7517;top:12732;width:1054;height:2" coordorigin="7517,12732" coordsize="1054,2">
              <v:shape style="position:absolute;left:7517;top:12732;width:1054;height:2" coordorigin="7517,12732" coordsize="1054,0" path="m7517,12732l8570,12732e" filled="false" stroked="true" strokeweight=".48pt" strokecolor="#000000">
                <v:path arrowok="t"/>
              </v:shape>
            </v:group>
            <v:group style="position:absolute;left:8580;top:12732;width:1054;height:2" coordorigin="8580,12732" coordsize="1054,2">
              <v:shape style="position:absolute;left:8580;top:12732;width:1054;height:2" coordorigin="8580,12732" coordsize="1054,0" path="m8580,12732l9634,12732e" filled="false" stroked="true" strokeweight=".48pt" strokecolor="#000000">
                <v:path arrowok="t"/>
              </v:shape>
            </v:group>
            <v:group style="position:absolute;left:9643;top:12732;width:1054;height:2" coordorigin="9643,12732" coordsize="1054,2">
              <v:shape style="position:absolute;left:9643;top:12732;width:1054;height:2" coordorigin="9643,12732" coordsize="1054,0" path="m9643,12732l10697,12732e" filled="false" stroked="true" strokeweight=".48pt" strokecolor="#000000">
                <v:path arrowok="t"/>
              </v:shape>
            </v:group>
            <v:group style="position:absolute;left:5393;top:14076;width:1054;height:1289" coordorigin="5393,14076" coordsize="1054,1289">
              <v:shape style="position:absolute;left:5393;top:14076;width:1054;height:1289" coordorigin="5393,14076" coordsize="1054,1289" path="m5393,14076l6446,14076,6446,15365,5393,15365,5393,14076xe" filled="true" fillcolor="#ffffff" stroked="false">
                <v:path arrowok="t"/>
                <v:fill type="solid"/>
              </v:shape>
            </v:group>
            <v:group style="position:absolute;left:5417;top:14525;width:1006;height:392" coordorigin="5417,14525" coordsize="1006,392">
              <v:shape style="position:absolute;left:5417;top:14525;width:1006;height:392" coordorigin="5417,14525" coordsize="1006,392" path="m5417,14525l6422,14525,6422,14916,5417,14916,5417,14525xe" filled="true" fillcolor="#ffffff" stroked="false">
                <v:path arrowok="t"/>
                <v:fill type="solid"/>
              </v:shape>
            </v:group>
            <v:group style="position:absolute;left:1138;top:14071;width:1056;height:2" coordorigin="1138,14071" coordsize="1056,2">
              <v:shape style="position:absolute;left:1138;top:14071;width:1056;height:2" coordorigin="1138,14071" coordsize="1056,0" path="m1138,14071l2194,14071e" filled="false" stroked="true" strokeweight=".48pt" strokecolor="#000000">
                <v:path arrowok="t"/>
              </v:shape>
            </v:group>
            <v:group style="position:absolute;left:2203;top:14071;width:1054;height:2" coordorigin="2203,14071" coordsize="1054,2">
              <v:shape style="position:absolute;left:2203;top:14071;width:1054;height:2" coordorigin="2203,14071" coordsize="1054,0" path="m2203,14071l3257,14071e" filled="false" stroked="true" strokeweight=".48pt" strokecolor="#000000">
                <v:path arrowok="t"/>
              </v:shape>
            </v:group>
            <v:group style="position:absolute;left:3266;top:14071;width:1054;height:2" coordorigin="3266,14071" coordsize="1054,2">
              <v:shape style="position:absolute;left:3266;top:14071;width:1054;height:2" coordorigin="3266,14071" coordsize="1054,0" path="m3266,14071l4320,14071e" filled="false" stroked="true" strokeweight=".48pt" strokecolor="#000000">
                <v:path arrowok="t"/>
              </v:shape>
            </v:group>
            <v:group style="position:absolute;left:4330;top:14071;width:1054;height:2" coordorigin="4330,14071" coordsize="1054,2">
              <v:shape style="position:absolute;left:4330;top:14071;width:1054;height:2" coordorigin="4330,14071" coordsize="1054,0" path="m4330,14071l5383,14071e" filled="false" stroked="true" strokeweight=".48pt" strokecolor="#000000">
                <v:path arrowok="t"/>
              </v:shape>
            </v:group>
            <v:group style="position:absolute;left:5393;top:14071;width:1052;height:2" coordorigin="5393,14071" coordsize="1052,2">
              <v:shape style="position:absolute;left:5393;top:14071;width:1052;height:2" coordorigin="5393,14071" coordsize="1052,0" path="m5393,14071l6444,14071e" filled="false" stroked="true" strokeweight=".48pt" strokecolor="#000000">
                <v:path arrowok="t"/>
              </v:shape>
            </v:group>
            <v:group style="position:absolute;left:6454;top:14071;width:1054;height:2" coordorigin="6454,14071" coordsize="1054,2">
              <v:shape style="position:absolute;left:6454;top:14071;width:1054;height:2" coordorigin="6454,14071" coordsize="1054,0" path="m6454,14071l7507,14071e" filled="false" stroked="true" strokeweight=".48pt" strokecolor="#000000">
                <v:path arrowok="t"/>
              </v:shape>
            </v:group>
            <v:group style="position:absolute;left:7517;top:14071;width:1054;height:2" coordorigin="7517,14071" coordsize="1054,2">
              <v:shape style="position:absolute;left:7517;top:14071;width:1054;height:2" coordorigin="7517,14071" coordsize="1054,0" path="m7517,14071l8570,14071e" filled="false" stroked="true" strokeweight=".48pt" strokecolor="#000000">
                <v:path arrowok="t"/>
              </v:shape>
            </v:group>
            <v:group style="position:absolute;left:8580;top:14071;width:1054;height:2" coordorigin="8580,14071" coordsize="1054,2">
              <v:shape style="position:absolute;left:8580;top:14071;width:1054;height:2" coordorigin="8580,14071" coordsize="1054,0" path="m8580,14071l9634,14071e" filled="false" stroked="true" strokeweight=".48pt" strokecolor="#000000">
                <v:path arrowok="t"/>
              </v:shape>
            </v:group>
            <v:group style="position:absolute;left:9643;top:14071;width:1054;height:2" coordorigin="9643,14071" coordsize="1054,2">
              <v:shape style="position:absolute;left:9643;top:14071;width:1054;height:2" coordorigin="9643,14071" coordsize="1054,0" path="m9643,14071l10697,14071e" filled="false" stroked="true" strokeweight=".48pt" strokecolor="#000000">
                <v:path arrowok="t"/>
              </v:shape>
            </v:group>
            <v:group style="position:absolute;left:1133;top:1440;width:2;height:13935" coordorigin="1133,1440" coordsize="2,13935">
              <v:shape style="position:absolute;left:1133;top:1440;width:2;height:13935" coordorigin="1133,1440" coordsize="0,13935" path="m1133,1440l1133,15374e" filled="false" stroked="true" strokeweight=".48pt" strokecolor="#000000">
                <v:path arrowok="t"/>
              </v:shape>
            </v:group>
            <v:group style="position:absolute;left:1138;top:15370;width:1056;height:2" coordorigin="1138,15370" coordsize="1056,2">
              <v:shape style="position:absolute;left:1138;top:15370;width:1056;height:2" coordorigin="1138,15370" coordsize="1056,0" path="m1138,15370l2194,15370e" filled="false" stroked="true" strokeweight=".48pt" strokecolor="#000000">
                <v:path arrowok="t"/>
              </v:shape>
            </v:group>
            <v:group style="position:absolute;left:2198;top:1440;width:2;height:13935" coordorigin="2198,1440" coordsize="2,13935">
              <v:shape style="position:absolute;left:2198;top:1440;width:2;height:13935" coordorigin="2198,1440" coordsize="0,13935" path="m2198,1440l2198,15374e" filled="false" stroked="true" strokeweight=".48pt" strokecolor="#000000">
                <v:path arrowok="t"/>
              </v:shape>
            </v:group>
            <v:group style="position:absolute;left:2203;top:15370;width:1054;height:2" coordorigin="2203,15370" coordsize="1054,2">
              <v:shape style="position:absolute;left:2203;top:15370;width:1054;height:2" coordorigin="2203,15370" coordsize="1054,0" path="m2203,15370l3257,15370e" filled="false" stroked="true" strokeweight=".48pt" strokecolor="#000000">
                <v:path arrowok="t"/>
              </v:shape>
            </v:group>
            <v:group style="position:absolute;left:3262;top:1440;width:2;height:13935" coordorigin="3262,1440" coordsize="2,13935">
              <v:shape style="position:absolute;left:3262;top:1440;width:2;height:13935" coordorigin="3262,1440" coordsize="0,13935" path="m3262,1440l3262,15374e" filled="false" stroked="true" strokeweight=".48pt" strokecolor="#000000">
                <v:path arrowok="t"/>
              </v:shape>
            </v:group>
            <v:group style="position:absolute;left:3266;top:15370;width:1054;height:2" coordorigin="3266,15370" coordsize="1054,2">
              <v:shape style="position:absolute;left:3266;top:15370;width:1054;height:2" coordorigin="3266,15370" coordsize="1054,0" path="m3266,15370l4320,15370e" filled="false" stroked="true" strokeweight=".48pt" strokecolor="#000000">
                <v:path arrowok="t"/>
              </v:shape>
            </v:group>
            <v:group style="position:absolute;left:4325;top:1440;width:2;height:13935" coordorigin="4325,1440" coordsize="2,13935">
              <v:shape style="position:absolute;left:4325;top:1440;width:2;height:13935" coordorigin="4325,1440" coordsize="0,13935" path="m4325,1440l4325,15374e" filled="false" stroked="true" strokeweight=".48pt" strokecolor="#000000">
                <v:path arrowok="t"/>
              </v:shape>
            </v:group>
            <v:group style="position:absolute;left:4330;top:15370;width:1054;height:2" coordorigin="4330,15370" coordsize="1054,2">
              <v:shape style="position:absolute;left:4330;top:15370;width:1054;height:2" coordorigin="4330,15370" coordsize="1054,0" path="m4330,15370l5383,15370e" filled="false" stroked="true" strokeweight=".48pt" strokecolor="#000000">
                <v:path arrowok="t"/>
              </v:shape>
            </v:group>
            <v:group style="position:absolute;left:5388;top:1440;width:2;height:13935" coordorigin="5388,1440" coordsize="2,13935">
              <v:shape style="position:absolute;left:5388;top:1440;width:2;height:13935" coordorigin="5388,1440" coordsize="0,13935" path="m5388,1440l5388,15374e" filled="false" stroked="true" strokeweight=".48pt" strokecolor="#000000">
                <v:path arrowok="t"/>
              </v:shape>
            </v:group>
            <v:group style="position:absolute;left:5393;top:15370;width:1052;height:2" coordorigin="5393,15370" coordsize="1052,2">
              <v:shape style="position:absolute;left:5393;top:15370;width:1052;height:2" coordorigin="5393,15370" coordsize="1052,0" path="m5393,15370l6444,15370e" filled="false" stroked="true" strokeweight=".48pt" strokecolor="#000000">
                <v:path arrowok="t"/>
              </v:shape>
            </v:group>
            <v:group style="position:absolute;left:6449;top:1440;width:2;height:13935" coordorigin="6449,1440" coordsize="2,13935">
              <v:shape style="position:absolute;left:6449;top:1440;width:2;height:13935" coordorigin="6449,1440" coordsize="0,13935" path="m6449,1440l6449,15374e" filled="false" stroked="true" strokeweight=".48pt" strokecolor="#000000">
                <v:path arrowok="t"/>
              </v:shape>
            </v:group>
            <v:group style="position:absolute;left:6454;top:15370;width:1054;height:2" coordorigin="6454,15370" coordsize="1054,2">
              <v:shape style="position:absolute;left:6454;top:15370;width:1054;height:2" coordorigin="6454,15370" coordsize="1054,0" path="m6454,15370l7507,15370e" filled="false" stroked="true" strokeweight=".48pt" strokecolor="#000000">
                <v:path arrowok="t"/>
              </v:shape>
            </v:group>
            <v:group style="position:absolute;left:7512;top:1440;width:2;height:13935" coordorigin="7512,1440" coordsize="2,13935">
              <v:shape style="position:absolute;left:7512;top:1440;width:2;height:13935" coordorigin="7512,1440" coordsize="0,13935" path="m7512,1440l7512,15374e" filled="false" stroked="true" strokeweight=".48pt" strokecolor="#000000">
                <v:path arrowok="t"/>
              </v:shape>
            </v:group>
            <v:group style="position:absolute;left:7517;top:15370;width:1054;height:2" coordorigin="7517,15370" coordsize="1054,2">
              <v:shape style="position:absolute;left:7517;top:15370;width:1054;height:2" coordorigin="7517,15370" coordsize="1054,0" path="m7517,15370l8570,15370e" filled="false" stroked="true" strokeweight=".48pt" strokecolor="#000000">
                <v:path arrowok="t"/>
              </v:shape>
            </v:group>
            <v:group style="position:absolute;left:8575;top:1440;width:2;height:13935" coordorigin="8575,1440" coordsize="2,13935">
              <v:shape style="position:absolute;left:8575;top:1440;width:2;height:13935" coordorigin="8575,1440" coordsize="0,13935" path="m8575,1440l8575,15374e" filled="false" stroked="true" strokeweight=".48pt" strokecolor="#000000">
                <v:path arrowok="t"/>
              </v:shape>
            </v:group>
            <v:group style="position:absolute;left:8580;top:15370;width:1054;height:2" coordorigin="8580,15370" coordsize="1054,2">
              <v:shape style="position:absolute;left:8580;top:15370;width:1054;height:2" coordorigin="8580,15370" coordsize="1054,0" path="m8580,15370l9634,15370e" filled="false" stroked="true" strokeweight=".48pt" strokecolor="#000000">
                <v:path arrowok="t"/>
              </v:shape>
            </v:group>
            <v:group style="position:absolute;left:9638;top:1440;width:2;height:13935" coordorigin="9638,1440" coordsize="2,13935">
              <v:shape style="position:absolute;left:9638;top:1440;width:2;height:13935" coordorigin="9638,1440" coordsize="0,13935" path="m9638,1440l9638,15374e" filled="false" stroked="true" strokeweight=".48pt" strokecolor="#000000">
                <v:path arrowok="t"/>
              </v:shape>
            </v:group>
            <v:group style="position:absolute;left:9643;top:15370;width:1054;height:2" coordorigin="9643,15370" coordsize="1054,2">
              <v:shape style="position:absolute;left:9643;top:15370;width:1054;height:2" coordorigin="9643,15370" coordsize="1054,0" path="m9643,15370l10697,15370e" filled="false" stroked="true" strokeweight=".48pt" strokecolor="#000000">
                <v:path arrowok="t"/>
              </v:shape>
            </v:group>
            <v:group style="position:absolute;left:10702;top:1440;width:2;height:13935" coordorigin="10702,1440" coordsize="2,13935">
              <v:shape style="position:absolute;left:10702;top:1440;width:2;height:13935" coordorigin="10702,1440" coordsize="0,13935" path="m10702,1440l10702,15374e" filled="false" stroked="true" strokeweight=".48pt" strokecolor="#000000">
                <v:path arrowok="t"/>
              </v:shape>
            </v:group>
            <w10:wrap type="none"/>
          </v:group>
        </w:pict>
      </w:r>
      <w:r>
        <w:rPr/>
        <w:t>育智能物联 网数据预处</w:t>
      </w:r>
    </w:p>
    <w:p>
      <w:pPr>
        <w:pStyle w:val="BodyText"/>
        <w:spacing w:line="100" w:lineRule="exact"/>
        <w:ind w:left="125" w:right="-20"/>
        <w:jc w:val="left"/>
      </w:pPr>
      <w:r>
        <w:rPr/>
        <w:br w:type="column"/>
      </w:r>
      <w:r>
        <w:rPr/>
        <w:t>托有限责任</w:t>
      </w:r>
      <w:r>
        <w:rPr>
          <w:spacing w:val="73"/>
        </w:rPr>
        <w:t> </w:t>
      </w:r>
      <w:r>
        <w:rPr/>
        <w:t>补助</w:t>
      </w:r>
    </w:p>
    <w:p>
      <w:pPr>
        <w:pStyle w:val="BodyText"/>
        <w:spacing w:line="240" w:lineRule="auto" w:before="74"/>
        <w:ind w:left="125" w:right="-20"/>
        <w:jc w:val="left"/>
      </w:pPr>
      <w:r>
        <w:rPr/>
        <w:t>公司</w:t>
      </w:r>
    </w:p>
    <w:p>
      <w:pPr>
        <w:pStyle w:val="BodyText"/>
        <w:spacing w:line="119" w:lineRule="exact"/>
        <w:ind w:left="181" w:right="-20"/>
        <w:jc w:val="left"/>
      </w:pPr>
      <w:r>
        <w:rPr/>
        <w:br w:type="column"/>
      </w:r>
      <w:r>
        <w:rPr/>
        <w:t>技术更新及</w:t>
      </w:r>
    </w:p>
    <w:p>
      <w:pPr>
        <w:pStyle w:val="BodyText"/>
        <w:spacing w:line="240" w:lineRule="auto" w:before="76"/>
        <w:ind w:left="181" w:right="-20"/>
        <w:jc w:val="left"/>
      </w:pPr>
      <w:r>
        <w:rPr/>
        <w:t>改造等获得</w:t>
      </w:r>
    </w:p>
    <w:p>
      <w:pPr>
        <w:pStyle w:val="BodyText"/>
        <w:tabs>
          <w:tab w:pos="1186" w:val="left" w:leader="none"/>
          <w:tab w:pos="2444" w:val="left" w:leader="none"/>
          <w:tab w:pos="4373" w:val="left" w:leader="none"/>
        </w:tabs>
        <w:spacing w:line="113" w:lineRule="exact"/>
        <w:ind w:left="123" w:right="0"/>
        <w:jc w:val="left"/>
      </w:pPr>
      <w:r>
        <w:rPr/>
        <w:br w:type="column"/>
      </w:r>
      <w:r>
        <w:rPr/>
        <w:t>否</w:t>
        <w:tab/>
        <w:t>否</w:t>
        <w:tab/>
      </w:r>
      <w:r>
        <w:rPr>
          <w:rFonts w:ascii="Times New Roman" w:hAnsi="Times New Roman" w:cs="Times New Roman" w:eastAsia="Times New Roman" w:hint="default"/>
        </w:rPr>
        <w:t>380,000.00</w:t>
        <w:tab/>
      </w:r>
      <w:r>
        <w:rPr/>
        <w:t>与收益相关</w:t>
      </w:r>
    </w:p>
    <w:p>
      <w:pPr>
        <w:spacing w:after="0" w:line="113" w:lineRule="exact"/>
        <w:jc w:val="left"/>
        <w:sectPr>
          <w:type w:val="continuous"/>
          <w:pgSz w:w="11910" w:h="16840"/>
          <w:pgMar w:top="1060" w:bottom="1180" w:left="980" w:right="980"/>
          <w:cols w:num="4" w:equalWidth="0">
            <w:col w:w="1082" w:space="40"/>
            <w:col w:w="1549" w:space="521"/>
            <w:col w:w="1082" w:space="40"/>
            <w:col w:w="5636"/>
          </w:cols>
        </w:sectPr>
      </w:pPr>
    </w:p>
    <w:p>
      <w:pPr>
        <w:spacing w:line="240" w:lineRule="auto" w:before="6"/>
        <w:rPr>
          <w:rFonts w:ascii="宋体" w:hAnsi="宋体" w:cs="宋体" w:eastAsia="宋体" w:hint="default"/>
          <w:sz w:val="28"/>
          <w:szCs w:val="28"/>
        </w:rPr>
      </w:pPr>
      <w:r>
        <w:rPr/>
        <w:pict>
          <v:group style="position:absolute;margin-left:269.640015pt;margin-top:90.600014pt;width:52.7pt;height:66.4pt;mso-position-horizontal-relative:page;mso-position-vertical-relative:page;z-index:-988432" coordorigin="5393,1812" coordsize="1054,1328">
            <v:group style="position:absolute;left:5393;top:1812;width:1054;height:1328" coordorigin="5393,1812" coordsize="1054,1328">
              <v:shape style="position:absolute;left:5393;top:1812;width:1054;height:1328" coordorigin="5393,1812" coordsize="1054,1328" path="m5393,1812l6446,1812,6446,3139,5393,3139,5393,1812xe" filled="true" fillcolor="#ffffff" stroked="false">
                <v:path arrowok="t"/>
                <v:fill type="solid"/>
              </v:shape>
            </v:group>
            <v:group style="position:absolute;left:5417;top:2280;width:1006;height:392" coordorigin="5417,2280" coordsize="1006,392">
              <v:shape style="position:absolute;left:5417;top:2280;width:1006;height:392" coordorigin="5417,2280" coordsize="1006,392" path="m5417,2280l6422,2280,6422,2671,5417,2671,5417,228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理决策系统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7"/>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0"/>
              <w:jc w:val="left"/>
              <w:rPr>
                <w:rFonts w:ascii="宋体" w:hAnsi="宋体" w:cs="宋体" w:eastAsia="宋体" w:hint="default"/>
                <w:sz w:val="18"/>
                <w:szCs w:val="18"/>
              </w:rPr>
            </w:pPr>
            <w:r>
              <w:rPr>
                <w:rFonts w:ascii="宋体" w:hAnsi="宋体" w:cs="宋体" w:eastAsia="宋体" w:hint="default"/>
                <w:sz w:val="18"/>
                <w:szCs w:val="18"/>
              </w:rPr>
              <w:t>上海市科委 课题研究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1,186,000.00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0"/>
              <w:jc w:val="both"/>
              <w:rPr>
                <w:rFonts w:ascii="宋体" w:hAnsi="宋体" w:cs="宋体" w:eastAsia="宋体" w:hint="default"/>
                <w:sz w:val="18"/>
                <w:szCs w:val="18"/>
              </w:rPr>
            </w:pPr>
            <w:r>
              <w:rPr>
                <w:rFonts w:ascii="宋体" w:hAnsi="宋体" w:cs="宋体" w:eastAsia="宋体" w:hint="default"/>
                <w:sz w:val="18"/>
                <w:szCs w:val="18"/>
              </w:rPr>
              <w:t>浦东新区职 工职业培训 财政补贴拨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287,372.00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235,518.46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3"/>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52,637,009.7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39,068,445.2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pict>
          <v:group style="position:absolute;margin-left:269.640015pt;margin-top:-115.171295pt;width:52.7pt;height:66.4pt;mso-position-horizontal-relative:page;mso-position-vertical-relative:paragraph;z-index:-988408" coordorigin="5393,-2303" coordsize="1054,1328">
            <v:group style="position:absolute;left:5393;top:-2303;width:1054;height:1328" coordorigin="5393,-2303" coordsize="1054,1328">
              <v:shape style="position:absolute;left:5393;top:-2303;width:1054;height:1328" coordorigin="5393,-2303" coordsize="1054,1328" path="m5393,-2303l6446,-2303,6446,-976,5393,-976,5393,-2303xe" filled="true" fillcolor="#ffffff" stroked="false">
                <v:path arrowok="t"/>
                <v:fill type="solid"/>
              </v:shape>
            </v:group>
            <v:group style="position:absolute;left:5417;top:-1835;width:1006;height:392" coordorigin="5417,-1835" coordsize="1006,392">
              <v:shape style="position:absolute;left:5417;top:-1835;width:1006;height:392" coordorigin="5417,-1835" coordsize="1006,392" path="m5417,-1835l6422,-1835,6422,-1444,5417,-1444,5417,-1835xe" filled="true" fillcolor="#ffffff" stroked="false">
                <v:path arrowok="t"/>
                <v:fill type="solid"/>
              </v:shape>
            </v:group>
            <w10:wrap type="none"/>
          </v:group>
        </w:pict>
      </w:r>
      <w:r>
        <w:rPr>
          <w:rFonts w:ascii="Times New Roman" w:hAnsi="Times New Roman" w:cs="Times New Roman" w:eastAsia="Times New Roman" w:hint="default"/>
        </w:rPr>
        <w:t>45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72,165.05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89,222.50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72,165.05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72,165.05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89,222.50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72,165.05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242,185.21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242,185.21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424,350.26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100,022.50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424,350.26</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7,825,527.34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8,624,178.78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-14,810,416.19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-2,269,484.72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-6,984,888.85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6,354,694.06</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81" w:header="745" w:top="1060" w:bottom="1180" w:left="980" w:right="980"/>
          <w:pgNumType w:start="14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398"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154,506,653.80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23,175,998.07</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-1,159,898.10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-2,456,996.35</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6,492,674.73</w:t>
            </w:r>
          </w:p>
        </w:tc>
      </w:tr>
      <w:tr>
        <w:trPr>
          <w:trHeight w:val="715"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153,600.56</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-3,771,246.30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股权激励行权收益按工资薪金支出列支的影响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-29,419,021.46</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-6,984,888.85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备用金及其他往来款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53,591,185.70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28,230,956.83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15,439,396.69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8,916,484.61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3,557,668.59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8,618,264.89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72,588,250.98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45,765,706.33</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99,505,867.61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78,408,192.78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备用金及其他往来款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75,757,986.49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26,629,012.47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223,984.81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175,487,838.91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105,047,205.25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after="0" w:line="240" w:lineRule="auto"/>
        <w:jc w:val="right"/>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46,500,000.00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股票期权行权代扣代缴的个人所得税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82,658,846.73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22,693,514.35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10,896,000.00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93,554,846.73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22,693,514.35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股票期权行权代扣代缴的个人所得税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7,978,386.05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20,586,839.76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购买少数股东权益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发放股利代扣代缴的个人所得税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2,099,009.38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归还个人借款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21,077,395.43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20,586,839.76</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161,491,542.65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122,641,970.84</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27,347,241.91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16,635,962.94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r>
        <w:rPr/>
        <w:pict>
          <v:group style="position:absolute;margin-left:223.320007pt;margin-top:224.280014pt;width:152.3pt;height:19.6pt;mso-position-horizontal-relative:page;mso-position-vertical-relative:page;z-index:-988384" coordorigin="4466,4486" coordsize="3046,392">
            <v:group style="position:absolute;left:7490;top:4486;width:22;height:392" coordorigin="7490,4486" coordsize="22,392">
              <v:shape style="position:absolute;left:7490;top:4486;width:22;height:392" coordorigin="7490,4486" coordsize="22,392" path="m7490,4877l7512,4877,7512,4486,7490,4486,7490,4877xe" filled="true" fillcolor="#ffffff" stroked="false">
                <v:path arrowok="t"/>
                <v:fill type="solid"/>
              </v:shape>
            </v:group>
            <v:group style="position:absolute;left:4466;top:4486;width:22;height:392" coordorigin="4466,4486" coordsize="22,392">
              <v:shape style="position:absolute;left:4466;top:4486;width:22;height:392" coordorigin="4466,4486" coordsize="22,392" path="m4466,4877l4488,4877,4488,4486,4466,4486,4466,4877xe" filled="true" fillcolor="#ffffff" stroked="false">
                <v:path arrowok="t"/>
                <v:fill type="solid"/>
              </v:shape>
            </v:group>
            <v:group style="position:absolute;left:4488;top:4486;width:3003;height:392" coordorigin="4488,4486" coordsize="3003,392">
              <v:shape style="position:absolute;left:4488;top:4486;width:3003;height:392" coordorigin="4488,4486" coordsize="3003,392" path="m4488,4486l7490,4486,7490,4877,4488,4877,4488,448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9,090,115.61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7,734,730.88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3,925,447.03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344,223.63</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4,541,646.66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1,870,252.22</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72,165.05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89,222.50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1,958,138.94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73,200.00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245,069.69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tabs>
                <w:tab w:pos="1929" w:val="left" w:leader="none"/>
              </w:tabs>
              <w:spacing w:line="240" w:lineRule="auto" w:before="49"/>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-14,810,416.19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-2,269,484.72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-12,441,534.74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-9,180,488.12</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-222,523,384.38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-178,330,765.42</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92,062,528.76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64,850,604.04</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28,501,515.13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18,375,525.17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79,460,076.12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42,834,953.96</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49"/>
              <w:ind w:left="23"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210,491,847.50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357,226,405.13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357,226,405.13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442,448,062.41</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6,853,631.25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2,931,551.92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2,931,551.92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4,836,985.01</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-142,812,478.30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-87,127,090.37</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103,400,000.00</w:t>
            </w:r>
          </w:p>
        </w:tc>
      </w:tr>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16,352,092.16</w:t>
            </w:r>
          </w:p>
        </w:tc>
      </w:tr>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56,500,000.00</w:t>
            </w:r>
          </w:p>
        </w:tc>
      </w:tr>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143,547,907.84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210,491,847.50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357,226,405.13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324,933.88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320,758.09</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210,166,913.62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356,905,647.04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6,853,631.25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2,931,551.92</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三个月内到期的保证金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6,853,631.25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2,931,551.92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217,345,478.75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360,157,957.05</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16,257,487.25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保函及银行承兑汇票保证金</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16,257,487.25</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48"/>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354"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对被并购企</w:t>
            </w: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浙江万鼎信 息技术有限 公司</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24,500,000.0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9"/>
              <w:jc w:val="left"/>
              <w:rPr>
                <w:rFonts w:ascii="宋体" w:hAnsi="宋体" w:cs="宋体" w:eastAsia="宋体" w:hint="default"/>
                <w:sz w:val="18"/>
                <w:szCs w:val="18"/>
              </w:rPr>
            </w:pPr>
            <w:r>
              <w:rPr>
                <w:rFonts w:ascii="宋体" w:hAnsi="宋体" w:cs="宋体" w:eastAsia="宋体" w:hint="default"/>
                <w:sz w:val="18"/>
                <w:szCs w:val="18"/>
              </w:rPr>
              <w:t>业经营和财 务政策拥有 </w:t>
            </w:r>
            <w:r>
              <w:rPr>
                <w:rFonts w:ascii="宋体" w:hAnsi="宋体" w:cs="宋体" w:eastAsia="宋体" w:hint="default"/>
                <w:spacing w:val="-13"/>
                <w:sz w:val="18"/>
                <w:szCs w:val="18"/>
              </w:rPr>
              <w:t>决策权，并支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付全部股权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7,631,444.90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-1,676,722.85</w:t>
            </w:r>
          </w:p>
        </w:tc>
      </w:tr>
      <w:tr>
        <w:trPr>
          <w:trHeight w:val="360"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转让款</w:t>
            </w:r>
          </w:p>
        </w:tc>
        <w:tc>
          <w:tcPr>
            <w:tcW w:w="1063"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对被并购企</w:t>
            </w: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业经营和财</w:t>
            </w: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27"/>
              <w:jc w:val="left"/>
              <w:rPr>
                <w:rFonts w:ascii="宋体" w:hAnsi="宋体" w:cs="宋体" w:eastAsia="宋体" w:hint="default"/>
                <w:sz w:val="18"/>
                <w:szCs w:val="18"/>
              </w:rPr>
            </w:pPr>
            <w:r>
              <w:rPr>
                <w:rFonts w:ascii="宋体" w:hAnsi="宋体" w:cs="宋体" w:eastAsia="宋体" w:hint="default"/>
                <w:sz w:val="18"/>
                <w:szCs w:val="18"/>
              </w:rPr>
              <w:t>杭州东联软 件有限公司</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9"/>
              <w:jc w:val="left"/>
              <w:rPr>
                <w:rFonts w:ascii="宋体" w:hAnsi="宋体" w:cs="宋体" w:eastAsia="宋体" w:hint="default"/>
                <w:sz w:val="18"/>
                <w:szCs w:val="18"/>
              </w:rPr>
            </w:pPr>
            <w:r>
              <w:rPr>
                <w:rFonts w:ascii="宋体" w:hAnsi="宋体" w:cs="宋体" w:eastAsia="宋体" w:hint="default"/>
                <w:sz w:val="18"/>
                <w:szCs w:val="18"/>
              </w:rPr>
              <w:t>务政策拥有 </w:t>
            </w:r>
            <w:r>
              <w:rPr>
                <w:rFonts w:ascii="宋体" w:hAnsi="宋体" w:cs="宋体" w:eastAsia="宋体" w:hint="default"/>
                <w:spacing w:val="-13"/>
                <w:sz w:val="18"/>
                <w:szCs w:val="18"/>
              </w:rPr>
              <w:t>决策权，并支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16,492,109.2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4,184,479.85</w:t>
            </w: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付超过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的股权转让</w:t>
            </w:r>
          </w:p>
        </w:tc>
        <w:tc>
          <w:tcPr>
            <w:tcW w:w="1063"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对被并购企</w:t>
            </w: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天津津微首 佳软件技术 有限公司</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63,800,000.0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业经营和财 务政策拥有 </w:t>
            </w:r>
            <w:r>
              <w:rPr>
                <w:rFonts w:ascii="宋体" w:hAnsi="宋体" w:cs="宋体" w:eastAsia="宋体" w:hint="default"/>
                <w:spacing w:val="-13"/>
                <w:sz w:val="18"/>
                <w:szCs w:val="18"/>
              </w:rPr>
              <w:t>决策权，并支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付全部股权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17,294,768.0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4,505,959.92</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转让款</w:t>
            </w:r>
          </w:p>
        </w:tc>
        <w:tc>
          <w:tcPr>
            <w:tcW w:w="1063"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天津津微首佳软件技术有限 公司</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63,800,000.00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5,715,625.94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11,603,402.01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8,089,000.20</w:t>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18,784,374.06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28,396,597.99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55,710,999.80</w:t>
            </w:r>
          </w:p>
        </w:tc>
      </w:tr>
    </w:tbl>
    <w:p>
      <w:pPr>
        <w:pStyle w:val="BodyText"/>
        <w:spacing w:line="360" w:lineRule="auto" w:before="49"/>
        <w:ind w:left="512" w:right="148" w:hanging="361"/>
        <w:jc w:val="left"/>
      </w:pPr>
      <w:r>
        <w:rPr/>
        <w:t>合并成本公允价值的确定方法、或有对价及其变动的说明： 大额商誉形成的主要原因：本次合并成本合计为</w:t>
      </w:r>
      <w:r>
        <w:rPr>
          <w:rFonts w:ascii="Times New Roman" w:hAnsi="Times New Roman" w:cs="Times New Roman" w:eastAsia="Times New Roman" w:hint="default"/>
        </w:rPr>
        <w:t>128,300,000.00</w:t>
      </w:r>
      <w:r>
        <w:rPr/>
        <w:t>元，被购买方于购买日可辨认净资产的公允价值合计为</w:t>
      </w:r>
    </w:p>
    <w:p>
      <w:pPr>
        <w:pStyle w:val="BodyText"/>
        <w:spacing w:line="212" w:lineRule="exact"/>
        <w:ind w:right="0"/>
        <w:jc w:val="left"/>
      </w:pPr>
      <w:r>
        <w:rPr>
          <w:rFonts w:ascii="Times New Roman" w:hAnsi="Times New Roman" w:cs="Times New Roman" w:eastAsia="Times New Roman" w:hint="default"/>
        </w:rPr>
        <w:t>25,408,028.15</w:t>
      </w:r>
      <w:r>
        <w:rPr/>
        <w:t>元，差额</w:t>
      </w:r>
      <w:r>
        <w:rPr>
          <w:rFonts w:ascii="Times New Roman" w:hAnsi="Times New Roman" w:cs="Times New Roman" w:eastAsia="Times New Roman" w:hint="default"/>
        </w:rPr>
        <w:t>102,891,971.85</w:t>
      </w:r>
      <w:r>
        <w:rPr/>
        <w:t>元形成商誉，原因主要系被收购公司均为轻资产类企业，现有净资产价值无法反映企业</w:t>
      </w:r>
    </w:p>
    <w:p>
      <w:pPr>
        <w:pStyle w:val="BodyText"/>
        <w:spacing w:line="240" w:lineRule="auto" w:before="62"/>
        <w:ind w:right="148"/>
        <w:jc w:val="left"/>
      </w:pPr>
      <w:r>
        <w:rPr/>
        <w:t>价值和未来获利能力。</w:t>
      </w:r>
    </w:p>
    <w:p>
      <w:pPr>
        <w:spacing w:line="240" w:lineRule="auto" w:before="0"/>
        <w:rPr>
          <w:rFonts w:ascii="宋体" w:hAnsi="宋体" w:cs="宋体" w:eastAsia="宋体" w:hint="default"/>
          <w:sz w:val="18"/>
          <w:szCs w:val="18"/>
        </w:rPr>
      </w:pPr>
    </w:p>
    <w:p>
      <w:pPr>
        <w:pStyle w:val="Heading3"/>
        <w:spacing w:line="240" w:lineRule="auto" w:before="120"/>
        <w:ind w:right="148"/>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天津津微首佳软件技术有限公司</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646,830.46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646,830.46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6,274,991.00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6,274,991.00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9,430,270.70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9,430,270.70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4,149,086.93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4,149,086.93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5,254,899.85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5,254,899.85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9,941,777.62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9,941,777.62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367,521.37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367,521.37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556,105.11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556,105.11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1,929,859.46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1,929,859.46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798,947.27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798,947.27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321,560.34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321,560.34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1,431,513.33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1,431,513.33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174,132.50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174,132.50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612,571.40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612,571.40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30,908.24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30,908.24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2,974,046.46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2,974,046.46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367,895.57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367,895.57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776,998.41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776,998.41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3,614,934.93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3,614,934.93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1,305,924.18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1,305,924.18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8,530,331.55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8,530,331.55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169,790.00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477,135.20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477,135.20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714,285.66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714,285.66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6,350,695.49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6,350,695.49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11,603,402.01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11,603,402.01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13,481,667.00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13,481,667.00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635,069.55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635,069.55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5,392,666.80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5,392,666.80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5,715,625.94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5,715,625.94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11,603,402.01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11,603,402.01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8,089,000.20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8,089,000.20</w:t>
            </w:r>
          </w:p>
        </w:tc>
      </w:tr>
    </w:tbl>
    <w:p>
      <w:pPr>
        <w:pStyle w:val="BodyText"/>
        <w:spacing w:line="240" w:lineRule="auto" w:before="49"/>
        <w:ind w:right="93"/>
        <w:jc w:val="left"/>
      </w:pPr>
      <w:r>
        <w:rPr/>
        <w:t>企业合并中承担的被购买方的或有负债：</w:t>
      </w:r>
    </w:p>
    <w:p>
      <w:pPr>
        <w:pStyle w:val="BodyText"/>
        <w:spacing w:line="300" w:lineRule="auto" w:before="114"/>
        <w:ind w:left="512" w:right="93"/>
        <w:jc w:val="left"/>
      </w:pPr>
      <w:r>
        <w:rPr>
          <w:rFonts w:ascii="Times New Roman" w:hAnsi="Times New Roman" w:cs="Times New Roman" w:eastAsia="Times New Roman" w:hint="default"/>
        </w:rPr>
        <w:t>1.</w:t>
      </w:r>
      <w:r>
        <w:rPr/>
        <w:t>浙江万鼎信息技术有限公司 </w:t>
      </w:r>
      <w:r>
        <w:rPr>
          <w:spacing w:val="-2"/>
        </w:rPr>
        <w:t>浙江万鼎自然人股东承诺，目标公司</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年度分别实现扣非后净利润归属于母公司所有者的净利</w:t>
      </w:r>
    </w:p>
    <w:p>
      <w:pPr>
        <w:pStyle w:val="BodyText"/>
        <w:spacing w:line="300" w:lineRule="auto" w:before="13"/>
        <w:ind w:left="512" w:right="176" w:hanging="361"/>
        <w:jc w:val="left"/>
      </w:pPr>
      <w:r>
        <w:rPr/>
        <w:t>润达到</w:t>
      </w:r>
      <w:r>
        <w:rPr>
          <w:rFonts w:ascii="Times New Roman" w:hAnsi="Times New Roman" w:cs="Times New Roman" w:eastAsia="Times New Roman" w:hint="default"/>
        </w:rPr>
        <w:t>153</w:t>
      </w:r>
      <w:r>
        <w:rPr/>
        <w:t>万元、</w:t>
      </w:r>
      <w:r>
        <w:rPr>
          <w:rFonts w:ascii="Times New Roman" w:hAnsi="Times New Roman" w:cs="Times New Roman" w:eastAsia="Times New Roman" w:hint="default"/>
        </w:rPr>
        <w:t>425</w:t>
      </w:r>
      <w:r>
        <w:rPr/>
        <w:t>万元、</w:t>
      </w:r>
      <w:r>
        <w:rPr>
          <w:rFonts w:ascii="Times New Roman" w:hAnsi="Times New Roman" w:cs="Times New Roman" w:eastAsia="Times New Roman" w:hint="default"/>
        </w:rPr>
        <w:t>807.5</w:t>
      </w:r>
      <w:r>
        <w:rPr/>
        <w:t>万元。 </w:t>
      </w:r>
      <w:r>
        <w:rPr>
          <w:spacing w:val="-1"/>
        </w:rPr>
        <w:t>若目标公司在业绩承诺期内任一年度实现的扣非后净利润低于或等于当年度承诺的金额的</w:t>
      </w:r>
      <w:r>
        <w:rPr>
          <w:rFonts w:ascii="Times New Roman" w:hAnsi="Times New Roman" w:cs="Times New Roman" w:eastAsia="Times New Roman" w:hint="default"/>
          <w:spacing w:val="-1"/>
        </w:rPr>
        <w:t>30%</w:t>
      </w:r>
      <w:r>
        <w:rPr>
          <w:spacing w:val="-1"/>
        </w:rPr>
        <w:t>，各自然人股东应无偿转</w:t>
      </w:r>
    </w:p>
    <w:p>
      <w:pPr>
        <w:pStyle w:val="BodyText"/>
        <w:spacing w:line="240" w:lineRule="auto" w:before="13"/>
        <w:ind w:right="93"/>
        <w:jc w:val="left"/>
      </w:pPr>
      <w:r>
        <w:rPr/>
        <w:t>让其所持有的的全部目标公司股权给公司。</w:t>
      </w:r>
    </w:p>
    <w:p>
      <w:pPr>
        <w:pStyle w:val="BodyText"/>
        <w:spacing w:line="300" w:lineRule="auto" w:before="76"/>
        <w:ind w:left="512" w:right="93"/>
        <w:jc w:val="left"/>
      </w:pPr>
      <w:r>
        <w:rPr>
          <w:rFonts w:ascii="Times New Roman" w:hAnsi="Times New Roman" w:cs="Times New Roman" w:eastAsia="Times New Roman" w:hint="default"/>
        </w:rPr>
        <w:t>2.</w:t>
      </w:r>
      <w:r>
        <w:rPr/>
        <w:t>杭州东联软件有限公司 </w:t>
      </w:r>
      <w:r>
        <w:rPr>
          <w:spacing w:val="-2"/>
        </w:rPr>
        <w:t>A、根据购并协议，杭州东联完成2015年业绩承诺，本公司应支付第二期股权转让款740万元，截至本报告日止，尚未支</w:t>
      </w:r>
    </w:p>
    <w:p>
      <w:pPr>
        <w:pStyle w:val="BodyText"/>
        <w:spacing w:line="240" w:lineRule="auto" w:before="31"/>
        <w:ind w:right="93"/>
        <w:jc w:val="left"/>
      </w:pPr>
      <w:r>
        <w:rPr/>
        <w:t>付。 </w:t>
      </w:r>
    </w:p>
    <w:p>
      <w:pPr>
        <w:pStyle w:val="BodyText"/>
        <w:spacing w:line="316" w:lineRule="auto" w:before="76"/>
        <w:ind w:right="192" w:firstLine="360"/>
        <w:jc w:val="both"/>
      </w:pPr>
      <w:r>
        <w:rPr/>
        <w:t>B、转让方及杭州东联承诺，杭州东联2014年、2015年、2016年实现的扣非净利润分别不低于300万元、390万元、510 </w:t>
      </w:r>
      <w:r>
        <w:rPr>
          <w:spacing w:val="-2"/>
        </w:rPr>
        <w:t>万元（针对净利润的承诺以扣除非经常性损益前后孰低者为计算依据）。若目标公司于业绩承诺期内任一年度的实际净利润</w:t>
      </w:r>
      <w:r>
        <w:rPr>
          <w:spacing w:val="-66"/>
        </w:rPr>
        <w:t> </w:t>
      </w:r>
      <w:r>
        <w:rPr>
          <w:spacing w:val="-66"/>
        </w:rPr>
      </w:r>
      <w:r>
        <w:rPr>
          <w:spacing w:val="-2"/>
        </w:rPr>
        <w:t>低于当年承诺净利润，转让方需按差额部分每1元乘以2.5倍用现金方式向公司作出补偿或从后续尚未支付的股权转让款中扣</w:t>
      </w:r>
      <w:r>
        <w:rPr>
          <w:spacing w:val="-61"/>
        </w:rPr>
        <w:t> </w:t>
      </w:r>
      <w:r>
        <w:rPr>
          <w:spacing w:val="-61"/>
        </w:rPr>
      </w:r>
      <w:r>
        <w:rPr/>
        <w:t>除。 </w:t>
      </w:r>
    </w:p>
    <w:p>
      <w:pPr>
        <w:pStyle w:val="BodyText"/>
        <w:spacing w:line="240" w:lineRule="auto" w:before="18"/>
        <w:ind w:left="512" w:right="93"/>
        <w:jc w:val="left"/>
        <w:rPr>
          <w:rFonts w:ascii="Times New Roman" w:hAnsi="Times New Roman" w:cs="Times New Roman" w:eastAsia="Times New Roman" w:hint="default"/>
        </w:rPr>
      </w:pPr>
      <w:r>
        <w:rPr>
          <w:rFonts w:ascii="Times New Roman" w:hAnsi="Times New Roman" w:cs="Times New Roman" w:eastAsia="Times New Roman" w:hint="default"/>
        </w:rPr>
        <w:t>C</w:t>
      </w:r>
      <w:r>
        <w:rPr/>
        <w:t>、收购方承诺，若杭州东联业绩承诺期内累计实现的实际净利润达到或超过</w:t>
      </w:r>
      <w:r>
        <w:rPr>
          <w:rFonts w:ascii="Times New Roman" w:hAnsi="Times New Roman" w:cs="Times New Roman" w:eastAsia="Times New Roman" w:hint="default"/>
        </w:rPr>
        <w:t>1,200</w:t>
      </w:r>
      <w:r>
        <w:rPr/>
        <w:t>万元，公司向转让方额外支付</w:t>
      </w:r>
      <w:r>
        <w:rPr>
          <w:rFonts w:ascii="Times New Roman" w:hAnsi="Times New Roman" w:cs="Times New Roman" w:eastAsia="Times New Roman" w:hint="default"/>
        </w:rPr>
        <w:t>1,000</w:t>
      </w:r>
    </w:p>
    <w:p>
      <w:pPr>
        <w:pStyle w:val="BodyText"/>
        <w:spacing w:line="240" w:lineRule="auto" w:before="63"/>
        <w:ind w:right="93"/>
        <w:jc w:val="left"/>
      </w:pPr>
      <w:r>
        <w:rPr/>
        <w:t>万元股权转让款。</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说明其他原因导致的合并范围变动（如，新设子公司、清算子公司等）及其相关情况：</w:t>
      </w:r>
    </w:p>
    <w:p>
      <w:pPr>
        <w:pStyle w:val="BodyText"/>
        <w:spacing w:line="300" w:lineRule="auto" w:before="115"/>
        <w:ind w:right="194"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日，本公司与自然人郭健、刘永胜、曹莉莉共同出资设立重庆金仕达卫宁软件有限公司，于本报告期</w:t>
      </w:r>
      <w:r>
        <w:rPr/>
        <w:t> 内纳入合并范围。</w:t>
      </w:r>
    </w:p>
    <w:p>
      <w:pPr>
        <w:pStyle w:val="BodyText"/>
        <w:spacing w:line="240" w:lineRule="auto" w:before="31"/>
        <w:ind w:left="512" w:right="93"/>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14</w:t>
      </w:r>
      <w:r>
        <w:rPr>
          <w:spacing w:val="-4"/>
        </w:rPr>
        <w:t>日，本公司与自然人刘波共同出资设立黑龙江金仕达卫宁软件有限公司，于本报告期内纳入合并范围。</w:t>
      </w:r>
    </w:p>
    <w:p>
      <w:pPr>
        <w:pStyle w:val="BodyText"/>
        <w:spacing w:line="300" w:lineRule="auto" w:before="63"/>
        <w:ind w:right="192"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日，本公司与宁波祥润投资管理有限公司共同出资设立宁波金仕达卫宁软件有限公司，于本报告期内</w:t>
      </w:r>
      <w:r>
        <w:rPr/>
        <w:t> 纳入合并范围。</w:t>
      </w:r>
    </w:p>
    <w:p>
      <w:pPr>
        <w:spacing w:line="240" w:lineRule="auto" w:before="11"/>
        <w:rPr>
          <w:rFonts w:ascii="宋体" w:hAnsi="宋体" w:cs="宋体" w:eastAsia="宋体" w:hint="default"/>
          <w:sz w:val="21"/>
          <w:szCs w:val="21"/>
        </w:rPr>
      </w:pPr>
    </w:p>
    <w:p>
      <w:pPr>
        <w:pStyle w:val="Heading2"/>
        <w:spacing w:line="240" w:lineRule="auto"/>
        <w:ind w:right="9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江苏金仕达卫宁 软件有限公司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上海金仕达卫宁 软件科技有限公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西安金仕达卫宁 软件有限公司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新疆金仕达卫宁 软件有限公司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山西金仕达卫宁 软件科技有限公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北京宇信网景信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上海天健源达信 息科技有限公司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宁波金仕达卫宁 软件有限公司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重庆金仕达卫宁 软件有限公司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黑龙江金仕达卫 宁软件有限公司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上海金仕达卫宁软件科 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-3,424,966.99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-4,920,853.66</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新疆金仕达卫宁软件有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5,444,451.42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10,262,532.16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北京宇信网景信息技术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3,134,950.84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9,877,627.02</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上海天健源达信息科技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3,682,043.71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10,695,792.35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5"/>
              <w:jc w:val="center"/>
              <w:rPr>
                <w:rFonts w:ascii="宋体" w:hAnsi="宋体" w:cs="宋体" w:eastAsia="宋体" w:hint="default"/>
                <w:sz w:val="18"/>
                <w:szCs w:val="18"/>
              </w:rPr>
            </w:pPr>
            <w:r>
              <w:rPr>
                <w:rFonts w:ascii="宋体" w:hAnsi="宋体" w:cs="宋体" w:eastAsia="宋体" w:hint="default"/>
                <w:sz w:val="18"/>
                <w:szCs w:val="18"/>
              </w:rPr>
              <w:t>浙江万鼎信息技术有限</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-121,394.73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917,595.62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36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宁波金仕达卫宁软件有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-225,622.80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-225,622.80</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重庆金仕达卫宁软件有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-735,942.20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244,057.80</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黑龙江金仕达卫宁软件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-568,075.34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411,924.66</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仕达卫 宁软件 科技有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5,938,49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20,262,0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68.23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26,200,5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65.28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20,760,1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47.16</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20,760,1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47.16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5,563,69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11,260,7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00.54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16,824,3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1,598,35</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5.63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1,598,35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5.63</w:t>
            </w:r>
          </w:p>
        </w:tc>
      </w:tr>
      <w:tr>
        <w:trPr>
          <w:trHeight w:val="358"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新疆金</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仕达卫 宁软件 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32,713,7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33,100,4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13.15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11,860,6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12,156,4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69.96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17,771,6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83.39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499,652.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18,271,3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35.83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8,438,51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7.99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8,438,51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7.99</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北京宇</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信网景 信息技 术有限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70,238,7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09.48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1,930,16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72,168,8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21,703,0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1,077,70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22,780,7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37.27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66,959,3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1,878,21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68,837,5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25.58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34,257,4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31.87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670,020.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34,927,4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52.76</w:t>
            </w:r>
          </w:p>
        </w:tc>
      </w:tr>
      <w:tr>
        <w:trPr>
          <w:trHeight w:val="357"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健源达 信息科 技有限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55,547,4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68.61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3,680,28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59,227,7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58.21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35,303,6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95.92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57,430.2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35,361,1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26.14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24,041,2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20.85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3,848,17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27,889,3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92.56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11,442,4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32.87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94,702.5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11,537,1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35.40</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浙江万</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62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61"/>
              <w:jc w:val="left"/>
              <w:rPr>
                <w:rFonts w:ascii="宋体" w:hAnsi="宋体" w:cs="宋体" w:eastAsia="宋体" w:hint="default"/>
                <w:sz w:val="18"/>
                <w:szCs w:val="18"/>
              </w:rPr>
            </w:pPr>
            <w:r>
              <w:rPr>
                <w:rFonts w:ascii="宋体" w:hAnsi="宋体" w:cs="宋体" w:eastAsia="宋体" w:hint="default"/>
                <w:sz w:val="18"/>
                <w:szCs w:val="18"/>
              </w:rPr>
              <w:t>鼎信息 技术有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sz w:val="18"/>
              </w:rPr>
              <w:t>11,845,6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12.59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sz w:val="18"/>
              </w:rPr>
              <w:t>5,211,00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17,056,6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22.48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4,372,74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9,900.00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4,382,64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9.84</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宁波金 仕达卫 宁软件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1,434,93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1,613,67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34,128.3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67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重庆金</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仕达卫 宁软件 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244,168.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218,807.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218,807.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57"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金仕达 卫宁软 件有限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230,185.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776,779.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1,006,96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166,301.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166,301.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上海金仕达 卫宁软件科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4,179,279.91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-9,785,619.96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-9,785,619.96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6,325,758.86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2,695,093.44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-10,503,467.3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-10,503,467.3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-12,046,356.6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新疆金仕达 卫宁软件有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36,516,962.9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11,111,125.3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11,111,125.3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1,260,711.06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18,815,634.5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4,832,817.84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4,832,817.84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-2,011,304.59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北京宇信网 景信息技术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66,672,749.1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15,478,062.2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15,478,062.2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-4,789,021.28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44,007,811.1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7,446,285.48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7,446,285.48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10,040,424.0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上海天健源 达信息科技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33,994,483.1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7,514,374.91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7,514,374.91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-2,379,689.55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浙江万鼎信</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息技术有限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w w:val="95"/>
                <w:sz w:val="18"/>
              </w:rPr>
              <w:t>7,631,444.90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-1,676,722.85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-1,676,722.85</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 w:right="0"/>
              <w:jc w:val="center"/>
              <w:rPr>
                <w:rFonts w:ascii="Times New Roman" w:hAnsi="Times New Roman" w:cs="Times New Roman" w:eastAsia="Times New Roman" w:hint="default"/>
                <w:sz w:val="18"/>
                <w:szCs w:val="18"/>
              </w:rPr>
            </w:pPr>
            <w:r>
              <w:rPr>
                <w:rFonts w:ascii="Times New Roman"/>
                <w:sz w:val="18"/>
              </w:rPr>
              <w:t>-2,071,123.87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宁波金仕达</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卫宁软件有</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-460,454.69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0" w:right="0"/>
              <w:jc w:val="center"/>
              <w:rPr>
                <w:rFonts w:ascii="Times New Roman" w:hAnsi="Times New Roman" w:cs="Times New Roman" w:eastAsia="Times New Roman" w:hint="default"/>
                <w:sz w:val="18"/>
                <w:szCs w:val="18"/>
              </w:rPr>
            </w:pPr>
            <w:r>
              <w:rPr>
                <w:rFonts w:ascii="Times New Roman"/>
                <w:sz w:val="18"/>
              </w:rPr>
              <w:t>-460,454.69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3" w:right="0"/>
              <w:jc w:val="center"/>
              <w:rPr>
                <w:rFonts w:ascii="Times New Roman" w:hAnsi="Times New Roman" w:cs="Times New Roman" w:eastAsia="Times New Roman" w:hint="default"/>
                <w:sz w:val="18"/>
                <w:szCs w:val="18"/>
              </w:rPr>
            </w:pPr>
            <w:r>
              <w:rPr>
                <w:rFonts w:ascii="Times New Roman"/>
                <w:sz w:val="18"/>
              </w:rPr>
              <w:t>-847,276.63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重庆金仕达</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卫宁软件有</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-1,501,922.85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-1,501,922.85</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 w:right="0"/>
              <w:jc w:val="center"/>
              <w:rPr>
                <w:rFonts w:ascii="Times New Roman" w:hAnsi="Times New Roman" w:cs="Times New Roman" w:eastAsia="Times New Roman" w:hint="default"/>
                <w:sz w:val="18"/>
                <w:szCs w:val="18"/>
              </w:rPr>
            </w:pPr>
            <w:r>
              <w:rPr>
                <w:rFonts w:ascii="Times New Roman"/>
                <w:sz w:val="18"/>
              </w:rPr>
              <w:t>-1,943,929.40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黑龙江金仕</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达卫宁软件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42,136.75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-1,159,337.43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-1,159,337.43</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 w:right="0"/>
              <w:jc w:val="center"/>
              <w:rPr>
                <w:rFonts w:ascii="Times New Roman" w:hAnsi="Times New Roman" w:cs="Times New Roman" w:eastAsia="Times New Roman" w:hint="default"/>
                <w:sz w:val="18"/>
                <w:szCs w:val="18"/>
              </w:rPr>
            </w:pPr>
            <w:r>
              <w:rPr>
                <w:rFonts w:ascii="Times New Roman"/>
                <w:sz w:val="18"/>
              </w:rPr>
              <w:t>-1,365,331.63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2" w:firstLine="360"/>
        <w:jc w:val="both"/>
      </w:pPr>
      <w:r>
        <w:rPr>
          <w:rFonts w:ascii="Times New Roman" w:hAnsi="Times New Roman" w:cs="Times New Roman" w:eastAsia="Times New Roman" w:hint="default"/>
          <w:spacing w:val="-2"/>
        </w:rPr>
        <w:t>A.2015</w:t>
      </w:r>
      <w:r>
        <w:rPr>
          <w:spacing w:val="-2"/>
        </w:rPr>
        <w:t>年度本公司对子公司浙江万鼎信息技术有限公司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浙江万鼎</w:t>
      </w:r>
      <w:r>
        <w:rPr>
          <w:rFonts w:ascii="Times New Roman" w:hAnsi="Times New Roman" w:cs="Times New Roman" w:eastAsia="Times New Roman" w:hint="default"/>
          <w:spacing w:val="-2"/>
        </w:rPr>
        <w:t>”)</w:t>
      </w:r>
      <w:r>
        <w:rPr>
          <w:spacing w:val="-2"/>
        </w:rPr>
        <w:t>增资</w:t>
      </w:r>
      <w:r>
        <w:rPr>
          <w:rFonts w:ascii="Times New Roman" w:hAnsi="Times New Roman" w:cs="Times New Roman" w:eastAsia="Times New Roman" w:hint="default"/>
          <w:spacing w:val="-2"/>
        </w:rPr>
        <w:t>800</w:t>
      </w:r>
      <w:r>
        <w:rPr>
          <w:spacing w:val="-2"/>
        </w:rPr>
        <w:t>万元，本公司持有浙江万鼎的股权</w:t>
      </w:r>
      <w:r>
        <w:rPr/>
        <w:t> 比例由</w:t>
      </w:r>
      <w:r>
        <w:rPr>
          <w:rFonts w:ascii="Times New Roman" w:hAnsi="Times New Roman" w:cs="Times New Roman" w:eastAsia="Times New Roman" w:hint="default"/>
        </w:rPr>
        <w:t>90%</w:t>
      </w:r>
      <w:r>
        <w:rPr/>
        <w:t>增加至</w:t>
      </w:r>
      <w:r>
        <w:rPr>
          <w:rFonts w:ascii="Times New Roman" w:hAnsi="Times New Roman" w:cs="Times New Roman" w:eastAsia="Times New Roman" w:hint="default"/>
        </w:rPr>
        <w:t>92.76%</w:t>
      </w:r>
      <w:r>
        <w:rPr/>
        <w:t>，导致本公司在浙江万鼎的所有者权益份额发生变化。</w:t>
      </w:r>
    </w:p>
    <w:p>
      <w:pPr>
        <w:pStyle w:val="BodyText"/>
        <w:spacing w:line="300" w:lineRule="auto" w:before="13"/>
        <w:ind w:right="149" w:firstLine="360"/>
        <w:jc w:val="both"/>
      </w:pPr>
      <w:r>
        <w:rPr>
          <w:rFonts w:ascii="Times New Roman" w:hAnsi="Times New Roman" w:cs="Times New Roman" w:eastAsia="Times New Roman" w:hint="default"/>
          <w:spacing w:val="-1"/>
        </w:rPr>
        <w:t>B.2015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日，本公司与北京宇信网景信息技术有限公司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宇信网景</w:t>
      </w:r>
      <w:r>
        <w:rPr>
          <w:rFonts w:ascii="Times New Roman" w:hAnsi="Times New Roman" w:cs="Times New Roman" w:eastAsia="Times New Roman" w:hint="default"/>
          <w:spacing w:val="-1"/>
        </w:rPr>
        <w:t>”)</w:t>
      </w:r>
      <w:r>
        <w:rPr>
          <w:spacing w:val="-1"/>
        </w:rPr>
        <w:t>少数股东签订股权转让协议，以</w:t>
      </w:r>
      <w:r>
        <w:rPr>
          <w:rFonts w:ascii="Times New Roman" w:hAnsi="Times New Roman" w:cs="Times New Roman" w:eastAsia="Times New Roman" w:hint="default"/>
          <w:spacing w:val="-1"/>
        </w:rPr>
        <w:t>1,000</w:t>
      </w:r>
      <w:r>
        <w:rPr>
          <w:rFonts w:ascii="Times New Roman" w:hAnsi="Times New Roman" w:cs="Times New Roman" w:eastAsia="Times New Roman" w:hint="default"/>
        </w:rPr>
        <w:t> </w:t>
      </w:r>
      <w:r>
        <w:rPr/>
        <w:t>万元购买少数股东持有</w:t>
      </w:r>
      <w:r>
        <w:rPr>
          <w:rFonts w:ascii="Times New Roman" w:hAnsi="Times New Roman" w:cs="Times New Roman" w:eastAsia="Times New Roman" w:hint="default"/>
        </w:rPr>
        <w:t>20%</w:t>
      </w:r>
      <w:r>
        <w:rPr/>
        <w:t>的宇信网景股权，本公司持有宇信网景的股权比例由</w:t>
      </w:r>
      <w:r>
        <w:rPr>
          <w:rFonts w:ascii="Times New Roman" w:hAnsi="Times New Roman" w:cs="Times New Roman" w:eastAsia="Times New Roman" w:hint="default"/>
        </w:rPr>
        <w:t>60%</w:t>
      </w:r>
      <w:r>
        <w:rPr/>
        <w:t>增加到</w:t>
      </w:r>
      <w:r>
        <w:rPr>
          <w:rFonts w:ascii="Times New Roman" w:hAnsi="Times New Roman" w:cs="Times New Roman" w:eastAsia="Times New Roman" w:hint="default"/>
        </w:rPr>
        <w:t>80%</w:t>
      </w:r>
      <w:r>
        <w:rPr/>
        <w:t>，导致本公司在宇信网景的 所有者权益份额发生变化。</w:t>
      </w:r>
    </w:p>
    <w:p>
      <w:pPr>
        <w:spacing w:line="240" w:lineRule="auto" w:before="10"/>
        <w:rPr>
          <w:rFonts w:ascii="宋体" w:hAnsi="宋体" w:cs="宋体" w:eastAsia="宋体" w:hint="default"/>
          <w:sz w:val="23"/>
          <w:szCs w:val="23"/>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北京宇信网景信息技术有限公司</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3"/>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7,596,079.20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6,821,352.94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403,920.80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3,178,647.06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-403,920.80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-3,178,647.06</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浙江绎盛谷信息 技术有限公司</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绎盛谷</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633"/>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p>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（简称</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"ODIN</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新西兰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奥克兰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48"/>
        <w:jc w:val="left"/>
      </w:pPr>
      <w:r>
        <w:rPr/>
        <w:t>在合营企业或联营企业的持股比例不同于表决权比例的说明：</w:t>
      </w:r>
    </w:p>
    <w:p>
      <w:pPr>
        <w:pStyle w:val="BodyText"/>
        <w:spacing w:line="240" w:lineRule="auto" w:before="117"/>
        <w:ind w:right="148"/>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after="0" w:line="240" w:lineRule="auto"/>
        <w:jc w:val="right"/>
        <w:sectPr>
          <w:footerReference w:type="default" r:id="rId30"/>
          <w:pgSz w:w="11910" w:h="16840"/>
          <w:pgMar w:footer="981" w:header="745" w:top="1060" w:bottom="1180" w:left="980" w:right="980"/>
          <w:pgNumType w:start="15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5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1101" w:right="108" w:hanging="992"/>
              <w:jc w:val="left"/>
              <w:rPr>
                <w:rFonts w:ascii="宋体" w:hAnsi="宋体" w:cs="宋体" w:eastAsia="宋体" w:hint="default"/>
                <w:sz w:val="18"/>
                <w:szCs w:val="18"/>
              </w:rPr>
            </w:pPr>
            <w:r>
              <w:rPr>
                <w:rFonts w:ascii="宋体" w:hAnsi="宋体" w:cs="宋体" w:eastAsia="宋体" w:hint="default"/>
                <w:sz w:val="18"/>
                <w:szCs w:val="18"/>
              </w:rPr>
              <w:t>浙江绎盛谷信息技术有限公 司</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ODIN    </w:t>
            </w:r>
            <w:r>
              <w:rPr>
                <w:rFonts w:ascii="Times New Roman"/>
                <w:spacing w:val="-4"/>
                <w:sz w:val="18"/>
              </w:rPr>
              <w:t>HEALTH   </w:t>
            </w:r>
            <w:r>
              <w:rPr>
                <w:rFonts w:ascii="Times New Roman"/>
                <w:spacing w:val="16"/>
                <w:sz w:val="18"/>
              </w:rPr>
              <w:t> </w:t>
            </w:r>
            <w:r>
              <w:rPr>
                <w:rFonts w:ascii="Times New Roman"/>
                <w:sz w:val="18"/>
              </w:rPr>
              <w:t>LIMITED</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38,571,620.34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1,551,194.11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1,755,168.35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51,439.11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40,326,788.69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1,602,633.22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5,524,867.47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1,033,363.62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247,711.40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5,772,578.87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1,033,363.62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34,554,209.82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569,269.60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4,753,875.08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170,780.88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15,689,300.08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2,891,737.53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对联营企业权益投资的账面 价值</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20,443,175.16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3,062,518.41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5,757,467.96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51,761.31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2,215,875.78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-2,294,149.47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2,215,875.78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-2,294,149.47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8"/>
        <w:jc w:val="left"/>
      </w:pPr>
      <w:r>
        <w:rPr/>
        <w:t>其他说明</w:t>
      </w:r>
    </w:p>
    <w:p>
      <w:pPr>
        <w:pStyle w:val="BodyText"/>
        <w:spacing w:line="300" w:lineRule="auto" w:before="114"/>
        <w:ind w:right="148" w:firstLine="360"/>
        <w:jc w:val="left"/>
      </w:pPr>
      <w:r>
        <w:rPr>
          <w:rFonts w:ascii="Times New Roman" w:hAnsi="Times New Roman" w:cs="Times New Roman" w:eastAsia="Times New Roman" w:hint="default"/>
        </w:rPr>
        <w:t>1</w:t>
      </w:r>
      <w:r>
        <w:rPr/>
        <w:t>、公司于本报告期权益法核算持有</w:t>
      </w:r>
      <w:r>
        <w:rPr>
          <w:rFonts w:ascii="Times New Roman" w:hAnsi="Times New Roman" w:cs="Times New Roman" w:eastAsia="Times New Roman" w:hint="default"/>
        </w:rPr>
        <w:t>ODIN HEALTH LIMITED</w:t>
      </w:r>
      <w:r>
        <w:rPr>
          <w:rFonts w:ascii="Times New Roman" w:hAnsi="Times New Roman" w:cs="Times New Roman" w:eastAsia="Times New Roman" w:hint="default"/>
          <w:spacing w:val="-29"/>
        </w:rPr>
        <w:t> </w:t>
      </w:r>
      <w:r>
        <w:rPr>
          <w:rFonts w:ascii="Times New Roman" w:hAnsi="Times New Roman" w:cs="Times New Roman" w:eastAsia="Times New Roman" w:hint="default"/>
        </w:rPr>
        <w:t>30%</w:t>
      </w:r>
      <w:r>
        <w:rPr/>
        <w:t>股权自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日止期间所享 有的权益。</w:t>
      </w:r>
    </w:p>
    <w:p>
      <w:pPr>
        <w:pStyle w:val="BodyText"/>
        <w:spacing w:line="300" w:lineRule="auto" w:before="31"/>
        <w:ind w:right="144" w:firstLine="360"/>
        <w:jc w:val="left"/>
      </w:pPr>
      <w:r>
        <w:rPr>
          <w:rFonts w:ascii="Times New Roman" w:hAnsi="Times New Roman" w:cs="Times New Roman" w:eastAsia="Times New Roman" w:hint="default"/>
          <w:spacing w:val="-1"/>
        </w:rPr>
        <w:t>2</w:t>
      </w:r>
      <w:r>
        <w:rPr>
          <w:spacing w:val="-1"/>
        </w:rPr>
        <w:t>、公司于本报告期权益法核算持有浙江绎盛谷信息技术有限公司</w:t>
      </w:r>
      <w:r>
        <w:rPr>
          <w:rFonts w:ascii="Times New Roman" w:hAnsi="Times New Roman" w:cs="Times New Roman" w:eastAsia="Times New Roman" w:hint="default"/>
          <w:spacing w:val="-1"/>
        </w:rPr>
        <w:t>20%</w:t>
      </w:r>
      <w:r>
        <w:rPr>
          <w:spacing w:val="-1"/>
        </w:rPr>
        <w:t>股权自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日止期间所</w:t>
      </w:r>
      <w:r>
        <w:rPr/>
        <w:t> 享有的权益。</w:t>
      </w:r>
    </w:p>
    <w:p>
      <w:pPr>
        <w:spacing w:line="240" w:lineRule="auto" w:before="11"/>
        <w:rPr>
          <w:rFonts w:ascii="宋体" w:hAnsi="宋体" w:cs="宋体" w:eastAsia="宋体" w:hint="default"/>
          <w:sz w:val="21"/>
          <w:szCs w:val="21"/>
        </w:rPr>
      </w:pPr>
    </w:p>
    <w:p>
      <w:pPr>
        <w:pStyle w:val="Heading2"/>
        <w:spacing w:line="240" w:lineRule="auto"/>
        <w:ind w:right="148"/>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57" w:lineRule="auto" w:before="49"/>
        <w:ind w:left="152" w:right="761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w:t>
      </w:r>
      <w:r>
        <w:rPr>
          <w:rFonts w:ascii="宋体" w:hAnsi="宋体" w:cs="宋体" w:eastAsia="宋体" w:hint="default"/>
          <w:b/>
          <w:bCs/>
          <w:sz w:val="18"/>
          <w:szCs w:val="18"/>
        </w:rPr>
        <w:t>本公司的实际控制人情况</w:t>
      </w:r>
      <w:r>
        <w:rPr>
          <w:rFonts w:ascii="宋体" w:hAnsi="宋体" w:cs="宋体" w:eastAsia="宋体" w:hint="default"/>
          <w:sz w:val="18"/>
          <w:szCs w:val="18"/>
        </w:rPr>
      </w:r>
    </w:p>
    <w:tbl>
      <w:tblPr>
        <w:tblW w:w="0" w:type="auto"/>
        <w:jc w:val="left"/>
        <w:tblInd w:w="136" w:type="dxa"/>
        <w:tblLayout w:type="fixed"/>
        <w:tblCellMar>
          <w:top w:w="0" w:type="dxa"/>
          <w:left w:w="0" w:type="dxa"/>
          <w:bottom w:w="0" w:type="dxa"/>
          <w:right w:w="0" w:type="dxa"/>
        </w:tblCellMar>
        <w:tblLook w:val="01E0"/>
      </w:tblPr>
      <w:tblGrid>
        <w:gridCol w:w="1678"/>
        <w:gridCol w:w="1404"/>
        <w:gridCol w:w="2028"/>
        <w:gridCol w:w="2345"/>
        <w:gridCol w:w="2206"/>
      </w:tblGrid>
      <w:tr>
        <w:trPr>
          <w:trHeight w:val="661" w:hRule="exact"/>
        </w:trPr>
        <w:tc>
          <w:tcPr>
            <w:tcW w:w="1678"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33" w:lineRule="exact"/>
              <w:ind w:left="559"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404"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33" w:lineRule="exact"/>
              <w:ind w:left="357"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2028"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33" w:lineRule="exact"/>
              <w:ind w:right="283"/>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2345"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319" w:lineRule="auto"/>
              <w:ind w:left="820" w:right="81" w:hanging="375"/>
              <w:jc w:val="left"/>
              <w:rPr>
                <w:rFonts w:ascii="宋体" w:hAnsi="宋体" w:cs="宋体" w:eastAsia="宋体" w:hint="default"/>
                <w:sz w:val="18"/>
                <w:szCs w:val="18"/>
              </w:rPr>
            </w:pPr>
            <w:r>
              <w:rPr>
                <w:rFonts w:ascii="宋体" w:hAnsi="宋体" w:cs="宋体" w:eastAsia="宋体" w:hint="default"/>
                <w:sz w:val="18"/>
                <w:szCs w:val="18"/>
              </w:rPr>
              <w:t>年末对本公司的持股比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06"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319" w:lineRule="auto"/>
              <w:ind w:left="657" w:right="21" w:hanging="284"/>
              <w:jc w:val="left"/>
              <w:rPr>
                <w:rFonts w:ascii="宋体" w:hAnsi="宋体" w:cs="宋体" w:eastAsia="宋体" w:hint="default"/>
                <w:sz w:val="18"/>
                <w:szCs w:val="18"/>
              </w:rPr>
            </w:pPr>
            <w:r>
              <w:rPr>
                <w:rFonts w:ascii="宋体" w:hAnsi="宋体" w:cs="宋体" w:eastAsia="宋体" w:hint="default"/>
                <w:sz w:val="18"/>
                <w:szCs w:val="18"/>
              </w:rPr>
              <w:t>年末对本公司的表决权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left="362"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left="360"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2028"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right="374"/>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z w:val="18"/>
              </w:rPr>
              <w:t>16.36</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8"/>
              <w:jc w:val="right"/>
              <w:rPr>
                <w:rFonts w:ascii="Times New Roman" w:hAnsi="Times New Roman" w:cs="Times New Roman" w:eastAsia="Times New Roman" w:hint="default"/>
                <w:sz w:val="18"/>
                <w:szCs w:val="18"/>
              </w:rPr>
            </w:pPr>
            <w:r>
              <w:rPr>
                <w:rFonts w:ascii="Times New Roman"/>
                <w:sz w:val="18"/>
              </w:rPr>
              <w:t>16.36</w:t>
            </w:r>
          </w:p>
        </w:tc>
      </w:tr>
      <w:tr>
        <w:trPr>
          <w:trHeight w:val="353" w:hRule="exact"/>
        </w:trPr>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left="362" w:right="0"/>
              <w:jc w:val="left"/>
              <w:rPr>
                <w:rFonts w:ascii="宋体" w:hAnsi="宋体" w:cs="宋体" w:eastAsia="宋体" w:hint="default"/>
                <w:sz w:val="18"/>
                <w:szCs w:val="18"/>
              </w:rPr>
            </w:pPr>
            <w:r>
              <w:rPr>
                <w:rFonts w:ascii="宋体" w:hAnsi="宋体" w:cs="宋体" w:eastAsia="宋体" w:hint="default"/>
                <w:sz w:val="18"/>
                <w:szCs w:val="18"/>
              </w:rPr>
              <w:t>王英（注）</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left="360"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2028"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right="374"/>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18"/>
                <w:szCs w:val="18"/>
              </w:rPr>
            </w:pPr>
            <w:r>
              <w:rPr>
                <w:rFonts w:ascii="Times New Roman"/>
                <w:sz w:val="18"/>
              </w:rPr>
              <w:t>9.71</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7"/>
              <w:jc w:val="right"/>
              <w:rPr>
                <w:rFonts w:ascii="Times New Roman" w:hAnsi="Times New Roman" w:cs="Times New Roman" w:eastAsia="Times New Roman" w:hint="default"/>
                <w:sz w:val="18"/>
                <w:szCs w:val="18"/>
              </w:rPr>
            </w:pPr>
            <w:r>
              <w:rPr>
                <w:rFonts w:ascii="Times New Roman"/>
                <w:sz w:val="18"/>
              </w:rPr>
              <w:t>9.71</w:t>
            </w:r>
          </w:p>
        </w:tc>
      </w:tr>
    </w:tbl>
    <w:p>
      <w:pPr>
        <w:pStyle w:val="BodyText"/>
        <w:spacing w:line="319" w:lineRule="auto"/>
        <w:ind w:right="5633"/>
        <w:jc w:val="left"/>
      </w:pPr>
      <w:r>
        <w:rPr/>
        <w:t>注：王英与周炜系夫妻关系，为本公司实际控制人。 本企业最终控制方是周炜、王英夫妻。</w:t>
      </w:r>
    </w:p>
    <w:p>
      <w:pPr>
        <w:spacing w:after="0" w:line="319"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spacing w:line="544" w:lineRule="auto" w:before="36"/>
        <w:ind w:left="152" w:right="58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9"/>
        <w:ind w:right="148"/>
        <w:jc w:val="left"/>
      </w:pPr>
      <w:r>
        <w:rPr/>
        <w:t>本企业重要的合营或联营企业详见附注九、</w:t>
      </w:r>
      <w:r>
        <w:rPr>
          <w:rFonts w:ascii="Times New Roman" w:hAnsi="Times New Roman" w:cs="Times New Roman" w:eastAsia="Times New Roman" w:hint="default"/>
        </w:rPr>
        <w:t>3.</w:t>
      </w:r>
      <w:r>
        <w:rPr/>
        <w:t>。</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上海钥世圈云健康科技发展有限公司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bl>
    <w:p>
      <w:pPr>
        <w:spacing w:line="240" w:lineRule="auto" w:before="3"/>
        <w:rPr>
          <w:rFonts w:ascii="宋体" w:hAnsi="宋体" w:cs="宋体" w:eastAsia="宋体" w:hint="default"/>
          <w:b/>
          <w:bCs/>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2"/>
        <w:gridCol w:w="1709"/>
        <w:gridCol w:w="1706"/>
        <w:gridCol w:w="1706"/>
      </w:tblGrid>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4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6"/>
        <w:gridCol w:w="2258"/>
        <w:gridCol w:w="2258"/>
        <w:gridCol w:w="2654"/>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8"/>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90" w:right="21"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28"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49"/>
        <w:ind w:right="148"/>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408"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8"/>
        <w:jc w:val="left"/>
      </w:pPr>
      <w:r>
        <w:rPr/>
        <w:t>本公司作为出租方：</w:t>
      </w:r>
    </w:p>
    <w:p>
      <w:pPr>
        <w:pStyle w:val="BodyText"/>
        <w:spacing w:line="240" w:lineRule="auto" w:before="117"/>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48"/>
        <w:jc w:val="left"/>
      </w:pPr>
      <w:r>
        <w:rPr/>
        <w:t>本公司作为承租方：</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t>本公司作为担保方</w:t>
      </w:r>
    </w:p>
    <w:p>
      <w:pPr>
        <w:pStyle w:val="BodyText"/>
        <w:spacing w:line="240" w:lineRule="auto" w:before="117"/>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48"/>
        <w:jc w:val="left"/>
      </w:pPr>
      <w:r>
        <w:rPr/>
        <w:t>本公司作为被担保方</w:t>
      </w:r>
    </w:p>
    <w:p>
      <w:pPr>
        <w:pStyle w:val="BodyText"/>
        <w:spacing w:line="240" w:lineRule="auto" w:before="11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4,363,058.36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2,388,889.90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52"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日，公司与周炜、国药健康实业（上海）有限公司、上海慧事投资有限公司、上海钥世圈云健康科技发展</w:t>
      </w:r>
      <w:r>
        <w:rPr/>
        <w:t> </w:t>
      </w:r>
      <w:r>
        <w:rPr>
          <w:spacing w:val="-2"/>
        </w:rPr>
        <w:t>有限公司共同签订的增资协议书，公司拟与公司实际控制人、控股股东周炜先生共同认购上海钥世圈云健康科技发展有限公</w:t>
      </w:r>
      <w:r>
        <w:rPr>
          <w:spacing w:val="-64"/>
        </w:rPr>
        <w:t> </w:t>
      </w:r>
      <w:r>
        <w:rPr>
          <w:spacing w:val="-64"/>
        </w:rPr>
      </w:r>
      <w:r>
        <w:rPr/>
        <w:t>司新增的注册资本。公司以自有资金出资</w:t>
      </w:r>
      <w:r>
        <w:rPr>
          <w:rFonts w:ascii="Times New Roman" w:hAnsi="Times New Roman" w:cs="Times New Roman" w:eastAsia="Times New Roman" w:hint="default"/>
        </w:rPr>
        <w:t>652.94</w:t>
      </w:r>
      <w:r>
        <w:rPr/>
        <w:t>万元，占上海钥世圈云健康科技发展有限公司增资后注册资本的</w:t>
      </w:r>
      <w:r>
        <w:rPr>
          <w:rFonts w:ascii="Times New Roman" w:hAnsi="Times New Roman" w:cs="Times New Roman" w:eastAsia="Times New Roman" w:hint="default"/>
        </w:rPr>
        <w:t>32.647%</w:t>
      </w:r>
      <w:r>
        <w:rPr/>
        <w:t>。</w:t>
      </w:r>
      <w:r>
        <w:rPr>
          <w:spacing w:val="-63"/>
        </w:rPr>
        <w:t> </w:t>
      </w:r>
      <w:r>
        <w:rPr/>
        <w:t>截止本报告期末，公司尚未出资。</w:t>
      </w:r>
    </w:p>
    <w:p>
      <w:pPr>
        <w:spacing w:after="0" w:line="307" w:lineRule="auto"/>
        <w:jc w:val="both"/>
        <w:sectPr>
          <w:pgSz w:w="11910" w:h="16840"/>
          <w:pgMar w:header="745" w:footer="981"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8"/>
        <w:jc w:val="left"/>
        <w:rPr>
          <w:b w:val="0"/>
          <w:bCs w:val="0"/>
        </w:rPr>
      </w:pPr>
      <w:r>
        <w:rPr/>
        <w:t>十一、股份支付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1,875,000.00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8,893,754.00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133,246.00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r>
    </w:tbl>
    <w:p>
      <w:pPr>
        <w:pStyle w:val="BodyText"/>
        <w:spacing w:line="240" w:lineRule="auto" w:before="49"/>
        <w:ind w:right="148"/>
        <w:jc w:val="left"/>
      </w:pPr>
      <w:r>
        <w:rPr/>
        <w:t>其他说明</w:t>
      </w:r>
    </w:p>
    <w:p>
      <w:pPr>
        <w:pStyle w:val="BodyText"/>
        <w:spacing w:line="300" w:lineRule="auto" w:before="114"/>
        <w:ind w:right="152" w:firstLine="360"/>
        <w:jc w:val="both"/>
      </w:pPr>
      <w:r>
        <w:rPr/>
        <w:t>注</w:t>
      </w:r>
      <w:r>
        <w:rPr>
          <w:rFonts w:ascii="Times New Roman" w:hAnsi="Times New Roman" w:cs="Times New Roman" w:eastAsia="Times New Roman" w:hint="default"/>
        </w:rPr>
        <w:t>1</w:t>
      </w:r>
      <w:r>
        <w:rPr/>
        <w:t>：首次授予股票期权有效期为自股票期权授权之日起</w:t>
      </w:r>
      <w:r>
        <w:rPr>
          <w:rFonts w:ascii="Times New Roman" w:hAnsi="Times New Roman" w:cs="Times New Roman" w:eastAsia="Times New Roman" w:hint="default"/>
        </w:rPr>
        <w:t>5</w:t>
      </w:r>
      <w:r>
        <w:rPr/>
        <w:t>年。预留部分期权的有效期为自预留部分期权授权日起</w:t>
      </w:r>
      <w:r>
        <w:rPr>
          <w:rFonts w:ascii="Times New Roman" w:hAnsi="Times New Roman" w:cs="Times New Roman" w:eastAsia="Times New Roman" w:hint="default"/>
        </w:rPr>
        <w:t>4</w:t>
      </w:r>
      <w:r>
        <w:rPr/>
        <w:t>年， </w:t>
      </w:r>
      <w:r>
        <w:rPr>
          <w:spacing w:val="-2"/>
        </w:rPr>
        <w:t>本计划授予的股票期权自本期激励计划授予日起满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48</w:t>
      </w:r>
      <w:r>
        <w:rPr>
          <w:spacing w:val="-2"/>
        </w:rPr>
        <w:t>个月内分四期行权。本次授予期权行权期</w:t>
      </w:r>
      <w:r>
        <w:rPr>
          <w:spacing w:val="-62"/>
        </w:rPr>
        <w:t> </w:t>
      </w:r>
      <w:r>
        <w:rPr>
          <w:spacing w:val="-62"/>
        </w:rPr>
      </w:r>
      <w:r>
        <w:rPr/>
        <w:t>及各期行权时间安排如表所示：</w:t>
      </w:r>
    </w:p>
    <w:p>
      <w:pPr>
        <w:spacing w:line="240" w:lineRule="auto" w:before="2"/>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2633"/>
        <w:gridCol w:w="4951"/>
        <w:gridCol w:w="2064"/>
      </w:tblGrid>
      <w:tr>
        <w:trPr>
          <w:trHeight w:val="660" w:hRule="exact"/>
        </w:trPr>
        <w:tc>
          <w:tcPr>
            <w:tcW w:w="2633"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3"/>
              <w:ind w:left="1216"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4951"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3"/>
              <w:ind w:left="357"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2064"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316" w:lineRule="auto" w:before="13"/>
              <w:ind w:left="580" w:right="33" w:hanging="180"/>
              <w:jc w:val="left"/>
              <w:rPr>
                <w:rFonts w:ascii="宋体" w:hAnsi="宋体" w:cs="宋体" w:eastAsia="宋体" w:hint="default"/>
                <w:sz w:val="18"/>
                <w:szCs w:val="18"/>
              </w:rPr>
            </w:pPr>
            <w:r>
              <w:rPr>
                <w:rFonts w:ascii="宋体" w:hAnsi="宋体" w:cs="宋体" w:eastAsia="宋体" w:hint="default"/>
                <w:sz w:val="18"/>
                <w:szCs w:val="18"/>
              </w:rPr>
              <w:t>可行权数量占获授期 权数量比例</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495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7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 后一个交易日当日止</w:t>
            </w:r>
          </w:p>
        </w:tc>
        <w:tc>
          <w:tcPr>
            <w:tcW w:w="20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95"/>
              <w:jc w:val="right"/>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495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7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 后一个交易日当日止</w:t>
            </w:r>
          </w:p>
        </w:tc>
        <w:tc>
          <w:tcPr>
            <w:tcW w:w="20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95"/>
              <w:jc w:val="right"/>
              <w:rPr>
                <w:rFonts w:ascii="Times New Roman" w:hAnsi="Times New Roman" w:cs="Times New Roman" w:eastAsia="Times New Roman" w:hint="default"/>
                <w:sz w:val="18"/>
                <w:szCs w:val="18"/>
              </w:rPr>
            </w:pPr>
            <w:r>
              <w:rPr>
                <w:rFonts w:ascii="Times New Roman"/>
                <w:sz w:val="18"/>
              </w:rPr>
              <w:t>25%</w:t>
            </w:r>
          </w:p>
        </w:tc>
      </w:tr>
      <w:tr>
        <w:trPr>
          <w:trHeight w:val="662"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495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2" w:right="7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 后一个交易日当日止</w:t>
            </w:r>
          </w:p>
        </w:tc>
        <w:tc>
          <w:tcPr>
            <w:tcW w:w="20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95"/>
              <w:jc w:val="right"/>
              <w:rPr>
                <w:rFonts w:ascii="Times New Roman" w:hAnsi="Times New Roman" w:cs="Times New Roman" w:eastAsia="Times New Roman" w:hint="default"/>
                <w:sz w:val="18"/>
                <w:szCs w:val="18"/>
              </w:rPr>
            </w:pPr>
            <w:r>
              <w:rPr>
                <w:rFonts w:ascii="Times New Roman"/>
                <w:sz w:val="18"/>
              </w:rPr>
              <w:t>25%</w:t>
            </w:r>
          </w:p>
        </w:tc>
      </w:tr>
      <w:tr>
        <w:trPr>
          <w:trHeight w:val="667"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第四个行权期</w:t>
            </w:r>
          </w:p>
        </w:tc>
        <w:tc>
          <w:tcPr>
            <w:tcW w:w="495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7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个月后的首个交易日起至授权日起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个月内的最 后一个交易日当日止</w:t>
            </w:r>
          </w:p>
        </w:tc>
        <w:tc>
          <w:tcPr>
            <w:tcW w:w="20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495"/>
              <w:jc w:val="right"/>
              <w:rPr>
                <w:rFonts w:ascii="Times New Roman" w:hAnsi="Times New Roman" w:cs="Times New Roman" w:eastAsia="Times New Roman" w:hint="default"/>
                <w:sz w:val="18"/>
                <w:szCs w:val="18"/>
              </w:rPr>
            </w:pPr>
            <w:r>
              <w:rPr>
                <w:rFonts w:ascii="Times New Roman"/>
                <w:sz w:val="18"/>
              </w:rPr>
              <w:t>25%</w:t>
            </w:r>
          </w:p>
        </w:tc>
      </w:tr>
    </w:tbl>
    <w:p>
      <w:pPr>
        <w:pStyle w:val="BodyText"/>
        <w:spacing w:line="300" w:lineRule="auto" w:before="8"/>
        <w:ind w:right="128" w:firstLine="360"/>
        <w:jc w:val="both"/>
      </w:pPr>
      <w:r>
        <w:rPr/>
        <w:t>股票期权的主要行权条件：在本股票期权激励计划有效期内，以</w:t>
      </w:r>
      <w:r>
        <w:rPr>
          <w:rFonts w:ascii="Times New Roman" w:hAnsi="Times New Roman" w:cs="Times New Roman" w:eastAsia="Times New Roman" w:hint="default"/>
        </w:rPr>
        <w:t>2011</w:t>
      </w:r>
      <w:r>
        <w:rPr/>
        <w:t>年营业收入为基数，</w:t>
      </w:r>
      <w:r>
        <w:rPr>
          <w:rFonts w:ascii="Times New Roman" w:hAnsi="Times New Roman" w:cs="Times New Roman" w:eastAsia="Times New Roman" w:hint="default"/>
        </w:rPr>
        <w:t>2012-2015</w:t>
      </w:r>
      <w:r>
        <w:rPr/>
        <w:t>年的营业收入增长 率相比</w:t>
      </w:r>
      <w:r>
        <w:rPr>
          <w:rFonts w:ascii="Times New Roman" w:hAnsi="Times New Roman" w:cs="Times New Roman" w:eastAsia="Times New Roman" w:hint="default"/>
        </w:rPr>
        <w:t>2011</w:t>
      </w:r>
      <w:r>
        <w:rPr/>
        <w:t>年分别不低于</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75%</w:t>
      </w:r>
      <w:r>
        <w:rPr/>
        <w:t>，</w:t>
      </w:r>
      <w:r>
        <w:rPr>
          <w:rFonts w:ascii="Times New Roman" w:hAnsi="Times New Roman" w:cs="Times New Roman" w:eastAsia="Times New Roman" w:hint="default"/>
        </w:rPr>
        <w:t>105%</w:t>
      </w:r>
      <w:r>
        <w:rPr/>
        <w:t>；净利润增长率相比</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2012-2015</w:t>
      </w:r>
      <w:r>
        <w:rPr/>
        <w:t>年分别不低于</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75%</w:t>
      </w:r>
      <w:r>
        <w:rPr/>
        <w:t>， </w:t>
      </w:r>
      <w:r>
        <w:rPr>
          <w:rFonts w:ascii="Times New Roman" w:hAnsi="Times New Roman" w:cs="Times New Roman" w:eastAsia="Times New Roman" w:hint="default"/>
        </w:rPr>
        <w:t>105%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pStyle w:val="BodyText"/>
        <w:spacing w:line="300" w:lineRule="auto" w:before="13"/>
        <w:ind w:right="123" w:firstLine="360"/>
        <w:jc w:val="both"/>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日，公司召开第二届董事会第十七次会议，审议通过《关于股票期权激励计划所涉首次授予激励对象、 期权数量和行权价格调整的议案》，将首次授予股票期权行权价格由</w:t>
      </w:r>
      <w:r>
        <w:rPr>
          <w:rFonts w:ascii="Times New Roman" w:hAnsi="Times New Roman" w:cs="Times New Roman" w:eastAsia="Times New Roman" w:hint="default"/>
        </w:rPr>
        <w:t>18.78  </w:t>
      </w:r>
      <w:r>
        <w:rPr/>
        <w:t>调整到</w:t>
      </w:r>
      <w:r>
        <w:rPr>
          <w:rFonts w:ascii="Times New Roman" w:hAnsi="Times New Roman" w:cs="Times New Roman" w:eastAsia="Times New Roman" w:hint="default"/>
        </w:rPr>
        <w:t>9.292</w:t>
      </w:r>
      <w:r>
        <w:rPr>
          <w:rFonts w:ascii="Times New Roman" w:hAnsi="Times New Roman" w:cs="Times New Roman" w:eastAsia="Times New Roman" w:hint="default"/>
          <w:spacing w:val="7"/>
        </w:rPr>
        <w:t> </w:t>
      </w:r>
      <w:r>
        <w:rPr/>
        <w:t>元。</w:t>
      </w:r>
    </w:p>
    <w:p>
      <w:pPr>
        <w:pStyle w:val="BodyText"/>
        <w:spacing w:line="300" w:lineRule="auto" w:before="13"/>
        <w:ind w:right="154"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2"/>
        </w:rPr>
        <w:t>月</w:t>
      </w:r>
      <w:r>
        <w:rPr>
          <w:rFonts w:ascii="Times New Roman" w:hAnsi="Times New Roman" w:cs="Times New Roman" w:eastAsia="Times New Roman" w:hint="default"/>
          <w:spacing w:val="-2"/>
        </w:rPr>
        <w:t>22</w:t>
      </w:r>
      <w:r>
        <w:rPr>
          <w:spacing w:val="-2"/>
        </w:rPr>
        <w:t>日，公司召开第三届董事会第二次会议，审议通过《关于公司</w:t>
      </w:r>
      <w:r>
        <w:rPr>
          <w:rFonts w:ascii="Times New Roman" w:hAnsi="Times New Roman" w:cs="Times New Roman" w:eastAsia="Times New Roman" w:hint="default"/>
          <w:spacing w:val="-2"/>
        </w:rPr>
        <w:t>2012</w:t>
      </w:r>
      <w:r>
        <w:rPr>
          <w:spacing w:val="-2"/>
        </w:rPr>
        <w:t>年股票期权激励计划所涉激励对象、期</w:t>
      </w:r>
      <w:r>
        <w:rPr/>
        <w:t> 权数量和行权价格调整的议案》，将首次授予股票期权行权价格由</w:t>
      </w:r>
      <w:r>
        <w:rPr>
          <w:rFonts w:ascii="Times New Roman" w:hAnsi="Times New Roman" w:cs="Times New Roman" w:eastAsia="Times New Roman" w:hint="default"/>
        </w:rPr>
        <w:t>9.292</w:t>
      </w:r>
      <w:r>
        <w:rPr/>
        <w:t>调整到</w:t>
      </w:r>
      <w:r>
        <w:rPr>
          <w:rFonts w:ascii="Times New Roman" w:hAnsi="Times New Roman" w:cs="Times New Roman" w:eastAsia="Times New Roman" w:hint="default"/>
        </w:rPr>
        <w:t>3.66</w:t>
      </w:r>
      <w:r>
        <w:rPr/>
        <w:t>元。</w:t>
      </w:r>
    </w:p>
    <w:p>
      <w:pPr>
        <w:pStyle w:val="BodyText"/>
        <w:spacing w:line="307" w:lineRule="auto" w:before="13"/>
        <w:ind w:right="152" w:firstLine="360"/>
        <w:jc w:val="both"/>
      </w:pPr>
      <w:r>
        <w:rPr/>
        <w:t>注</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日分别召开第二届董事会第十一次会议和第二届监事会第十二次会议</w:t>
      </w:r>
      <w:r>
        <w:rPr>
          <w:rFonts w:ascii="Times New Roman" w:hAnsi="Times New Roman" w:cs="Times New Roman" w:eastAsia="Times New Roman" w:hint="default"/>
        </w:rPr>
        <w:t>,</w:t>
      </w:r>
      <w:r>
        <w:rPr/>
        <w:t>审议通过了《关于公司 </w:t>
      </w:r>
      <w:r>
        <w:rPr>
          <w:spacing w:val="-2"/>
        </w:rPr>
        <w:t>股票期权激励计划预留股票期权授予相关事项的议案》，根据公司《股票期权激励计划（草案修订稿）》的规定，预留股票</w:t>
      </w:r>
      <w:r>
        <w:rPr>
          <w:spacing w:val="-66"/>
        </w:rPr>
        <w:t> </w:t>
      </w:r>
      <w:r>
        <w:rPr>
          <w:spacing w:val="-66"/>
        </w:rPr>
      </w:r>
      <w:r>
        <w:rPr/>
        <w:t>期权自首次授予日起满</w:t>
      </w:r>
      <w:r>
        <w:rPr>
          <w:rFonts w:ascii="Times New Roman" w:hAnsi="Times New Roman" w:cs="Times New Roman" w:eastAsia="Times New Roman" w:hint="default"/>
        </w:rPr>
        <w:t>12</w:t>
      </w:r>
      <w:r>
        <w:rPr/>
        <w:t>个月后，在满足行权条件时，激励对象在未来</w:t>
      </w:r>
      <w:r>
        <w:rPr>
          <w:rFonts w:ascii="Times New Roman" w:hAnsi="Times New Roman" w:cs="Times New Roman" w:eastAsia="Times New Roman" w:hint="default"/>
        </w:rPr>
        <w:t>36</w:t>
      </w:r>
      <w:r>
        <w:rPr/>
        <w:t>个月内分三次分别按照</w:t>
      </w:r>
      <w:r>
        <w:rPr>
          <w:rFonts w:ascii="Times New Roman" w:hAnsi="Times New Roman" w:cs="Times New Roman" w:eastAsia="Times New Roman" w:hint="default"/>
        </w:rPr>
        <w:t>1/3:1/3:1/3</w:t>
      </w:r>
      <w:r>
        <w:rPr/>
        <w:t>的比例行权获授</w:t>
      </w:r>
      <w:r>
        <w:rPr>
          <w:spacing w:val="-69"/>
        </w:rPr>
        <w:t> </w:t>
      </w:r>
      <w:r>
        <w:rPr>
          <w:spacing w:val="-69"/>
        </w:rPr>
      </w:r>
      <w:r>
        <w:rPr/>
        <w:t>期权。</w:t>
      </w:r>
    </w:p>
    <w:p>
      <w:pPr>
        <w:pStyle w:val="BodyText"/>
        <w:spacing w:line="240" w:lineRule="auto" w:before="26"/>
        <w:ind w:left="512" w:right="148"/>
        <w:jc w:val="left"/>
      </w:pPr>
      <w:r>
        <w:rPr/>
        <w:t>预留股票期权的行权比例和主要行权条件如下：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633"/>
        <w:gridCol w:w="5232"/>
        <w:gridCol w:w="1795"/>
      </w:tblGrid>
      <w:tr>
        <w:trPr>
          <w:trHeight w:val="353" w:hRule="exact"/>
        </w:trPr>
        <w:tc>
          <w:tcPr>
            <w:tcW w:w="2633"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1216"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5232"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公司业绩目标</w:t>
            </w:r>
          </w:p>
        </w:tc>
        <w:tc>
          <w:tcPr>
            <w:tcW w:w="1795"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240" w:lineRule="auto" w:before="17"/>
              <w:ind w:right="355"/>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5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年营业收入相比于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年净利润相比于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45%</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19"/>
              <w:jc w:val="right"/>
              <w:rPr>
                <w:rFonts w:ascii="Times New Roman" w:hAnsi="Times New Roman" w:cs="Times New Roman" w:eastAsia="Times New Roman" w:hint="default"/>
                <w:sz w:val="18"/>
                <w:szCs w:val="18"/>
              </w:rPr>
            </w:pPr>
            <w:r>
              <w:rPr>
                <w:rFonts w:ascii="Times New Roman"/>
                <w:sz w:val="18"/>
              </w:rPr>
              <w:t>1/3</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5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年营业收入相比于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年净利润相比于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19"/>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633"/>
        <w:gridCol w:w="5232"/>
        <w:gridCol w:w="1793"/>
      </w:tblGrid>
      <w:tr>
        <w:trPr>
          <w:trHeight w:val="667" w:hRule="exact"/>
        </w:trPr>
        <w:tc>
          <w:tcPr>
            <w:tcW w:w="26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5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年营业收入相比于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105%</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年净利润相比于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105%</w:t>
            </w:r>
            <w:r>
              <w:rPr>
                <w:rFonts w:ascii="宋体" w:hAnsi="宋体" w:cs="宋体" w:eastAsia="宋体" w:hint="default"/>
                <w:sz w:val="18"/>
                <w:szCs w:val="18"/>
              </w:rPr>
              <w:t>。</w:t>
            </w:r>
          </w:p>
        </w:tc>
        <w:tc>
          <w:tcPr>
            <w:tcW w:w="17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left="1135" w:right="0"/>
              <w:jc w:val="left"/>
              <w:rPr>
                <w:rFonts w:ascii="Times New Roman" w:hAnsi="Times New Roman" w:cs="Times New Roman" w:eastAsia="Times New Roman" w:hint="default"/>
                <w:sz w:val="18"/>
                <w:szCs w:val="18"/>
              </w:rPr>
            </w:pPr>
            <w:r>
              <w:rPr>
                <w:rFonts w:ascii="Times New Roman"/>
                <w:sz w:val="18"/>
              </w:rPr>
              <w:t>1/3</w:t>
            </w:r>
          </w:p>
        </w:tc>
      </w:tr>
    </w:tbl>
    <w:p>
      <w:pPr>
        <w:pStyle w:val="BodyText"/>
        <w:spacing w:line="300" w:lineRule="auto" w:before="8"/>
        <w:ind w:left="512" w:right="183"/>
        <w:jc w:val="left"/>
      </w:pP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日，公司召开第二届董事会第十七次会议，审议通过《关于股票期权激励计划所涉首次授予激励对象、</w:t>
      </w:r>
    </w:p>
    <w:p>
      <w:pPr>
        <w:pStyle w:val="BodyText"/>
        <w:spacing w:line="240" w:lineRule="auto" w:before="13"/>
        <w:ind w:right="93"/>
        <w:jc w:val="left"/>
      </w:pPr>
      <w:r>
        <w:rPr/>
        <w:t>期权数量和行权价格调整的议案》，将预留股票期权行权价格由</w:t>
      </w:r>
      <w:r>
        <w:rPr>
          <w:rFonts w:ascii="Times New Roman" w:hAnsi="Times New Roman" w:cs="Times New Roman" w:eastAsia="Times New Roman" w:hint="default"/>
        </w:rPr>
        <w:t>48.90</w:t>
      </w:r>
      <w:r>
        <w:rPr/>
        <w:t>调整到</w:t>
      </w:r>
      <w:r>
        <w:rPr>
          <w:rFonts w:ascii="Times New Roman" w:hAnsi="Times New Roman" w:cs="Times New Roman" w:eastAsia="Times New Roman" w:hint="default"/>
        </w:rPr>
        <w:t>24.356</w:t>
      </w:r>
      <w:r>
        <w:rPr/>
        <w:t>元。</w:t>
      </w:r>
    </w:p>
    <w:p>
      <w:pPr>
        <w:pStyle w:val="BodyText"/>
        <w:spacing w:line="300" w:lineRule="auto" w:before="63"/>
        <w:ind w:right="9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2"/>
        </w:rPr>
        <w:t>月</w:t>
      </w:r>
      <w:r>
        <w:rPr>
          <w:rFonts w:ascii="Times New Roman" w:hAnsi="Times New Roman" w:cs="Times New Roman" w:eastAsia="Times New Roman" w:hint="default"/>
          <w:spacing w:val="-2"/>
        </w:rPr>
        <w:t>22</w:t>
      </w:r>
      <w:r>
        <w:rPr>
          <w:spacing w:val="-2"/>
        </w:rPr>
        <w:t>日，公司召开第三届董事会第二次会议，审议通过《关于公司</w:t>
      </w:r>
      <w:r>
        <w:rPr>
          <w:rFonts w:ascii="Times New Roman" w:hAnsi="Times New Roman" w:cs="Times New Roman" w:eastAsia="Times New Roman" w:hint="default"/>
          <w:spacing w:val="-2"/>
        </w:rPr>
        <w:t>2012</w:t>
      </w:r>
      <w:r>
        <w:rPr>
          <w:spacing w:val="-2"/>
        </w:rPr>
        <w:t>年股票期权激励计划所涉激励对象、期</w:t>
      </w:r>
      <w:r>
        <w:rPr/>
        <w:t> 权数量和行权价格调整的议案》，将预留授予股票期权行权价格由</w:t>
      </w:r>
      <w:r>
        <w:rPr>
          <w:rFonts w:ascii="Times New Roman" w:hAnsi="Times New Roman" w:cs="Times New Roman" w:eastAsia="Times New Roman" w:hint="default"/>
        </w:rPr>
        <w:t>24.356</w:t>
      </w:r>
      <w:r>
        <w:rPr/>
        <w:t>元调整到</w:t>
      </w:r>
      <w:r>
        <w:rPr>
          <w:rFonts w:ascii="Times New Roman" w:hAnsi="Times New Roman" w:cs="Times New Roman" w:eastAsia="Times New Roman" w:hint="default"/>
        </w:rPr>
        <w:t>9.69</w:t>
      </w:r>
      <w:r>
        <w:rPr/>
        <w:t>元。</w:t>
      </w:r>
    </w:p>
    <w:p>
      <w:pPr>
        <w:pStyle w:val="BodyText"/>
        <w:spacing w:line="300" w:lineRule="auto" w:before="13"/>
        <w:ind w:right="93" w:firstLine="360"/>
        <w:jc w:val="left"/>
      </w:pPr>
      <w:r>
        <w:rPr>
          <w:spacing w:val="-4"/>
        </w:rPr>
        <w:t>注</w:t>
      </w:r>
      <w:r>
        <w:rPr>
          <w:rFonts w:ascii="Times New Roman" w:hAnsi="Times New Roman" w:cs="Times New Roman" w:eastAsia="Times New Roman" w:hint="default"/>
          <w:spacing w:val="-4"/>
        </w:rPr>
        <w:t>3</w:t>
      </w:r>
      <w:r>
        <w:rPr>
          <w:spacing w:val="-4"/>
        </w:rPr>
        <w:t>：公司于</w:t>
      </w:r>
      <w:r>
        <w:rPr>
          <w:rFonts w:ascii="Times New Roman" w:hAnsi="Times New Roman" w:cs="Times New Roman" w:eastAsia="Times New Roman" w:hint="default"/>
          <w:spacing w:val="-4"/>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spacing w:val="-3"/>
        </w:rPr>
        <w:t>日分别召开第二届董事会第二十四次会议和第二届监事会第二十五次会议，审议通过了《关</w:t>
      </w:r>
      <w:r>
        <w:rPr/>
        <w:t> 于</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spacing w:val="-2"/>
        </w:rPr>
        <w:t>年股票期权激励计划首次授予期权相关事项的议案》，公司本期股票期权自本期激励计划首次授予日起满</w:t>
      </w:r>
      <w:r>
        <w:rPr>
          <w:rFonts w:ascii="Times New Roman" w:hAnsi="Times New Roman" w:cs="Times New Roman" w:eastAsia="Times New Roman" w:hint="default"/>
          <w:spacing w:val="-2"/>
        </w:rPr>
        <w:t>12</w:t>
      </w:r>
      <w:r>
        <w:rPr>
          <w:spacing w:val="-2"/>
        </w:rPr>
        <w:t>个月后，</w:t>
      </w:r>
      <w:r>
        <w:rPr>
          <w:spacing w:val="-85"/>
        </w:rPr>
        <w:t> </w:t>
      </w:r>
      <w:r>
        <w:rPr/>
        <w:t>激励对象应在未来</w:t>
      </w:r>
      <w:r>
        <w:rPr>
          <w:rFonts w:ascii="Times New Roman" w:hAnsi="Times New Roman" w:cs="Times New Roman" w:eastAsia="Times New Roman" w:hint="default"/>
        </w:rPr>
        <w:t>48</w:t>
      </w:r>
      <w:r>
        <w:rPr/>
        <w:t>个月内分四期行权。首次授予期权的行权期及各期行权时间安排如表所示：</w:t>
      </w:r>
    </w:p>
    <w:tbl>
      <w:tblPr>
        <w:tblW w:w="0" w:type="auto"/>
        <w:jc w:val="left"/>
        <w:tblInd w:w="136" w:type="dxa"/>
        <w:tblLayout w:type="fixed"/>
        <w:tblCellMar>
          <w:top w:w="0" w:type="dxa"/>
          <w:left w:w="0" w:type="dxa"/>
          <w:bottom w:w="0" w:type="dxa"/>
          <w:right w:w="0" w:type="dxa"/>
        </w:tblCellMar>
        <w:tblLook w:val="01E0"/>
      </w:tblPr>
      <w:tblGrid>
        <w:gridCol w:w="1939"/>
        <w:gridCol w:w="5623"/>
        <w:gridCol w:w="2086"/>
      </w:tblGrid>
      <w:tr>
        <w:trPr>
          <w:trHeight w:val="661" w:hRule="exact"/>
        </w:trPr>
        <w:tc>
          <w:tcPr>
            <w:tcW w:w="1939"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3"/>
              <w:ind w:left="871"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5623"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3"/>
              <w:ind w:left="357"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2086"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316" w:lineRule="auto" w:before="13"/>
              <w:ind w:left="590" w:right="45" w:hanging="180"/>
              <w:jc w:val="left"/>
              <w:rPr>
                <w:rFonts w:ascii="宋体" w:hAnsi="宋体" w:cs="宋体" w:eastAsia="宋体" w:hint="default"/>
                <w:sz w:val="18"/>
                <w:szCs w:val="18"/>
              </w:rPr>
            </w:pPr>
            <w:r>
              <w:rPr>
                <w:rFonts w:ascii="宋体" w:hAnsi="宋体" w:cs="宋体" w:eastAsia="宋体" w:hint="default"/>
                <w:sz w:val="18"/>
                <w:szCs w:val="18"/>
              </w:rPr>
              <w:t>可行权数量占获授期 权数量比例</w:t>
            </w:r>
          </w:p>
        </w:tc>
      </w:tr>
      <w:tr>
        <w:trPr>
          <w:trHeight w:val="664" w:hRule="exact"/>
        </w:trPr>
        <w:tc>
          <w:tcPr>
            <w:tcW w:w="1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562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9"/>
              <w:ind w:left="2"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 后一个交易日当日止</w:t>
            </w:r>
          </w:p>
        </w:tc>
        <w:tc>
          <w:tcPr>
            <w:tcW w:w="20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507"/>
              <w:jc w:val="right"/>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1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562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 后一个交易日当日止</w:t>
            </w:r>
          </w:p>
        </w:tc>
        <w:tc>
          <w:tcPr>
            <w:tcW w:w="20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07"/>
              <w:jc w:val="right"/>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1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562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2"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 后一个交易日当日止</w:t>
            </w:r>
          </w:p>
        </w:tc>
        <w:tc>
          <w:tcPr>
            <w:tcW w:w="20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07"/>
              <w:jc w:val="right"/>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1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第四个行权期</w:t>
            </w:r>
          </w:p>
        </w:tc>
        <w:tc>
          <w:tcPr>
            <w:tcW w:w="562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2" w:right="24"/>
              <w:jc w:val="left"/>
              <w:rPr>
                <w:rFonts w:ascii="宋体" w:hAnsi="宋体" w:cs="宋体" w:eastAsia="宋体" w:hint="default"/>
                <w:sz w:val="18"/>
                <w:szCs w:val="18"/>
              </w:rPr>
            </w:pPr>
            <w:r>
              <w:rPr>
                <w:rFonts w:ascii="宋体" w:hAnsi="宋体" w:cs="宋体" w:eastAsia="宋体" w:hint="default"/>
                <w:sz w:val="18"/>
                <w:szCs w:val="18"/>
              </w:rPr>
              <w:t>自首次授权日起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个月后的首个交易日起至首次授权日起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个月内的最 后一个交易日当日止</w:t>
            </w:r>
          </w:p>
        </w:tc>
        <w:tc>
          <w:tcPr>
            <w:tcW w:w="20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07"/>
              <w:jc w:val="right"/>
              <w:rPr>
                <w:rFonts w:ascii="Times New Roman" w:hAnsi="Times New Roman" w:cs="Times New Roman" w:eastAsia="Times New Roman" w:hint="default"/>
                <w:sz w:val="18"/>
                <w:szCs w:val="18"/>
              </w:rPr>
            </w:pPr>
            <w:r>
              <w:rPr>
                <w:rFonts w:ascii="Times New Roman"/>
                <w:sz w:val="18"/>
              </w:rPr>
              <w:t>25%</w:t>
            </w:r>
          </w:p>
        </w:tc>
      </w:tr>
    </w:tbl>
    <w:p>
      <w:pPr>
        <w:pStyle w:val="BodyText"/>
        <w:spacing w:line="300" w:lineRule="auto" w:before="17"/>
        <w:ind w:right="189" w:firstLine="360"/>
        <w:jc w:val="both"/>
      </w:pPr>
      <w:r>
        <w:rPr>
          <w:spacing w:val="3"/>
        </w:rPr>
        <w:t>本期股票期权激励计划有效期内，以</w:t>
      </w:r>
      <w:r>
        <w:rPr>
          <w:rFonts w:ascii="Times New Roman" w:hAnsi="Times New Roman" w:cs="Times New Roman" w:eastAsia="Times New Roman" w:hint="default"/>
          <w:spacing w:val="3"/>
        </w:rPr>
        <w:t>2013</w:t>
      </w:r>
      <w:r>
        <w:rPr>
          <w:spacing w:val="3"/>
        </w:rPr>
        <w:t>年营业收入为基数，</w:t>
      </w:r>
      <w:r>
        <w:rPr>
          <w:rFonts w:ascii="Times New Roman" w:hAnsi="Times New Roman" w:cs="Times New Roman" w:eastAsia="Times New Roman" w:hint="default"/>
          <w:spacing w:val="3"/>
        </w:rPr>
        <w:t>2014-2017</w:t>
      </w:r>
      <w:r>
        <w:rPr>
          <w:spacing w:val="3"/>
        </w:rPr>
        <w:t>年的营业收入增长率相比</w:t>
      </w:r>
      <w:r>
        <w:rPr>
          <w:rFonts w:ascii="Times New Roman" w:hAnsi="Times New Roman" w:cs="Times New Roman" w:eastAsia="Times New Roman" w:hint="default"/>
          <w:spacing w:val="3"/>
        </w:rPr>
        <w:t>2013</w:t>
      </w:r>
      <w:r>
        <w:rPr>
          <w:spacing w:val="3"/>
        </w:rPr>
        <w:t>年分别不低于</w:t>
      </w:r>
      <w:r>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60%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150%</w:t>
      </w:r>
      <w:r>
        <w:rPr/>
        <w:t>；净利润增长率相比</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2014-2017</w:t>
      </w:r>
      <w:r>
        <w:rPr/>
        <w:t>年分别不低于</w:t>
      </w:r>
      <w:r>
        <w:rPr>
          <w:rFonts w:ascii="Times New Roman" w:hAnsi="Times New Roman" w:cs="Times New Roman" w:eastAsia="Times New Roman" w:hint="default"/>
        </w:rPr>
        <w:t>30%</w:t>
      </w:r>
      <w:r>
        <w:rPr/>
        <w:t>，</w:t>
      </w:r>
      <w:r>
        <w:rPr>
          <w:rFonts w:ascii="Times New Roman" w:hAnsi="Times New Roman" w:cs="Times New Roman" w:eastAsia="Times New Roman" w:hint="default"/>
        </w:rPr>
        <w:t>70%</w:t>
      </w:r>
      <w:r>
        <w:rPr/>
        <w:t>，</w:t>
      </w:r>
      <w:r>
        <w:rPr>
          <w:rFonts w:ascii="Times New Roman" w:hAnsi="Times New Roman" w:cs="Times New Roman" w:eastAsia="Times New Roman" w:hint="default"/>
        </w:rPr>
        <w:t>125%</w:t>
      </w:r>
      <w:r>
        <w:rPr/>
        <w:t>，</w:t>
      </w:r>
      <w:r>
        <w:rPr>
          <w:rFonts w:ascii="Times New Roman" w:hAnsi="Times New Roman" w:cs="Times New Roman" w:eastAsia="Times New Roman" w:hint="default"/>
        </w:rPr>
        <w:t>200%</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指扣除非经常性损益后的净利润。</w:t>
      </w:r>
    </w:p>
    <w:p>
      <w:pPr>
        <w:pStyle w:val="BodyText"/>
        <w:spacing w:line="300" w:lineRule="auto" w:before="31"/>
        <w:ind w:right="127" w:firstLine="36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22</w:t>
      </w:r>
      <w:r>
        <w:rPr/>
        <w:t>日召开的第三届董事会第二次会议审议通过了《关于公司</w:t>
      </w:r>
      <w:r>
        <w:rPr>
          <w:rFonts w:ascii="Times New Roman" w:hAnsi="Times New Roman" w:cs="Times New Roman" w:eastAsia="Times New Roman" w:hint="default"/>
        </w:rPr>
        <w:t>2012</w:t>
      </w:r>
      <w:r>
        <w:rPr/>
        <w:t>年股票期权激励计划所涉激励对象、 期权数量和行权价格调整的议案》，将首次授予股票期权行权价格由</w:t>
      </w:r>
      <w:r>
        <w:rPr>
          <w:rFonts w:ascii="Times New Roman" w:hAnsi="Times New Roman" w:cs="Times New Roman" w:eastAsia="Times New Roman" w:hint="default"/>
        </w:rPr>
        <w:t>46.15</w:t>
      </w:r>
      <w:r>
        <w:rPr/>
        <w:t>元调整到</w:t>
      </w:r>
      <w:r>
        <w:rPr>
          <w:rFonts w:ascii="Times New Roman" w:hAnsi="Times New Roman" w:cs="Times New Roman" w:eastAsia="Times New Roman" w:hint="default"/>
        </w:rPr>
        <w:t>18.41</w:t>
      </w:r>
      <w:r>
        <w:rPr/>
        <w:t>元。</w:t>
      </w:r>
    </w:p>
    <w:p>
      <w:pPr>
        <w:pStyle w:val="BodyText"/>
        <w:spacing w:line="300" w:lineRule="auto" w:before="13"/>
        <w:ind w:right="189" w:firstLine="360"/>
        <w:jc w:val="both"/>
      </w:pPr>
      <w:r>
        <w:rPr/>
        <w:t>注</w:t>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日分别召开第三届董事会第五次会议和第三届监事会第五次会议</w:t>
      </w:r>
      <w:r>
        <w:rPr>
          <w:rFonts w:ascii="Times New Roman" w:hAnsi="Times New Roman" w:cs="Times New Roman" w:eastAsia="Times New Roman" w:hint="default"/>
        </w:rPr>
        <w:t>,</w:t>
      </w:r>
      <w:r>
        <w:rPr/>
        <w:t>审议通过了《关于公司</w:t>
      </w:r>
      <w:r>
        <w:rPr>
          <w:rFonts w:ascii="Times New Roman" w:hAnsi="Times New Roman" w:cs="Times New Roman" w:eastAsia="Times New Roman" w:hint="default"/>
        </w:rPr>
        <w:t>2014 </w:t>
      </w:r>
      <w:r>
        <w:rPr>
          <w:spacing w:val="-1"/>
        </w:rPr>
        <w:t>年股票期权激励计划预留期权授予相关事项的议案》，董事会同意授予</w:t>
      </w:r>
      <w:r>
        <w:rPr>
          <w:rFonts w:ascii="Times New Roman" w:hAnsi="Times New Roman" w:cs="Times New Roman" w:eastAsia="Times New Roman" w:hint="default"/>
          <w:spacing w:val="-1"/>
        </w:rPr>
        <w:t>53</w:t>
      </w:r>
      <w:r>
        <w:rPr>
          <w:spacing w:val="-1"/>
        </w:rPr>
        <w:t>名激励对象</w:t>
      </w:r>
      <w:r>
        <w:rPr>
          <w:rFonts w:ascii="Times New Roman" w:hAnsi="Times New Roman" w:cs="Times New Roman" w:eastAsia="Times New Roman" w:hint="default"/>
          <w:spacing w:val="-1"/>
        </w:rPr>
        <w:t>187.5</w:t>
      </w:r>
      <w:r>
        <w:rPr>
          <w:spacing w:val="-1"/>
        </w:rPr>
        <w:t>万份股票期权，授予日为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2"/>
        </w:rPr>
        <w:t> </w:t>
      </w:r>
      <w:r>
        <w:rPr>
          <w:spacing w:val="-1"/>
        </w:rPr>
        <w:t>月</w:t>
      </w:r>
      <w:r>
        <w:rPr>
          <w:rFonts w:ascii="Times New Roman" w:hAnsi="Times New Roman" w:cs="Times New Roman" w:eastAsia="Times New Roman" w:hint="default"/>
          <w:spacing w:val="-1"/>
        </w:rPr>
        <w:t>17</w:t>
      </w:r>
      <w:r>
        <w:rPr>
          <w:spacing w:val="-1"/>
        </w:rPr>
        <w:t>日，授予价格为</w:t>
      </w:r>
      <w:r>
        <w:rPr>
          <w:rFonts w:ascii="Times New Roman" w:hAnsi="Times New Roman" w:cs="Times New Roman" w:eastAsia="Times New Roman" w:hint="default"/>
          <w:spacing w:val="-1"/>
        </w:rPr>
        <w:t>80.9</w:t>
      </w:r>
      <w:r>
        <w:rPr>
          <w:spacing w:val="-1"/>
        </w:rPr>
        <w:t>元。根据公司《股票期权激励计划（草案修订稿）》的规定，预留股票期权自首次授予日起满</w:t>
      </w:r>
      <w:r>
        <w:rPr>
          <w:rFonts w:ascii="Times New Roman" w:hAnsi="Times New Roman" w:cs="Times New Roman" w:eastAsia="Times New Roman" w:hint="default"/>
          <w:spacing w:val="-1"/>
        </w:rPr>
        <w:t>12</w:t>
      </w:r>
      <w:r>
        <w:rPr>
          <w:spacing w:val="-1"/>
        </w:rPr>
        <w:t>个</w:t>
      </w:r>
      <w:r>
        <w:rPr>
          <w:spacing w:val="-71"/>
        </w:rPr>
        <w:t> </w:t>
      </w:r>
      <w:r>
        <w:rPr/>
        <w:t>月后，在满足行权条件时，激励对象在未来</w:t>
      </w:r>
      <w:r>
        <w:rPr>
          <w:rFonts w:ascii="Times New Roman" w:hAnsi="Times New Roman" w:cs="Times New Roman" w:eastAsia="Times New Roman" w:hint="default"/>
        </w:rPr>
        <w:t>36</w:t>
      </w:r>
      <w:r>
        <w:rPr/>
        <w:t>个月内分三次分别按照</w:t>
      </w:r>
      <w:r>
        <w:rPr>
          <w:rFonts w:ascii="Times New Roman" w:hAnsi="Times New Roman" w:cs="Times New Roman" w:eastAsia="Times New Roman" w:hint="default"/>
        </w:rPr>
        <w:t>1/3:1/3:1/3</w:t>
      </w:r>
      <w:r>
        <w:rPr/>
        <w:t>的比例行权获授期权。</w:t>
      </w:r>
    </w:p>
    <w:p>
      <w:pPr>
        <w:pStyle w:val="BodyText"/>
        <w:spacing w:line="240" w:lineRule="auto" w:before="13"/>
        <w:ind w:left="512" w:right="93"/>
        <w:jc w:val="left"/>
      </w:pPr>
      <w:r>
        <w:rPr/>
        <w:t>预留股票期权的行权比例和主要行权条件如下：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633"/>
        <w:gridCol w:w="5232"/>
        <w:gridCol w:w="1795"/>
      </w:tblGrid>
      <w:tr>
        <w:trPr>
          <w:trHeight w:val="353" w:hRule="exact"/>
        </w:trPr>
        <w:tc>
          <w:tcPr>
            <w:tcW w:w="2633"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8"/>
              <w:ind w:left="1216"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5232"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8"/>
              <w:ind w:left="360" w:right="0"/>
              <w:jc w:val="center"/>
              <w:rPr>
                <w:rFonts w:ascii="宋体" w:hAnsi="宋体" w:cs="宋体" w:eastAsia="宋体" w:hint="default"/>
                <w:sz w:val="18"/>
                <w:szCs w:val="18"/>
              </w:rPr>
            </w:pPr>
            <w:r>
              <w:rPr>
                <w:rFonts w:ascii="宋体" w:hAnsi="宋体" w:cs="宋体" w:eastAsia="宋体" w:hint="default"/>
                <w:sz w:val="18"/>
                <w:szCs w:val="18"/>
              </w:rPr>
              <w:t>公司业绩目标</w:t>
            </w:r>
          </w:p>
        </w:tc>
        <w:tc>
          <w:tcPr>
            <w:tcW w:w="1795"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240" w:lineRule="auto" w:before="18"/>
              <w:ind w:right="355"/>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5232"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366"/>
              <w:jc w:val="right"/>
              <w:rPr>
                <w:rFonts w:ascii="Times New Roman" w:hAnsi="Times New Roman" w:cs="Times New Roman" w:eastAsia="Times New Roman" w:hint="default"/>
                <w:sz w:val="18"/>
                <w:szCs w:val="18"/>
              </w:rPr>
            </w:pPr>
            <w:r>
              <w:rPr>
                <w:rFonts w:ascii="Times New Roman"/>
                <w:sz w:val="18"/>
              </w:rPr>
              <w:t>33%</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5232"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66"/>
              <w:jc w:val="right"/>
              <w:rPr>
                <w:rFonts w:ascii="Times New Roman" w:hAnsi="Times New Roman" w:cs="Times New Roman" w:eastAsia="Times New Roman" w:hint="default"/>
                <w:sz w:val="18"/>
                <w:szCs w:val="18"/>
              </w:rPr>
            </w:pPr>
            <w:r>
              <w:rPr>
                <w:rFonts w:ascii="Times New Roman"/>
                <w:sz w:val="18"/>
              </w:rPr>
              <w:t>33%</w:t>
            </w:r>
          </w:p>
        </w:tc>
      </w:tr>
      <w:tr>
        <w:trPr>
          <w:trHeight w:val="665"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5232"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2" w:right="-1"/>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48</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66"/>
              <w:jc w:val="right"/>
              <w:rPr>
                <w:rFonts w:ascii="Times New Roman" w:hAnsi="Times New Roman" w:cs="Times New Roman" w:eastAsia="Times New Roman" w:hint="default"/>
                <w:sz w:val="18"/>
                <w:szCs w:val="18"/>
              </w:rPr>
            </w:pPr>
            <w:r>
              <w:rPr>
                <w:rFonts w:ascii="Times New Roman"/>
                <w:sz w:val="18"/>
              </w:rPr>
              <w:t>34%</w:t>
            </w:r>
          </w:p>
        </w:tc>
      </w:tr>
    </w:tbl>
    <w:p>
      <w:pPr>
        <w:pStyle w:val="BodyText"/>
        <w:spacing w:line="300" w:lineRule="auto" w:before="8"/>
        <w:ind w:right="189" w:firstLine="360"/>
        <w:jc w:val="both"/>
      </w:pPr>
      <w:r>
        <w:rPr>
          <w:spacing w:val="3"/>
        </w:rPr>
        <w:t>本期股票期权激励计划有效期内，以</w:t>
      </w:r>
      <w:r>
        <w:rPr>
          <w:rFonts w:ascii="Times New Roman" w:hAnsi="Times New Roman" w:cs="Times New Roman" w:eastAsia="Times New Roman" w:hint="default"/>
          <w:spacing w:val="3"/>
        </w:rPr>
        <w:t>2013</w:t>
      </w:r>
      <w:r>
        <w:rPr>
          <w:spacing w:val="3"/>
        </w:rPr>
        <w:t>年营业收入为基数，</w:t>
      </w:r>
      <w:r>
        <w:rPr>
          <w:rFonts w:ascii="Times New Roman" w:hAnsi="Times New Roman" w:cs="Times New Roman" w:eastAsia="Times New Roman" w:hint="default"/>
          <w:spacing w:val="3"/>
        </w:rPr>
        <w:t>2015-2017</w:t>
      </w:r>
      <w:r>
        <w:rPr>
          <w:spacing w:val="3"/>
        </w:rPr>
        <w:t>年的营业收入增长率相比</w:t>
      </w:r>
      <w:r>
        <w:rPr>
          <w:rFonts w:ascii="Times New Roman" w:hAnsi="Times New Roman" w:cs="Times New Roman" w:eastAsia="Times New Roman" w:hint="default"/>
          <w:spacing w:val="3"/>
        </w:rPr>
        <w:t>2013</w:t>
      </w:r>
      <w:r>
        <w:rPr>
          <w:spacing w:val="3"/>
        </w:rPr>
        <w:t>年分别不低于</w:t>
      </w:r>
      <w:r>
        <w:rPr/>
        <w:t> </w:t>
      </w:r>
      <w:r>
        <w:rPr>
          <w:rFonts w:ascii="Times New Roman" w:hAnsi="Times New Roman" w:cs="Times New Roman" w:eastAsia="Times New Roman" w:hint="default"/>
        </w:rPr>
        <w:t>60%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150%</w:t>
      </w:r>
      <w:r>
        <w:rPr/>
        <w:t>；净利润增长率相比</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2015-2017</w:t>
      </w:r>
      <w:r>
        <w:rPr/>
        <w:t>年分别不低于</w:t>
      </w:r>
      <w:r>
        <w:rPr>
          <w:rFonts w:ascii="Times New Roman" w:hAnsi="Times New Roman" w:cs="Times New Roman" w:eastAsia="Times New Roman" w:hint="default"/>
        </w:rPr>
        <w:t>70%</w:t>
      </w:r>
      <w:r>
        <w:rPr/>
        <w:t>，</w:t>
      </w:r>
      <w:r>
        <w:rPr>
          <w:rFonts w:ascii="Times New Roman" w:hAnsi="Times New Roman" w:cs="Times New Roman" w:eastAsia="Times New Roman" w:hint="default"/>
        </w:rPr>
        <w:t>125%</w:t>
      </w:r>
      <w:r>
        <w:rPr/>
        <w:t>，</w:t>
      </w:r>
      <w:r>
        <w:rPr>
          <w:rFonts w:ascii="Times New Roman" w:hAnsi="Times New Roman" w:cs="Times New Roman" w:eastAsia="Times New Roman" w:hint="default"/>
        </w:rPr>
        <w:t>200%</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w:t>
      </w:r>
      <w:r>
        <w:rPr>
          <w:spacing w:val="-44"/>
        </w:rPr>
        <w:t> </w:t>
      </w:r>
      <w:r>
        <w:rPr>
          <w:spacing w:val="-44"/>
        </w:rPr>
      </w:r>
      <w:r>
        <w:rPr/>
        <w:t>性损益后的净利润。</w:t>
      </w:r>
    </w:p>
    <w:p>
      <w:pPr>
        <w:spacing w:after="0" w:line="300" w:lineRule="auto"/>
        <w:jc w:val="both"/>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期权定价模型</w:t>
            </w:r>
          </w:p>
        </w:tc>
      </w:tr>
      <w:tr>
        <w:trPr>
          <w:trHeight w:val="1026"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50"/>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 职工人数变动等后续信息做出最佳估计，修正预计可行权 的权益工具数量</w:t>
            </w:r>
          </w:p>
        </w:tc>
      </w:tr>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62,925,666.13</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39,526,722.21</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十二、承诺及或有事项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8"/>
        <w:jc w:val="left"/>
      </w:pPr>
      <w:r>
        <w:rPr/>
        <w:t>资产负债表日存在的重要承诺</w:t>
      </w:r>
    </w:p>
    <w:p>
      <w:pPr>
        <w:pStyle w:val="BodyText"/>
        <w:spacing w:line="240" w:lineRule="auto" w:before="76"/>
        <w:ind w:left="512" w:right="148"/>
        <w:jc w:val="left"/>
      </w:pPr>
      <w:r>
        <w:rPr/>
        <w:t>（</w:t>
      </w:r>
      <w:r>
        <w:rPr>
          <w:rFonts w:ascii="Times New Roman" w:hAnsi="Times New Roman" w:cs="Times New Roman" w:eastAsia="Times New Roman" w:hint="default"/>
        </w:rPr>
        <w:t>1</w:t>
      </w:r>
      <w:r>
        <w:rPr/>
        <w:t>）与本期企业收购相关的重要事项承诺详见附注八。</w:t>
      </w:r>
    </w:p>
    <w:p>
      <w:pPr>
        <w:pStyle w:val="BodyText"/>
        <w:spacing w:line="240" w:lineRule="auto" w:before="62"/>
        <w:ind w:left="512" w:right="148"/>
        <w:jc w:val="left"/>
      </w:pPr>
      <w:r>
        <w:rPr/>
        <w:t>（</w:t>
      </w:r>
      <w:r>
        <w:rPr>
          <w:rFonts w:ascii="Times New Roman" w:hAnsi="Times New Roman" w:cs="Times New Roman" w:eastAsia="Times New Roman" w:hint="default"/>
        </w:rPr>
        <w:t>2</w:t>
      </w:r>
      <w:r>
        <w:rPr/>
        <w:t>）有关出资上海钥世圈云健康科技发展有限公司的承诺事项详见附注十、</w:t>
      </w:r>
      <w:r>
        <w:rPr>
          <w:rFonts w:ascii="Times New Roman" w:hAnsi="Times New Roman" w:cs="Times New Roman" w:eastAsia="Times New Roman" w:hint="default"/>
        </w:rPr>
        <w:t>7(1)</w:t>
      </w:r>
      <w:r>
        <w:rPr/>
        <w:t>。</w:t>
      </w:r>
    </w:p>
    <w:p>
      <w:pPr>
        <w:pStyle w:val="BodyText"/>
        <w:spacing w:line="300" w:lineRule="auto" w:before="62"/>
        <w:ind w:right="149" w:firstLine="360"/>
        <w:jc w:val="both"/>
      </w:pPr>
      <w:r>
        <w:rPr>
          <w:spacing w:val="-2"/>
        </w:rPr>
        <w:t>（</w:t>
      </w:r>
      <w:r>
        <w:rPr>
          <w:rFonts w:ascii="Times New Roman" w:hAnsi="Times New Roman" w:cs="Times New Roman" w:eastAsia="Times New Roman" w:hint="default"/>
          <w:spacing w:val="-2"/>
        </w:rPr>
        <w:t>3</w:t>
      </w:r>
      <w:r>
        <w:rPr>
          <w:spacing w:val="-2"/>
        </w:rPr>
        <w:t>）根据公司与北京宇信网景信息技术有限公司原股东于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日签订的股权收购协议，宇信网景完成</w:t>
      </w:r>
      <w:r>
        <w:rPr>
          <w:rFonts w:ascii="Times New Roman" w:hAnsi="Times New Roman" w:cs="Times New Roman" w:eastAsia="Times New Roman" w:hint="default"/>
          <w:spacing w:val="-2"/>
        </w:rPr>
        <w:t>2015</w:t>
      </w:r>
      <w:r>
        <w:rPr>
          <w:spacing w:val="-2"/>
        </w:rPr>
        <w:t>年业</w:t>
      </w:r>
      <w:r>
        <w:rPr/>
        <w:t> 绩承诺，本公司应以</w:t>
      </w:r>
      <w:r>
        <w:rPr>
          <w:rFonts w:ascii="Times New Roman" w:hAnsi="Times New Roman" w:cs="Times New Roman" w:eastAsia="Times New Roman" w:hint="default"/>
        </w:rPr>
        <w:t>2,800</w:t>
      </w:r>
      <w:r>
        <w:rPr/>
        <w:t>万元收购少数股东持有宇信网景的全部股权（即总计</w:t>
      </w:r>
      <w:r>
        <w:rPr>
          <w:rFonts w:ascii="Times New Roman" w:hAnsi="Times New Roman" w:cs="Times New Roman" w:eastAsia="Times New Roman" w:hint="default"/>
        </w:rPr>
        <w:t>20%</w:t>
      </w:r>
      <w:r>
        <w:rPr/>
        <w:t>的宇信网景股权），截至本报告日止，</w:t>
      </w:r>
      <w:r>
        <w:rPr>
          <w:spacing w:val="-24"/>
        </w:rPr>
        <w:t> </w:t>
      </w:r>
      <w:r>
        <w:rPr>
          <w:spacing w:val="-24"/>
        </w:rPr>
      </w:r>
      <w:r>
        <w:rPr/>
        <w:t>尚未办理相关股权转让手续。</w:t>
      </w:r>
    </w:p>
    <w:p>
      <w:pPr>
        <w:pStyle w:val="BodyText"/>
        <w:spacing w:line="300" w:lineRule="auto" w:before="31"/>
        <w:ind w:right="152" w:firstLine="360"/>
        <w:jc w:val="both"/>
      </w:pPr>
      <w:r>
        <w:rPr/>
        <w:t>（</w:t>
      </w:r>
      <w:r>
        <w:rPr>
          <w:rFonts w:ascii="Times New Roman" w:hAnsi="Times New Roman" w:cs="Times New Roman" w:eastAsia="Times New Roman" w:hint="default"/>
        </w:rPr>
        <w:t>4</w:t>
      </w:r>
      <w:r>
        <w:rPr/>
        <w:t>）根据公司与浙江绎盛谷信息技术有限公司现有股东于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日签订的股权投资协议，本公司应付浙江绎盛 谷信息技术有限公司增资款</w:t>
      </w:r>
      <w:r>
        <w:rPr>
          <w:rFonts w:ascii="Times New Roman" w:hAnsi="Times New Roman" w:cs="Times New Roman" w:eastAsia="Times New Roman" w:hint="default"/>
        </w:rPr>
        <w:t>1,000</w:t>
      </w:r>
      <w:r>
        <w:rPr/>
        <w:t>万元，截至本报告日止尚未支付。</w:t>
      </w:r>
    </w:p>
    <w:p>
      <w:pPr>
        <w:pStyle w:val="BodyText"/>
        <w:spacing w:line="300" w:lineRule="auto" w:before="13"/>
        <w:ind w:right="152" w:firstLine="360"/>
        <w:jc w:val="both"/>
      </w:pPr>
      <w:r>
        <w:rPr/>
        <w:t>（</w:t>
      </w:r>
      <w:r>
        <w:rPr>
          <w:rFonts w:ascii="Times New Roman" w:hAnsi="Times New Roman" w:cs="Times New Roman" w:eastAsia="Times New Roman" w:hint="default"/>
        </w:rPr>
        <w:t>5</w:t>
      </w:r>
      <w:r>
        <w:rPr/>
        <w:t>）根据公司与北京天鹏恒宇科技发展有限公司于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日签订股权投资协议，本公司应付北京天鹏恒宇科技 发展有限公司增资款</w:t>
      </w:r>
      <w:r>
        <w:rPr>
          <w:rFonts w:ascii="Times New Roman" w:hAnsi="Times New Roman" w:cs="Times New Roman" w:eastAsia="Times New Roman" w:hint="default"/>
        </w:rPr>
        <w:t>650</w:t>
      </w:r>
      <w:r>
        <w:rPr/>
        <w:t>万，截至本报告日止尚未支付。</w:t>
      </w:r>
    </w:p>
    <w:p>
      <w:pPr>
        <w:pStyle w:val="BodyText"/>
        <w:spacing w:line="300" w:lineRule="auto" w:before="13"/>
        <w:ind w:right="152" w:firstLine="360"/>
        <w:jc w:val="both"/>
      </w:pPr>
      <w:r>
        <w:rPr>
          <w:spacing w:val="-2"/>
        </w:rPr>
        <w:t>（</w:t>
      </w:r>
      <w:r>
        <w:rPr>
          <w:rFonts w:ascii="Times New Roman" w:hAnsi="Times New Roman" w:cs="Times New Roman" w:eastAsia="Times New Roman" w:hint="default"/>
          <w:spacing w:val="-2"/>
        </w:rPr>
        <w:t>6</w:t>
      </w:r>
      <w:r>
        <w:rPr>
          <w:spacing w:val="-2"/>
        </w:rPr>
        <w:t>）根据公司与厦门纳龙科技有限公司于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日签订的股权投资协议，本公司应付厦门纳龙科技有限公司增资</w:t>
      </w:r>
      <w:r>
        <w:rPr/>
        <w:t> 款</w:t>
      </w:r>
      <w:r>
        <w:rPr>
          <w:rFonts w:ascii="Times New Roman" w:hAnsi="Times New Roman" w:cs="Times New Roman" w:eastAsia="Times New Roman" w:hint="default"/>
        </w:rPr>
        <w:t>1,000</w:t>
      </w:r>
      <w:r>
        <w:rPr/>
        <w:t>万元，截至本报告日止尚未支付。</w:t>
      </w:r>
    </w:p>
    <w:p>
      <w:pPr>
        <w:pStyle w:val="BodyText"/>
        <w:spacing w:line="300" w:lineRule="auto" w:before="13"/>
        <w:ind w:right="152" w:firstLine="360"/>
        <w:jc w:val="both"/>
      </w:pPr>
      <w:r>
        <w:rPr/>
        <w:t>（</w:t>
      </w:r>
      <w:r>
        <w:rPr>
          <w:rFonts w:ascii="Times New Roman" w:hAnsi="Times New Roman" w:cs="Times New Roman" w:eastAsia="Times New Roman" w:hint="default"/>
        </w:rPr>
        <w:t>7</w:t>
      </w:r>
      <w:r>
        <w:rPr/>
        <w:t>）根据公司与中康尚德科技（北京）有限公司及现有股东于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日签订的增资协议，公司应付中康尚德科 技（北京）有限公司增资款</w:t>
      </w:r>
      <w:r>
        <w:rPr>
          <w:rFonts w:ascii="Times New Roman" w:hAnsi="Times New Roman" w:cs="Times New Roman" w:eastAsia="Times New Roman" w:hint="default"/>
        </w:rPr>
        <w:t>1,901.3158</w:t>
      </w:r>
      <w:r>
        <w:rPr/>
        <w:t>万元，截至本报告日止尚未支付。</w:t>
      </w:r>
    </w:p>
    <w:p>
      <w:pPr>
        <w:pStyle w:val="BodyText"/>
        <w:spacing w:line="300" w:lineRule="auto" w:before="13"/>
        <w:ind w:right="152" w:firstLine="432"/>
        <w:jc w:val="both"/>
      </w:pPr>
      <w:r>
        <w:rPr>
          <w:spacing w:val="-2"/>
        </w:rPr>
        <w:t>（</w:t>
      </w:r>
      <w:r>
        <w:rPr>
          <w:rFonts w:ascii="Times New Roman" w:hAnsi="Times New Roman" w:cs="Times New Roman" w:eastAsia="Times New Roman" w:hint="default"/>
          <w:spacing w:val="-2"/>
        </w:rPr>
        <w:t>8</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日，公司与合肥汉思信息技术有限责任公司及现有股东签订的股权收购协议，公司拟使用自有资</w:t>
      </w:r>
      <w:r>
        <w:rPr/>
        <w:t> 金</w:t>
      </w:r>
      <w:r>
        <w:rPr>
          <w:rFonts w:ascii="Times New Roman" w:hAnsi="Times New Roman" w:cs="Times New Roman" w:eastAsia="Times New Roman" w:hint="default"/>
        </w:rPr>
        <w:t>4,335</w:t>
      </w:r>
      <w:r>
        <w:rPr/>
        <w:t>万元收购深圳旭东精工有限公司持有的合肥汉思信息技术有限责任公司</w:t>
      </w:r>
      <w:r>
        <w:rPr>
          <w:rFonts w:ascii="Times New Roman" w:hAnsi="Times New Roman" w:cs="Times New Roman" w:eastAsia="Times New Roman" w:hint="default"/>
        </w:rPr>
        <w:t>51%</w:t>
      </w:r>
      <w:r>
        <w:rPr/>
        <w:t>股权，截至本报告日止，尚未支付的股</w:t>
      </w:r>
      <w:r>
        <w:rPr>
          <w:spacing w:val="-24"/>
        </w:rPr>
        <w:t> </w:t>
      </w:r>
      <w:r>
        <w:rPr>
          <w:spacing w:val="-24"/>
        </w:rPr>
      </w:r>
      <w:r>
        <w:rPr/>
        <w:t>权转让款为</w:t>
      </w:r>
      <w:r>
        <w:rPr>
          <w:rFonts w:ascii="Times New Roman" w:hAnsi="Times New Roman" w:cs="Times New Roman" w:eastAsia="Times New Roman" w:hint="default"/>
        </w:rPr>
        <w:t>3,034.5</w:t>
      </w:r>
      <w:r>
        <w:rPr/>
        <w:t>万元。</w:t>
      </w:r>
    </w:p>
    <w:p>
      <w:pPr>
        <w:spacing w:line="240" w:lineRule="auto" w:before="4"/>
        <w:rPr>
          <w:rFonts w:ascii="宋体" w:hAnsi="宋体" w:cs="宋体" w:eastAsia="宋体" w:hint="default"/>
          <w:sz w:val="22"/>
          <w:szCs w:val="22"/>
        </w:rPr>
      </w:pPr>
    </w:p>
    <w:p>
      <w:pPr>
        <w:pStyle w:val="Heading3"/>
        <w:spacing w:line="240" w:lineRule="auto"/>
        <w:ind w:right="148"/>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48"/>
        <w:jc w:val="left"/>
      </w:pPr>
      <w:r>
        <w:rPr>
          <w:rFonts w:ascii="Times New Roman" w:hAnsi="Times New Roman" w:cs="Times New Roman" w:eastAsia="Times New Roman" w:hint="default"/>
        </w:rPr>
        <w:t>1</w:t>
      </w:r>
      <w:r>
        <w:rPr/>
        <w:t>）与本期企业收购相关的或有对价事项详见附注八。</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2" w:right="148"/>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）与联营企业有关的或有事项见附注九、</w:t>
      </w:r>
      <w:r>
        <w:rPr>
          <w:rFonts w:ascii="Times New Roman" w:hAnsi="Times New Roman" w:cs="Times New Roman" w:eastAsia="Times New Roman" w:hint="default"/>
        </w:rPr>
        <w:t>3.</w:t>
      </w:r>
    </w:p>
    <w:p>
      <w:pPr>
        <w:pStyle w:val="BodyText"/>
        <w:spacing w:line="240" w:lineRule="auto" w:before="103"/>
        <w:ind w:left="512" w:right="148"/>
        <w:jc w:val="left"/>
        <w:rPr>
          <w:sz w:val="24"/>
          <w:szCs w:val="24"/>
        </w:rPr>
      </w:pPr>
      <w:r>
        <w:rPr>
          <w:rFonts w:ascii="Times New Roman" w:hAnsi="Times New Roman" w:cs="Times New Roman" w:eastAsia="Times New Roman" w:hint="default"/>
        </w:rPr>
        <w:t>3</w:t>
      </w:r>
      <w:r>
        <w:rPr/>
        <w:t>）截至</w:t>
      </w:r>
      <w:r>
        <w:rPr>
          <w:spacing w:val="-46"/>
        </w:rPr>
        <w:t> </w:t>
      </w:r>
      <w:r>
        <w:rPr/>
        <w:t>2015</w:t>
      </w:r>
      <w:r>
        <w:rPr>
          <w:spacing w:val="-46"/>
        </w:rPr>
        <w:t> </w:t>
      </w:r>
      <w:r>
        <w:rPr/>
        <w:t>年</w:t>
      </w:r>
      <w:r>
        <w:rPr>
          <w:spacing w:val="-48"/>
        </w:rPr>
        <w:t> </w:t>
      </w:r>
      <w:r>
        <w:rPr/>
        <w:t>12</w:t>
      </w:r>
      <w:r>
        <w:rPr>
          <w:spacing w:val="-47"/>
        </w:rPr>
        <w:t> </w:t>
      </w:r>
      <w:r>
        <w:rPr/>
        <w:t>月</w:t>
      </w:r>
      <w:r>
        <w:rPr>
          <w:spacing w:val="-46"/>
        </w:rPr>
        <w:t> </w:t>
      </w:r>
      <w:r>
        <w:rPr/>
        <w:t>31</w:t>
      </w:r>
      <w:r>
        <w:rPr>
          <w:spacing w:val="-46"/>
        </w:rPr>
        <w:t> </w:t>
      </w:r>
      <w:r>
        <w:rPr/>
        <w:t>日，本公司无需要披露重大的未决诉讼。</w:t>
      </w:r>
      <w:r>
        <w:rPr>
          <w:spacing w:val="1"/>
        </w:rPr>
        <w:t> </w:t>
      </w:r>
      <w:r>
        <w:rPr>
          <w:sz w:val="24"/>
          <w:szCs w:val="24"/>
        </w:rPr>
        <w:t> </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8"/>
        <w:jc w:val="left"/>
      </w:pPr>
      <w:r>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148"/>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220,516,544.48</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220,516,544.48</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9"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日，公司根据中国证监会《关于核准上海金仕达卫宁软件股份有限公司非公开发行股票的批复》（证 监许可</w:t>
      </w:r>
      <w:r>
        <w:rPr>
          <w:rFonts w:ascii="Times New Roman" w:hAnsi="Times New Roman" w:cs="Times New Roman" w:eastAsia="Times New Roman" w:hint="default"/>
        </w:rPr>
        <w:t>[2015]2342</w:t>
      </w:r>
      <w:r>
        <w:rPr/>
        <w:t>号），公司向财通基金管理有限公司、上海中植鑫荞投资管理有限公司、周万沅</w:t>
      </w:r>
      <w:r>
        <w:rPr>
          <w:rFonts w:ascii="Times New Roman" w:hAnsi="Times New Roman" w:cs="Times New Roman" w:eastAsia="Times New Roman" w:hint="default"/>
        </w:rPr>
        <w:t>3</w:t>
      </w:r>
      <w:r>
        <w:rPr/>
        <w:t>名投资者非公开发行股</w:t>
      </w:r>
      <w:r>
        <w:rPr>
          <w:spacing w:val="-33"/>
        </w:rPr>
        <w:t> </w:t>
      </w:r>
      <w:r>
        <w:rPr>
          <w:spacing w:val="-33"/>
        </w:rPr>
      </w:r>
      <w:r>
        <w:rPr>
          <w:spacing w:val="-2"/>
        </w:rPr>
        <w:t>票（</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24,691,878</w:t>
      </w:r>
      <w:r>
        <w:rPr>
          <w:spacing w:val="-2"/>
        </w:rPr>
        <w:t>股，发行价格为</w:t>
      </w:r>
      <w:r>
        <w:rPr>
          <w:rFonts w:ascii="Times New Roman" w:hAnsi="Times New Roman" w:cs="Times New Roman" w:eastAsia="Times New Roman" w:hint="default"/>
          <w:spacing w:val="-2"/>
        </w:rPr>
        <w:t>33.21</w:t>
      </w:r>
      <w:r>
        <w:rPr>
          <w:spacing w:val="-2"/>
        </w:rPr>
        <w:t>元</w:t>
      </w:r>
      <w:r>
        <w:rPr>
          <w:rFonts w:ascii="Times New Roman" w:hAnsi="Times New Roman" w:cs="Times New Roman" w:eastAsia="Times New Roman" w:hint="default"/>
          <w:spacing w:val="-2"/>
        </w:rPr>
        <w:t>/</w:t>
      </w:r>
      <w:r>
        <w:rPr>
          <w:spacing w:val="-2"/>
        </w:rPr>
        <w:t>股，本次发行募集资金总额为人民币</w:t>
      </w:r>
      <w:r>
        <w:rPr>
          <w:rFonts w:ascii="Times New Roman" w:hAnsi="Times New Roman" w:cs="Times New Roman" w:eastAsia="Times New Roman" w:hint="default"/>
          <w:spacing w:val="-2"/>
        </w:rPr>
        <w:t>820,017,268.38</w:t>
      </w:r>
      <w:r>
        <w:rPr>
          <w:spacing w:val="-2"/>
        </w:rPr>
        <w:t>元。本次发行募集资金业经</w:t>
      </w:r>
      <w:r>
        <w:rPr>
          <w:spacing w:val="-39"/>
        </w:rPr>
        <w:t> </w:t>
      </w:r>
      <w:r>
        <w:rPr>
          <w:spacing w:val="-39"/>
        </w:rPr>
      </w:r>
      <w:r>
        <w:rPr/>
        <w:t>华普天健会计师事务所（特殊普通合伙）出具会验字</w:t>
      </w:r>
      <w:r>
        <w:rPr>
          <w:rFonts w:ascii="Times New Roman" w:hAnsi="Times New Roman" w:cs="Times New Roman" w:eastAsia="Times New Roman" w:hint="default"/>
        </w:rPr>
        <w:t>[2016]1142</w:t>
      </w:r>
      <w:r>
        <w:rPr/>
        <w:t>号、会验字</w:t>
      </w:r>
      <w:r>
        <w:rPr>
          <w:rFonts w:ascii="Times New Roman" w:hAnsi="Times New Roman" w:cs="Times New Roman" w:eastAsia="Times New Roman" w:hint="default"/>
        </w:rPr>
        <w:t>[2016]1205</w:t>
      </w:r>
      <w:r>
        <w:rPr/>
        <w:t>号报告验证。</w:t>
      </w:r>
    </w:p>
    <w:p>
      <w:pPr>
        <w:pStyle w:val="BodyText"/>
        <w:spacing w:line="300" w:lineRule="auto" w:before="13"/>
        <w:ind w:right="149"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日，公司与自然人黄自江（以下简称</w:t>
      </w:r>
      <w:r>
        <w:rPr>
          <w:rFonts w:ascii="Times New Roman" w:hAnsi="Times New Roman" w:cs="Times New Roman" w:eastAsia="Times New Roman" w:hint="default"/>
          <w:spacing w:val="-2"/>
        </w:rPr>
        <w:t>“</w:t>
      </w:r>
      <w:r>
        <w:rPr>
          <w:spacing w:val="-2"/>
        </w:rPr>
        <w:t>乙方</w:t>
      </w:r>
      <w:r>
        <w:rPr>
          <w:rFonts w:ascii="Times New Roman" w:hAnsi="Times New Roman" w:cs="Times New Roman" w:eastAsia="Times New Roman" w:hint="default"/>
          <w:spacing w:val="-2"/>
        </w:rPr>
        <w:t>”</w:t>
      </w:r>
      <w:r>
        <w:rPr>
          <w:spacing w:val="-2"/>
        </w:rPr>
        <w:t>）共同出资设立四川卫宁软件有限公司，注册资本为</w:t>
      </w:r>
      <w:r>
        <w:rPr>
          <w:rFonts w:ascii="Times New Roman" w:hAnsi="Times New Roman" w:cs="Times New Roman" w:eastAsia="Times New Roman" w:hint="default"/>
          <w:spacing w:val="-2"/>
        </w:rPr>
        <w:t>1,000</w:t>
      </w:r>
      <w:r>
        <w:rPr>
          <w:rFonts w:ascii="Times New Roman" w:hAnsi="Times New Roman" w:cs="Times New Roman" w:eastAsia="Times New Roman" w:hint="default"/>
        </w:rPr>
        <w:t> </w:t>
      </w:r>
      <w:r>
        <w:rPr/>
        <w:t>万元，公司以货币资金出资</w:t>
      </w:r>
      <w:r>
        <w:rPr>
          <w:rFonts w:ascii="Times New Roman" w:hAnsi="Times New Roman" w:cs="Times New Roman" w:eastAsia="Times New Roman" w:hint="default"/>
        </w:rPr>
        <w:t>510</w:t>
      </w:r>
      <w:r>
        <w:rPr/>
        <w:t>万元，持股比例</w:t>
      </w:r>
      <w:r>
        <w:rPr>
          <w:rFonts w:ascii="Times New Roman" w:hAnsi="Times New Roman" w:cs="Times New Roman" w:eastAsia="Times New Roman" w:hint="default"/>
        </w:rPr>
        <w:t>51%</w:t>
      </w:r>
      <w:r>
        <w:rPr/>
        <w:t>，乙方以货币出资出资</w:t>
      </w:r>
      <w:r>
        <w:rPr>
          <w:rFonts w:ascii="Times New Roman" w:hAnsi="Times New Roman" w:cs="Times New Roman" w:eastAsia="Times New Roman" w:hint="default"/>
        </w:rPr>
        <w:t>490</w:t>
      </w:r>
      <w:r>
        <w:rPr/>
        <w:t>万，持股比例</w:t>
      </w:r>
      <w:r>
        <w:rPr>
          <w:rFonts w:ascii="Times New Roman" w:hAnsi="Times New Roman" w:cs="Times New Roman" w:eastAsia="Times New Roman" w:hint="default"/>
        </w:rPr>
        <w:t>49%</w:t>
      </w:r>
      <w:r>
        <w:rPr/>
        <w:t>，已于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月完成工商</w:t>
      </w:r>
      <w:r>
        <w:rPr>
          <w:spacing w:val="-37"/>
        </w:rPr>
        <w:t> </w:t>
      </w:r>
      <w:r>
        <w:rPr>
          <w:spacing w:val="-37"/>
        </w:rPr>
      </w:r>
      <w:r>
        <w:rPr/>
        <w:t>注册手续。</w:t>
      </w:r>
    </w:p>
    <w:p>
      <w:pPr>
        <w:pStyle w:val="BodyText"/>
        <w:spacing w:line="300" w:lineRule="auto" w:before="31"/>
        <w:ind w:right="147" w:firstLine="36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日，公司拟使用自有资金出资</w:t>
      </w:r>
      <w:r>
        <w:rPr>
          <w:rFonts w:ascii="Times New Roman" w:hAnsi="Times New Roman" w:cs="Times New Roman" w:eastAsia="Times New Roman" w:hint="default"/>
          <w:spacing w:val="-1"/>
        </w:rPr>
        <w:t>2</w:t>
      </w:r>
      <w:r>
        <w:rPr>
          <w:spacing w:val="-1"/>
        </w:rPr>
        <w:t>亿元设立卫宁互联网科技有限公司，公司持股比例</w:t>
      </w:r>
      <w:r>
        <w:rPr>
          <w:rFonts w:ascii="Times New Roman" w:hAnsi="Times New Roman" w:cs="Times New Roman" w:eastAsia="Times New Roman" w:hint="default"/>
          <w:spacing w:val="-1"/>
        </w:rPr>
        <w:t>100%</w:t>
      </w:r>
      <w:r>
        <w:rPr>
          <w:spacing w:val="-1"/>
        </w:rPr>
        <w:t>，工商注册手</w:t>
      </w:r>
      <w:r>
        <w:rPr/>
        <w:t> 续尚在办理之中。</w:t>
      </w:r>
    </w:p>
    <w:p>
      <w:pPr>
        <w:pStyle w:val="BodyText"/>
        <w:spacing w:line="300" w:lineRule="auto" w:before="31"/>
        <w:ind w:right="149"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日，公司第三届董事会第十次决议通过了关于公司实际控制人、控股股东周炜先生为公司向上海浦东</w:t>
      </w:r>
      <w:r>
        <w:rPr/>
        <w:t> 发展银行股份有限公司闸北支行不超过</w:t>
      </w:r>
      <w:r>
        <w:rPr>
          <w:rFonts w:ascii="Times New Roman" w:hAnsi="Times New Roman" w:cs="Times New Roman" w:eastAsia="Times New Roman" w:hint="default"/>
        </w:rPr>
        <w:t>1.5</w:t>
      </w:r>
      <w:r>
        <w:rPr/>
        <w:t>亿元、中国民生银行股份有限公司上海分行不超过</w:t>
      </w:r>
      <w:r>
        <w:rPr>
          <w:rFonts w:ascii="Times New Roman" w:hAnsi="Times New Roman" w:cs="Times New Roman" w:eastAsia="Times New Roman" w:hint="default"/>
        </w:rPr>
        <w:t>1.5</w:t>
      </w:r>
      <w:r>
        <w:rPr/>
        <w:t>亿元综合授信额度提供连带</w:t>
      </w:r>
      <w:r>
        <w:rPr>
          <w:spacing w:val="-83"/>
        </w:rPr>
        <w:t> </w:t>
      </w:r>
      <w:r>
        <w:rPr/>
        <w:t>责任担保，担保有效期与综合授信期限一致。该项议案尚需提交股东大会审议。</w:t>
      </w:r>
    </w:p>
    <w:p>
      <w:pPr>
        <w:pStyle w:val="BodyText"/>
        <w:spacing w:line="240" w:lineRule="auto" w:before="31"/>
        <w:ind w:left="512" w:right="0"/>
        <w:jc w:val="left"/>
      </w:pPr>
      <w:r>
        <w:rPr/>
        <w:t>（</w:t>
      </w:r>
      <w:r>
        <w:rPr>
          <w:rFonts w:ascii="Times New Roman" w:hAnsi="Times New Roman" w:cs="Times New Roman" w:eastAsia="Times New Roman" w:hint="default"/>
        </w:rPr>
        <w:t>5</w:t>
      </w:r>
      <w:r>
        <w:rPr/>
        <w:t>）公司本次非公开发新股</w:t>
      </w:r>
      <w:r>
        <w:rPr>
          <w:spacing w:val="-45"/>
        </w:rPr>
        <w:t> </w:t>
      </w:r>
      <w:r>
        <w:rPr>
          <w:rFonts w:ascii="Times New Roman" w:hAnsi="Times New Roman" w:cs="Times New Roman" w:eastAsia="Times New Roman" w:hint="default"/>
        </w:rPr>
        <w:t>24,691,878 </w:t>
      </w:r>
      <w:r>
        <w:rPr/>
        <w:t>股，已于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日在深圳证券交易所上市流通，本次非公开发行股票</w:t>
      </w:r>
    </w:p>
    <w:p>
      <w:pPr>
        <w:pStyle w:val="BodyText"/>
        <w:spacing w:line="240" w:lineRule="auto" w:before="63"/>
        <w:ind w:right="148"/>
        <w:jc w:val="left"/>
      </w:pPr>
      <w:r>
        <w:rPr/>
        <w:t>不存在限售期。上市后，公司股本增加</w:t>
      </w:r>
      <w:r>
        <w:rPr>
          <w:spacing w:val="-45"/>
        </w:rPr>
        <w:t> </w:t>
      </w:r>
      <w:r>
        <w:rPr>
          <w:rFonts w:ascii="Times New Roman" w:hAnsi="Times New Roman" w:cs="Times New Roman" w:eastAsia="Times New Roman" w:hint="default"/>
        </w:rPr>
        <w:t>24,691,878 </w:t>
      </w:r>
      <w:r>
        <w:rPr/>
        <w:t>股。</w:t>
      </w:r>
    </w:p>
    <w:p>
      <w:pPr>
        <w:pStyle w:val="BodyText"/>
        <w:spacing w:line="240" w:lineRule="auto" w:before="62"/>
        <w:ind w:left="512"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日，公司第三届董事会第十一次会议审议通过了《关于使用募集资金置换预先已投入募集资金投</w:t>
      </w:r>
    </w:p>
    <w:p>
      <w:pPr>
        <w:pStyle w:val="BodyText"/>
        <w:spacing w:line="240" w:lineRule="auto" w:before="62"/>
        <w:ind w:right="148"/>
        <w:jc w:val="left"/>
      </w:pPr>
      <w:r>
        <w:rPr/>
        <w:t>资项目自筹资金的议案</w:t>
      </w:r>
      <w:r>
        <w:rPr>
          <w:spacing w:val="-92"/>
        </w:rPr>
        <w:t>》</w:t>
      </w:r>
      <w:r>
        <w:rPr/>
        <w:t>，同</w:t>
      </w:r>
      <w:r>
        <w:rPr>
          <w:spacing w:val="2"/>
        </w:rPr>
        <w:t>意</w:t>
      </w:r>
      <w:r>
        <w:rPr/>
        <w:t>公司使用募集资金</w:t>
      </w:r>
      <w:r>
        <w:rPr>
          <w:spacing w:val="-45"/>
        </w:rPr>
        <w:t> </w:t>
      </w:r>
      <w:r>
        <w:rPr>
          <w:rFonts w:ascii="Times New Roman" w:hAnsi="Times New Roman" w:cs="Times New Roman" w:eastAsia="Times New Roman" w:hint="default"/>
          <w:spacing w:val="1"/>
        </w:rPr>
        <w:t>36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94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3"/>
        </w:rPr>
        <w:t>万</w:t>
      </w:r>
      <w:r>
        <w:rPr>
          <w:spacing w:val="-1"/>
        </w:rPr>
        <w:t>元</w:t>
      </w:r>
      <w:r>
        <w:rPr/>
        <w:t>置换预先已投入募投项目的自筹资金。</w:t>
      </w:r>
    </w:p>
    <w:p>
      <w:pPr>
        <w:spacing w:line="240" w:lineRule="auto" w:before="3"/>
        <w:rPr>
          <w:rFonts w:ascii="宋体" w:hAnsi="宋体" w:cs="宋体" w:eastAsia="宋体" w:hint="default"/>
          <w:sz w:val="24"/>
          <w:szCs w:val="24"/>
        </w:rPr>
      </w:pPr>
    </w:p>
    <w:p>
      <w:pPr>
        <w:pStyle w:val="Heading2"/>
        <w:spacing w:line="240" w:lineRule="auto"/>
        <w:ind w:right="148"/>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3"/>
        <w:gridCol w:w="1063"/>
        <w:gridCol w:w="1063"/>
        <w:gridCol w:w="1063"/>
        <w:gridCol w:w="1062"/>
        <w:gridCol w:w="1062"/>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其他华东地 区</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3"/>
        <w:gridCol w:w="1063"/>
        <w:gridCol w:w="1063"/>
        <w:gridCol w:w="1063"/>
        <w:gridCol w:w="1061"/>
        <w:gridCol w:w="1063"/>
        <w:gridCol w:w="1063"/>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173,260,958.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172,915,487.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346,176,446.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34,012,757.5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38,113,715.7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334,854,743.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3"/>
                <w:w w:val="95"/>
                <w:sz w:val="18"/>
              </w:rPr>
              <w:t>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753,157,662.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102,727,612.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59,891,242.7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162,618,855.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13,920,433.1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11,731,730.4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157,221,474.</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345,492,493.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148"/>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4,903,43</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4,903,435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5,251,4</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35.00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1.93%</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5,251,435.0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383,445,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394.44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97.90%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48,203,0</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84.70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335,242,3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09.74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265,722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,250.65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97.79%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31,537,56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234,184,68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7.51</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3,310,89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1,367,51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1,943,384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757,795</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757,795.0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391,659,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728.44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49,570,5</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99.70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12.66%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342,089,1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271,731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,480.65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32,295,35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239,436,12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新疆金仕达卫宁软件有 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4,903,435.00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4,903,435.00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232,674,653.50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11,633,732.67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81,113,811.80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8,111,381.18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46,442,545.00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13,932,763.50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14,819,026.09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7,409,513.05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6,398,318.74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5,118,654.99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1,997,039.31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1,997,039.31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383,445,394.44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48,203,084.70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12.57%</w:t>
            </w: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40"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31"/>
          <w:pgSz w:w="11910" w:h="16840"/>
          <w:pgMar w:footer="981" w:header="745" w:top="1060" w:bottom="1180" w:left="980" w:right="980"/>
          <w:pgNumType w:start="159"/>
        </w:sectPr>
      </w:pPr>
    </w:p>
    <w:p>
      <w:pPr>
        <w:pStyle w:val="BodyText"/>
        <w:spacing w:line="340" w:lineRule="auto" w:before="44"/>
        <w:ind w:right="-14"/>
        <w:jc w:val="left"/>
      </w:pPr>
      <w:r>
        <w:rPr/>
        <w:t>本期计提坏账准备金额</w:t>
      </w:r>
      <w:r>
        <w:rPr>
          <w:spacing w:val="-46"/>
        </w:rPr>
        <w:t> </w:t>
      </w:r>
      <w:r>
        <w:rPr>
          <w:rFonts w:ascii="Times New Roman" w:hAnsi="Times New Roman" w:cs="Times New Roman" w:eastAsia="Times New Roman" w:hint="default"/>
        </w:rPr>
        <w:t>17,275,241.56 </w:t>
      </w:r>
      <w:r>
        <w:rPr/>
        <w:t>元；本期收回或转回坏账准备金额</w:t>
      </w:r>
      <w:r>
        <w:rPr>
          <w:spacing w:val="-46"/>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547" w:space="2280"/>
            <w:col w:w="112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4138"/>
        <w:gridCol w:w="1723"/>
        <w:gridCol w:w="2064"/>
        <w:gridCol w:w="1723"/>
      </w:tblGrid>
      <w:tr>
        <w:trPr>
          <w:trHeight w:val="895" w:hRule="exact"/>
        </w:trPr>
        <w:tc>
          <w:tcPr>
            <w:tcW w:w="4138"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23"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3"/>
              <w:ind w:left="4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316" w:lineRule="auto" w:before="133"/>
              <w:ind w:left="664" w:right="31" w:hanging="629"/>
              <w:jc w:val="left"/>
              <w:rPr>
                <w:rFonts w:ascii="宋体" w:hAnsi="宋体" w:cs="宋体" w:eastAsia="宋体" w:hint="default"/>
                <w:sz w:val="18"/>
                <w:szCs w:val="18"/>
              </w:rPr>
            </w:pPr>
            <w:r>
              <w:rPr>
                <w:rFonts w:ascii="宋体" w:hAnsi="宋体" w:cs="宋体" w:eastAsia="宋体" w:hint="default"/>
                <w:sz w:val="18"/>
                <w:szCs w:val="18"/>
              </w:rPr>
              <w:t>占应收账款期末余额合计 数的比例</w:t>
            </w:r>
          </w:p>
        </w:tc>
        <w:tc>
          <w:tcPr>
            <w:tcW w:w="1723" w:type="dxa"/>
            <w:tcBorders>
              <w:top w:val="single" w:sz="6" w:space="0" w:color="000000"/>
              <w:left w:val="single" w:sz="6" w:space="0" w:color="000000"/>
              <w:bottom w:val="single" w:sz="8" w:space="0" w:color="000000"/>
              <w:right w:val="nil" w:sz="6" w:space="0" w:color="auto"/>
            </w:tcBorders>
            <w:shd w:val="clear" w:color="auto" w:fill="D9D9D9"/>
          </w:tcPr>
          <w:p>
            <w:pPr>
              <w:pStyle w:val="TableParagraph"/>
              <w:spacing w:line="240" w:lineRule="auto" w:before="133"/>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41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河北循证医药科技股份有限公司</w:t>
            </w:r>
          </w:p>
        </w:tc>
        <w:tc>
          <w:tcPr>
            <w:tcW w:w="17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13,517,840.00</w:t>
            </w:r>
          </w:p>
        </w:tc>
        <w:tc>
          <w:tcPr>
            <w:tcW w:w="20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3.45%</w:t>
            </w:r>
          </w:p>
        </w:tc>
        <w:tc>
          <w:tcPr>
            <w:tcW w:w="17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675,892.00</w:t>
            </w:r>
          </w:p>
        </w:tc>
      </w:tr>
      <w:tr>
        <w:trPr>
          <w:trHeight w:val="346" w:hRule="exact"/>
        </w:trPr>
        <w:tc>
          <w:tcPr>
            <w:tcW w:w="41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内蒙古自治区人民医院</w:t>
            </w:r>
          </w:p>
        </w:tc>
        <w:tc>
          <w:tcPr>
            <w:tcW w:w="17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12,263,440.00</w:t>
            </w:r>
          </w:p>
        </w:tc>
        <w:tc>
          <w:tcPr>
            <w:tcW w:w="20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3.13%</w:t>
            </w:r>
          </w:p>
        </w:tc>
        <w:tc>
          <w:tcPr>
            <w:tcW w:w="17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w w:val="95"/>
                <w:sz w:val="18"/>
              </w:rPr>
              <w:t>1,983,272.00</w:t>
            </w:r>
          </w:p>
        </w:tc>
      </w:tr>
      <w:tr>
        <w:trPr>
          <w:trHeight w:val="348" w:hRule="exact"/>
        </w:trPr>
        <w:tc>
          <w:tcPr>
            <w:tcW w:w="41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石河子大学医学院第一附属医院</w:t>
            </w:r>
          </w:p>
        </w:tc>
        <w:tc>
          <w:tcPr>
            <w:tcW w:w="17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11,832,850.00</w:t>
            </w:r>
          </w:p>
        </w:tc>
        <w:tc>
          <w:tcPr>
            <w:tcW w:w="20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3.02%</w:t>
            </w:r>
          </w:p>
        </w:tc>
        <w:tc>
          <w:tcPr>
            <w:tcW w:w="17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591,642.50</w:t>
            </w:r>
          </w:p>
        </w:tc>
      </w:tr>
      <w:tr>
        <w:trPr>
          <w:trHeight w:val="346" w:hRule="exact"/>
        </w:trPr>
        <w:tc>
          <w:tcPr>
            <w:tcW w:w="41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合肥市第一人民医院</w:t>
            </w:r>
          </w:p>
        </w:tc>
        <w:tc>
          <w:tcPr>
            <w:tcW w:w="17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11,316,950.00</w:t>
            </w:r>
          </w:p>
        </w:tc>
        <w:tc>
          <w:tcPr>
            <w:tcW w:w="20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2.89%</w:t>
            </w:r>
          </w:p>
        </w:tc>
        <w:tc>
          <w:tcPr>
            <w:tcW w:w="17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845,476.50</w:t>
            </w:r>
          </w:p>
        </w:tc>
      </w:tr>
      <w:tr>
        <w:trPr>
          <w:trHeight w:val="348" w:hRule="exact"/>
        </w:trPr>
        <w:tc>
          <w:tcPr>
            <w:tcW w:w="41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宿迁市第一人民医院</w:t>
            </w:r>
          </w:p>
        </w:tc>
        <w:tc>
          <w:tcPr>
            <w:tcW w:w="17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w w:val="95"/>
                <w:sz w:val="18"/>
              </w:rPr>
              <w:t>9,136,312.40</w:t>
            </w:r>
          </w:p>
        </w:tc>
        <w:tc>
          <w:tcPr>
            <w:tcW w:w="20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2.33%</w:t>
            </w:r>
          </w:p>
        </w:tc>
        <w:tc>
          <w:tcPr>
            <w:tcW w:w="17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456,815.62</w:t>
            </w:r>
          </w:p>
        </w:tc>
      </w:tr>
      <w:tr>
        <w:trPr>
          <w:trHeight w:val="468" w:hRule="exact"/>
        </w:trPr>
        <w:tc>
          <w:tcPr>
            <w:tcW w:w="4138" w:type="dxa"/>
            <w:tcBorders>
              <w:top w:val="single" w:sz="8" w:space="0" w:color="000000"/>
              <w:left w:val="single" w:sz="6" w:space="0" w:color="000000"/>
              <w:bottom w:val="single" w:sz="8" w:space="0" w:color="000000"/>
              <w:right w:val="single" w:sz="6" w:space="0" w:color="000000"/>
            </w:tcBorders>
          </w:tcPr>
          <w:p>
            <w:pPr>
              <w:pStyle w:val="TableParagraph"/>
              <w:tabs>
                <w:tab w:pos="467" w:val="left" w:leader="none"/>
              </w:tabs>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2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58,067,392.40</w:t>
            </w:r>
          </w:p>
        </w:tc>
        <w:tc>
          <w:tcPr>
            <w:tcW w:w="20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14.82%</w:t>
            </w:r>
          </w:p>
        </w:tc>
        <w:tc>
          <w:tcPr>
            <w:tcW w:w="172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w w:val="95"/>
                <w:sz w:val="18"/>
              </w:rPr>
              <w:t>4,553,098.62</w:t>
            </w:r>
          </w:p>
        </w:tc>
      </w:tr>
    </w:tbl>
    <w:p>
      <w:pPr>
        <w:spacing w:line="240" w:lineRule="auto" w:before="3"/>
        <w:rPr>
          <w:rFonts w:ascii="宋体" w:hAnsi="宋体" w:cs="宋体" w:eastAsia="宋体" w:hint="default"/>
          <w:b/>
          <w:bCs/>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115,856,</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583.25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78.49%</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115,856,5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83.25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31,922,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664.23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52.83%</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31,922,664.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31,681,7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29.42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4,838,81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26,842,91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28,505,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080.95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3,705,696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24,799,384.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77,996.19</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147,616,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308.86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4,838,81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142,777,4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89.49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60,427,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745.18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3,705,696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56,722,048.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81" w:header="745" w:top="1060" w:bottom="1180" w:left="980" w:right="980"/>
          <w:pgNumType w:start="160"/>
        </w:sectPr>
      </w:pPr>
    </w:p>
    <w:p>
      <w:pPr>
        <w:pStyle w:val="BodyText"/>
        <w:spacing w:line="240" w:lineRule="auto" w:before="49"/>
        <w:ind w:right="-20"/>
        <w:jc w:val="left"/>
      </w:pPr>
      <w:r>
        <w:rPr/>
        <w:t>期末单项金额重大并单项计提坏账准备的其他应收款：</w:t>
      </w:r>
    </w:p>
    <w:p>
      <w:pPr>
        <w:pStyle w:val="BodyText"/>
        <w:spacing w:line="240" w:lineRule="auto" w:before="1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江苏金仕达卫宁软件有 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69,787,000.00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上海金仕达卫宁软件科 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17,302,326.47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6,098,532.33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4,568,724.45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115,856,583.25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206" w:hRule="exact"/>
        </w:trPr>
        <w:tc>
          <w:tcPr>
            <w:tcW w:w="24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4" w:hRule="exact"/>
        </w:trPr>
        <w:tc>
          <w:tcPr>
            <w:tcW w:w="2492"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20,104,875.15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1,005,243.76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5,003,500.86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500,350.09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2,677,468.41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803,240.52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2,577,000.00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1,288,500.00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931,885.00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931,885.00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31,681,729.42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4,838,819.37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15.27%</w:t>
            </w: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980"/>
        </w:sectPr>
      </w:pPr>
    </w:p>
    <w:p>
      <w:pPr>
        <w:pStyle w:val="BodyText"/>
        <w:spacing w:line="338" w:lineRule="auto" w:before="44"/>
        <w:ind w:right="-13"/>
        <w:jc w:val="left"/>
      </w:pPr>
      <w:r>
        <w:rPr/>
        <w:t>本期计提坏账准备金额</w:t>
      </w:r>
      <w:r>
        <w:rPr>
          <w:spacing w:val="-46"/>
        </w:rPr>
        <w:t> </w:t>
      </w:r>
      <w:r>
        <w:rPr>
          <w:rFonts w:ascii="Times New Roman" w:hAnsi="Times New Roman" w:cs="Times New Roman" w:eastAsia="Times New Roman" w:hint="default"/>
        </w:rPr>
        <w:t>1,133,122.57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58" w:space="2369"/>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20,837,646.70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22,040,447.00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17,301,363.32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14,669,430.03</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87,964,996.19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13,771,057.09</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9,043,099.28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4,079,392.83</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软件产品增值税即征即退款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4,568,724.45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2,113,595.71</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6,098,532.33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1,368,581.40</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1,801,946.59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2,385,241.12</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147,616,308.86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60,427,745.18</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江苏金仕达卫宁软件 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69,787,000.00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47.28%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上海金仕达卫宁软件 科技有限公司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暂估增值税进项税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17,302,326.47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11.72%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中国证券登记结算有 限责任公司深圳分公 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6,098,532.33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软件产品增值税即征 即退款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4,568,724.45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115,856,583.25</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78.48%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7"/>
        <w:gridCol w:w="1867"/>
        <w:gridCol w:w="194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4,568,724.45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月、批复及税 收退还书</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4,568,724.45</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469,130,000.00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469,130,000.00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382,550,000.00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382,550,000.00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23,505,693.57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23,505,693.57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492,635,693.57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492,635,693.57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382,550,000.00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382,550,000.00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00" w:right="57"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00" w:right="5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江苏金仕达卫宁 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w:t>
            </w:r>
          </w:p>
        </w:tc>
        <w:tc>
          <w:tcPr>
            <w:tcW w:w="1337"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软件科技有限公</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68" w:right="0"/>
              <w:jc w:val="left"/>
              <w:rPr>
                <w:rFonts w:ascii="Times New Roman" w:hAnsi="Times New Roman" w:cs="Times New Roman" w:eastAsia="Times New Roman" w:hint="default"/>
                <w:sz w:val="18"/>
                <w:szCs w:val="18"/>
              </w:rPr>
            </w:pPr>
            <w:r>
              <w:rPr>
                <w:rFonts w:ascii="Times New Roman"/>
                <w:sz w:val="18"/>
              </w:rPr>
              <w:t>26,000,000.00</w:t>
            </w:r>
          </w:p>
        </w:tc>
        <w:tc>
          <w:tcPr>
            <w:tcW w:w="1334"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68" w:right="0"/>
              <w:jc w:val="left"/>
              <w:rPr>
                <w:rFonts w:ascii="Times New Roman" w:hAnsi="Times New Roman" w:cs="Times New Roman" w:eastAsia="Times New Roman" w:hint="default"/>
                <w:sz w:val="18"/>
                <w:szCs w:val="18"/>
              </w:rPr>
            </w:pPr>
            <w:r>
              <w:rPr>
                <w:rFonts w:ascii="Times New Roman"/>
                <w:sz w:val="18"/>
              </w:rPr>
              <w:t>26,000,000.00</w:t>
            </w:r>
          </w:p>
        </w:tc>
        <w:tc>
          <w:tcPr>
            <w:tcW w:w="1390" w:type="dxa"/>
            <w:vMerge/>
            <w:tcBorders>
              <w:left w:val="single" w:sz="4" w:space="0" w:color="000000"/>
              <w:right w:val="single" w:sz="4" w:space="0" w:color="000000"/>
            </w:tcBorders>
          </w:tcPr>
          <w:p>
            <w:pPr/>
          </w:p>
        </w:tc>
        <w:tc>
          <w:tcPr>
            <w:tcW w:w="1390" w:type="dxa"/>
            <w:vMerge/>
            <w:tcBorders>
              <w:left w:val="single" w:sz="4" w:space="0" w:color="000000"/>
              <w:right w:val="single" w:sz="4" w:space="0" w:color="000000"/>
            </w:tcBorders>
          </w:tcPr>
          <w:p>
            <w:pPr/>
          </w:p>
        </w:tc>
      </w:tr>
      <w:tr>
        <w:trPr>
          <w:trHeight w:val="354"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西安金仕达卫宁 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新疆金仕达卫宁 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both"/>
              <w:rPr>
                <w:rFonts w:ascii="宋体" w:hAnsi="宋体" w:cs="宋体" w:eastAsia="宋体" w:hint="default"/>
                <w:sz w:val="18"/>
                <w:szCs w:val="18"/>
              </w:rPr>
            </w:pPr>
            <w:r>
              <w:rPr>
                <w:rFonts w:ascii="宋体" w:hAnsi="宋体" w:cs="宋体" w:eastAsia="宋体" w:hint="default"/>
                <w:sz w:val="18"/>
                <w:szCs w:val="18"/>
              </w:rPr>
              <w:t>山西金仕达卫宁 软件科技有限公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283,000,000.00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北京宇信网景信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上海天健源达信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黑龙江金仕达卫 宁软件有限公司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宁波金仕达卫宁 软件有限公司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重庆金仕达卫宁 软件有限公司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382,550,000.00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86,580,000.00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469,130,000.00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浙江绎盛</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谷信息技</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20,000,00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443,175.1</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20,443,17</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术有限公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6</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5.16</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3"/>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1"/>
                <w:sz w:val="18"/>
              </w:rPr>
              <w:t> </w:t>
            </w:r>
            <w:r>
              <w:rPr>
                <w:rFonts w:ascii="Times New Roman"/>
                <w:spacing w:val="-41"/>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3,750,763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-688,244.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3,062,518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23,750,76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23,505,69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23,750,76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-245,069.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23,505,69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489,983,174.68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250,436,193.75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379,504,993.90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184,405,887.83</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489,983,174.68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250,436,193.75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379,504,993.90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184,405,887.83</w:t>
            </w:r>
          </w:p>
        </w:tc>
      </w:tr>
    </w:tbl>
    <w:p>
      <w:pPr>
        <w:spacing w:line="240" w:lineRule="auto" w:before="3"/>
        <w:rPr>
          <w:rFonts w:ascii="宋体" w:hAnsi="宋体" w:cs="宋体" w:eastAsia="宋体" w:hint="default"/>
          <w:sz w:val="19"/>
          <w:szCs w:val="19"/>
        </w:rPr>
      </w:pPr>
    </w:p>
    <w:p>
      <w:pPr>
        <w:pStyle w:val="Heading3"/>
        <w:spacing w:line="240" w:lineRule="auto" w:before="36"/>
        <w:ind w:right="148"/>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-245,069.69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-245,069.69</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48"/>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-72,165.05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16,214,704.12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20,944.00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237,063.63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2,485,789.59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    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406,250.72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13,508,506.39</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49"/>
        <w:ind w:right="136" w:firstLine="360"/>
        <w:jc w:val="left"/>
      </w:pPr>
      <w:r>
        <w:rPr/>
        <w:t>对公司根据《公开发行证券的公司信息披露解释性公告第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r>
        <w:rPr/>
        <w:t> </w:t>
      </w: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p>
    <w:p>
      <w:pPr>
        <w:spacing w:after="0" w:line="30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8"/>
        <w:jc w:val="left"/>
      </w:pPr>
      <w:r>
        <w:rPr/>
        <w:t>目，应说明原因。</w:t>
      </w:r>
    </w:p>
    <w:p>
      <w:pPr>
        <w:pStyle w:val="BodyText"/>
        <w:spacing w:line="240" w:lineRule="auto" w:before="117"/>
        <w:ind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4"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2"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0.2754</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0.2510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ind w:left="3284" w:right="148"/>
        <w:jc w:val="left"/>
        <w:rPr>
          <w:b w:val="0"/>
          <w:bCs w:val="0"/>
        </w:rPr>
      </w:pPr>
      <w:bookmarkStart w:name="_TOC_250000" w:id="11"/>
      <w:r>
        <w:rPr/>
        <w:t>第十一节</w:t>
      </w:r>
      <w:r>
        <w:rPr>
          <w:spacing w:val="-5"/>
        </w:rPr>
        <w:t> </w:t>
      </w:r>
      <w:r>
        <w:rPr/>
        <w:t>备查文件目录</w:t>
      </w:r>
      <w:bookmarkEnd w:id="11"/>
      <w:r>
        <w:rPr>
          <w:b w:val="0"/>
          <w:bCs w:val="0"/>
        </w:rPr>
      </w:r>
    </w:p>
    <w:p>
      <w:pPr>
        <w:spacing w:line="240" w:lineRule="auto" w:before="1"/>
        <w:rPr>
          <w:rFonts w:ascii="宋体" w:hAnsi="宋体" w:cs="宋体" w:eastAsia="宋体" w:hint="default"/>
          <w:b/>
          <w:bCs/>
          <w:sz w:val="41"/>
          <w:szCs w:val="41"/>
        </w:rPr>
      </w:pPr>
    </w:p>
    <w:p>
      <w:pPr>
        <w:pStyle w:val="Heading3"/>
        <w:spacing w:line="376" w:lineRule="auto"/>
        <w:ind w:right="148"/>
        <w:jc w:val="left"/>
        <w:rPr>
          <w:b w:val="0"/>
          <w:bCs w:val="0"/>
        </w:rPr>
      </w:pPr>
      <w:r>
        <w:rPr>
          <w:spacing w:val="-1"/>
        </w:rPr>
        <w:t>一、载有公司法定代表人、主管会计工作负责人、会计主管人员签名并盖章的财务报表。</w:t>
      </w:r>
      <w:r>
        <w:rPr>
          <w:spacing w:val="-70"/>
        </w:rPr>
        <w:t> </w:t>
      </w:r>
      <w:r>
        <w:rPr>
          <w:spacing w:val="-70"/>
        </w:rPr>
      </w:r>
      <w:r>
        <w:rPr/>
        <w:t>二、载有会计师事务所盖章、注册会计师签名并盖章的审计报告原件。</w:t>
      </w:r>
      <w:r>
        <w:rPr>
          <w:w w:val="100"/>
        </w:rPr>
        <w:t> </w:t>
      </w:r>
      <w:r>
        <w:rPr>
          <w:spacing w:val="-1"/>
        </w:rPr>
        <w:t>三、报告期内在中国证监会指定网站上公开披露过的所有公司文件的正本及公告的原稿。</w:t>
      </w:r>
      <w:r>
        <w:rPr>
          <w:spacing w:val="-70"/>
        </w:rPr>
        <w:t> </w:t>
      </w:r>
      <w:r>
        <w:rPr>
          <w:spacing w:val="-70"/>
        </w:rPr>
      </w:r>
      <w:r>
        <w:rPr/>
        <w:t>四、经公司法定代表人签名的</w:t>
      </w:r>
      <w:r>
        <w:rPr>
          <w:rFonts w:ascii="Times New Roman" w:hAnsi="Times New Roman" w:cs="Times New Roman" w:eastAsia="Times New Roman" w:hint="default"/>
        </w:rPr>
        <w:t>2015</w:t>
      </w:r>
      <w:r>
        <w:rPr/>
        <w:t>年度报告文本原件。</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53"/>
        <w:ind w:right="148"/>
        <w:jc w:val="left"/>
        <w:rPr>
          <w:b w:val="0"/>
          <w:bCs w:val="0"/>
        </w:rPr>
      </w:pPr>
      <w:r>
        <w:rPr/>
        <w:t>以上备查文件的备置地点：董事会办公室。</w:t>
      </w:r>
      <w:r>
        <w:rPr>
          <w:w w:val="99"/>
        </w:rPr>
        <w:t> </w:t>
      </w:r>
      <w:r>
        <w:rPr>
          <w:b w:val="0"/>
          <w:bCs w:val="0"/>
        </w:rPr>
      </w:r>
    </w:p>
    <w:p>
      <w:pPr>
        <w:pStyle w:val="Heading3"/>
        <w:spacing w:line="240" w:lineRule="auto" w:before="75"/>
        <w:ind w:right="0"/>
        <w:jc w:val="left"/>
        <w:rPr>
          <w:b w:val="0"/>
          <w:bCs w:val="0"/>
        </w:rPr>
      </w:pPr>
      <w:r>
        <w:rPr>
          <w:w w:val="99"/>
        </w:rPr>
        <w:t> </w:t>
      </w:r>
      <w:r>
        <w:rPr>
          <w:b w:val="0"/>
        </w:rPr>
      </w:r>
    </w:p>
    <w:p>
      <w:pPr>
        <w:pStyle w:val="Heading3"/>
        <w:spacing w:line="240" w:lineRule="auto" w:before="78"/>
        <w:ind w:right="0"/>
        <w:jc w:val="left"/>
        <w:rPr>
          <w:b w:val="0"/>
          <w:bCs w:val="0"/>
        </w:rPr>
      </w:pPr>
      <w:r>
        <w:rPr>
          <w:w w:val="99"/>
        </w:rPr>
        <w:t> </w:t>
      </w:r>
      <w:r>
        <w:rPr>
          <w:b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Heading3"/>
        <w:spacing w:line="240" w:lineRule="auto" w:before="36"/>
        <w:ind w:left="5850" w:right="148"/>
        <w:jc w:val="left"/>
        <w:rPr>
          <w:b w:val="0"/>
          <w:bCs w:val="0"/>
        </w:rPr>
      </w:pPr>
      <w:r>
        <w:rPr/>
        <w:t>卫宁健康科技集团股份有限公司</w:t>
      </w:r>
      <w:r>
        <w:rPr>
          <w:w w:val="99"/>
        </w:rPr>
        <w:t> </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pStyle w:val="Heading3"/>
        <w:spacing w:line="240" w:lineRule="auto" w:before="36"/>
        <w:ind w:left="5850" w:right="148"/>
        <w:jc w:val="left"/>
        <w:rPr>
          <w:b w:val="0"/>
          <w:bCs w:val="0"/>
        </w:rPr>
      </w:pPr>
      <w:r>
        <w:rPr/>
        <w:t>法定代表人：</w:t>
      </w:r>
      <w:r>
        <w:rPr>
          <w:w w:val="99"/>
        </w:rPr>
      </w:r>
      <w:r>
        <w:rPr>
          <w:w w:val="99"/>
          <w:u w:val="single" w:color="000000"/>
        </w:rPr>
        <w:t>      </w:t>
      </w:r>
      <w:r>
        <w:rPr>
          <w:spacing w:val="-3"/>
          <w:w w:val="99"/>
          <w:u w:val="single" w:color="000000"/>
        </w:rPr>
        <w:t> </w:t>
      </w:r>
      <w:r>
        <w:rPr>
          <w:w w:val="99"/>
          <w:u w:val="single" w:color="000000"/>
        </w:rPr>
        <w:t>   </w:t>
      </w:r>
      <w:r>
        <w:rPr>
          <w:spacing w:val="-3"/>
          <w:w w:val="99"/>
          <w:u w:val="single" w:color="000000"/>
        </w:rPr>
        <w:t> </w:t>
      </w:r>
      <w:r>
        <w:rPr>
          <w:w w:val="99"/>
          <w:u w:val="single" w:color="000000"/>
        </w:rPr>
        <w:t>      </w:t>
      </w:r>
      <w:r>
        <w:rPr>
          <w:spacing w:val="-3"/>
          <w:w w:val="99"/>
          <w:u w:val="single" w:color="000000"/>
        </w:rPr>
        <w:t> </w:t>
      </w:r>
      <w:r>
        <w:rPr>
          <w:spacing w:val="-3"/>
          <w:w w:val="99"/>
        </w:rPr>
      </w:r>
      <w:r>
        <w:rPr>
          <w:w w:val="99"/>
        </w:rPr>
        <w:t> </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87" w:right="148"/>
        <w:jc w:val="left"/>
        <w:rPr>
          <w:b w:val="0"/>
          <w:bCs w:val="0"/>
        </w:rPr>
      </w:pPr>
      <w:r>
        <w:rPr>
          <w:w w:val="99"/>
        </w:rPr>
        <w:t>                  </w:t>
      </w:r>
      <w:r>
        <w:rPr>
          <w:spacing w:val="-3"/>
          <w:w w:val="99"/>
        </w:rPr>
        <w:t> </w:t>
      </w:r>
      <w:r>
        <w:rPr>
          <w:w w:val="99"/>
        </w:rPr>
        <w:t>   </w:t>
      </w:r>
      <w:r>
        <w:rPr>
          <w:spacing w:val="-3"/>
          <w:w w:val="99"/>
        </w:rPr>
        <w:t> </w:t>
      </w:r>
      <w:r>
        <w:rPr>
          <w:w w:val="99"/>
        </w:rPr>
        <w:t>                  </w:t>
      </w:r>
      <w:r>
        <w:rPr>
          <w:spacing w:val="-3"/>
          <w:w w:val="99"/>
        </w:rPr>
        <w:t> </w:t>
      </w:r>
      <w:r>
        <w:rPr>
          <w:w w:val="99"/>
        </w:rPr>
        <w:t>   </w:t>
      </w:r>
      <w:r>
        <w:rPr>
          <w:spacing w:val="-3"/>
          <w:w w:val="99"/>
        </w:rPr>
        <w:t> </w:t>
      </w:r>
      <w:r>
        <w:rPr>
          <w:w w:val="99"/>
        </w:rPr>
        <w:t>                  </w:t>
      </w:r>
      <w:r>
        <w:rPr>
          <w:spacing w:val="-3"/>
          <w:w w:val="99"/>
        </w:rPr>
        <w:t> </w:t>
      </w:r>
      <w:r>
        <w:rPr>
          <w:w w:val="99"/>
        </w:rPr>
        <w:t>  </w:t>
      </w:r>
      <w:r>
        <w:rPr>
          <w:spacing w:val="-3"/>
          <w:w w:val="99"/>
        </w:rPr>
        <w:t> </w:t>
      </w:r>
      <w:r>
        <w:rPr/>
        <w:t>周炜</w:t>
      </w:r>
      <w:r>
        <w:rPr>
          <w:w w:val="99"/>
        </w:rPr>
        <w:t> </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87" w:right="148"/>
        <w:jc w:val="left"/>
        <w:rPr>
          <w:b w:val="0"/>
          <w:bCs w:val="0"/>
        </w:rPr>
      </w:pPr>
      <w:r>
        <w:rPr>
          <w:w w:val="99"/>
        </w:rPr>
        <w:t>                  </w:t>
      </w:r>
      <w:r>
        <w:rPr>
          <w:spacing w:val="-3"/>
          <w:w w:val="99"/>
        </w:rPr>
        <w:t> </w:t>
      </w:r>
      <w:r>
        <w:rPr>
          <w:w w:val="99"/>
        </w:rPr>
        <w:t>   </w:t>
      </w:r>
      <w:r>
        <w:rPr>
          <w:spacing w:val="-3"/>
          <w:w w:val="99"/>
        </w:rPr>
        <w:t> </w:t>
      </w:r>
      <w:r>
        <w:rPr>
          <w:w w:val="99"/>
        </w:rPr>
        <w:t>   </w:t>
      </w:r>
      <w:r>
        <w:rPr>
          <w:spacing w:val="-1"/>
          <w:w w:val="99"/>
        </w:rPr>
        <w:t> </w:t>
      </w:r>
      <w:r>
        <w:rPr>
          <w:w w:val="99"/>
        </w:rPr>
        <w:t>              </w:t>
      </w:r>
      <w:r>
        <w:rPr>
          <w:spacing w:val="-3"/>
          <w:w w:val="99"/>
        </w:rPr>
        <w:t> </w:t>
      </w:r>
      <w:r>
        <w:rPr>
          <w:w w:val="99"/>
        </w:rPr>
        <w:t>   </w:t>
      </w:r>
      <w:r>
        <w:rPr>
          <w:spacing w:val="-3"/>
          <w:w w:val="99"/>
        </w:rPr>
        <w:t> </w:t>
      </w:r>
      <w:r>
        <w:rPr>
          <w:w w:val="99"/>
        </w:rPr>
        <w:t>            </w:t>
      </w:r>
      <w:r>
        <w:rPr/>
        <w:t>二Ο一六年三月二十四日</w:t>
      </w:r>
      <w:r>
        <w:rPr>
          <w:w w:val="99"/>
        </w:rPr>
        <w:t> </w:t>
      </w:r>
      <w:r>
        <w:rPr>
          <w:b w:val="0"/>
          <w:bCs w:val="0"/>
        </w:rPr>
      </w:r>
    </w:p>
    <w:sectPr>
      <w:pgSz w:w="11910" w:h="16840"/>
      <w:pgMar w:header="745" w:footer="981"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15015pt;margin-top:795.514954pt;width:6.5pt;height:11pt;mso-position-horizontal-relative:page;mso-position-vertical-relative:page;z-index:-988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75pt;margin-top:781.834961pt;width:17.3pt;height:11pt;mso-position-horizontal-relative:page;mso-position-vertical-relative:page;z-index:-988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734985pt;margin-top:781.834961pt;width:16.9pt;height:11pt;mso-position-horizontal-relative:page;mso-position-vertical-relative:page;z-index:-988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75pt;margin-top:781.834961pt;width:17.3pt;height:11pt;mso-position-horizontal-relative:page;mso-position-vertical-relative:page;z-index:-988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015015pt;margin-top:781.834961pt;width:8.5pt;height:11pt;mso-position-horizontal-relative:page;mso-position-vertical-relative:page;z-index:-988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15015pt;margin-top:781.834961pt;width:17.650pt;height:11pt;mso-position-horizontal-relative:page;mso-position-vertical-relative:page;z-index:-988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6897pt;margin-top:781.834961pt;width:13.1pt;height:11pt;mso-position-horizontal-relative:page;mso-position-vertical-relative:page;z-index:-988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06012pt;margin-top:36.268639pt;width:213.7pt;height:11.5pt;mso-position-horizontal-relative:page;mso-position-vertical-relative:page;z-index:-988840" type="#_x0000_t202" filled="false" stroked="false">
          <v:textbox inset="0,0,0,0">
            <w:txbxContent>
              <w:p>
                <w:pPr>
                  <w:pStyle w:val="BodyText"/>
                  <w:spacing w:line="214" w:lineRule="exact"/>
                  <w:ind w:left="20" w:right="0"/>
                  <w:jc w:val="left"/>
                </w:pPr>
                <w:r>
                  <w:rPr/>
                  <w:t>卫宁健康科技集团股份有限公司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76"/>
      <w:ind w:left="51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winning.com.cn/" TargetMode="External"/><Relationship Id="rId10" Type="http://schemas.openxmlformats.org/officeDocument/2006/relationships/hyperlink" Target="mailto:wndsh@winning.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2.jpeg"/><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2020-05-04T16:24:57Z</dcterms:created>
  <dcterms:modified xsi:type="dcterms:W3CDTF">2020-05-04T16:24:57Z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LastSaved">
    <vt:filetime>2020-05-04T00:00:00Z</vt:filetime>
  </property>
</Properties>
</file>