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25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04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1411360" cy="12954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1360" cy="1295400"/>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2385" w:right="3400" w:firstLine="0"/>
        <w:jc w:val="center"/>
        <w:rPr>
          <w:rFonts w:ascii="宋体" w:hAnsi="宋体" w:cs="宋体" w:eastAsia="宋体" w:hint="default"/>
          <w:sz w:val="36"/>
          <w:szCs w:val="36"/>
        </w:rPr>
      </w:pPr>
      <w:r>
        <w:rPr>
          <w:rFonts w:ascii="宋体" w:hAnsi="宋体" w:cs="宋体" w:eastAsia="宋体" w:hint="default"/>
          <w:b/>
          <w:bCs/>
          <w:sz w:val="36"/>
          <w:szCs w:val="36"/>
        </w:rPr>
        <w:t>卫宁健康科技集团股份有限公司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380"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380"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846"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27"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公司负责人周炜、主管会计工作负责人王利及会计机构负责人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陈旭纹声明：保证年度报告中财务报告的真实、准确、完整。</w:t>
      </w:r>
      <w:r>
        <w:rPr>
          <w:rFonts w:ascii="宋体" w:hAnsi="宋体" w:cs="宋体" w:eastAsia="宋体" w:hint="default"/>
          <w:sz w:val="28"/>
          <w:szCs w:val="28"/>
        </w:rPr>
      </w:r>
    </w:p>
    <w:p>
      <w:pPr>
        <w:spacing w:line="475" w:lineRule="auto"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本报告中所涉及的未来计划、发展战略等前瞻性描述，并不代表公司的盈</w:t>
      </w:r>
      <w:r>
        <w:rPr>
          <w:rFonts w:ascii="宋体" w:hAnsi="宋体" w:cs="宋体" w:eastAsia="宋体" w:hint="default"/>
          <w:spacing w:val="2"/>
          <w:sz w:val="28"/>
          <w:szCs w:val="28"/>
        </w:rPr>
      </w:r>
    </w:p>
    <w:p>
      <w:pPr>
        <w:spacing w:line="350"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利预测，也不构成公司对任何投资者及相关人士的实质承诺，投资者及相关人</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3" w:lineRule="auto" w:before="0"/>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士均应对此保持足够认识，并且应当理解计划、预测与承诺之间的差异。请投</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资者认真阅读本年度报告全文，并注意公司可能存在的技术与产品开发风险、</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人才流失风险、行业竞争风险、管理风险、收款及经营业绩的季节性波动风险、</w:t>
      </w:r>
      <w:r>
        <w:rPr>
          <w:rFonts w:ascii="宋体" w:hAnsi="宋体" w:cs="宋体" w:eastAsia="宋体" w:hint="default"/>
          <w:b/>
          <w:bCs/>
          <w:spacing w:val="-116"/>
          <w:sz w:val="28"/>
          <w:szCs w:val="28"/>
        </w:rPr>
        <w:t> </w:t>
      </w:r>
      <w:r>
        <w:rPr>
          <w:rFonts w:ascii="宋体" w:hAnsi="宋体" w:cs="宋体" w:eastAsia="宋体" w:hint="default"/>
          <w:b/>
          <w:bCs/>
          <w:spacing w:val="-116"/>
          <w:sz w:val="28"/>
          <w:szCs w:val="28"/>
        </w:rPr>
      </w:r>
      <w:r>
        <w:rPr>
          <w:rFonts w:ascii="宋体" w:hAnsi="宋体" w:cs="宋体" w:eastAsia="宋体" w:hint="default"/>
          <w:b/>
          <w:bCs/>
          <w:spacing w:val="2"/>
          <w:sz w:val="28"/>
          <w:szCs w:val="28"/>
        </w:rPr>
        <w:t>商誉减值风险，敬请广大投资者注意投资风险。详见本年度报告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 </w:t>
      </w:r>
      <w:r>
        <w:rPr>
          <w:rFonts w:ascii="宋体" w:hAnsi="宋体" w:cs="宋体" w:eastAsia="宋体" w:hint="default"/>
          <w:b/>
          <w:bCs/>
          <w:sz w:val="28"/>
          <w:szCs w:val="28"/>
        </w:rPr>
        <w:t>经营</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z w:val="28"/>
          <w:szCs w:val="28"/>
        </w:rPr>
        <w:t>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line="408" w:lineRule="auto" w:before="124"/>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公司经本次董事会审议通过的利润分配预案为：以实施权益分派股权登记</w:t>
      </w:r>
      <w:r>
        <w:rPr>
          <w:rFonts w:ascii="宋体" w:hAnsi="宋体" w:cs="宋体" w:eastAsia="宋体" w:hint="default"/>
          <w:b/>
          <w:bCs/>
          <w:w w:val="99"/>
          <w:sz w:val="28"/>
          <w:szCs w:val="28"/>
        </w:rPr>
        <w:t> </w:t>
      </w:r>
      <w:r>
        <w:rPr>
          <w:rFonts w:ascii="宋体" w:hAnsi="宋体" w:cs="宋体" w:eastAsia="宋体" w:hint="default"/>
          <w:b/>
          <w:bCs/>
          <w:spacing w:val="-1"/>
          <w:w w:val="99"/>
          <w:sz w:val="28"/>
          <w:szCs w:val="28"/>
        </w:rPr>
        <w:t>日的总股本为基数，向全体股东每</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
          <w:w w:val="99"/>
          <w:sz w:val="28"/>
          <w:szCs w:val="28"/>
        </w:rPr>
        <w:t>股派发现金红利</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spacing w:val="-1"/>
          <w:w w:val="100"/>
          <w:sz w:val="28"/>
          <w:szCs w:val="28"/>
        </w:rPr>
        <w:t>0.25</w:t>
      </w:r>
      <w:r>
        <w:rPr>
          <w:rFonts w:ascii="Times New Roman" w:hAnsi="Times New Roman" w:cs="Times New Roman" w:eastAsia="Times New Roman" w:hint="default"/>
          <w:b/>
          <w:bCs/>
          <w:spacing w:val="3"/>
          <w:w w:val="100"/>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spacing w:val="-16"/>
          <w:sz w:val="28"/>
          <w:szCs w:val="28"/>
        </w:rPr>
      </w:r>
    </w:p>
    <w:p>
      <w:pPr>
        <w:spacing w:before="19"/>
        <w:ind w:left="112" w:right="0" w:firstLine="0"/>
        <w:jc w:val="left"/>
        <w:rPr>
          <w:rFonts w:ascii="宋体" w:hAnsi="宋体" w:cs="宋体" w:eastAsia="宋体" w:hint="default"/>
          <w:sz w:val="28"/>
          <w:szCs w:val="28"/>
        </w:rPr>
      </w:pP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，以资本</w:t>
      </w:r>
      <w:r>
        <w:rPr>
          <w:rFonts w:ascii="宋体" w:hAnsi="宋体" w:cs="宋体" w:eastAsia="宋体" w:hint="default"/>
          <w:b/>
          <w:bCs/>
          <w:spacing w:val="2"/>
          <w:w w:val="99"/>
          <w:sz w:val="28"/>
          <w:szCs w:val="28"/>
        </w:rPr>
        <w:t>公</w:t>
      </w:r>
      <w:r>
        <w:rPr>
          <w:rFonts w:ascii="宋体" w:hAnsi="宋体" w:cs="宋体" w:eastAsia="宋体" w:hint="default"/>
          <w:b/>
          <w:bCs/>
          <w:spacing w:val="-1"/>
          <w:w w:val="99"/>
          <w:sz w:val="28"/>
          <w:szCs w:val="28"/>
        </w:rPr>
        <w:t>积金向全体股东</w:t>
      </w:r>
      <w:r>
        <w:rPr>
          <w:rFonts w:ascii="宋体" w:hAnsi="宋体" w:cs="宋体" w:eastAsia="宋体" w:hint="default"/>
          <w:b/>
          <w:bCs/>
          <w:w w:val="99"/>
          <w:sz w:val="28"/>
          <w:szCs w:val="28"/>
        </w:rPr>
        <w:t>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股转</w:t>
      </w:r>
      <w:r>
        <w:rPr>
          <w:rFonts w:ascii="宋体" w:hAnsi="宋体" w:cs="宋体" w:eastAsia="宋体" w:hint="default"/>
          <w:b/>
          <w:bCs/>
          <w:w w:val="99"/>
          <w:sz w:val="28"/>
          <w:szCs w:val="28"/>
        </w:rPr>
        <w:t>增</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8" w:header="746" w:top="1060" w:bottom="1160" w:left="1020" w:right="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2383"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42" w:val="right" w:leader="dot"/>
            </w:tabs>
            <w:spacing w:line="240" w:lineRule="auto" w:before="101"/>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rPr>
              <w:t>14</w:t>
            </w:r>
          </w:hyperlink>
        </w:p>
        <w:p>
          <w:pPr>
            <w:pStyle w:val="TOC1"/>
            <w:tabs>
              <w:tab w:pos="9742" w:val="right" w:leader="dot"/>
            </w:tabs>
            <w:spacing w:line="240" w:lineRule="auto" w:before="101"/>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r>
            <w:r>
              <w:rPr>
                <w:rFonts w:ascii="Times New Roman" w:hAnsi="Times New Roman" w:cs="Times New Roman" w:eastAsia="Times New Roman" w:hint="default"/>
              </w:rPr>
              <w:t>35</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60</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69</w:t>
            </w:r>
          </w:hyperlink>
        </w:p>
        <w:p>
          <w:pPr>
            <w:pStyle w:val="TOC1"/>
            <w:tabs>
              <w:tab w:pos="9742" w:val="right" w:leader="dot"/>
            </w:tabs>
            <w:spacing w:line="240" w:lineRule="auto" w:before="101"/>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70</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71</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r>
            <w:r>
              <w:rPr>
                <w:rFonts w:ascii="Times New Roman" w:hAnsi="Times New Roman" w:cs="Times New Roman" w:eastAsia="Times New Roman" w:hint="default"/>
              </w:rPr>
              <w:t>78</w:t>
            </w:r>
          </w:hyperlink>
        </w:p>
        <w:p>
          <w:pPr>
            <w:pStyle w:val="TOC1"/>
            <w:tabs>
              <w:tab w:pos="9742" w:val="right" w:leader="dot"/>
            </w:tabs>
            <w:spacing w:line="240" w:lineRule="auto" w:before="101"/>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84</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r>
            <w:r>
              <w:rPr>
                <w:rFonts w:ascii="Times New Roman" w:hAnsi="Times New Roman" w:cs="Times New Roman" w:eastAsia="Times New Roman" w:hint="default"/>
              </w:rPr>
              <w:t>85</w:t>
            </w:r>
          </w:hyperlink>
        </w:p>
        <w:p>
          <w:pPr>
            <w:pStyle w:val="TOC1"/>
            <w:tabs>
              <w:tab w:pos="9742" w:val="right" w:leader="dot"/>
            </w:tabs>
            <w:spacing w:line="240" w:lineRule="auto"/>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r>
            <w:r>
              <w:rPr>
                <w:rFonts w:ascii="Times New Roman" w:hAnsi="Times New Roman" w:cs="Times New Roman" w:eastAsia="Times New Roman" w:hint="default"/>
              </w:rPr>
              <w:t>224</w:t>
            </w:r>
          </w:hyperlink>
        </w:p>
        <w:p>
          <w:pPr/>
          <w:r>
            <w:fldChar w:fldCharType="end"/>
          </w:r>
        </w:p>
      </w:sdtContent>
    </w:sdt>
    <w:p>
      <w:pPr>
        <w:spacing w:after="0"/>
        <w:sectPr>
          <w:pgSz w:w="11910" w:h="16840"/>
          <w:pgMar w:header="746" w:footer="978" w:top="1060" w:bottom="1160" w:left="1020" w:right="0"/>
        </w:sectPr>
      </w:pPr>
    </w:p>
    <w:p>
      <w:pPr>
        <w:spacing w:before="947"/>
        <w:ind w:left="2383"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本公司、公司、卫宁软件、卫宁健康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周炜、王英夫妇</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会计师、容诚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容诚会计师事务</w:t>
            </w:r>
            <w:r>
              <w:rPr>
                <w:rFonts w:ascii="宋体" w:hAnsi="宋体" w:cs="宋体" w:eastAsia="宋体" w:hint="default"/>
                <w:spacing w:val="-10"/>
                <w:sz w:val="18"/>
                <w:szCs w:val="18"/>
              </w:rPr>
              <w:t>所</w:t>
            </w:r>
            <w:r>
              <w:rPr>
                <w:rFonts w:ascii="宋体" w:hAnsi="宋体" w:cs="宋体" w:eastAsia="宋体" w:hint="default"/>
                <w:sz w:val="18"/>
                <w:szCs w:val="18"/>
              </w:rPr>
              <w:t>（特殊普通合伙</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原名称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华普天健会计师事务所</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律师、上海广发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上海市广发律师事务所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公司全资子公司、江苏卫宁软件有限公司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公司全资子公司、西安卫宁软件有限公司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山西卫宁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公司全资子公司、山西卫宁软件有限公司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杭州东联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公司全资子公司、杭州东联软件有限公司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北京卫宁健康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9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公司全资子公司、北京卫宁健康科技有限公司，原名称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北京宇信网 景信息技术有限公司</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公司全资子公司、上海卫宁软件有限公司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公司全资子公司、天津卫宁软件有限公司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宣城卫宁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公司全资子公司、宣城卫宁软件科技有限公司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公司全资子公司、深圳卫宁中天软件有限公司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公司全资子公司、上海卫心科技有限公司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快享医疗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公司控股子公司、快享医疗科技（上海）有限公司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卫宁互联网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公司控股子公司、卫宁互联网科技有限公司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浙江万鼎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公司控股子公司、浙江万鼎信息技术有限公司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公司控股子公司、新疆卫宁软件有限公司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公司控股子公司、重庆卫宁软件有限公司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公司控股子公司、黑龙江卫宁软件有限公司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合肥汉思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公司控股子公司、合肥汉思信息技术有限责任公司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公司控股子公司、广东卫宁软件有限公司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公司控股子公司、四川卫宁软件有限公司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公司控股子公司、宁波金仕达卫宁软件有限公司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陕西卫宁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公司控股子公司、陕西卫宁互联网科技有限公司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纳里健康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公司控股孙公司、纳里健康科技有限公司</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卫宁健康科技集团股份有限公司股东大会</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85"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65pt;margin-top:114.645607pt;width:370.05pt;height:19.7pt;mso-position-horizontal-relative:page;mso-position-vertical-relative:paragraph;z-index:-1273024"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171.050003pt;margin-top:114.645607pt;width:364pt;height:19.850pt;mso-position-horizontal-relative:page;mso-position-vertical-relative:paragraph;z-index:-1273000" coordorigin="3421,2293" coordsize="7280,397">
            <v:shape style="position:absolute;left:3421;top:2293;width:7280;height:397" coordorigin="3421,2293" coordsize="7280,397" path="m3421,2293l10701,2293,10701,2690,3421,2690,3421,2293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卫宁健康</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300253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Winning</w:t>
            </w:r>
            <w:r>
              <w:rPr>
                <w:rFonts w:ascii="Times New Roman"/>
                <w:spacing w:val="-9"/>
                <w:sz w:val="18"/>
              </w:rPr>
              <w:t> </w:t>
            </w:r>
            <w:r>
              <w:rPr>
                <w:rFonts w:ascii="Times New Roman"/>
                <w:sz w:val="18"/>
              </w:rPr>
              <w:t>Health</w:t>
            </w:r>
            <w:r>
              <w:rPr>
                <w:rFonts w:ascii="Times New Roman"/>
                <w:spacing w:val="-11"/>
                <w:sz w:val="18"/>
              </w:rPr>
              <w:t> </w:t>
            </w:r>
            <w:r>
              <w:rPr>
                <w:rFonts w:ascii="Times New Roman"/>
                <w:sz w:val="18"/>
              </w:rPr>
              <w:t>Technology</w:t>
            </w:r>
            <w:r>
              <w:rPr>
                <w:rFonts w:ascii="Times New Roman"/>
                <w:spacing w:val="-8"/>
                <w:sz w:val="18"/>
              </w:rPr>
              <w:t> </w:t>
            </w:r>
            <w:r>
              <w:rPr>
                <w:rFonts w:ascii="Times New Roman"/>
                <w:sz w:val="18"/>
              </w:rPr>
              <w:t>Group</w:t>
            </w:r>
            <w:r>
              <w:rPr>
                <w:rFonts w:ascii="Times New Roman"/>
                <w:spacing w:val="-11"/>
                <w:sz w:val="18"/>
              </w:rPr>
              <w:t> </w:t>
            </w:r>
            <w:r>
              <w:rPr>
                <w:rFonts w:ascii="Times New Roman"/>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Winning</w:t>
            </w:r>
            <w:r>
              <w:rPr>
                <w:rFonts w:ascii="Times New Roman"/>
                <w:spacing w:val="-16"/>
                <w:sz w:val="18"/>
              </w:rPr>
              <w:t> </w:t>
            </w:r>
            <w:r>
              <w:rPr>
                <w:rFonts w:ascii="Times New Roman"/>
                <w:sz w:val="18"/>
              </w:rPr>
              <w:t>Health</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上海市浦东新区东育路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B29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200126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上海市静安区寿阳路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号卫宁健康大厦</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200072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www.winning.com.cn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徐子同</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上海市静安区寿阳路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号卫宁健康 大厦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上海市静安区寿阳路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号卫宁健康 大厦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021-80331033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021-80331033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021-80331001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021-80331001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容诚会计师事务</w:t>
            </w:r>
            <w:r>
              <w:rPr>
                <w:rFonts w:ascii="宋体" w:hAnsi="宋体" w:cs="宋体" w:eastAsia="宋体" w:hint="default"/>
                <w:spacing w:val="-15"/>
                <w:sz w:val="18"/>
                <w:szCs w:val="18"/>
              </w:rPr>
              <w:t>所</w:t>
            </w:r>
            <w:r>
              <w:rPr>
                <w:rFonts w:ascii="宋体" w:hAnsi="宋体" w:cs="宋体" w:eastAsia="宋体" w:hint="default"/>
                <w:sz w:val="18"/>
                <w:szCs w:val="18"/>
              </w:rPr>
              <w:t>（特殊普通合伙</w:t>
            </w:r>
            <w:r>
              <w:rPr>
                <w:rFonts w:ascii="宋体" w:hAnsi="宋体" w:cs="宋体" w:eastAsia="宋体" w:hint="default"/>
                <w:spacing w:val="-89"/>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原名称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华普天健会计师事务</w:t>
            </w:r>
            <w:r>
              <w:rPr>
                <w:rFonts w:ascii="宋体" w:hAnsi="宋体" w:cs="宋体" w:eastAsia="宋体" w:hint="default"/>
                <w:spacing w:val="-15"/>
                <w:sz w:val="18"/>
                <w:szCs w:val="18"/>
              </w:rPr>
              <w:t>所</w:t>
            </w:r>
            <w:r>
              <w:rPr>
                <w:rFonts w:ascii="宋体" w:hAnsi="宋体" w:cs="宋体" w:eastAsia="宋体" w:hint="default"/>
                <w:spacing w:val="-3"/>
                <w:sz w:val="18"/>
                <w:szCs w:val="18"/>
              </w:rPr>
              <w:t>（</w:t>
            </w:r>
            <w:r>
              <w:rPr>
                <w:rFonts w:ascii="宋体" w:hAnsi="宋体" w:cs="宋体" w:eastAsia="宋体" w:hint="default"/>
                <w:sz w:val="18"/>
                <w:szCs w:val="18"/>
              </w:rPr>
              <w:t>特殊普通合伙</w:t>
            </w:r>
            <w:r>
              <w:rPr>
                <w:rFonts w:ascii="宋体" w:hAnsi="宋体" w:cs="宋体" w:eastAsia="宋体" w:hint="default"/>
                <w:spacing w:val="-15"/>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号外经贸大厦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920-926</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王柏东，孔晶晶，胡玥</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1,908,007,949.00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1,438,761,343.81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1,203,756,273.71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398,420,733.04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303,305,204.12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229,039,873.76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341,776,914.06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278,789,273.62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213,440,610.29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233,300,921.15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123,894,527.18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79,787,185.41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0.2463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0.1897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0.1439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0.2451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0.1864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0.1412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5,118,903,138.98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4,237,318,113.09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3,712,302,568.37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3,733,330,755.35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3,134,184,505.73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2,596,125,082.18</w:t>
            </w:r>
          </w:p>
        </w:tc>
      </w:tr>
    </w:tbl>
    <w:p>
      <w:pPr>
        <w:pStyle w:val="BodyText"/>
        <w:spacing w:line="316" w:lineRule="auto" w:before="51"/>
        <w:ind w:right="112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523"/>
        <w:gridCol w:w="5045"/>
      </w:tblGrid>
      <w:tr>
        <w:trPr>
          <w:trHeight w:val="402"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0.2427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1" w:right="0"/>
              <w:jc w:val="left"/>
              <w:rPr>
                <w:rFonts w:ascii="Times New Roman" w:hAnsi="Times New Roman" w:cs="Times New Roman" w:eastAsia="Times New Roman" w:hint="default"/>
                <w:sz w:val="18"/>
                <w:szCs w:val="18"/>
              </w:rPr>
            </w:pPr>
            <w:r>
              <w:rPr>
                <w:rFonts w:ascii="Times New Roman"/>
                <w:sz w:val="18"/>
              </w:rPr>
              <w:t>246,968,378.88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1" w:right="0"/>
              <w:jc w:val="left"/>
              <w:rPr>
                <w:rFonts w:ascii="Times New Roman" w:hAnsi="Times New Roman" w:cs="Times New Roman" w:eastAsia="Times New Roman" w:hint="default"/>
                <w:sz w:val="18"/>
                <w:szCs w:val="18"/>
              </w:rPr>
            </w:pPr>
            <w:r>
              <w:rPr>
                <w:rFonts w:ascii="Times New Roman"/>
                <w:sz w:val="18"/>
              </w:rPr>
              <w:t>422,573,227.64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0" w:right="0"/>
              <w:jc w:val="left"/>
              <w:rPr>
                <w:rFonts w:ascii="Times New Roman" w:hAnsi="Times New Roman" w:cs="Times New Roman" w:eastAsia="Times New Roman" w:hint="default"/>
                <w:sz w:val="18"/>
                <w:szCs w:val="18"/>
              </w:rPr>
            </w:pPr>
            <w:r>
              <w:rPr>
                <w:rFonts w:ascii="Times New Roman"/>
                <w:sz w:val="18"/>
              </w:rPr>
              <w:t>528,291,296.68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1" w:right="0"/>
              <w:jc w:val="left"/>
              <w:rPr>
                <w:rFonts w:ascii="Times New Roman" w:hAnsi="Times New Roman" w:cs="Times New Roman" w:eastAsia="Times New Roman" w:hint="default"/>
                <w:sz w:val="18"/>
                <w:szCs w:val="18"/>
              </w:rPr>
            </w:pPr>
            <w:r>
              <w:rPr>
                <w:rFonts w:ascii="Times New Roman"/>
                <w:sz w:val="18"/>
              </w:rPr>
              <w:t>710,175,045.80</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57,464,834.80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104,732,654.21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110,741,865.66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125,481,378.37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54,639,209.00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73,130,280.06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108,331,109.67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105,676,315.33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-193,324,233.83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-10,716,597.78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-24,581,497.00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461,923,249.76</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-222,154.91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-772,811.21</w:t>
            </w:r>
            <w:r>
              <w:rPr>
                <w:rFonts w:ascii="Times New Roman"/>
                <w:spacing w:val="-1"/>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-1,008,542.96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41,259,334.86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29,661,232.32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19,515,474.50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883,443.29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708,180.00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458,947.64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166,311.00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-777,207.49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-24,228.88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143,997.35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公允价值计量且其变动计入当期损益的金 融资产公允价值变动</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12,901,132.90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3,932,831.16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丧失重大影响之日，股权公允价值与账面 价值之间的差异</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9,519,075.27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8,004,449.31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4,425,597.12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2,839,264.22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2,848,186.79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635,844.61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837,659.84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56,643,818.98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24,515,930.50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15,599,263.47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87" w:right="0"/>
        <w:jc w:val="left"/>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16" w:lineRule="auto" w:before="103"/>
        <w:ind w:left="472" w:right="0"/>
        <w:jc w:val="left"/>
      </w:pPr>
      <w:r>
        <w:rPr>
          <w:rFonts w:ascii="宋体" w:hAnsi="宋体" w:cs="宋体" w:eastAsia="宋体" w:hint="default"/>
          <w:b/>
          <w:bCs/>
        </w:rPr>
        <w:t>（一）公司从事的主要业务</w:t>
      </w:r>
      <w:r>
        <w:rPr>
          <w:rFonts w:ascii="宋体" w:hAnsi="宋体" w:cs="宋体" w:eastAsia="宋体" w:hint="default"/>
          <w:b/>
          <w:bCs/>
          <w:w w:val="99"/>
        </w:rPr>
        <w:t> </w:t>
      </w:r>
      <w:r>
        <w:rPr>
          <w:spacing w:val="-2"/>
        </w:rPr>
        <w:t>公司自成立以来一直集研发、销售和技术服务为一体，为客户提供</w:t>
      </w:r>
      <w:r>
        <w:rPr>
          <w:rFonts w:ascii="Times New Roman" w:hAnsi="Times New Roman" w:cs="Times New Roman" w:eastAsia="Times New Roman" w:hint="default"/>
          <w:spacing w:val="-2"/>
        </w:rPr>
        <w:t>“</w:t>
      </w:r>
      <w:r>
        <w:rPr>
          <w:spacing w:val="-2"/>
        </w:rPr>
        <w:t>一体化</w:t>
      </w:r>
      <w:r>
        <w:rPr>
          <w:rFonts w:ascii="Times New Roman" w:hAnsi="Times New Roman" w:cs="Times New Roman" w:eastAsia="Times New Roman" w:hint="default"/>
          <w:spacing w:val="-2"/>
        </w:rPr>
        <w:t>”</w:t>
      </w:r>
      <w:r>
        <w:rPr>
          <w:spacing w:val="-2"/>
        </w:rPr>
        <w:t>的解决方案，致力于提供医疗健康卫生信息</w:t>
      </w:r>
    </w:p>
    <w:p>
      <w:pPr>
        <w:pStyle w:val="BodyText"/>
        <w:spacing w:line="316" w:lineRule="auto"/>
        <w:ind w:right="1034"/>
        <w:jc w:val="left"/>
      </w:pPr>
      <w:r>
        <w:rPr/>
        <w:t>化解决方案，不断提升人们的就医体验和健康水平。通过持续的技术创新，自主研发适应不同应用场景的产品与解决方案， </w:t>
      </w:r>
      <w:r>
        <w:rPr>
          <w:spacing w:val="-2"/>
        </w:rPr>
        <w:t>业务覆盖智慧医院、区域卫生、基层卫生、公共卫生、医疗保险、健康服务等领域，是中国医疗健康信息行业具有竞争力的</w:t>
      </w:r>
      <w:r>
        <w:rPr>
          <w:spacing w:val="-64"/>
        </w:rPr>
        <w:t> </w:t>
      </w:r>
      <w:r>
        <w:rPr>
          <w:spacing w:val="-64"/>
        </w:rPr>
      </w:r>
      <w:r>
        <w:rPr/>
        <w:t>整体产品、解决方案与服务供应商。</w:t>
      </w:r>
    </w:p>
    <w:p>
      <w:pPr>
        <w:pStyle w:val="BodyText"/>
        <w:spacing w:line="240" w:lineRule="auto" w:before="19"/>
        <w:ind w:left="472" w:right="0"/>
        <w:jc w:val="left"/>
        <w:rPr>
          <w:rFonts w:ascii="Times New Roman" w:hAnsi="Times New Roman" w:cs="Times New Roman" w:eastAsia="Times New Roman" w:hint="default"/>
        </w:rPr>
      </w:pPr>
      <w:r>
        <w:rPr/>
        <w:t>公司自</w:t>
      </w:r>
      <w:r>
        <w:rPr>
          <w:rFonts w:ascii="Times New Roman" w:hAnsi="Times New Roman" w:cs="Times New Roman" w:eastAsia="Times New Roman" w:hint="default"/>
        </w:rPr>
        <w:t>2015</w:t>
      </w:r>
      <w:r>
        <w:rPr/>
        <w:t>年起，积极布局医疗健康服务领域，推动互联网</w:t>
      </w:r>
      <w:r>
        <w:rPr>
          <w:rFonts w:ascii="Times New Roman" w:hAnsi="Times New Roman" w:cs="Times New Roman" w:eastAsia="Times New Roman" w:hint="default"/>
        </w:rPr>
        <w:t>+</w:t>
      </w:r>
      <w:r>
        <w:rPr/>
        <w:t>模式下的医疗健康云服务等创新业务的发展，贯彻公司</w:t>
      </w:r>
      <w:r>
        <w:rPr>
          <w:rFonts w:ascii="Times New Roman" w:hAnsi="Times New Roman" w:cs="Times New Roman" w:eastAsia="Times New Roman" w:hint="default"/>
        </w:rPr>
        <w:t>“4</w:t>
      </w:r>
    </w:p>
    <w:p>
      <w:pPr>
        <w:pStyle w:val="BodyText"/>
        <w:spacing w:line="304" w:lineRule="auto" w:before="63"/>
        <w:ind w:right="1034"/>
        <w:jc w:val="left"/>
      </w:pPr>
      <w:r>
        <w:rPr/>
        <w:t>＋</w:t>
      </w:r>
      <w:r>
        <w:rPr>
          <w:rFonts w:ascii="Times New Roman" w:hAnsi="Times New Roman" w:cs="Times New Roman" w:eastAsia="Times New Roman" w:hint="default"/>
        </w:rPr>
        <w:t>1”</w:t>
      </w:r>
      <w:r>
        <w:rPr/>
        <w:t>发展战略（云医、云药、云险、云康</w:t>
      </w:r>
      <w:r>
        <w:rPr>
          <w:rFonts w:ascii="Times New Roman" w:hAnsi="Times New Roman" w:cs="Times New Roman" w:eastAsia="Times New Roman" w:hint="default"/>
        </w:rPr>
        <w:t>+</w:t>
      </w:r>
      <w:r>
        <w:rPr/>
        <w:t>创新服务平台）。面向未来，公司将采用双轮驱动模型，一是传统的医疗卫生信</w:t>
      </w:r>
      <w:r>
        <w:rPr>
          <w:spacing w:val="-84"/>
        </w:rPr>
        <w:t> </w:t>
      </w:r>
      <w:r>
        <w:rPr>
          <w:spacing w:val="-84"/>
        </w:rPr>
      </w:r>
      <w:r>
        <w:rPr/>
        <w:t>息化业务，另一个是创新的互联网</w:t>
      </w:r>
      <w:r>
        <w:rPr>
          <w:rFonts w:ascii="Times New Roman" w:hAnsi="Times New Roman" w:cs="Times New Roman" w:eastAsia="Times New Roman" w:hint="default"/>
        </w:rPr>
        <w:t>+</w:t>
      </w:r>
      <w:r>
        <w:rPr/>
        <w:t>医疗健康服务业务，二轮互为补充，协调发展。传统的医疗卫生信息化业务是基础，公 司将通过内生式发展和外延式扩张的方式，持续强化其优势；创新的互联网</w:t>
      </w:r>
      <w:r>
        <w:rPr>
          <w:rFonts w:ascii="Times New Roman" w:hAnsi="Times New Roman" w:cs="Times New Roman" w:eastAsia="Times New Roman" w:hint="default"/>
        </w:rPr>
        <w:t>+</w:t>
      </w:r>
      <w:r>
        <w:rPr/>
        <w:t>医疗健康服务业务是提升，公司将通过传统业 务庞大的用户群体和对用户业务及医疗健康服务业的深度理解，使传统业务紧密衔接创新业务，联动发展，实现公司持续、 稳定、健康的发展。</w:t>
      </w:r>
    </w:p>
    <w:p>
      <w:pPr>
        <w:pStyle w:val="BodyText"/>
        <w:spacing w:line="240" w:lineRule="auto" w:before="28"/>
        <w:ind w:left="472" w:right="0"/>
        <w:jc w:val="left"/>
      </w:pPr>
      <w:r>
        <w:rPr/>
        <w:t>各类产品具体业绩情况详见本报告</w:t>
      </w:r>
      <w:r>
        <w:rPr>
          <w:rFonts w:ascii="Times New Roman" w:hAnsi="Times New Roman" w:cs="Times New Roman" w:eastAsia="Times New Roman" w:hint="default"/>
        </w:rPr>
        <w:t>“</w:t>
      </w:r>
      <w:r>
        <w:rPr/>
        <w:t>第四节</w:t>
      </w:r>
      <w:r>
        <w:rPr>
          <w:spacing w:val="-2"/>
        </w:rPr>
        <w:t> </w:t>
      </w:r>
      <w:r>
        <w:rPr/>
        <w:t>经营情况讨论与分析”中“二、主营业务分析</w:t>
      </w:r>
      <w:r>
        <w:rPr>
          <w:rFonts w:ascii="Times New Roman" w:hAnsi="Times New Roman" w:cs="Times New Roman" w:eastAsia="Times New Roman" w:hint="default"/>
        </w:rPr>
        <w:t>”</w:t>
      </w:r>
      <w:r>
        <w:rPr/>
        <w:t>。</w:t>
      </w:r>
    </w:p>
    <w:p>
      <w:pPr>
        <w:pStyle w:val="Heading4"/>
        <w:spacing w:line="240" w:lineRule="auto" w:before="63"/>
        <w:ind w:left="472" w:right="0"/>
        <w:jc w:val="left"/>
        <w:rPr>
          <w:b w:val="0"/>
          <w:bCs w:val="0"/>
        </w:rPr>
      </w:pPr>
      <w:r>
        <w:rPr/>
        <w:t>（二）公司所处的行业发展趋势及政策背景</w:t>
      </w:r>
      <w:r>
        <w:rPr>
          <w:b w:val="0"/>
          <w:bCs w:val="0"/>
        </w:rPr>
      </w:r>
    </w:p>
    <w:p>
      <w:pPr>
        <w:pStyle w:val="BodyText"/>
        <w:spacing w:line="240" w:lineRule="auto" w:before="76"/>
        <w:ind w:left="472" w:right="0"/>
        <w:jc w:val="left"/>
      </w:pPr>
      <w:r>
        <w:rPr>
          <w:rFonts w:ascii="Times New Roman" w:hAnsi="Times New Roman" w:cs="Times New Roman" w:eastAsia="Times New Roman" w:hint="default"/>
        </w:rPr>
        <w:t>1</w:t>
      </w:r>
      <w:r>
        <w:rPr/>
        <w:t>、宏观经济形势</w:t>
      </w:r>
    </w:p>
    <w:p>
      <w:pPr>
        <w:pStyle w:val="BodyText"/>
        <w:spacing w:line="307" w:lineRule="auto" w:before="63"/>
        <w:ind w:right="1130" w:firstLine="360"/>
        <w:jc w:val="both"/>
      </w:pPr>
      <w:r>
        <w:rPr>
          <w:rFonts w:ascii="Times New Roman" w:hAnsi="Times New Roman" w:cs="Times New Roman" w:eastAsia="Times New Roman" w:hint="default"/>
          <w:spacing w:val="-2"/>
        </w:rPr>
        <w:t>2019</w:t>
      </w:r>
      <w:r>
        <w:rPr>
          <w:spacing w:val="-2"/>
        </w:rPr>
        <w:t>年，我国经济总体保持平稳运行态势，经济运行中出现诸多积极变化，但也面临着经济下行压力加大、工业运行稳</w:t>
      </w:r>
      <w:r>
        <w:rPr/>
        <w:t> </w:t>
      </w:r>
      <w:r>
        <w:rPr>
          <w:spacing w:val="-2"/>
        </w:rPr>
        <w:t>中趋缓、物价水平上涨较快、投资需求不振、消费需求不稳、区域增长不平衡加剧等难题。</w:t>
      </w:r>
      <w:r>
        <w:rPr>
          <w:rFonts w:ascii="Times New Roman" w:hAnsi="Times New Roman" w:cs="Times New Roman" w:eastAsia="Times New Roman" w:hint="default"/>
          <w:spacing w:val="-2"/>
        </w:rPr>
        <w:t>2020</w:t>
      </w:r>
      <w:r>
        <w:rPr>
          <w:spacing w:val="-2"/>
        </w:rPr>
        <w:t>年，受全球疫情蔓延，中美</w:t>
      </w:r>
      <w:r>
        <w:rPr>
          <w:spacing w:val="-59"/>
        </w:rPr>
        <w:t> </w:t>
      </w:r>
      <w:r>
        <w:rPr>
          <w:spacing w:val="-59"/>
        </w:rPr>
      </w:r>
      <w:r>
        <w:rPr>
          <w:spacing w:val="-2"/>
        </w:rPr>
        <w:t>贸易摩擦等影响，未来仍存变数。全球各主要经济体增速均呈现下滑态势，多国央行降息，经济下行压力犹存，但周期性因</w:t>
      </w:r>
      <w:r>
        <w:rPr>
          <w:spacing w:val="-64"/>
        </w:rPr>
        <w:t> </w:t>
      </w:r>
      <w:r>
        <w:rPr>
          <w:spacing w:val="-64"/>
        </w:rPr>
      </w:r>
      <w:r>
        <w:rPr/>
        <w:t>素或产生积极影响，叠加逆周期调节政策持续发力，经济下行压力有望减弱。</w:t>
      </w:r>
    </w:p>
    <w:p>
      <w:pPr>
        <w:pStyle w:val="BodyText"/>
        <w:spacing w:line="300" w:lineRule="auto" w:before="26"/>
        <w:ind w:left="472" w:right="0"/>
        <w:jc w:val="left"/>
      </w:pPr>
      <w:r>
        <w:rPr>
          <w:rFonts w:ascii="Times New Roman" w:hAnsi="Times New Roman" w:cs="Times New Roman" w:eastAsia="Times New Roman" w:hint="default"/>
        </w:rPr>
        <w:t>2</w:t>
      </w:r>
      <w:r>
        <w:rPr/>
        <w:t>、软件行业形势 </w:t>
      </w:r>
      <w:r>
        <w:rPr>
          <w:spacing w:val="-2"/>
        </w:rPr>
        <w:t>软件产业属于国家鼓励发展的战略性、基础性和先导性支柱产业，为推动其发展，国家先后颁布了一系列政策，大力扶</w:t>
      </w:r>
    </w:p>
    <w:p>
      <w:pPr>
        <w:pStyle w:val="BodyText"/>
        <w:spacing w:line="312" w:lineRule="auto" w:before="31"/>
        <w:ind w:right="0"/>
        <w:jc w:val="left"/>
      </w:pPr>
      <w:r>
        <w:rPr/>
        <w:t>持软件行业的发展，解决软件产业在人才、投资、税收、技术保护等方面的困扰，为软件行业的发展营造了良好氛围。根据 工信部公布的数据，</w:t>
      </w:r>
      <w:r>
        <w:rPr>
          <w:rFonts w:ascii="Times New Roman" w:hAnsi="Times New Roman" w:cs="Times New Roman" w:eastAsia="Times New Roman" w:hint="default"/>
        </w:rPr>
        <w:t>2019</w:t>
      </w:r>
      <w:r>
        <w:rPr/>
        <w:t>年，我国软件和信息技术服务业呈现平稳向好发展态势，收入和利润均保持较快增长，从业人数稳 </w:t>
      </w:r>
      <w:r>
        <w:rPr>
          <w:spacing w:val="-7"/>
        </w:rPr>
        <w:t>步增加；信息技术服务加快云化发展，软件应用服务化、平台化趋势明显，全年实现软件业务收入</w:t>
      </w:r>
      <w:r>
        <w:rPr>
          <w:rFonts w:ascii="Times New Roman" w:hAnsi="Times New Roman" w:cs="Times New Roman" w:eastAsia="Times New Roman" w:hint="default"/>
          <w:spacing w:val="-7"/>
        </w:rPr>
        <w:t>71,768</w:t>
      </w:r>
      <w:r>
        <w:rPr>
          <w:spacing w:val="-7"/>
        </w:rPr>
        <w:t>亿元，同比增长</w:t>
      </w:r>
      <w:r>
        <w:rPr>
          <w:rFonts w:ascii="Times New Roman" w:hAnsi="Times New Roman" w:cs="Times New Roman" w:eastAsia="Times New Roman" w:hint="default"/>
          <w:spacing w:val="-7"/>
        </w:rPr>
        <w:t>15.40%</w:t>
      </w:r>
      <w:r>
        <w:rPr>
          <w:spacing w:val="-7"/>
        </w:rPr>
        <w:t>。</w:t>
      </w:r>
      <w:r>
        <w:rPr>
          <w:spacing w:val="-69"/>
        </w:rPr>
        <w:t> </w:t>
      </w:r>
      <w:r>
        <w:rPr/>
        <w:t>近年来，随着社会认可度的逐渐提高，信息技术已经从一种辅助工具逐渐发展成为行业创新发展的主要方式，新型开发理念</w:t>
      </w:r>
      <w:r>
        <w:rPr/>
        <w:t> 和技术不断涌现，推动了软件行业的快速发展。随着</w:t>
      </w:r>
      <w:r>
        <w:rPr>
          <w:rFonts w:ascii="Times New Roman" w:hAnsi="Times New Roman" w:cs="Times New Roman" w:eastAsia="Times New Roman" w:hint="default"/>
        </w:rPr>
        <w:t>“</w:t>
      </w:r>
      <w:r>
        <w:rPr/>
        <w:t>云概念</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区块链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等新技术新概念的出现， 实现了对各种现有技术和服务的有效支持，使得其功能和性能更加完善，为银行信息化提供了更多的选择，从而更好的去创 造和满足市场需求，推动了行业的持续发展，加速了公司的持续创新转型。近年来，随着医疗卫生体制改革的不断深化，信 </w:t>
      </w:r>
      <w:r>
        <w:rPr>
          <w:spacing w:val="-2"/>
        </w:rPr>
        <w:t>息化作为医改支撑依托的作用越来越大。特别是基本公共卫生服务均等化和体制机制综合改革及基本医疗保障制度建设步伐</w:t>
      </w:r>
      <w:r>
        <w:rPr>
          <w:spacing w:val="-64"/>
        </w:rPr>
        <w:t> </w:t>
      </w:r>
      <w:r>
        <w:rPr>
          <w:spacing w:val="-64"/>
        </w:rPr>
      </w:r>
      <w:r>
        <w:rPr/>
        <w:t>的加快，医疗卫生信息化建设迎来了一个新的发展阶段。同时，随着中国人口的老龄化问题正在逐渐加剧，老龄人口的持续</w:t>
      </w:r>
      <w:r>
        <w:rPr/>
        <w:t> 增长叠加上其他诸如慢性病发病率走高，城镇医保基金的缺口正呈现逐步扩大等因素，使得国家越来越重视软件行业的细分 行业医疗信息化行业。</w:t>
      </w:r>
    </w:p>
    <w:p>
      <w:pPr>
        <w:pStyle w:val="BodyText"/>
        <w:spacing w:line="300" w:lineRule="auto" w:before="22"/>
        <w:ind w:right="1099" w:firstLine="360"/>
        <w:jc w:val="both"/>
      </w:pPr>
      <w:r>
        <w:rPr/>
        <w:t>根据</w:t>
      </w:r>
      <w:r>
        <w:rPr>
          <w:rFonts w:ascii="Times New Roman" w:hAnsi="Times New Roman" w:cs="Times New Roman" w:eastAsia="Times New Roman" w:hint="default"/>
        </w:rPr>
        <w:t>IDC</w:t>
      </w:r>
      <w:r>
        <w:rPr/>
        <w:t>《中国医疗行业</w:t>
      </w:r>
      <w:r>
        <w:rPr>
          <w:rFonts w:ascii="Times New Roman" w:hAnsi="Times New Roman" w:cs="Times New Roman" w:eastAsia="Times New Roman" w:hint="default"/>
        </w:rPr>
        <w:t>IT</w:t>
      </w:r>
      <w:r>
        <w:rPr/>
        <w:t>市场预测，</w:t>
      </w:r>
      <w:r>
        <w:rPr>
          <w:rFonts w:ascii="Times New Roman" w:hAnsi="Times New Roman" w:cs="Times New Roman" w:eastAsia="Times New Roman" w:hint="default"/>
        </w:rPr>
        <w:t>2019-2023</w:t>
      </w:r>
      <w:r>
        <w:rPr/>
        <w:t>》研究报告显示，</w:t>
      </w:r>
      <w:r>
        <w:rPr>
          <w:rFonts w:ascii="Times New Roman" w:hAnsi="Times New Roman" w:cs="Times New Roman" w:eastAsia="Times New Roman" w:hint="default"/>
        </w:rPr>
        <w:t>2018</w:t>
      </w:r>
      <w:r>
        <w:rPr/>
        <w:t>年中国医疗行业的</w:t>
      </w:r>
      <w:r>
        <w:rPr>
          <w:rFonts w:ascii="Times New Roman" w:hAnsi="Times New Roman" w:cs="Times New Roman" w:eastAsia="Times New Roman" w:hint="default"/>
        </w:rPr>
        <w:t>IT</w:t>
      </w:r>
      <w:r>
        <w:rPr/>
        <w:t>花费是</w:t>
      </w:r>
      <w:r>
        <w:rPr>
          <w:rFonts w:ascii="Times New Roman" w:hAnsi="Times New Roman" w:cs="Times New Roman" w:eastAsia="Times New Roman" w:hint="default"/>
        </w:rPr>
        <w:t>491.80</w:t>
      </w:r>
      <w:r>
        <w:rPr/>
        <w:t>亿元人民币， </w:t>
      </w:r>
      <w:r>
        <w:rPr>
          <w:spacing w:val="-1"/>
        </w:rPr>
        <w:t>预计到</w:t>
      </w:r>
      <w:r>
        <w:rPr>
          <w:rFonts w:ascii="Times New Roman" w:hAnsi="Times New Roman" w:cs="Times New Roman" w:eastAsia="Times New Roman" w:hint="default"/>
          <w:spacing w:val="-1"/>
        </w:rPr>
        <w:t>2023</w:t>
      </w:r>
      <w:r>
        <w:rPr>
          <w:spacing w:val="-1"/>
        </w:rPr>
        <w:t>年该市场规模将达到</w:t>
      </w:r>
      <w:r>
        <w:rPr>
          <w:rFonts w:ascii="Times New Roman" w:hAnsi="Times New Roman" w:cs="Times New Roman" w:eastAsia="Times New Roman" w:hint="default"/>
          <w:spacing w:val="-1"/>
        </w:rPr>
        <w:t>791.60</w:t>
      </w:r>
      <w:r>
        <w:rPr>
          <w:spacing w:val="-1"/>
        </w:rPr>
        <w:t>亿元人民币。</w:t>
      </w:r>
      <w:r>
        <w:rPr>
          <w:rFonts w:ascii="Times New Roman" w:hAnsi="Times New Roman" w:cs="Times New Roman" w:eastAsia="Times New Roman" w:hint="default"/>
          <w:spacing w:val="-1"/>
        </w:rPr>
        <w:t>IDC</w:t>
      </w:r>
      <w:r>
        <w:rPr>
          <w:spacing w:val="-1"/>
        </w:rPr>
        <w:t>《中国互联网医疗市场预测（</w:t>
      </w:r>
      <w:r>
        <w:rPr>
          <w:rFonts w:ascii="Times New Roman" w:hAnsi="Times New Roman" w:cs="Times New Roman" w:eastAsia="Times New Roman" w:hint="default"/>
          <w:spacing w:val="-1"/>
        </w:rPr>
        <w:t>2017-2021</w:t>
      </w:r>
      <w:r>
        <w:rPr>
          <w:spacing w:val="-1"/>
        </w:rPr>
        <w:t>）》研究报告显示，预计到</w:t>
      </w:r>
      <w:r>
        <w:rPr>
          <w:spacing w:val="-83"/>
        </w:rPr>
        <w:t> </w:t>
      </w:r>
      <w:r>
        <w:rPr>
          <w:spacing w:val="-83"/>
        </w:rPr>
      </w:r>
      <w:r>
        <w:rPr>
          <w:rFonts w:ascii="Times New Roman" w:hAnsi="Times New Roman" w:cs="Times New Roman" w:eastAsia="Times New Roman" w:hint="default"/>
        </w:rPr>
        <w:t>2021</w:t>
      </w:r>
      <w:r>
        <w:rPr/>
        <w:t>年互联网医疗增值服务收入（主要是药品增值和住院治疗服务增值）达到</w:t>
      </w:r>
      <w:r>
        <w:rPr>
          <w:rFonts w:ascii="Times New Roman" w:hAnsi="Times New Roman" w:cs="Times New Roman" w:eastAsia="Times New Roman" w:hint="default"/>
        </w:rPr>
        <w:t>560</w:t>
      </w:r>
      <w:r>
        <w:rPr/>
        <w:t>亿元人民币，互联网问诊收入将达到</w:t>
      </w:r>
      <w:r>
        <w:rPr>
          <w:rFonts w:ascii="Times New Roman" w:hAnsi="Times New Roman" w:cs="Times New Roman" w:eastAsia="Times New Roman" w:hint="default"/>
        </w:rPr>
        <w:t>342</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亿元人民币，行业前景广阔。</w:t>
      </w:r>
    </w:p>
    <w:p>
      <w:pPr>
        <w:pStyle w:val="BodyText"/>
        <w:spacing w:line="300" w:lineRule="auto" w:before="31"/>
        <w:ind w:left="472" w:right="0"/>
        <w:jc w:val="left"/>
      </w:pPr>
      <w:r>
        <w:rPr>
          <w:rFonts w:ascii="Times New Roman" w:hAnsi="Times New Roman" w:cs="Times New Roman" w:eastAsia="Times New Roman" w:hint="default"/>
        </w:rPr>
        <w:t>3</w:t>
      </w:r>
      <w:r>
        <w:rPr/>
        <w:t>、行业政策环境 </w:t>
      </w:r>
      <w:r>
        <w:rPr>
          <w:spacing w:val="-4"/>
        </w:rPr>
        <w:t>公司所处行业处在全面蓬勃发展阶段，国家持续推动健康中国的国家战略落地，同时从政策层面推进医药卫生体制改革、</w:t>
      </w:r>
    </w:p>
    <w:p>
      <w:pPr>
        <w:spacing w:after="0" w:line="300" w:lineRule="auto"/>
        <w:jc w:val="left"/>
        <w:sectPr>
          <w:footerReference w:type="default" r:id="rId12"/>
          <w:pgSz w:w="11910" w:h="16840"/>
          <w:pgMar w:footer="978" w:header="746" w:top="1060" w:bottom="1160" w:left="1020" w:right="0"/>
          <w:pgNumType w:start="10"/>
        </w:sectPr>
      </w:pPr>
    </w:p>
    <w:p>
      <w:pPr>
        <w:spacing w:line="240" w:lineRule="auto" w:before="12"/>
        <w:rPr>
          <w:rFonts w:ascii="宋体" w:hAnsi="宋体" w:cs="宋体" w:eastAsia="宋体" w:hint="default"/>
          <w:sz w:val="25"/>
          <w:szCs w:val="25"/>
        </w:rPr>
      </w:pPr>
    </w:p>
    <w:p>
      <w:pPr>
        <w:pStyle w:val="BodyText"/>
        <w:spacing w:line="300" w:lineRule="auto" w:before="44"/>
        <w:ind w:left="472" w:right="1124" w:hanging="360"/>
        <w:jc w:val="left"/>
      </w:pPr>
      <w:r>
        <w:rPr/>
        <w:t>智慧医院、医疗联合体、</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等医疗健康信息化具体方向的发展及创新落地，具体如下： 健康中国行动发布，国家战略全面推进落地：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日，《国务院关于实施健康中国行动的意见》、《健康中国</w:t>
      </w:r>
    </w:p>
    <w:p>
      <w:pPr>
        <w:pStyle w:val="BodyText"/>
        <w:spacing w:line="300" w:lineRule="auto" w:before="13"/>
        <w:ind w:right="1129"/>
        <w:jc w:val="both"/>
      </w:pPr>
      <w:r>
        <w:rPr>
          <w:spacing w:val="-2"/>
        </w:rPr>
        <w:t>行动（</w:t>
      </w:r>
      <w:r>
        <w:rPr>
          <w:rFonts w:ascii="Times New Roman" w:hAnsi="Times New Roman" w:cs="Times New Roman" w:eastAsia="Times New Roman" w:hint="default"/>
          <w:spacing w:val="-2"/>
        </w:rPr>
        <w:t>2019—2030</w:t>
      </w:r>
      <w:r>
        <w:rPr>
          <w:spacing w:val="-2"/>
        </w:rPr>
        <w:t>年）》等文件正式发布，从国家层面成立健康中国行动推进委员会，同时提出开展具体</w:t>
      </w:r>
      <w:r>
        <w:rPr>
          <w:rFonts w:ascii="Times New Roman" w:hAnsi="Times New Roman" w:cs="Times New Roman" w:eastAsia="Times New Roman" w:hint="default"/>
          <w:spacing w:val="-2"/>
        </w:rPr>
        <w:t>15</w:t>
      </w:r>
      <w:r>
        <w:rPr>
          <w:spacing w:val="-2"/>
        </w:rPr>
        <w:t>项主要任务，实</w:t>
      </w:r>
      <w:r>
        <w:rPr>
          <w:spacing w:val="-58"/>
        </w:rPr>
        <w:t> </w:t>
      </w:r>
      <w:r>
        <w:rPr>
          <w:spacing w:val="-58"/>
        </w:rPr>
      </w:r>
      <w:r>
        <w:rPr>
          <w:spacing w:val="-2"/>
        </w:rPr>
        <w:t>施疾病预防和健康促进的中长期行动。这是自</w:t>
      </w:r>
      <w:r>
        <w:rPr>
          <w:rFonts w:ascii="Times New Roman" w:hAnsi="Times New Roman" w:cs="Times New Roman" w:eastAsia="Times New Roman" w:hint="default"/>
          <w:spacing w:val="-2"/>
        </w:rPr>
        <w:t>2016</w:t>
      </w:r>
      <w:r>
        <w:rPr>
          <w:spacing w:val="-2"/>
        </w:rPr>
        <w:t>年国家发布《</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2030”</w:t>
      </w:r>
      <w:r>
        <w:rPr>
          <w:spacing w:val="-2"/>
        </w:rPr>
        <w:t>规划纲要》后，进一步明确提出具体行动路</w:t>
      </w:r>
      <w:r>
        <w:rPr>
          <w:spacing w:val="-37"/>
        </w:rPr>
        <w:t> </w:t>
      </w:r>
      <w:r>
        <w:rPr>
          <w:spacing w:val="-37"/>
        </w:rPr>
      </w:r>
      <w:r>
        <w:rPr/>
        <w:t>径及落地规划，全面推动实现健康中国</w:t>
      </w:r>
      <w:r>
        <w:rPr>
          <w:rFonts w:ascii="Times New Roman" w:hAnsi="Times New Roman" w:cs="Times New Roman" w:eastAsia="Times New Roman" w:hint="default"/>
        </w:rPr>
        <w:t>2030</w:t>
      </w:r>
      <w:r>
        <w:rPr/>
        <w:t>目标。以人民健康为核心，也是国家卫生健康事业长足发展的核心目标。</w:t>
      </w:r>
    </w:p>
    <w:p>
      <w:pPr>
        <w:pStyle w:val="BodyText"/>
        <w:spacing w:line="307" w:lineRule="auto" w:before="13"/>
        <w:ind w:right="1032" w:firstLine="360"/>
        <w:jc w:val="left"/>
      </w:pPr>
      <w:r>
        <w:rPr>
          <w:spacing w:val="-5"/>
        </w:rPr>
        <w:t>传统医疗信息化领域政策持续推进：</w:t>
      </w:r>
      <w:r>
        <w:rPr>
          <w:rFonts w:ascii="Times New Roman" w:hAnsi="Times New Roman" w:cs="Times New Roman" w:eastAsia="Times New Roman" w:hint="default"/>
          <w:spacing w:val="-5"/>
        </w:rPr>
        <w:t>1</w:t>
      </w:r>
      <w:r>
        <w:rPr>
          <w:spacing w:val="-5"/>
        </w:rPr>
        <w:t>）持续深化医药卫生体制改革：</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6</w:t>
      </w:r>
      <w:r>
        <w:rPr>
          <w:spacing w:val="-5"/>
        </w:rPr>
        <w:t>月，国家发布《深化医药卫生体制改革</w:t>
      </w:r>
      <w:r>
        <w:rPr>
          <w:rFonts w:ascii="Times New Roman" w:hAnsi="Times New Roman" w:cs="Times New Roman" w:eastAsia="Times New Roman" w:hint="default"/>
          <w:spacing w:val="-5"/>
        </w:rPr>
        <w:t>2019</w:t>
      </w:r>
      <w:r>
        <w:rPr>
          <w:rFonts w:ascii="Times New Roman" w:hAnsi="Times New Roman" w:cs="Times New Roman" w:eastAsia="Times New Roman" w:hint="default"/>
        </w:rPr>
        <w:t> </w:t>
      </w:r>
      <w:r>
        <w:rPr>
          <w:spacing w:val="-2"/>
        </w:rPr>
        <w:t>年重点工作任务》，其中明确全面开展三级公立医院绩效考核工作、深入实施改善医疗服务行动计划、统筹推进县域综合医</w:t>
      </w:r>
      <w:r>
        <w:rPr>
          <w:spacing w:val="-64"/>
        </w:rPr>
        <w:t> </w:t>
      </w:r>
      <w:r>
        <w:rPr>
          <w:spacing w:val="-64"/>
        </w:rPr>
      </w:r>
      <w:r>
        <w:rPr>
          <w:spacing w:val="-4"/>
        </w:rPr>
        <w:t>改等各项重点任务，文件中明确提出对建设面向互联互通的全民健康信息国家平台和省统筹区域平台，面向居民的线上服务、</w:t>
      </w:r>
      <w:r>
        <w:rPr>
          <w:spacing w:val="-41"/>
        </w:rPr>
        <w:t> </w:t>
      </w:r>
      <w:r>
        <w:rPr>
          <w:spacing w:val="-41"/>
        </w:rPr>
      </w:r>
      <w:r>
        <w:rPr/>
        <w:t>远程医疗，面向医院绩效考核等信息化需求，信息化技术将持续驱动和赋能医改深化推进；</w:t>
      </w:r>
      <w:r>
        <w:rPr>
          <w:rFonts w:ascii="Times New Roman" w:hAnsi="Times New Roman" w:cs="Times New Roman" w:eastAsia="Times New Roman" w:hint="default"/>
        </w:rPr>
        <w:t>2</w:t>
      </w:r>
      <w:r>
        <w:rPr/>
        <w:t>）国家明确智慧医院内涵并着</w:t>
      </w:r>
      <w:r>
        <w:rPr>
          <w:spacing w:val="-85"/>
        </w:rPr>
        <w:t> </w:t>
      </w:r>
      <w:r>
        <w:rPr>
          <w:spacing w:val="-85"/>
        </w:rPr>
      </w:r>
      <w:r>
        <w:rPr>
          <w:spacing w:val="-2"/>
        </w:rPr>
        <w:t>力全面推进落地：</w:t>
      </w:r>
      <w:r>
        <w:rPr>
          <w:rFonts w:ascii="Times New Roman" w:hAnsi="Times New Roman" w:cs="Times New Roman" w:eastAsia="Times New Roman" w:hint="default"/>
          <w:spacing w:val="-2"/>
        </w:rPr>
        <w:t>2019</w:t>
      </w:r>
      <w:r>
        <w:rPr>
          <w:spacing w:val="-2"/>
        </w:rPr>
        <w:t>年初，国家进一步明确了智慧医院定义和内涵，主要包括三大领域：面向医务人员的电子病历、面向</w:t>
      </w:r>
      <w:r>
        <w:rPr>
          <w:spacing w:val="-62"/>
        </w:rPr>
        <w:t> </w:t>
      </w:r>
      <w:r>
        <w:rPr>
          <w:spacing w:val="-62"/>
        </w:rPr>
      </w:r>
      <w:r>
        <w:rPr>
          <w:spacing w:val="-2"/>
        </w:rPr>
        <w:t>患者的智慧服务和面向管理者的智慧管理。这意味着国家针对智慧医院建设明确了面向医护、患者及管理等三大重要维度的</w:t>
      </w:r>
      <w:r>
        <w:rPr>
          <w:spacing w:val="-64"/>
        </w:rPr>
        <w:t> </w:t>
      </w:r>
      <w:r>
        <w:rPr>
          <w:spacing w:val="-64"/>
        </w:rPr>
      </w:r>
      <w:r>
        <w:rPr>
          <w:spacing w:val="-2"/>
        </w:rPr>
        <w:t>标准要求，这也将成为我国医疗服务高质量发展及加强患者服务体验的重要引擎。目前，国家已明确出台面向电子病历和智</w:t>
      </w:r>
      <w:r>
        <w:rPr>
          <w:spacing w:val="-63"/>
        </w:rPr>
        <w:t> </w:t>
      </w:r>
      <w:r>
        <w:rPr>
          <w:spacing w:val="-63"/>
        </w:rPr>
      </w:r>
      <w:r>
        <w:rPr/>
        <w:t>慧服务的等级评价要求，智慧管理的评价标准也会在后续发布。</w:t>
      </w:r>
      <w:r>
        <w:rPr>
          <w:rFonts w:ascii="Times New Roman" w:hAnsi="Times New Roman" w:cs="Times New Roman" w:eastAsia="Times New Roman" w:hint="default"/>
        </w:rPr>
        <w:t>3</w:t>
      </w:r>
      <w:r>
        <w:rPr/>
        <w:t>）推动形成分级诊疗格局，聚焦城市医疗联合体及紧密型</w:t>
      </w:r>
      <w:r>
        <w:rPr>
          <w:spacing w:val="-82"/>
        </w:rPr>
        <w:t> </w:t>
      </w:r>
      <w:r>
        <w:rPr>
          <w:spacing w:val="-82"/>
        </w:rPr>
      </w:r>
      <w:r>
        <w:rPr/>
        <w:t>县域医共体试点建设：</w:t>
      </w:r>
      <w:r>
        <w:rPr>
          <w:rFonts w:ascii="Times New Roman" w:hAnsi="Times New Roman" w:cs="Times New Roman" w:eastAsia="Times New Roman" w:hint="default"/>
        </w:rPr>
        <w:t>2019</w:t>
      </w:r>
      <w:r>
        <w:rPr/>
        <w:t>年初，国家卫健委明确</w:t>
      </w:r>
      <w:r>
        <w:rPr>
          <w:rFonts w:ascii="Times New Roman" w:hAnsi="Times New Roman" w:cs="Times New Roman" w:eastAsia="Times New Roman" w:hint="default"/>
        </w:rPr>
        <w:t>2019</w:t>
      </w:r>
      <w:r>
        <w:rPr/>
        <w:t>年将大力推进医疗联合体建设试点，在全国建设</w:t>
      </w:r>
      <w:r>
        <w:rPr>
          <w:rFonts w:ascii="Times New Roman" w:hAnsi="Times New Roman" w:cs="Times New Roman" w:eastAsia="Times New Roman" w:hint="default"/>
        </w:rPr>
        <w:t>100</w:t>
      </w:r>
      <w:r>
        <w:rPr/>
        <w:t>个城市医疗集团 </w:t>
      </w:r>
      <w:r>
        <w:rPr>
          <w:spacing w:val="-2"/>
        </w:rPr>
        <w:t>和</w:t>
      </w:r>
      <w:r>
        <w:rPr>
          <w:rFonts w:ascii="Times New Roman" w:hAnsi="Times New Roman" w:cs="Times New Roman" w:eastAsia="Times New Roman" w:hint="default"/>
          <w:spacing w:val="-2"/>
        </w:rPr>
        <w:t>500</w:t>
      </w:r>
      <w:r>
        <w:rPr>
          <w:spacing w:val="-2"/>
        </w:rPr>
        <w:t>个县域医疗共同体。</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月，国家发布《关于开展城市医疗联合体建设试点工作的通知》、《关于推进紧密型县域</w:t>
      </w:r>
      <w:r>
        <w:rPr>
          <w:spacing w:val="-60"/>
        </w:rPr>
        <w:t> </w:t>
      </w:r>
      <w:r>
        <w:rPr>
          <w:spacing w:val="-60"/>
        </w:rPr>
      </w:r>
      <w:r>
        <w:rPr>
          <w:spacing w:val="-2"/>
        </w:rPr>
        <w:t>医疗卫生共同体建设的通知》，文件明确到</w:t>
      </w:r>
      <w:r>
        <w:rPr>
          <w:rFonts w:ascii="Times New Roman" w:hAnsi="Times New Roman" w:cs="Times New Roman" w:eastAsia="Times New Roman" w:hint="default"/>
          <w:spacing w:val="-2"/>
        </w:rPr>
        <w:t>2019</w:t>
      </w:r>
      <w:r>
        <w:rPr>
          <w:spacing w:val="-2"/>
        </w:rPr>
        <w:t>年底，</w:t>
      </w:r>
      <w:r>
        <w:rPr>
          <w:rFonts w:ascii="Times New Roman" w:hAnsi="Times New Roman" w:cs="Times New Roman" w:eastAsia="Times New Roman" w:hint="default"/>
          <w:spacing w:val="-2"/>
        </w:rPr>
        <w:t>100</w:t>
      </w:r>
      <w:r>
        <w:rPr>
          <w:spacing w:val="-2"/>
        </w:rPr>
        <w:t>个试点城市全面启动城市医联体网格化布局与管理；到</w:t>
      </w:r>
      <w:r>
        <w:rPr>
          <w:rFonts w:ascii="Times New Roman" w:hAnsi="Times New Roman" w:cs="Times New Roman" w:eastAsia="Times New Roman" w:hint="default"/>
          <w:spacing w:val="-2"/>
        </w:rPr>
        <w:t>2020</w:t>
      </w:r>
      <w:r>
        <w:rPr>
          <w:spacing w:val="-2"/>
        </w:rPr>
        <w:t>年底，</w:t>
      </w:r>
      <w:r>
        <w:rPr>
          <w:spacing w:val="-58"/>
        </w:rPr>
        <w:t> </w:t>
      </w:r>
      <w:r>
        <w:rPr>
          <w:rFonts w:ascii="Times New Roman" w:hAnsi="Times New Roman" w:cs="Times New Roman" w:eastAsia="Times New Roman" w:hint="default"/>
          <w:spacing w:val="-2"/>
        </w:rPr>
        <w:t>100</w:t>
      </w:r>
      <w:r>
        <w:rPr>
          <w:spacing w:val="-2"/>
        </w:rPr>
        <w:t>个试点城市形成医联体网格化布局且取得明显成效，在</w:t>
      </w:r>
      <w:r>
        <w:rPr>
          <w:rFonts w:ascii="Times New Roman" w:hAnsi="Times New Roman" w:cs="Times New Roman" w:eastAsia="Times New Roman" w:hint="default"/>
          <w:spacing w:val="-2"/>
        </w:rPr>
        <w:t>500</w:t>
      </w:r>
      <w:r>
        <w:rPr>
          <w:spacing w:val="-2"/>
        </w:rPr>
        <w:t>个县</w:t>
      </w:r>
      <w:r>
        <w:rPr>
          <w:rFonts w:ascii="Times New Roman" w:hAnsi="Times New Roman" w:cs="Times New Roman" w:eastAsia="Times New Roman" w:hint="default"/>
          <w:spacing w:val="-2"/>
        </w:rPr>
        <w:t>(</w:t>
      </w:r>
      <w:r>
        <w:rPr>
          <w:spacing w:val="-2"/>
        </w:rPr>
        <w:t>含县级市、市辖区</w:t>
      </w:r>
      <w:r>
        <w:rPr>
          <w:rFonts w:ascii="Times New Roman" w:hAnsi="Times New Roman" w:cs="Times New Roman" w:eastAsia="Times New Roman" w:hint="default"/>
          <w:spacing w:val="-2"/>
        </w:rPr>
        <w:t>)</w:t>
      </w:r>
      <w:r>
        <w:rPr>
          <w:spacing w:val="-2"/>
        </w:rPr>
        <w:t>初步建成新型县域医疗卫生服务体系。</w:t>
      </w:r>
    </w:p>
    <w:p>
      <w:pPr>
        <w:pStyle w:val="BodyText"/>
        <w:spacing w:line="300" w:lineRule="auto" w:before="7"/>
        <w:ind w:right="1125" w:firstLine="360"/>
        <w:jc w:val="both"/>
      </w:pPr>
      <w:r>
        <w:rPr/>
        <w:t>创新大健康服务产业发展加速落地：继</w:t>
      </w:r>
      <w:r>
        <w:rPr>
          <w:rFonts w:ascii="Times New Roman" w:hAnsi="Times New Roman" w:cs="Times New Roman" w:eastAsia="Times New Roman" w:hint="default"/>
        </w:rPr>
        <w:t>2018</w:t>
      </w:r>
      <w:r>
        <w:rPr/>
        <w:t>年国家层面出台</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发展意见、互联网诊疗、互联网医院管 </w:t>
      </w:r>
      <w:r>
        <w:rPr>
          <w:spacing w:val="-2"/>
        </w:rPr>
        <w:t>理及远程医疗服务管理规范等政策后，</w:t>
      </w:r>
      <w:r>
        <w:rPr>
          <w:rFonts w:ascii="Times New Roman" w:hAnsi="Times New Roman" w:cs="Times New Roman" w:eastAsia="Times New Roman" w:hint="default"/>
          <w:spacing w:val="-2"/>
        </w:rPr>
        <w:t>2019</w:t>
      </w:r>
      <w:r>
        <w:rPr>
          <w:spacing w:val="-2"/>
        </w:rPr>
        <w:t>年，广东、甘肃、吉林、安徽、山西、天津等近</w:t>
      </w:r>
      <w:r>
        <w:rPr>
          <w:rFonts w:ascii="Times New Roman" w:hAnsi="Times New Roman" w:cs="Times New Roman" w:eastAsia="Times New Roman" w:hint="default"/>
          <w:spacing w:val="-2"/>
        </w:rPr>
        <w:t>20</w:t>
      </w:r>
      <w:r>
        <w:rPr>
          <w:spacing w:val="-2"/>
        </w:rPr>
        <w:t>个省（直辖市、自治区）密集</w:t>
      </w:r>
      <w:r>
        <w:rPr>
          <w:spacing w:val="-61"/>
        </w:rPr>
        <w:t> </w:t>
      </w:r>
      <w:r>
        <w:rPr>
          <w:spacing w:val="-61"/>
        </w:rPr>
      </w:r>
      <w:r>
        <w:rPr/>
        <w:t>出台</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实施意见，以省为单位推进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明确具体建设目标及落地路径。</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月，国家卫</w:t>
      </w:r>
      <w:r>
        <w:rPr>
          <w:spacing w:val="-72"/>
        </w:rPr>
        <w:t> </w:t>
      </w:r>
      <w:r>
        <w:rPr>
          <w:spacing w:val="-72"/>
        </w:rPr>
      </w:r>
      <w:r>
        <w:rPr/>
        <w:t>健委与天津市、山东省、江苏省、安徽省、浙江省等</w:t>
      </w:r>
      <w:r>
        <w:rPr>
          <w:rFonts w:ascii="Times New Roman" w:hAnsi="Times New Roman" w:cs="Times New Roman" w:eastAsia="Times New Roman" w:hint="default"/>
        </w:rPr>
        <w:t>10</w:t>
      </w:r>
      <w:r>
        <w:rPr/>
        <w:t>个省市签署共建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示范省（市）协议，这意味着国</w:t>
      </w:r>
      <w:r>
        <w:rPr>
          <w:spacing w:val="-77"/>
        </w:rPr>
        <w:t> </w:t>
      </w:r>
      <w:r>
        <w:rPr>
          <w:spacing w:val="-77"/>
        </w:rPr>
      </w:r>
      <w:r>
        <w:rPr>
          <w:spacing w:val="-1"/>
        </w:rPr>
        <w:t>家将通过创新示范样板建设推动</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医疗健康</w:t>
      </w:r>
      <w:r>
        <w:rPr>
          <w:rFonts w:ascii="Times New Roman" w:hAnsi="Times New Roman" w:cs="Times New Roman" w:eastAsia="Times New Roman" w:hint="default"/>
          <w:spacing w:val="-1"/>
        </w:rPr>
        <w:t>”</w:t>
      </w:r>
      <w:r>
        <w:rPr>
          <w:spacing w:val="-1"/>
        </w:rPr>
        <w:t>全国落地铺开。另外，新时代下</w:t>
      </w:r>
      <w:r>
        <w:rPr>
          <w:rFonts w:ascii="Times New Roman" w:hAnsi="Times New Roman" w:cs="Times New Roman" w:eastAsia="Times New Roman" w:hint="default"/>
          <w:spacing w:val="-1"/>
        </w:rPr>
        <w:t>5G</w:t>
      </w:r>
      <w:r>
        <w:rPr>
          <w:spacing w:val="-1"/>
        </w:rPr>
        <w:t>、物联网、人工智能等创新技术也将</w:t>
      </w:r>
      <w:r>
        <w:rPr>
          <w:spacing w:val="-57"/>
        </w:rPr>
        <w:t> </w:t>
      </w:r>
      <w:r>
        <w:rPr>
          <w:spacing w:val="-57"/>
        </w:rPr>
      </w:r>
      <w:r>
        <w:rPr/>
        <w:t>驱动大健康服务产业的模式及生态变革。</w:t>
      </w:r>
    </w:p>
    <w:p>
      <w:pPr>
        <w:pStyle w:val="BodyText"/>
        <w:spacing w:line="300" w:lineRule="auto" w:before="31"/>
        <w:ind w:left="472" w:right="0"/>
        <w:jc w:val="left"/>
      </w:pPr>
      <w:r>
        <w:rPr>
          <w:rFonts w:ascii="Times New Roman" w:hAnsi="Times New Roman" w:cs="Times New Roman" w:eastAsia="Times New Roman" w:hint="default"/>
        </w:rPr>
        <w:t>4</w:t>
      </w:r>
      <w:r>
        <w:rPr/>
        <w:t>、信息化投资需求 </w:t>
      </w:r>
      <w:r>
        <w:rPr>
          <w:spacing w:val="-2"/>
        </w:rPr>
        <w:t>新技术赋能业务体系发展，随着医疗卫生体制改革的持续深化，信息化作为医改推进支撑的作用越来越大。从居民本身</w:t>
      </w:r>
    </w:p>
    <w:p>
      <w:pPr>
        <w:pStyle w:val="BodyText"/>
        <w:spacing w:line="314" w:lineRule="auto" w:before="31"/>
        <w:ind w:right="1130"/>
        <w:jc w:val="both"/>
      </w:pPr>
      <w:r>
        <w:rPr>
          <w:spacing w:val="-2"/>
        </w:rPr>
        <w:t>的健康需求层面，居民从单一的疾病治疗需求转变为需要依托新技术支撑的智能监测、便捷服务、全程照护、专业咨询等的</w:t>
      </w:r>
      <w:r>
        <w:rPr>
          <w:spacing w:val="-64"/>
        </w:rPr>
        <w:t> </w:t>
      </w:r>
      <w:r>
        <w:rPr>
          <w:spacing w:val="-64"/>
        </w:rPr>
      </w:r>
      <w:r>
        <w:rPr>
          <w:spacing w:val="-2"/>
        </w:rPr>
        <w:t>高阶健康需求，这也表明医疗健康信息化等智能技术全面提升和发展的必要性；同时从政策层面，无论是深化医疗卫生体制</w:t>
      </w:r>
      <w:r>
        <w:rPr>
          <w:spacing w:val="-63"/>
        </w:rPr>
        <w:t> </w:t>
      </w:r>
      <w:r>
        <w:rPr>
          <w:spacing w:val="-63"/>
        </w:rPr>
      </w:r>
      <w:r>
        <w:rPr/>
        <w:t>改革、全面改善医疗服务计划、医疗联合体等医疗健康行业政策，还是智慧医院、</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等明确围绕聚焦医疗</w:t>
      </w:r>
      <w:r>
        <w:rPr>
          <w:spacing w:val="-76"/>
        </w:rPr>
        <w:t> </w:t>
      </w:r>
      <w:r>
        <w:rPr>
          <w:spacing w:val="-76"/>
        </w:rPr>
      </w:r>
      <w:r>
        <w:rPr>
          <w:spacing w:val="-2"/>
        </w:rPr>
        <w:t>健康信息化出台的政策都表明医疗健康行业对信息化的强劲需求。这些政策的不断落实将为医疗健康信息化建设带来新一轮</w:t>
      </w:r>
      <w:r>
        <w:rPr>
          <w:spacing w:val="-64"/>
        </w:rPr>
        <w:t> </w:t>
      </w:r>
      <w:r>
        <w:rPr>
          <w:spacing w:val="-64"/>
        </w:rPr>
      </w:r>
      <w:r>
        <w:rPr/>
        <w:t>的需求。</w:t>
      </w:r>
    </w:p>
    <w:p>
      <w:pPr>
        <w:spacing w:line="316" w:lineRule="auto" w:before="20"/>
        <w:ind w:left="472" w:right="1034" w:firstLine="0"/>
        <w:jc w:val="left"/>
        <w:rPr>
          <w:rFonts w:ascii="宋体" w:hAnsi="宋体" w:cs="宋体" w:eastAsia="宋体" w:hint="default"/>
          <w:sz w:val="18"/>
          <w:szCs w:val="18"/>
        </w:rPr>
      </w:pPr>
      <w:r>
        <w:rPr>
          <w:rFonts w:ascii="宋体" w:hAnsi="宋体" w:cs="宋体" w:eastAsia="宋体" w:hint="default"/>
          <w:b/>
          <w:bCs/>
          <w:sz w:val="18"/>
          <w:szCs w:val="18"/>
        </w:rPr>
        <w:t>（三）公司所处行业的市场竞争形势</w:t>
      </w:r>
      <w:r>
        <w:rPr>
          <w:rFonts w:ascii="宋体" w:hAnsi="宋体" w:cs="宋体" w:eastAsia="宋体" w:hint="default"/>
          <w:b/>
          <w:bCs/>
          <w:w w:val="99"/>
          <w:sz w:val="18"/>
          <w:szCs w:val="18"/>
        </w:rPr>
        <w:t> </w:t>
      </w:r>
      <w:r>
        <w:rPr>
          <w:rFonts w:ascii="宋体" w:hAnsi="宋体" w:cs="宋体" w:eastAsia="宋体" w:hint="default"/>
          <w:sz w:val="18"/>
          <w:szCs w:val="18"/>
        </w:rPr>
        <w:t>目前国内从事医疗卫生信息化的厂商众多，且区域分布较为明显，市场份额较为分散，根据全国医疗信息化联盟统计，</w:t>
      </w:r>
    </w:p>
    <w:p>
      <w:pPr>
        <w:pStyle w:val="BodyText"/>
        <w:spacing w:line="309" w:lineRule="auto" w:before="19"/>
        <w:ind w:right="1130"/>
        <w:jc w:val="both"/>
      </w:pPr>
      <w:r>
        <w:rPr/>
        <w:t>我国医疗信息化行业市场规模排名前七的企业占比合计</w:t>
      </w:r>
      <w:r>
        <w:rPr>
          <w:rFonts w:ascii="Times New Roman" w:hAnsi="Times New Roman" w:cs="Times New Roman" w:eastAsia="Times New Roman" w:hint="default"/>
        </w:rPr>
        <w:t>28.80%</w:t>
      </w:r>
      <w:r>
        <w:rPr/>
        <w:t>，呈现较低的市场集中度。面对不断增长的行业规模及不断</w:t>
      </w:r>
      <w:r>
        <w:rPr>
          <w:spacing w:val="-24"/>
        </w:rPr>
        <w:t> </w:t>
      </w:r>
      <w:r>
        <w:rPr>
          <w:spacing w:val="-24"/>
        </w:rPr>
      </w:r>
      <w:r>
        <w:rPr>
          <w:spacing w:val="-2"/>
        </w:rPr>
        <w:t>深化的行业需求，行业大额订单比例在不断增加，而行业中的头部公司依靠较强的综合竞争力优势明显。同时，头部公司多</w:t>
      </w:r>
      <w:r>
        <w:rPr>
          <w:spacing w:val="-64"/>
        </w:rPr>
        <w:t> </w:t>
      </w:r>
      <w:r>
        <w:rPr>
          <w:spacing w:val="-64"/>
        </w:rPr>
      </w:r>
      <w:r>
        <w:rPr/>
        <w:t>为上市公司，能够借助资本市场进一步扩大场份额及丰富自身产品线，整个行业的产业集中度有进一步提升趋势。</w:t>
      </w:r>
    </w:p>
    <w:p>
      <w:pPr>
        <w:pStyle w:val="BodyText"/>
        <w:spacing w:line="300" w:lineRule="auto" w:before="24"/>
        <w:ind w:right="1120" w:firstLine="360"/>
        <w:jc w:val="both"/>
      </w:pPr>
      <w:r>
        <w:rPr>
          <w:spacing w:val="-2"/>
        </w:rPr>
        <w:t>公司成立于</w:t>
      </w:r>
      <w:r>
        <w:rPr>
          <w:rFonts w:ascii="Times New Roman" w:hAnsi="Times New Roman" w:cs="Times New Roman" w:eastAsia="Times New Roman" w:hint="default"/>
          <w:spacing w:val="-2"/>
        </w:rPr>
        <w:t>2004</w:t>
      </w:r>
      <w:r>
        <w:rPr>
          <w:spacing w:val="-2"/>
        </w:rPr>
        <w:t>年，并于</w:t>
      </w:r>
      <w:r>
        <w:rPr>
          <w:rFonts w:ascii="Times New Roman" w:hAnsi="Times New Roman" w:cs="Times New Roman" w:eastAsia="Times New Roman" w:hint="default"/>
          <w:spacing w:val="-2"/>
        </w:rPr>
        <w:t>2011</w:t>
      </w:r>
      <w:r>
        <w:rPr>
          <w:spacing w:val="-2"/>
        </w:rPr>
        <w:t>年深交所上市，在医疗卫生信息化领域深耕多年，积累了丰富的经验。</w:t>
      </w:r>
      <w:r>
        <w:rPr>
          <w:rFonts w:ascii="Times New Roman" w:hAnsi="Times New Roman" w:cs="Times New Roman" w:eastAsia="Times New Roman" w:hint="default"/>
          <w:spacing w:val="-2"/>
        </w:rPr>
        <w:t>2017</w:t>
      </w:r>
      <w:r>
        <w:rPr>
          <w:spacing w:val="-2"/>
        </w:rPr>
        <w:t>年，在国际数</w:t>
      </w:r>
      <w:r>
        <w:rPr/>
        <w:t> 据公司</w:t>
      </w:r>
      <w:r>
        <w:rPr>
          <w:rFonts w:ascii="Times New Roman" w:hAnsi="Times New Roman" w:cs="Times New Roman" w:eastAsia="Times New Roman" w:hint="default"/>
        </w:rPr>
        <w:t>IDC Health Insights Health Tech TOP</w:t>
      </w:r>
      <w:r>
        <w:rPr>
          <w:rFonts w:ascii="Times New Roman" w:hAnsi="Times New Roman" w:cs="Times New Roman" w:eastAsia="Times New Roman" w:hint="default"/>
          <w:spacing w:val="-17"/>
        </w:rPr>
        <w:t> </w:t>
      </w:r>
      <w:r>
        <w:rPr>
          <w:rFonts w:ascii="Times New Roman" w:hAnsi="Times New Roman" w:cs="Times New Roman" w:eastAsia="Times New Roman" w:hint="default"/>
        </w:rPr>
        <w:t>50</w:t>
      </w:r>
      <w:r>
        <w:rPr/>
        <w:t>全球医疗科技公司50强排名中，公司位列第</w:t>
      </w:r>
      <w:r>
        <w:rPr>
          <w:rFonts w:ascii="Times New Roman" w:hAnsi="Times New Roman" w:cs="Times New Roman" w:eastAsia="Times New Roman" w:hint="default"/>
        </w:rPr>
        <w:t>33</w:t>
      </w:r>
      <w:r>
        <w:rPr/>
        <w:t>名，是中国及亚洲地区唯一一家 上榜的医疗科技企业。</w:t>
      </w:r>
    </w:p>
    <w:p>
      <w:pPr>
        <w:pStyle w:val="BodyText"/>
        <w:spacing w:line="300" w:lineRule="auto" w:before="31"/>
        <w:ind w:right="1125" w:firstLine="360"/>
        <w:jc w:val="both"/>
      </w:pPr>
      <w:r>
        <w:rPr>
          <w:spacing w:val="-2"/>
        </w:rPr>
        <w:t>目前公司拥有遍布全国的</w:t>
      </w:r>
      <w:r>
        <w:rPr>
          <w:rFonts w:ascii="Times New Roman" w:hAnsi="Times New Roman" w:cs="Times New Roman" w:eastAsia="Times New Roman" w:hint="default"/>
          <w:spacing w:val="-2"/>
        </w:rPr>
        <w:t>20</w:t>
      </w:r>
      <w:r>
        <w:rPr>
          <w:spacing w:val="-2"/>
        </w:rPr>
        <w:t>余家分支机构，形成较完善的市场营销和售后服务网络。截至2019年底，公司服务的各类医</w:t>
      </w:r>
      <w:r>
        <w:rPr/>
        <w:t> </w:t>
      </w:r>
      <w:r>
        <w:rPr>
          <w:spacing w:val="-1"/>
        </w:rPr>
        <w:t>疗卫生机构用户达</w:t>
      </w:r>
      <w:r>
        <w:rPr>
          <w:rFonts w:ascii="Times New Roman" w:hAnsi="Times New Roman" w:cs="Times New Roman" w:eastAsia="Times New Roman" w:hint="default"/>
          <w:spacing w:val="-1"/>
        </w:rPr>
        <w:t>6,000</w:t>
      </w:r>
      <w:r>
        <w:rPr>
          <w:spacing w:val="-1"/>
        </w:rPr>
        <w:t>余家，其中包括</w:t>
      </w:r>
      <w:r>
        <w:rPr>
          <w:rFonts w:ascii="Times New Roman" w:hAnsi="Times New Roman" w:cs="Times New Roman" w:eastAsia="Times New Roman" w:hint="default"/>
          <w:spacing w:val="-1"/>
        </w:rPr>
        <w:t>400</w:t>
      </w:r>
      <w:r>
        <w:rPr>
          <w:spacing w:val="-1"/>
        </w:rPr>
        <w:t>余家三级医院，用户遍布全国除台湾、香港、西藏以外的</w:t>
      </w:r>
      <w:r>
        <w:rPr>
          <w:rFonts w:ascii="Times New Roman" w:hAnsi="Times New Roman" w:cs="Times New Roman" w:eastAsia="Times New Roman" w:hint="default"/>
          <w:spacing w:val="-1"/>
        </w:rPr>
        <w:t>31</w:t>
      </w:r>
      <w:r>
        <w:rPr>
          <w:spacing w:val="-1"/>
        </w:rPr>
        <w:t>个省市自治区及特别</w:t>
      </w:r>
      <w:r>
        <w:rPr>
          <w:spacing w:val="-72"/>
        </w:rPr>
        <w:t> </w:t>
      </w:r>
      <w:r>
        <w:rPr/>
        <w:t>行政区。公司重视研发投入，在全国拥有多个研发基地，产品不断推陈出新，在医疗大数据、医疗</w:t>
      </w:r>
      <w:r>
        <w:rPr>
          <w:rFonts w:ascii="Times New Roman" w:hAnsi="Times New Roman" w:cs="Times New Roman" w:eastAsia="Times New Roman" w:hint="default"/>
        </w:rPr>
        <w:t>AI</w:t>
      </w:r>
      <w:r>
        <w:rPr/>
        <w:t>领域进行前沿布局，</w:t>
      </w:r>
      <w:r>
        <w:rPr>
          <w:spacing w:val="-16"/>
        </w:rPr>
        <w:t> </w:t>
      </w:r>
      <w:r>
        <w:rPr>
          <w:spacing w:val="-16"/>
        </w:rPr>
      </w:r>
      <w:r>
        <w:rPr>
          <w:spacing w:val="-2"/>
          <w:w w:val="99"/>
        </w:rPr>
        <w:t>其</w:t>
      </w:r>
      <w:r>
        <w:rPr>
          <w:rFonts w:ascii="Times New Roman" w:hAnsi="Times New Roman" w:cs="Times New Roman" w:eastAsia="Times New Roman" w:hint="default"/>
          <w:spacing w:val="-2"/>
          <w:w w:val="99"/>
        </w:rPr>
        <w:t>AI</w:t>
      </w:r>
      <w:r>
        <w:rPr>
          <w:spacing w:val="-2"/>
          <w:w w:val="99"/>
        </w:rPr>
        <w:t>骨龄检测产品荣誉入榜国家卫生健康委员会公开发布的</w:t>
      </w:r>
      <w:r>
        <w:rPr>
          <w:rFonts w:ascii="Times New Roman" w:hAnsi="Times New Roman" w:cs="Times New Roman" w:eastAsia="Times New Roman" w:hint="default"/>
          <w:spacing w:val="-2"/>
          <w:w w:val="99"/>
        </w:rPr>
        <w:t>“</w:t>
      </w:r>
      <w:r>
        <w:rPr>
          <w:spacing w:val="-2"/>
          <w:w w:val="99"/>
        </w:rPr>
        <w:t>医疗健康人工智能应用落地</w:t>
      </w:r>
      <w:r>
        <w:rPr>
          <w:rFonts w:ascii="Times New Roman" w:hAnsi="Times New Roman" w:cs="Times New Roman" w:eastAsia="Times New Roman" w:hint="default"/>
          <w:spacing w:val="-2"/>
          <w:w w:val="99"/>
        </w:rPr>
        <w:t>30</w:t>
      </w:r>
      <w:r>
        <w:rPr>
          <w:spacing w:val="-2"/>
          <w:w w:val="99"/>
        </w:rPr>
        <w:t>最佳案例</w:t>
      </w:r>
      <w:r>
        <w:rPr>
          <w:rFonts w:ascii="Times New Roman" w:hAnsi="Times New Roman" w:cs="Times New Roman" w:eastAsia="Times New Roman" w:hint="default"/>
          <w:spacing w:val="-2"/>
          <w:w w:val="99"/>
        </w:rPr>
        <w:t>”</w:t>
      </w:r>
      <w:r>
        <w:rPr>
          <w:spacing w:val="-2"/>
          <w:w w:val="99"/>
        </w:rPr>
        <w:t>。除传统医疗卫生信息</w:t>
      </w:r>
      <w:r>
        <w:rPr>
          <w:spacing w:val="-47"/>
          <w:w w:val="99"/>
        </w:rPr>
        <w:t> </w:t>
      </w:r>
      <w:r>
        <w:rPr>
          <w:spacing w:val="-47"/>
          <w:w w:val="99"/>
        </w:rPr>
      </w:r>
      <w:r>
        <w:rPr/>
        <w:t>化业务外，公司积极推进互联网医疗的创新业务发展，全力推进</w:t>
      </w:r>
      <w:r>
        <w:rPr>
          <w:rFonts w:ascii="Times New Roman" w:hAnsi="Times New Roman" w:cs="Times New Roman" w:eastAsia="Times New Roman" w:hint="default"/>
        </w:rPr>
        <w:t>“</w:t>
      </w:r>
      <w:r>
        <w:rPr/>
        <w:t>云医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云药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云险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云康</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创新服务平台</w:t>
      </w:r>
      <w:r>
        <w:rPr>
          <w:rFonts w:ascii="Times New Roman" w:hAnsi="Times New Roman" w:cs="Times New Roman" w:eastAsia="Times New Roman" w:hint="default"/>
        </w:rPr>
        <w:t>”</w:t>
      </w:r>
      <w:r>
        <w:rPr/>
        <w:t>协同发</w:t>
      </w:r>
      <w:r>
        <w:rPr>
          <w:spacing w:val="-74"/>
        </w:rPr>
        <w:t> </w:t>
      </w:r>
      <w:r>
        <w:rPr/>
        <w:t>展战略，现已形成</w:t>
      </w:r>
      <w:r>
        <w:rPr>
          <w:rFonts w:ascii="Times New Roman" w:hAnsi="Times New Roman" w:cs="Times New Roman" w:eastAsia="Times New Roman" w:hint="default"/>
        </w:rPr>
        <w:t>“4+1”</w:t>
      </w:r>
      <w:r>
        <w:rPr/>
        <w:t>互联网</w:t>
      </w:r>
      <w:r>
        <w:rPr>
          <w:rFonts w:ascii="Times New Roman" w:hAnsi="Times New Roman" w:cs="Times New Roman" w:eastAsia="Times New Roman" w:hint="default"/>
        </w:rPr>
        <w:t>+</w:t>
      </w:r>
      <w:r>
        <w:rPr/>
        <w:t>医疗健康生态格局。其中</w:t>
      </w:r>
      <w:r>
        <w:rPr>
          <w:rFonts w:ascii="Times New Roman" w:hAnsi="Times New Roman" w:cs="Times New Roman" w:eastAsia="Times New Roman" w:hint="default"/>
        </w:rPr>
        <w:t>“</w:t>
      </w:r>
      <w:r>
        <w:rPr/>
        <w:t>云医</w:t>
      </w:r>
      <w:r>
        <w:rPr>
          <w:rFonts w:ascii="Times New Roman" w:hAnsi="Times New Roman" w:cs="Times New Roman" w:eastAsia="Times New Roman" w:hint="default"/>
        </w:rPr>
        <w:t>”</w:t>
      </w:r>
      <w:r>
        <w:rPr/>
        <w:t>已对接</w:t>
      </w:r>
      <w:r>
        <w:rPr>
          <w:rFonts w:ascii="Times New Roman" w:hAnsi="Times New Roman" w:cs="Times New Roman" w:eastAsia="Times New Roman" w:hint="default"/>
        </w:rPr>
        <w:t>4,000</w:t>
      </w:r>
      <w:r>
        <w:rPr/>
        <w:t>多家医疗卫生机构，树立了全国互联网医院标</w:t>
      </w:r>
    </w:p>
    <w:p>
      <w:pPr>
        <w:spacing w:after="0" w:line="30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杆</w:t>
      </w:r>
      <w:r>
        <w:rPr>
          <w:rFonts w:ascii="Times New Roman" w:hAnsi="Times New Roman" w:cs="Times New Roman" w:eastAsia="Times New Roman" w:hint="default"/>
        </w:rPr>
        <w:t>——</w:t>
      </w:r>
      <w:r>
        <w:rPr/>
        <w:t>邵逸夫互联网医院，并在浙江省打造了全国首个</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监管</w:t>
      </w:r>
      <w:r>
        <w:rPr>
          <w:rFonts w:ascii="Times New Roman" w:hAnsi="Times New Roman" w:cs="Times New Roman" w:eastAsia="Times New Roman" w:hint="default"/>
        </w:rPr>
        <w:t>”</w:t>
      </w:r>
      <w:r>
        <w:rPr/>
        <w:t>一体化互联网医院平台。</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较年初增加超过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宋体" w:hAnsi="宋体" w:cs="宋体" w:eastAsia="宋体" w:hint="default"/>
                <w:sz w:val="18"/>
                <w:szCs w:val="18"/>
              </w:rPr>
              <w:t>，主要是报告期内公司开发支出结转至无形资产所致。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较年初减少超过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宋体" w:hAnsi="宋体" w:cs="宋体" w:eastAsia="宋体" w:hint="default"/>
                <w:sz w:val="18"/>
                <w:szCs w:val="18"/>
              </w:rPr>
              <w:t>，主要是办公楼装修完工结转所致。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48.06%</w:t>
            </w:r>
            <w:r>
              <w:rPr>
                <w:rFonts w:ascii="宋体" w:hAnsi="宋体" w:cs="宋体" w:eastAsia="宋体" w:hint="default"/>
                <w:sz w:val="18"/>
                <w:szCs w:val="18"/>
              </w:rPr>
              <w:t>，主要是报告期内公司开发支出结转至无形资产所致。</w:t>
            </w:r>
          </w:p>
        </w:tc>
      </w:tr>
      <w:tr>
        <w:trPr>
          <w:trHeight w:val="102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86"/>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其他非流动金融资 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以成本计量的非上市股权投资，原于可供出售金融资产科目中核算，于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日，本公司将其分类为以公允价值计量且其变动计入当期损益的金融资产，于 其他非流动金融资产科目中核算。</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38.95%</w:t>
            </w:r>
            <w:r>
              <w:rPr>
                <w:rFonts w:ascii="宋体" w:hAnsi="宋体" w:cs="宋体" w:eastAsia="宋体" w:hint="default"/>
                <w:sz w:val="18"/>
                <w:szCs w:val="18"/>
              </w:rPr>
              <w:t>，主要是经营活动产生的现金流量增加所致。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112.49%</w:t>
            </w:r>
            <w:r>
              <w:rPr>
                <w:rFonts w:ascii="宋体" w:hAnsi="宋体" w:cs="宋体" w:eastAsia="宋体" w:hint="default"/>
                <w:sz w:val="18"/>
                <w:szCs w:val="18"/>
              </w:rPr>
              <w:t>，主要是待抵扣进项税余额增加所致。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34.88%</w:t>
            </w:r>
            <w:r>
              <w:rPr>
                <w:rFonts w:ascii="宋体" w:hAnsi="宋体" w:cs="宋体" w:eastAsia="宋体" w:hint="default"/>
                <w:sz w:val="18"/>
                <w:szCs w:val="18"/>
              </w:rPr>
              <w:t>，主要是可抵扣暂时性差异以及可抵扣亏损增加所致。</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00" w:lineRule="auto" w:before="0"/>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、领先的行业地位和丰富的行业经验</w:t>
      </w:r>
      <w:r>
        <w:rPr>
          <w:rFonts w:ascii="宋体" w:hAnsi="宋体" w:cs="宋体" w:eastAsia="宋体" w:hint="default"/>
          <w:b/>
          <w:bCs/>
          <w:w w:val="99"/>
          <w:sz w:val="18"/>
          <w:szCs w:val="18"/>
        </w:rPr>
        <w:t> </w:t>
      </w:r>
      <w:r>
        <w:rPr>
          <w:rFonts w:ascii="宋体" w:hAnsi="宋体" w:cs="宋体" w:eastAsia="宋体" w:hint="default"/>
          <w:spacing w:val="-2"/>
          <w:sz w:val="18"/>
          <w:szCs w:val="18"/>
        </w:rPr>
        <w:t>公司依托完备的产品线，丰富的项目运作能力和突出的研发实力，在医疗信息化行业有较高的知名度和行业地位。公司</w:t>
      </w:r>
    </w:p>
    <w:p>
      <w:pPr>
        <w:pStyle w:val="BodyText"/>
        <w:spacing w:line="316" w:lineRule="auto" w:before="31"/>
        <w:ind w:right="0"/>
        <w:jc w:val="left"/>
      </w:pPr>
      <w:r>
        <w:rPr>
          <w:spacing w:val="-2"/>
        </w:rPr>
        <w:t>服务内容覆盖医疗信息系统的全生命周期，广泛应用于医疗机构、区域卫生、公共卫生、健康服务等领域。通过遍布全国的</w:t>
      </w:r>
      <w:r>
        <w:rPr>
          <w:spacing w:val="-64"/>
        </w:rPr>
        <w:t> </w:t>
      </w:r>
      <w:r>
        <w:rPr>
          <w:spacing w:val="-64"/>
        </w:rPr>
      </w:r>
      <w:r>
        <w:rPr/>
        <w:t>销售服务网络、专业创新的技术服务支持团队以及优于业界的服务标准，为广大客户提供更优质贴心的服务。</w:t>
      </w:r>
    </w:p>
    <w:p>
      <w:pPr>
        <w:pStyle w:val="BodyText"/>
        <w:spacing w:line="300" w:lineRule="auto" w:before="19"/>
        <w:ind w:left="472" w:right="1124"/>
        <w:jc w:val="left"/>
      </w:pPr>
      <w:r>
        <w:rPr>
          <w:rFonts w:ascii="Times New Roman" w:hAnsi="Times New Roman" w:cs="Times New Roman" w:eastAsia="Times New Roman" w:hint="default"/>
          <w:b/>
          <w:bCs/>
        </w:rPr>
        <w:t>2</w:t>
      </w:r>
      <w:r>
        <w:rPr>
          <w:rFonts w:ascii="宋体" w:hAnsi="宋体" w:cs="宋体" w:eastAsia="宋体" w:hint="default"/>
          <w:b/>
          <w:bCs/>
        </w:rPr>
        <w:t>、技术力量优势</w:t>
      </w:r>
      <w:r>
        <w:rPr>
          <w:rFonts w:ascii="宋体" w:hAnsi="宋体" w:cs="宋体" w:eastAsia="宋体" w:hint="default"/>
          <w:b/>
          <w:bCs/>
          <w:w w:val="99"/>
        </w:rPr>
        <w:t> </w:t>
      </w:r>
      <w:r>
        <w:rPr/>
        <w:t>公司自成立以来，一直坚持研发优先和人才优先战略，重视自主研发、技术积累和优秀人才储备，目前已拥有</w:t>
      </w:r>
      <w:r>
        <w:rPr>
          <w:rFonts w:ascii="Times New Roman" w:hAnsi="Times New Roman" w:cs="Times New Roman" w:eastAsia="Times New Roman" w:hint="default"/>
        </w:rPr>
        <w:t>500</w:t>
      </w:r>
      <w:r>
        <w:rPr/>
        <w:t>多项</w:t>
      </w:r>
    </w:p>
    <w:p>
      <w:pPr>
        <w:pStyle w:val="BodyText"/>
        <w:spacing w:line="312" w:lineRule="auto" w:before="13"/>
        <w:ind w:right="1034"/>
        <w:jc w:val="left"/>
      </w:pPr>
      <w:r>
        <w:rPr/>
        <w:t>核心技术和产品的自主知识产权，并成熟运用于主要产品。同时，凭借对医疗信息化行业的管理模式、业务模式等有长期、 </w:t>
      </w:r>
      <w:r>
        <w:rPr>
          <w:spacing w:val="-2"/>
        </w:rPr>
        <w:t>深入及全面的理解，公司的技术团队始终放眼并耕耘于科技前沿，使我们的产品、维护和技术保障都能达到一个超出客户满</w:t>
      </w:r>
      <w:r>
        <w:rPr>
          <w:spacing w:val="-63"/>
        </w:rPr>
        <w:t> </w:t>
      </w:r>
      <w:r>
        <w:rPr>
          <w:spacing w:val="-63"/>
        </w:rPr>
      </w:r>
      <w:r>
        <w:rPr/>
        <w:t>意的水平。在创新业务领域，公司做了大量的研究，形成了自有的</w:t>
      </w:r>
      <w:r>
        <w:rPr>
          <w:rFonts w:ascii="Times New Roman" w:hAnsi="Times New Roman" w:cs="Times New Roman" w:eastAsia="Times New Roman" w:hint="default"/>
        </w:rPr>
        <w:t>“</w:t>
      </w:r>
      <w:r>
        <w:rPr/>
        <w:t>优势资源带动、本地化项目推进、标准化规范复制、多</w:t>
      </w:r>
      <w:r>
        <w:rPr>
          <w:spacing w:val="-76"/>
        </w:rPr>
        <w:t> </w:t>
      </w:r>
      <w:r>
        <w:rPr>
          <w:spacing w:val="-76"/>
        </w:rPr>
      </w:r>
      <w:r>
        <w:rPr/>
        <w:t>元化服务衔接</w:t>
      </w:r>
      <w:r>
        <w:rPr>
          <w:rFonts w:ascii="Times New Roman" w:hAnsi="Times New Roman" w:cs="Times New Roman" w:eastAsia="Times New Roman" w:hint="default"/>
        </w:rPr>
        <w:t>”</w:t>
      </w:r>
      <w:r>
        <w:rPr/>
        <w:t>的互联网医疗健康服务模式。</w:t>
      </w:r>
    </w:p>
    <w:p>
      <w:pPr>
        <w:pStyle w:val="BodyText"/>
        <w:spacing w:line="300" w:lineRule="auto" w:before="3"/>
        <w:ind w:left="472" w:right="0"/>
        <w:jc w:val="left"/>
      </w:pPr>
      <w:r>
        <w:rPr>
          <w:rFonts w:ascii="Times New Roman" w:hAnsi="Times New Roman" w:cs="Times New Roman" w:eastAsia="Times New Roman" w:hint="default"/>
          <w:b/>
          <w:bCs/>
        </w:rPr>
        <w:t>3</w:t>
      </w:r>
      <w:r>
        <w:rPr>
          <w:rFonts w:ascii="宋体" w:hAnsi="宋体" w:cs="宋体" w:eastAsia="宋体" w:hint="default"/>
          <w:b/>
          <w:bCs/>
        </w:rPr>
        <w:t>、市场渠道优势</w:t>
      </w:r>
      <w:r>
        <w:rPr>
          <w:rFonts w:ascii="宋体" w:hAnsi="宋体" w:cs="宋体" w:eastAsia="宋体" w:hint="default"/>
          <w:b/>
          <w:bCs/>
          <w:w w:val="99"/>
        </w:rPr>
        <w:t> </w:t>
      </w:r>
      <w:r>
        <w:rPr>
          <w:spacing w:val="-1"/>
        </w:rPr>
        <w:t>截至</w:t>
      </w:r>
      <w:r>
        <w:rPr>
          <w:rFonts w:ascii="Times New Roman" w:hAnsi="Times New Roman" w:cs="Times New Roman" w:eastAsia="Times New Roman" w:hint="default"/>
          <w:spacing w:val="-1"/>
        </w:rPr>
        <w:t>2019</w:t>
      </w:r>
      <w:r>
        <w:rPr>
          <w:spacing w:val="-1"/>
        </w:rPr>
        <w:t>年底，公司服务的各类医疗卫生机构用户达</w:t>
      </w:r>
      <w:r>
        <w:rPr>
          <w:rFonts w:ascii="Times New Roman" w:hAnsi="Times New Roman" w:cs="Times New Roman" w:eastAsia="Times New Roman" w:hint="default"/>
          <w:spacing w:val="-1"/>
        </w:rPr>
        <w:t>6,000</w:t>
      </w:r>
      <w:r>
        <w:rPr>
          <w:spacing w:val="-1"/>
        </w:rPr>
        <w:t>余家，其中包括</w:t>
      </w:r>
      <w:r>
        <w:rPr>
          <w:rFonts w:ascii="Times New Roman" w:hAnsi="Times New Roman" w:cs="Times New Roman" w:eastAsia="Times New Roman" w:hint="default"/>
          <w:spacing w:val="-1"/>
        </w:rPr>
        <w:t>400</w:t>
      </w:r>
      <w:r>
        <w:rPr>
          <w:spacing w:val="-1"/>
        </w:rPr>
        <w:t>余家三级医院，用户遍布全国除台湾、香</w:t>
      </w:r>
    </w:p>
    <w:p>
      <w:pPr>
        <w:pStyle w:val="BodyText"/>
        <w:spacing w:line="309" w:lineRule="auto" w:before="13"/>
        <w:ind w:right="1130"/>
        <w:jc w:val="both"/>
      </w:pPr>
      <w:r>
        <w:rPr>
          <w:spacing w:val="-2"/>
        </w:rPr>
        <w:t>港、西藏以外的</w:t>
      </w:r>
      <w:r>
        <w:rPr>
          <w:rFonts w:ascii="Times New Roman" w:hAnsi="Times New Roman" w:cs="Times New Roman" w:eastAsia="Times New Roman" w:hint="default"/>
          <w:spacing w:val="-2"/>
        </w:rPr>
        <w:t>31</w:t>
      </w:r>
      <w:r>
        <w:rPr>
          <w:spacing w:val="-2"/>
        </w:rPr>
        <w:t>个省市自治区及特别行政区，是同行业客户覆盖最广的公司之一，数量众多且优质的客户资源，使公司在</w:t>
      </w:r>
      <w:r>
        <w:rPr>
          <w:spacing w:val="-63"/>
        </w:rPr>
        <w:t> </w:t>
      </w:r>
      <w:r>
        <w:rPr>
          <w:spacing w:val="-63"/>
        </w:rPr>
      </w:r>
      <w:r>
        <w:rPr>
          <w:spacing w:val="-2"/>
        </w:rPr>
        <w:t>推广新技术、应用新产品、提升新型增值服务时能被市场迅速接受。另外通过区域化经营、集中式管理以及本地化服务相结</w:t>
      </w:r>
      <w:r>
        <w:rPr>
          <w:spacing w:val="-64"/>
        </w:rPr>
        <w:t> </w:t>
      </w:r>
      <w:r>
        <w:rPr>
          <w:spacing w:val="-64"/>
        </w:rPr>
      </w:r>
      <w:r>
        <w:rPr/>
        <w:t>合的模式，为广大用户提供高效的本地化一站式贴切服务。</w:t>
      </w:r>
    </w:p>
    <w:p>
      <w:pPr>
        <w:pStyle w:val="BodyText"/>
        <w:spacing w:line="240" w:lineRule="auto" w:before="24"/>
        <w:ind w:left="472" w:right="0"/>
        <w:jc w:val="left"/>
      </w:pPr>
      <w:r>
        <w:rPr>
          <w:rFonts w:ascii="Times New Roman" w:hAnsi="Times New Roman" w:cs="Times New Roman" w:eastAsia="Times New Roman" w:hint="default"/>
        </w:rPr>
        <w:t>4</w:t>
      </w:r>
      <w:r>
        <w:rPr/>
        <w:t>、人才优势</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公司不断吸纳各类人才，重视岗位培训与考核，形成了一支架构完备、有良好梯队配置的专业工作团队，无论是研发团</w:t>
      </w:r>
      <w:r>
        <w:rPr/>
        <w:t> </w:t>
      </w:r>
      <w:r>
        <w:rPr>
          <w:spacing w:val="-2"/>
        </w:rPr>
        <w:t>队、销售团队还是服务团队都具备良好的知识水平、职业素养和服务精神，能够为客户提供专业周到的服务。在互联网医疗</w:t>
      </w:r>
      <w:r>
        <w:rPr>
          <w:spacing w:val="-64"/>
        </w:rPr>
        <w:t> </w:t>
      </w:r>
      <w:r>
        <w:rPr>
          <w:spacing w:val="-64"/>
        </w:rPr>
      </w:r>
      <w:r>
        <w:rPr>
          <w:spacing w:val="-2"/>
        </w:rPr>
        <w:t>健康方面，组建了新型的研发、地推和服务队伍，提升了互联网医疗健康服务落地和发展的水平。另外，公司设置了合理的</w:t>
      </w:r>
      <w:r>
        <w:rPr>
          <w:spacing w:val="-63"/>
        </w:rPr>
        <w:t> </w:t>
      </w:r>
      <w:r>
        <w:rPr>
          <w:spacing w:val="-63"/>
        </w:rPr>
      </w:r>
      <w:r>
        <w:rPr/>
        <w:t>薪酬激励机制，为激励和吸引人才创造了有利条件。</w:t>
      </w:r>
    </w:p>
    <w:p>
      <w:pPr>
        <w:pStyle w:val="BodyText"/>
        <w:spacing w:line="240" w:lineRule="auto" w:before="19"/>
        <w:ind w:left="472" w:right="0"/>
        <w:jc w:val="left"/>
      </w:pPr>
      <w:r>
        <w:rPr/>
        <w:t>报告期内，公司核心竞争力未发生重大变化。</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007" w:right="0"/>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firstLine="360"/>
        <w:jc w:val="both"/>
      </w:pPr>
      <w:r>
        <w:rPr>
          <w:rFonts w:ascii="Times New Roman" w:hAnsi="Times New Roman" w:cs="Times New Roman" w:eastAsia="Times New Roman" w:hint="default"/>
          <w:spacing w:val="-2"/>
        </w:rPr>
        <w:t>2019</w:t>
      </w:r>
      <w:r>
        <w:rPr>
          <w:spacing w:val="-2"/>
        </w:rPr>
        <w:t>年，公司紧紧围绕战略目标和年度经营计划，充分发挥自主创新、全方位领先的综合优势，积极推进市场拓展，取</w:t>
      </w:r>
      <w:r>
        <w:rPr/>
        <w:t> 得了良好的进展，进一步巩固公司在医疗卫生信息化及互联网</w:t>
      </w:r>
      <w:r>
        <w:rPr>
          <w:rFonts w:ascii="Times New Roman" w:hAnsi="Times New Roman" w:cs="Times New Roman" w:eastAsia="Times New Roman" w:hint="default"/>
        </w:rPr>
        <w:t>+</w:t>
      </w:r>
      <w:r>
        <w:rPr/>
        <w:t>医疗健康领域的领先优势。</w:t>
      </w:r>
    </w:p>
    <w:p>
      <w:pPr>
        <w:pStyle w:val="BodyText"/>
        <w:spacing w:line="300" w:lineRule="auto" w:before="13"/>
        <w:ind w:right="961" w:firstLine="360"/>
        <w:jc w:val="left"/>
      </w:pPr>
      <w:r>
        <w:rPr/>
        <w:t>报告期内，公司实现营业收入</w:t>
      </w:r>
      <w:r>
        <w:rPr>
          <w:rFonts w:ascii="Times New Roman" w:hAnsi="Times New Roman" w:cs="Times New Roman" w:eastAsia="Times New Roman" w:hint="default"/>
        </w:rPr>
        <w:t>190,800.79</w:t>
      </w:r>
      <w:r>
        <w:rPr/>
        <w:t>万元，同比增长</w:t>
      </w:r>
      <w:r>
        <w:rPr>
          <w:rFonts w:ascii="Times New Roman" w:hAnsi="Times New Roman" w:cs="Times New Roman" w:eastAsia="Times New Roman" w:hint="default"/>
        </w:rPr>
        <w:t>32.61%</w:t>
      </w:r>
      <w:r>
        <w:rPr/>
        <w:t>；营业利润</w:t>
      </w:r>
      <w:r>
        <w:rPr>
          <w:rFonts w:ascii="Times New Roman" w:hAnsi="Times New Roman" w:cs="Times New Roman" w:eastAsia="Times New Roman" w:hint="default"/>
        </w:rPr>
        <w:t>41,251.39</w:t>
      </w:r>
      <w:r>
        <w:rPr/>
        <w:t>万元，同比增长</w:t>
      </w:r>
      <w:r>
        <w:rPr>
          <w:rFonts w:ascii="Times New Roman" w:hAnsi="Times New Roman" w:cs="Times New Roman" w:eastAsia="Times New Roman" w:hint="default"/>
        </w:rPr>
        <w:t>32.95%</w:t>
      </w:r>
      <w:r>
        <w:rPr/>
        <w:t>；归属于上 市公司股东净利润</w:t>
      </w:r>
      <w:r>
        <w:rPr>
          <w:rFonts w:ascii="Times New Roman" w:hAnsi="Times New Roman" w:cs="Times New Roman" w:eastAsia="Times New Roman" w:hint="default"/>
        </w:rPr>
        <w:t>39,842.07</w:t>
      </w:r>
      <w:r>
        <w:rPr/>
        <w:t>万元，同比增长</w:t>
      </w:r>
      <w:r>
        <w:rPr>
          <w:rFonts w:ascii="Times New Roman" w:hAnsi="Times New Roman" w:cs="Times New Roman" w:eastAsia="Times New Roman" w:hint="default"/>
        </w:rPr>
        <w:t>31.36%</w:t>
      </w:r>
      <w:r>
        <w:rPr/>
        <w:t>；归属于上市公司股东的扣除非经常性损益后的净利润</w:t>
      </w:r>
      <w:r>
        <w:rPr>
          <w:rFonts w:ascii="Times New Roman" w:hAnsi="Times New Roman" w:cs="Times New Roman" w:eastAsia="Times New Roman" w:hint="default"/>
        </w:rPr>
        <w:t>34,177.69</w:t>
      </w:r>
      <w:r>
        <w:rPr/>
        <w:t>万元，</w:t>
      </w:r>
      <w:r>
        <w:rPr>
          <w:spacing w:val="-29"/>
        </w:rPr>
        <w:t> </w:t>
      </w:r>
      <w:r>
        <w:rPr>
          <w:spacing w:val="-29"/>
        </w:rPr>
      </w:r>
      <w:r>
        <w:rPr>
          <w:spacing w:val="-4"/>
        </w:rPr>
        <w:t>同比增长</w:t>
      </w:r>
      <w:r>
        <w:rPr>
          <w:rFonts w:ascii="Times New Roman" w:hAnsi="Times New Roman" w:cs="Times New Roman" w:eastAsia="Times New Roman" w:hint="default"/>
          <w:spacing w:val="-4"/>
        </w:rPr>
        <w:t>22.59%</w:t>
      </w:r>
      <w:r>
        <w:rPr>
          <w:spacing w:val="-4"/>
        </w:rPr>
        <w:t>。其中：公司核心产品软件销售及技术服务业务收入（合计占营业收入的比重为</w:t>
      </w:r>
      <w:r>
        <w:rPr>
          <w:rFonts w:ascii="Times New Roman" w:hAnsi="Times New Roman" w:cs="Times New Roman" w:eastAsia="Times New Roman" w:hint="default"/>
          <w:spacing w:val="-4"/>
        </w:rPr>
        <w:t>75.57%</w:t>
      </w:r>
      <w:r>
        <w:rPr>
          <w:spacing w:val="-4"/>
        </w:rPr>
        <w:t>，上年同期为</w:t>
      </w:r>
      <w:r>
        <w:rPr>
          <w:rFonts w:ascii="Times New Roman" w:hAnsi="Times New Roman" w:cs="Times New Roman" w:eastAsia="Times New Roman" w:hint="default"/>
          <w:spacing w:val="-4"/>
        </w:rPr>
        <w:t>77.95%</w:t>
      </w:r>
      <w:r>
        <w:rPr>
          <w:spacing w:val="-4"/>
        </w:rPr>
        <w:t>）</w:t>
      </w:r>
      <w:r>
        <w:rPr>
          <w:spacing w:val="-57"/>
        </w:rPr>
        <w:t> </w:t>
      </w:r>
      <w:r>
        <w:rPr>
          <w:spacing w:val="-5"/>
        </w:rPr>
        <w:t>同比增长</w:t>
      </w:r>
      <w:r>
        <w:rPr>
          <w:rFonts w:ascii="Times New Roman" w:hAnsi="Times New Roman" w:cs="Times New Roman" w:eastAsia="Times New Roman" w:hint="default"/>
          <w:spacing w:val="-5"/>
        </w:rPr>
        <w:t>28.57%</w:t>
      </w:r>
      <w:r>
        <w:rPr>
          <w:spacing w:val="-5"/>
        </w:rPr>
        <w:t>（上年同比增长</w:t>
      </w:r>
      <w:r>
        <w:rPr>
          <w:rFonts w:ascii="Times New Roman" w:hAnsi="Times New Roman" w:cs="Times New Roman" w:eastAsia="Times New Roman" w:hint="default"/>
          <w:spacing w:val="-5"/>
        </w:rPr>
        <w:t>31.92%</w:t>
      </w:r>
      <w:r>
        <w:rPr>
          <w:spacing w:val="-5"/>
        </w:rPr>
        <w:t>，</w:t>
      </w:r>
      <w:r>
        <w:rPr>
          <w:rFonts w:ascii="Times New Roman" w:hAnsi="Times New Roman" w:cs="Times New Roman" w:eastAsia="Times New Roman" w:hint="default"/>
          <w:spacing w:val="-5"/>
        </w:rPr>
        <w:t>2018-2019</w:t>
      </w:r>
      <w:r>
        <w:rPr>
          <w:spacing w:val="-5"/>
        </w:rPr>
        <w:t>年均复合增长</w:t>
      </w:r>
      <w:r>
        <w:rPr>
          <w:rFonts w:ascii="Times New Roman" w:hAnsi="Times New Roman" w:cs="Times New Roman" w:eastAsia="Times New Roman" w:hint="default"/>
          <w:spacing w:val="-5"/>
        </w:rPr>
        <w:t>30.23%</w:t>
      </w:r>
      <w:r>
        <w:rPr>
          <w:spacing w:val="-5"/>
        </w:rPr>
        <w:t>）；硬件销售业务收入（占营业收入的比重为</w:t>
      </w:r>
      <w:r>
        <w:rPr>
          <w:rFonts w:ascii="Times New Roman" w:hAnsi="Times New Roman" w:cs="Times New Roman" w:eastAsia="Times New Roman" w:hint="default"/>
          <w:spacing w:val="-5"/>
        </w:rPr>
        <w:t>23.61%</w:t>
      </w:r>
      <w:r>
        <w:rPr>
          <w:spacing w:val="-5"/>
        </w:rPr>
        <w:t>，</w:t>
      </w:r>
      <w:r>
        <w:rPr>
          <w:spacing w:val="-34"/>
        </w:rPr>
        <w:t> </w:t>
      </w:r>
      <w:r>
        <w:rPr>
          <w:spacing w:val="-2"/>
        </w:rPr>
        <w:t>上年同期为</w:t>
      </w:r>
      <w:r>
        <w:rPr>
          <w:rFonts w:ascii="Times New Roman" w:hAnsi="Times New Roman" w:cs="Times New Roman" w:eastAsia="Times New Roman" w:hint="default"/>
          <w:spacing w:val="-2"/>
        </w:rPr>
        <w:t>21.13%</w:t>
      </w:r>
      <w:r>
        <w:rPr>
          <w:spacing w:val="-2"/>
        </w:rPr>
        <w:t>）同比增长</w:t>
      </w:r>
      <w:r>
        <w:rPr>
          <w:rFonts w:ascii="Times New Roman" w:hAnsi="Times New Roman" w:cs="Times New Roman" w:eastAsia="Times New Roman" w:hint="default"/>
          <w:spacing w:val="-2"/>
        </w:rPr>
        <w:t>48.18%</w:t>
      </w:r>
      <w:r>
        <w:rPr>
          <w:spacing w:val="-2"/>
        </w:rPr>
        <w:t>（上年同比增长</w:t>
      </w:r>
      <w:r>
        <w:rPr>
          <w:rFonts w:ascii="Times New Roman" w:hAnsi="Times New Roman" w:cs="Times New Roman" w:eastAsia="Times New Roman" w:hint="default"/>
          <w:spacing w:val="-2"/>
        </w:rPr>
        <w:t>-13.81%</w:t>
      </w:r>
      <w:r>
        <w:rPr>
          <w:spacing w:val="-2"/>
        </w:rPr>
        <w:t>，因此显得本年增长很明显，</w:t>
      </w:r>
      <w:r>
        <w:rPr>
          <w:rFonts w:ascii="Times New Roman" w:hAnsi="Times New Roman" w:cs="Times New Roman" w:eastAsia="Times New Roman" w:hint="default"/>
          <w:spacing w:val="-2"/>
        </w:rPr>
        <w:t>2018-2019</w:t>
      </w:r>
      <w:r>
        <w:rPr>
          <w:spacing w:val="-2"/>
        </w:rPr>
        <w:t>年均复合增长</w:t>
      </w:r>
      <w:r>
        <w:rPr>
          <w:rFonts w:ascii="Times New Roman" w:hAnsi="Times New Roman" w:cs="Times New Roman" w:eastAsia="Times New Roman" w:hint="default"/>
          <w:spacing w:val="-2"/>
        </w:rPr>
        <w:t>13.01%</w:t>
      </w:r>
      <w:r>
        <w:rPr>
          <w:spacing w:val="-2"/>
        </w:rPr>
        <w:t>）。</w:t>
      </w:r>
    </w:p>
    <w:p>
      <w:pPr>
        <w:pStyle w:val="BodyText"/>
        <w:spacing w:line="307" w:lineRule="auto" w:before="13"/>
        <w:ind w:right="1129" w:firstLine="360"/>
        <w:jc w:val="both"/>
      </w:pPr>
      <w:r>
        <w:rPr>
          <w:spacing w:val="-2"/>
        </w:rPr>
        <w:t>另外，公司在报告期内继续加大市场拓展，提升管理水平和经营质量，使得本年度业务订单持续保持上年的快速增长趋</w:t>
      </w:r>
      <w:r>
        <w:rPr/>
        <w:t> 势，其中新增中标</w:t>
      </w:r>
      <w:r>
        <w:rPr>
          <w:rFonts w:ascii="Times New Roman" w:hAnsi="Times New Roman" w:cs="Times New Roman" w:eastAsia="Times New Roman" w:hint="default"/>
        </w:rPr>
        <w:t>1,000</w:t>
      </w:r>
      <w:r>
        <w:rPr/>
        <w:t>万元以上项目</w:t>
      </w:r>
      <w:r>
        <w:rPr>
          <w:rFonts w:ascii="Times New Roman" w:hAnsi="Times New Roman" w:cs="Times New Roman" w:eastAsia="Times New Roman" w:hint="default"/>
        </w:rPr>
        <w:t>41</w:t>
      </w:r>
      <w:r>
        <w:rPr/>
        <w:t>个（上年同期为</w:t>
      </w:r>
      <w:r>
        <w:rPr>
          <w:rFonts w:ascii="Times New Roman" w:hAnsi="Times New Roman" w:cs="Times New Roman" w:eastAsia="Times New Roman" w:hint="default"/>
        </w:rPr>
        <w:t>24</w:t>
      </w:r>
      <w:r>
        <w:rPr/>
        <w:t>个），预收款项余额为</w:t>
      </w:r>
      <w:r>
        <w:rPr>
          <w:rFonts w:ascii="Times New Roman" w:hAnsi="Times New Roman" w:cs="Times New Roman" w:eastAsia="Times New Roman" w:hint="default"/>
        </w:rPr>
        <w:t>17,650.27</w:t>
      </w:r>
      <w:r>
        <w:rPr/>
        <w:t>万元（</w:t>
      </w:r>
      <w:r>
        <w:rPr>
          <w:rFonts w:ascii="Times New Roman" w:hAnsi="Times New Roman" w:cs="Times New Roman" w:eastAsia="Times New Roman" w:hint="default"/>
        </w:rPr>
        <w:t>2018</w:t>
      </w:r>
      <w:r>
        <w:rPr/>
        <w:t>年同期为</w:t>
      </w:r>
      <w:r>
        <w:rPr>
          <w:rFonts w:ascii="Times New Roman" w:hAnsi="Times New Roman" w:cs="Times New Roman" w:eastAsia="Times New Roman" w:hint="default"/>
        </w:rPr>
        <w:t>20,492.96</w:t>
      </w:r>
      <w:r>
        <w:rPr/>
        <w:t>万</w:t>
      </w:r>
      <w:r>
        <w:rPr>
          <w:spacing w:val="-58"/>
        </w:rPr>
        <w:t> </w:t>
      </w:r>
      <w:r>
        <w:rPr>
          <w:spacing w:val="-2"/>
        </w:rPr>
        <w:t>元，</w:t>
      </w:r>
      <w:r>
        <w:rPr>
          <w:rFonts w:ascii="Times New Roman" w:hAnsi="Times New Roman" w:cs="Times New Roman" w:eastAsia="Times New Roman" w:hint="default"/>
          <w:spacing w:val="-2"/>
        </w:rPr>
        <w:t>2017</w:t>
      </w:r>
      <w:r>
        <w:rPr>
          <w:spacing w:val="-2"/>
        </w:rPr>
        <w:t>年同期为</w:t>
      </w:r>
      <w:r>
        <w:rPr>
          <w:rFonts w:ascii="Times New Roman" w:hAnsi="Times New Roman" w:cs="Times New Roman" w:eastAsia="Times New Roman" w:hint="default"/>
          <w:spacing w:val="-2"/>
        </w:rPr>
        <w:t>9,630.87</w:t>
      </w:r>
      <w:r>
        <w:rPr>
          <w:spacing w:val="-2"/>
        </w:rPr>
        <w:t>万元），因上年预收款项同比高速增长提高了基数，使得本年预收款项同比增长</w:t>
      </w:r>
      <w:r>
        <w:rPr>
          <w:rFonts w:ascii="Times New Roman" w:hAnsi="Times New Roman" w:cs="Times New Roman" w:eastAsia="Times New Roman" w:hint="default"/>
          <w:spacing w:val="-2"/>
        </w:rPr>
        <w:t>-13.87%</w:t>
      </w:r>
      <w:r>
        <w:rPr>
          <w:spacing w:val="-2"/>
        </w:rPr>
        <w:t>（上年同</w:t>
      </w:r>
      <w:r>
        <w:rPr>
          <w:spacing w:val="-35"/>
        </w:rPr>
        <w:t> </w:t>
      </w:r>
      <w:r>
        <w:rPr>
          <w:spacing w:val="-2"/>
        </w:rPr>
        <w:t>比增长</w:t>
      </w:r>
      <w:r>
        <w:rPr>
          <w:rFonts w:ascii="Times New Roman" w:hAnsi="Times New Roman" w:cs="Times New Roman" w:eastAsia="Times New Roman" w:hint="default"/>
          <w:spacing w:val="-2"/>
        </w:rPr>
        <w:t>112.78%</w:t>
      </w:r>
      <w:r>
        <w:rPr>
          <w:spacing w:val="-2"/>
        </w:rPr>
        <w:t>，因此显得本年为负增长，</w:t>
      </w:r>
      <w:r>
        <w:rPr>
          <w:rFonts w:ascii="Times New Roman" w:hAnsi="Times New Roman" w:cs="Times New Roman" w:eastAsia="Times New Roman" w:hint="default"/>
          <w:spacing w:val="-2"/>
        </w:rPr>
        <w:t>2018-2019</w:t>
      </w:r>
      <w:r>
        <w:rPr>
          <w:spacing w:val="-2"/>
        </w:rPr>
        <w:t>年均复合增长</w:t>
      </w:r>
      <w:r>
        <w:rPr>
          <w:rFonts w:ascii="Times New Roman" w:hAnsi="Times New Roman" w:cs="Times New Roman" w:eastAsia="Times New Roman" w:hint="default"/>
          <w:spacing w:val="-2"/>
        </w:rPr>
        <w:t>35.38%</w:t>
      </w:r>
      <w:r>
        <w:rPr>
          <w:spacing w:val="-2"/>
        </w:rPr>
        <w:t>）；经营活动产生的现金流量净额为</w:t>
      </w:r>
      <w:r>
        <w:rPr>
          <w:rFonts w:ascii="Times New Roman" w:hAnsi="Times New Roman" w:cs="Times New Roman" w:eastAsia="Times New Roman" w:hint="default"/>
          <w:spacing w:val="-2"/>
        </w:rPr>
        <w:t>23,330.09</w:t>
      </w:r>
      <w:r>
        <w:rPr>
          <w:spacing w:val="-2"/>
        </w:rPr>
        <w:t>万元</w:t>
      </w:r>
    </w:p>
    <w:p>
      <w:pPr>
        <w:pStyle w:val="BodyText"/>
        <w:spacing w:line="300" w:lineRule="auto" w:before="7"/>
        <w:ind w:right="1129"/>
        <w:jc w:val="both"/>
      </w:pPr>
      <w:r>
        <w:rPr>
          <w:spacing w:val="-2"/>
        </w:rPr>
        <w:t>（</w:t>
      </w:r>
      <w:r>
        <w:rPr>
          <w:rFonts w:ascii="Times New Roman" w:hAnsi="Times New Roman" w:cs="Times New Roman" w:eastAsia="Times New Roman" w:hint="default"/>
          <w:spacing w:val="-2"/>
        </w:rPr>
        <w:t>2018</w:t>
      </w:r>
      <w:r>
        <w:rPr>
          <w:spacing w:val="-2"/>
        </w:rPr>
        <w:t>年同期为</w:t>
      </w:r>
      <w:r>
        <w:rPr>
          <w:rFonts w:ascii="Times New Roman" w:hAnsi="Times New Roman" w:cs="Times New Roman" w:eastAsia="Times New Roman" w:hint="default"/>
          <w:spacing w:val="-2"/>
        </w:rPr>
        <w:t>12,389.45</w:t>
      </w:r>
      <w:r>
        <w:rPr>
          <w:spacing w:val="-2"/>
        </w:rPr>
        <w:t>万元，</w:t>
      </w:r>
      <w:r>
        <w:rPr>
          <w:rFonts w:ascii="Times New Roman" w:hAnsi="Times New Roman" w:cs="Times New Roman" w:eastAsia="Times New Roman" w:hint="default"/>
          <w:spacing w:val="-2"/>
        </w:rPr>
        <w:t>2017</w:t>
      </w:r>
      <w:r>
        <w:rPr>
          <w:spacing w:val="-2"/>
        </w:rPr>
        <w:t>年同期为</w:t>
      </w:r>
      <w:r>
        <w:rPr>
          <w:rFonts w:ascii="Times New Roman" w:hAnsi="Times New Roman" w:cs="Times New Roman" w:eastAsia="Times New Roman" w:hint="default"/>
          <w:spacing w:val="-2"/>
        </w:rPr>
        <w:t>7,978.72</w:t>
      </w:r>
      <w:r>
        <w:rPr>
          <w:spacing w:val="-2"/>
        </w:rPr>
        <w:t>万元），同比增长</w:t>
      </w:r>
      <w:r>
        <w:rPr>
          <w:rFonts w:ascii="Times New Roman" w:hAnsi="Times New Roman" w:cs="Times New Roman" w:eastAsia="Times New Roman" w:hint="default"/>
          <w:spacing w:val="-2"/>
        </w:rPr>
        <w:t>88.31%</w:t>
      </w:r>
      <w:r>
        <w:rPr>
          <w:spacing w:val="-2"/>
        </w:rPr>
        <w:t>（上年同比增长</w:t>
      </w:r>
      <w:r>
        <w:rPr>
          <w:rFonts w:ascii="Times New Roman" w:hAnsi="Times New Roman" w:cs="Times New Roman" w:eastAsia="Times New Roman" w:hint="default"/>
          <w:spacing w:val="-2"/>
        </w:rPr>
        <w:t>55.28%</w:t>
      </w:r>
      <w:r>
        <w:rPr>
          <w:spacing w:val="-2"/>
        </w:rPr>
        <w:t>，</w:t>
      </w:r>
      <w:r>
        <w:rPr>
          <w:rFonts w:ascii="Times New Roman" w:hAnsi="Times New Roman" w:cs="Times New Roman" w:eastAsia="Times New Roman" w:hint="default"/>
          <w:spacing w:val="-2"/>
        </w:rPr>
        <w:t>2018-2019</w:t>
      </w:r>
      <w:r>
        <w:rPr>
          <w:spacing w:val="-2"/>
        </w:rPr>
        <w:t>年均复合</w:t>
      </w:r>
      <w:r>
        <w:rPr>
          <w:spacing w:val="-34"/>
        </w:rPr>
        <w:t> </w:t>
      </w:r>
      <w:r>
        <w:rPr/>
        <w:t>增长</w:t>
      </w:r>
      <w:r>
        <w:rPr>
          <w:rFonts w:ascii="Times New Roman" w:hAnsi="Times New Roman" w:cs="Times New Roman" w:eastAsia="Times New Roman" w:hint="default"/>
        </w:rPr>
        <w:t>71.00%</w:t>
      </w:r>
      <w:r>
        <w:rPr/>
        <w:t>）；资本化研发支出占研发投入比重下降为</w:t>
      </w:r>
      <w:r>
        <w:rPr>
          <w:rFonts w:ascii="Times New Roman" w:hAnsi="Times New Roman" w:cs="Times New Roman" w:eastAsia="Times New Roman" w:hint="default"/>
        </w:rPr>
        <w:t>46.72%</w:t>
      </w:r>
      <w:r>
        <w:rPr/>
        <w:t>（上年同期为</w:t>
      </w:r>
      <w:r>
        <w:rPr>
          <w:rFonts w:ascii="Times New Roman" w:hAnsi="Times New Roman" w:cs="Times New Roman" w:eastAsia="Times New Roman" w:hint="default"/>
        </w:rPr>
        <w:t>49.40%</w:t>
      </w:r>
      <w:r>
        <w:rPr/>
        <w:t>），资本化研发支出占当期净利润的比</w:t>
      </w:r>
      <w:r>
        <w:rPr>
          <w:spacing w:val="-54"/>
        </w:rPr>
        <w:t> </w:t>
      </w:r>
      <w:r>
        <w:rPr>
          <w:spacing w:val="-54"/>
        </w:rPr>
      </w:r>
      <w:r>
        <w:rPr/>
        <w:t>重下降为</w:t>
      </w:r>
      <w:r>
        <w:rPr>
          <w:rFonts w:ascii="Times New Roman" w:hAnsi="Times New Roman" w:cs="Times New Roman" w:eastAsia="Times New Roman" w:hint="default"/>
        </w:rPr>
        <w:t>45.59%</w:t>
      </w:r>
      <w:r>
        <w:rPr/>
        <w:t>（上年同期为</w:t>
      </w:r>
      <w:r>
        <w:rPr>
          <w:rFonts w:ascii="Times New Roman" w:hAnsi="Times New Roman" w:cs="Times New Roman" w:eastAsia="Times New Roman" w:hint="default"/>
        </w:rPr>
        <w:t>46.84%</w:t>
      </w:r>
      <w:r>
        <w:rPr/>
        <w:t>）。</w:t>
      </w:r>
    </w:p>
    <w:p>
      <w:pPr>
        <w:pStyle w:val="BodyText"/>
        <w:spacing w:line="240" w:lineRule="auto" w:before="13"/>
        <w:ind w:left="472" w:right="0"/>
        <w:jc w:val="left"/>
      </w:pPr>
      <w:r>
        <w:rPr/>
        <w:t>报告期内，公司重点工和回顾如下：</w:t>
      </w:r>
    </w:p>
    <w:p>
      <w:pPr>
        <w:spacing w:line="300" w:lineRule="auto" w:before="76"/>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、全面助力医院树立地区标杆，打造一批有特色的高等级医院、智慧医院</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报告期内，在传统医疗卫生信息化领域利好政策不断，国家持续推动健康中国的国家战略落地，同时从政策层面推进医</w:t>
      </w:r>
    </w:p>
    <w:p>
      <w:pPr>
        <w:pStyle w:val="BodyText"/>
        <w:spacing w:line="300" w:lineRule="auto" w:before="31"/>
        <w:ind w:right="1130"/>
        <w:jc w:val="both"/>
      </w:pPr>
      <w:r>
        <w:rPr>
          <w:spacing w:val="-2"/>
        </w:rPr>
        <w:t>药卫生体制改革、智慧医院、医疗联合体等具体方向的发展及创新落地。公司凭借</w:t>
      </w:r>
      <w:r>
        <w:rPr>
          <w:rFonts w:ascii="Times New Roman" w:hAnsi="Times New Roman" w:cs="Times New Roman" w:eastAsia="Times New Roman" w:hint="default"/>
          <w:spacing w:val="-2"/>
        </w:rPr>
        <w:t>20</w:t>
      </w:r>
      <w:r>
        <w:rPr>
          <w:spacing w:val="-2"/>
        </w:rPr>
        <w:t>多年行业深耕积累，继续扩大综合优势</w:t>
      </w:r>
      <w:r>
        <w:rPr>
          <w:spacing w:val="-63"/>
        </w:rPr>
        <w:t> </w:t>
      </w:r>
      <w:r>
        <w:rPr>
          <w:spacing w:val="-63"/>
        </w:rPr>
      </w:r>
      <w:r>
        <w:rPr/>
        <w:t>提高市场占有率，加快推进各省域内服务网络布局，订单总金额及平均金额均有较为明显的提升。</w:t>
      </w:r>
    </w:p>
    <w:p>
      <w:pPr>
        <w:pStyle w:val="BodyText"/>
        <w:spacing w:line="312" w:lineRule="auto" w:before="31"/>
        <w:ind w:right="1125" w:firstLine="360"/>
        <w:jc w:val="both"/>
      </w:pPr>
      <w:r>
        <w:rPr>
          <w:spacing w:val="-2"/>
        </w:rPr>
        <w:t>公司通过树立一批有特色的智慧医院标杆、高等级的电子病历及互联互通项目的承建，获得了市场以及客户的认可，起</w:t>
      </w:r>
      <w:r>
        <w:rPr/>
        <w:t> </w:t>
      </w:r>
      <w:r>
        <w:rPr>
          <w:spacing w:val="-2"/>
        </w:rPr>
        <w:t>到了良好的行业示范效应。如温州医科大学附属第一医院创新应用大数据架构实现全业务系统异构集成，体现卫宁基于第三</w:t>
      </w:r>
      <w:r>
        <w:rPr>
          <w:spacing w:val="-64"/>
        </w:rPr>
        <w:t> </w:t>
      </w:r>
      <w:r>
        <w:rPr>
          <w:spacing w:val="-64"/>
        </w:rPr>
      </w:r>
      <w:r>
        <w:rPr>
          <w:spacing w:val="-2"/>
        </w:rPr>
        <w:t>方构建统一平台的实力，打造医院应用融合的示范标杆；黑龙江省中医药大学附属第一医院为省内唯一的一所国家中医临床</w:t>
      </w:r>
      <w:r>
        <w:rPr>
          <w:spacing w:val="-64"/>
        </w:rPr>
        <w:t> </w:t>
      </w:r>
      <w:r>
        <w:rPr>
          <w:spacing w:val="-64"/>
        </w:rPr>
      </w:r>
      <w:r>
        <w:rPr>
          <w:spacing w:val="-2"/>
        </w:rPr>
        <w:t>研究基地，通过</w:t>
      </w:r>
      <w:r>
        <w:rPr>
          <w:rFonts w:ascii="Times New Roman" w:hAnsi="Times New Roman" w:cs="Times New Roman" w:eastAsia="Times New Roman" w:hint="default"/>
          <w:spacing w:val="-2"/>
        </w:rPr>
        <w:t>“</w:t>
      </w:r>
      <w:r>
        <w:rPr>
          <w:spacing w:val="-2"/>
        </w:rPr>
        <w:t>互联网数字化智慧医院信息升级改造建设</w:t>
      </w:r>
      <w:r>
        <w:rPr>
          <w:rFonts w:ascii="Times New Roman" w:hAnsi="Times New Roman" w:cs="Times New Roman" w:eastAsia="Times New Roman" w:hint="default"/>
          <w:spacing w:val="-2"/>
        </w:rPr>
        <w:t>”</w:t>
      </w:r>
      <w:r>
        <w:rPr>
          <w:spacing w:val="-2"/>
        </w:rPr>
        <w:t>项目，实现临床业务协同一体化、管理统筹精细化，打造黑龙江</w:t>
      </w:r>
      <w:r>
        <w:rPr>
          <w:spacing w:val="-42"/>
        </w:rPr>
        <w:t> </w:t>
      </w:r>
      <w:r>
        <w:rPr>
          <w:spacing w:val="-42"/>
        </w:rPr>
      </w:r>
      <w:r>
        <w:rPr/>
        <w:t>地区中医智慧医院示范标杆；宁夏中卫市中医医院以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为总体思路，建成宁夏地区首家智慧医院和中卫市最大的全</w:t>
      </w:r>
      <w:r>
        <w:rPr>
          <w:spacing w:val="-76"/>
        </w:rPr>
        <w:t> </w:t>
      </w:r>
      <w:r>
        <w:rPr>
          <w:spacing w:val="-76"/>
        </w:rPr>
      </w:r>
      <w:r>
        <w:rPr>
          <w:spacing w:val="-1"/>
        </w:rPr>
        <w:t>智能煎药配送、全智能静配两大中心，实现卫宁临床系统和军字一号</w:t>
      </w:r>
      <w:r>
        <w:rPr>
          <w:rFonts w:ascii="Times New Roman" w:hAnsi="Times New Roman" w:cs="Times New Roman" w:eastAsia="Times New Roman" w:hint="default"/>
          <w:spacing w:val="-1"/>
        </w:rPr>
        <w:t>HIS</w:t>
      </w:r>
      <w:r>
        <w:rPr>
          <w:spacing w:val="-1"/>
        </w:rPr>
        <w:t>系统的对接；迪庆藏族自治州人民医院携手卫宁共</w:t>
      </w:r>
      <w:r>
        <w:rPr>
          <w:spacing w:val="-45"/>
        </w:rPr>
        <w:t> </w:t>
      </w:r>
      <w:r>
        <w:rPr>
          <w:spacing w:val="-45"/>
        </w:rPr>
      </w:r>
      <w:r>
        <w:rPr>
          <w:spacing w:val="-2"/>
        </w:rPr>
        <w:t>同打造东部藏区首个智慧医院标杆，推动为藏区惠民便民和健康扶贫工作等。新增电子病历系统功能应用水平五级的医院为</w:t>
      </w:r>
      <w:r>
        <w:rPr>
          <w:spacing w:val="-64"/>
        </w:rPr>
        <w:t> </w:t>
      </w:r>
      <w:r>
        <w:rPr>
          <w:spacing w:val="-64"/>
        </w:rPr>
      </w:r>
      <w:r>
        <w:rPr>
          <w:spacing w:val="-2"/>
        </w:rPr>
        <w:t>上海交通大学附属儿童医院、温州医科大学附属第一医院、上海市浦东新区人民医院、张家港市第一人民医院；新增信息互</w:t>
      </w:r>
      <w:r>
        <w:rPr>
          <w:spacing w:val="-64"/>
        </w:rPr>
        <w:t> </w:t>
      </w:r>
      <w:r>
        <w:rPr>
          <w:spacing w:val="-64"/>
        </w:rPr>
      </w:r>
      <w:r>
        <w:rPr>
          <w:spacing w:val="-2"/>
        </w:rPr>
        <w:t>联互通标准化成熟度测评五级乙等的医院为上海交通大学附属儿童医院、上海中医药大学附属龙华医院；新增信息互联互通</w:t>
      </w:r>
      <w:r>
        <w:rPr>
          <w:spacing w:val="-64"/>
        </w:rPr>
        <w:t> </w:t>
      </w:r>
      <w:r>
        <w:rPr>
          <w:spacing w:val="-64"/>
        </w:rPr>
      </w:r>
      <w:r>
        <w:rPr>
          <w:spacing w:val="-2"/>
        </w:rPr>
        <w:t>标准化成熟度测评四级甲等的机构为盐城市盐都区卫生健康委员会、内蒙古自治区人民医院、上海市中医药大学附属第七人</w:t>
      </w:r>
      <w:r>
        <w:rPr>
          <w:spacing w:val="-64"/>
        </w:rPr>
        <w:t> </w:t>
      </w:r>
      <w:r>
        <w:rPr>
          <w:spacing w:val="-64"/>
        </w:rPr>
      </w:r>
      <w:r>
        <w:rPr/>
        <w:t>民医院、浙江省中医院。</w:t>
      </w:r>
    </w:p>
    <w:p>
      <w:pPr>
        <w:pStyle w:val="BodyText"/>
        <w:spacing w:line="307" w:lineRule="auto" w:before="22"/>
        <w:ind w:right="1130" w:firstLine="360"/>
        <w:jc w:val="both"/>
      </w:pPr>
      <w:r>
        <w:rPr>
          <w:spacing w:val="-2"/>
        </w:rPr>
        <w:t>公司成功试点</w:t>
      </w:r>
      <w:r>
        <w:rPr>
          <w:rFonts w:ascii="Times New Roman" w:hAnsi="Times New Roman" w:cs="Times New Roman" w:eastAsia="Times New Roman" w:hint="default"/>
          <w:spacing w:val="-2"/>
        </w:rPr>
        <w:t>“</w:t>
      </w:r>
      <w:r>
        <w:rPr>
          <w:spacing w:val="-2"/>
        </w:rPr>
        <w:t>敏捷交付</w:t>
      </w:r>
      <w:r>
        <w:rPr>
          <w:rFonts w:ascii="Times New Roman" w:hAnsi="Times New Roman" w:cs="Times New Roman" w:eastAsia="Times New Roman" w:hint="default"/>
          <w:spacing w:val="-2"/>
        </w:rPr>
        <w:t>”</w:t>
      </w:r>
      <w:r>
        <w:rPr>
          <w:spacing w:val="-2"/>
        </w:rPr>
        <w:t>项目，助力国家三级乙等综合医院四川省通江县人民医院信息化建设项目快速实施上线。该项</w:t>
      </w:r>
      <w:r>
        <w:rPr/>
        <w:t> </w:t>
      </w:r>
      <w:r>
        <w:rPr>
          <w:spacing w:val="-2"/>
        </w:rPr>
        <w:t>目系</w:t>
      </w:r>
      <w:r>
        <w:rPr>
          <w:rFonts w:ascii="Times New Roman" w:hAnsi="Times New Roman" w:cs="Times New Roman" w:eastAsia="Times New Roman" w:hint="default"/>
          <w:spacing w:val="-2"/>
        </w:rPr>
        <w:t>9</w:t>
      </w:r>
      <w:r>
        <w:rPr>
          <w:spacing w:val="-2"/>
        </w:rPr>
        <w:t>月份中标并签约，在公司与医院方的共同努力下，仅用了</w:t>
      </w:r>
      <w:r>
        <w:rPr>
          <w:rFonts w:ascii="Times New Roman" w:hAnsi="Times New Roman" w:cs="Times New Roman" w:eastAsia="Times New Roman" w:hint="default"/>
          <w:spacing w:val="-2"/>
        </w:rPr>
        <w:t>18</w:t>
      </w:r>
      <w:r>
        <w:rPr>
          <w:spacing w:val="-2"/>
        </w:rPr>
        <w:t>天，于</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6</w:t>
      </w:r>
      <w:r>
        <w:rPr>
          <w:spacing w:val="-2"/>
        </w:rPr>
        <w:t>日顺利上线，该试点项目的成功实施，体现出</w:t>
      </w:r>
      <w:r>
        <w:rPr>
          <w:spacing w:val="-60"/>
        </w:rPr>
        <w:t> </w:t>
      </w:r>
      <w:r>
        <w:rPr>
          <w:spacing w:val="-60"/>
        </w:rPr>
      </w:r>
      <w:r>
        <w:rPr>
          <w:spacing w:val="-2"/>
        </w:rPr>
        <w:t>公司项目交付的实施能力，是公司产品研发能力多年积累和公司实施流程化管理水平提升的集中体现，将进一步增强公司市</w:t>
      </w:r>
      <w:r>
        <w:rPr>
          <w:spacing w:val="-64"/>
        </w:rPr>
        <w:t> </w:t>
      </w:r>
      <w:r>
        <w:rPr>
          <w:spacing w:val="-64"/>
        </w:rPr>
      </w:r>
      <w:r>
        <w:rPr/>
        <w:t>场竞争力。</w:t>
      </w:r>
    </w:p>
    <w:p>
      <w:pPr>
        <w:pStyle w:val="Heading4"/>
        <w:spacing w:line="240" w:lineRule="auto" w:before="26"/>
        <w:ind w:left="472" w:right="0"/>
        <w:jc w:val="left"/>
        <w:rPr>
          <w:b w:val="0"/>
          <w:bCs w:val="0"/>
        </w:rPr>
      </w:pPr>
      <w:r>
        <w:rPr>
          <w:rFonts w:ascii="Times New Roman" w:hAnsi="Times New Roman" w:cs="Times New Roman" w:eastAsia="Times New Roman" w:hint="default"/>
        </w:rPr>
        <w:t>2</w:t>
      </w:r>
      <w:r>
        <w:rPr/>
        <w:t>、持续拓展并领跑</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板块，取得实质性成果</w:t>
      </w:r>
      <w:r>
        <w:rPr>
          <w:b w:val="0"/>
          <w:bCs w:val="0"/>
        </w:rPr>
      </w:r>
    </w:p>
    <w:p>
      <w:pPr>
        <w:pStyle w:val="BodyText"/>
        <w:spacing w:line="309" w:lineRule="auto" w:before="63"/>
        <w:ind w:right="1051" w:firstLine="360"/>
        <w:jc w:val="both"/>
      </w:pPr>
      <w:r>
        <w:rPr>
          <w:rFonts w:ascii="Times New Roman" w:hAnsi="Times New Roman" w:cs="Times New Roman" w:eastAsia="Times New Roman" w:hint="default"/>
        </w:rPr>
        <w:t>“</w:t>
      </w:r>
      <w:r>
        <w:rPr/>
        <w:t>云医</w:t>
      </w:r>
      <w:r>
        <w:rPr>
          <w:rFonts w:ascii="Times New Roman" w:hAnsi="Times New Roman" w:cs="Times New Roman" w:eastAsia="Times New Roman" w:hint="default"/>
        </w:rPr>
        <w:t>”</w:t>
      </w:r>
      <w:r>
        <w:rPr/>
        <w:t>主要通过纳里健康平台布局单体医院、医联体、医院联盟、医共体，以及身边医生平台布局基层卫生服务领域， 帮助实体医院打造拥有自身特色、线下线上、院内院外深度结合的互联网医院模式，产品线包括就医服务、健康管理服务、 </w:t>
      </w:r>
      <w:r>
        <w:rPr>
          <w:spacing w:val="-2"/>
        </w:rPr>
        <w:t>互联网诊疗服务、远程医疗协同、家庭医生服务、人工智能、第三方协作等，构建以患者为中心的诊前、诊中、诊后全流程</w:t>
      </w:r>
    </w:p>
    <w:p>
      <w:pPr>
        <w:spacing w:after="0" w:line="309"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472" w:right="0" w:hanging="360"/>
        <w:jc w:val="left"/>
      </w:pPr>
      <w:r>
        <w:rPr/>
        <w:t>的闭环管理，同时促进医疗机构的协作。 纳里健康</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医疗服务</w:t>
      </w:r>
      <w:r>
        <w:rPr>
          <w:rFonts w:ascii="Times New Roman" w:hAnsi="Times New Roman" w:cs="Times New Roman" w:eastAsia="Times New Roman" w:hint="default"/>
        </w:rPr>
        <w:t>”</w:t>
      </w:r>
      <w:r>
        <w:rPr/>
        <w:t>新模式得到了政府主管部门和用户的广泛好评，报告期内，纳里健康与福建省立医院合作</w:t>
      </w:r>
    </w:p>
    <w:p>
      <w:pPr>
        <w:pStyle w:val="BodyText"/>
        <w:spacing w:line="304" w:lineRule="auto"/>
        <w:ind w:right="1125"/>
        <w:jc w:val="both"/>
      </w:pPr>
      <w:r>
        <w:rPr>
          <w:spacing w:val="-2"/>
        </w:rPr>
        <w:t>建立的线上线下一体化服务模式，作为福建省卫健委批复的省内首家试点互联网医院受到国家卫健委领导的肯定。纳里健康</w:t>
      </w:r>
      <w:r>
        <w:rPr>
          <w:spacing w:val="-64"/>
        </w:rPr>
        <w:t> </w:t>
      </w:r>
      <w:r>
        <w:rPr>
          <w:spacing w:val="-64"/>
        </w:rPr>
      </w:r>
      <w:r>
        <w:rPr/>
        <w:t>与浙江大学医学院附属邵逸夫医院共同探索，旨在提升医疗服务和医院管理水平的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医疗服务</w:t>
      </w:r>
      <w:r>
        <w:rPr>
          <w:rFonts w:ascii="Times New Roman" w:hAnsi="Times New Roman" w:cs="Times New Roman" w:eastAsia="Times New Roman" w:hint="default"/>
        </w:rPr>
        <w:t>”</w:t>
      </w:r>
      <w:r>
        <w:rPr/>
        <w:t>新模式及经验做法，</w:t>
      </w:r>
      <w:r>
        <w:rPr>
          <w:spacing w:val="-76"/>
        </w:rPr>
        <w:t> </w:t>
      </w:r>
      <w:r>
        <w:rPr>
          <w:spacing w:val="-76"/>
        </w:rPr>
      </w:r>
      <w:r>
        <w:rPr>
          <w:spacing w:val="-2"/>
        </w:rPr>
        <w:t>在国务院深化医药卫生体制改革领导小组简报（第</w:t>
      </w:r>
      <w:r>
        <w:rPr>
          <w:rFonts w:ascii="Times New Roman" w:hAnsi="Times New Roman" w:cs="Times New Roman" w:eastAsia="Times New Roman" w:hint="default"/>
          <w:spacing w:val="-2"/>
        </w:rPr>
        <w:t>59</w:t>
      </w:r>
      <w:r>
        <w:rPr>
          <w:spacing w:val="-2"/>
        </w:rPr>
        <w:t>期）上专门刊发，并向全国转发推广。纳里健康承建的江西鹰潭市互联</w:t>
      </w:r>
      <w:r>
        <w:rPr>
          <w:spacing w:val="-63"/>
        </w:rPr>
        <w:t> </w:t>
      </w:r>
      <w:r>
        <w:rPr>
          <w:spacing w:val="-63"/>
        </w:rPr>
      </w:r>
      <w:r>
        <w:rPr/>
        <w:t>网</w:t>
      </w:r>
      <w:r>
        <w:rPr>
          <w:rFonts w:ascii="Times New Roman" w:hAnsi="Times New Roman" w:cs="Times New Roman" w:eastAsia="Times New Roman" w:hint="default"/>
        </w:rPr>
        <w:t>+</w:t>
      </w:r>
      <w:r>
        <w:rPr/>
        <w:t>健康扶贫项目入选首批经国家卫健委认定的互联网</w:t>
      </w:r>
      <w:r>
        <w:rPr>
          <w:rFonts w:ascii="Times New Roman" w:hAnsi="Times New Roman" w:cs="Times New Roman" w:eastAsia="Times New Roman" w:hint="default"/>
        </w:rPr>
        <w:t>+</w:t>
      </w:r>
      <w:r>
        <w:rPr/>
        <w:t>健康扶贫应用试点单位并正式授牌。纳里健康承建的</w:t>
      </w:r>
      <w:r>
        <w:rPr>
          <w:rFonts w:ascii="Times New Roman" w:hAnsi="Times New Roman" w:cs="Times New Roman" w:eastAsia="Times New Roman" w:hint="default"/>
        </w:rPr>
        <w:t>“</w:t>
      </w:r>
      <w:r>
        <w:rPr/>
        <w:t>邵医（纳里） 互联网医院平台</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武汉市武昌区智慧社区卫生云平台</w:t>
      </w:r>
      <w:r>
        <w:rPr>
          <w:rFonts w:ascii="Times New Roman" w:hAnsi="Times New Roman" w:cs="Times New Roman" w:eastAsia="Times New Roman" w:hint="default"/>
        </w:rPr>
        <w:t>”</w:t>
      </w:r>
      <w:r>
        <w:rPr/>
        <w:t>被评为</w:t>
      </w:r>
      <w:r>
        <w:rPr>
          <w:rFonts w:ascii="Times New Roman" w:hAnsi="Times New Roman" w:cs="Times New Roman" w:eastAsia="Times New Roman" w:hint="default"/>
        </w:rPr>
        <w:t>“2019</w:t>
      </w:r>
      <w:r>
        <w:rPr/>
        <w:t>中国智慧健康医疗优秀成果</w:t>
      </w:r>
      <w:r>
        <w:rPr>
          <w:rFonts w:ascii="Times New Roman" w:hAnsi="Times New Roman" w:cs="Times New Roman" w:eastAsia="Times New Roman" w:hint="default"/>
        </w:rPr>
        <w:t>”</w:t>
      </w:r>
      <w:r>
        <w:rPr/>
        <w:t>。</w:t>
      </w:r>
    </w:p>
    <w:p>
      <w:pPr>
        <w:pStyle w:val="BodyText"/>
        <w:spacing w:line="300" w:lineRule="auto" w:before="9"/>
        <w:ind w:right="1036" w:firstLine="360"/>
        <w:jc w:val="left"/>
      </w:pPr>
      <w:r>
        <w:rPr/>
        <w:t>报告期内，纳里健康承建</w:t>
      </w:r>
      <w:r>
        <w:rPr>
          <w:rFonts w:ascii="Times New Roman" w:hAnsi="Times New Roman" w:cs="Times New Roman" w:eastAsia="Times New Roman" w:hint="default"/>
        </w:rPr>
        <w:t>6</w:t>
      </w:r>
      <w:r>
        <w:rPr/>
        <w:t>个省级互联网医院监管平台，约占全国建成</w:t>
      </w:r>
      <w:r>
        <w:rPr>
          <w:rFonts w:ascii="Times New Roman" w:hAnsi="Times New Roman" w:cs="Times New Roman" w:eastAsia="Times New Roman" w:hint="default"/>
        </w:rPr>
        <w:t>/</w:t>
      </w:r>
      <w:r>
        <w:rPr/>
        <w:t>在建省级互联网医院监管平台案例的</w:t>
      </w:r>
      <w:r>
        <w:rPr>
          <w:rFonts w:ascii="Times New Roman" w:hAnsi="Times New Roman" w:cs="Times New Roman" w:eastAsia="Times New Roman" w:hint="default"/>
        </w:rPr>
        <w:t>1/3</w:t>
      </w:r>
      <w:r>
        <w:rPr/>
        <w:t>，新签 </w:t>
      </w:r>
      <w:r>
        <w:rPr>
          <w:spacing w:val="-2"/>
        </w:rPr>
        <w:t>约医疗合作项目</w:t>
      </w:r>
      <w:r>
        <w:rPr>
          <w:rFonts w:ascii="Times New Roman" w:hAnsi="Times New Roman" w:cs="Times New Roman" w:eastAsia="Times New Roman" w:hint="default"/>
          <w:spacing w:val="-2"/>
        </w:rPr>
        <w:t>227</w:t>
      </w:r>
      <w:r>
        <w:rPr>
          <w:spacing w:val="-2"/>
        </w:rPr>
        <w:t>个，累计签约医疗合作项目</w:t>
      </w:r>
      <w:r>
        <w:rPr>
          <w:rFonts w:ascii="Times New Roman" w:hAnsi="Times New Roman" w:cs="Times New Roman" w:eastAsia="Times New Roman" w:hint="default"/>
          <w:spacing w:val="-2"/>
        </w:rPr>
        <w:t>462</w:t>
      </w:r>
      <w:r>
        <w:rPr>
          <w:spacing w:val="-2"/>
        </w:rPr>
        <w:t>个，遍及北京、四川、江西、湖南、河北、山东、河南、广西、广东、安</w:t>
      </w:r>
      <w:r>
        <w:rPr>
          <w:spacing w:val="-63"/>
        </w:rPr>
        <w:t> </w:t>
      </w:r>
      <w:r>
        <w:rPr>
          <w:spacing w:val="-63"/>
        </w:rPr>
      </w:r>
      <w:r>
        <w:rPr/>
        <w:t>徽等地。纳里健康平台已累计接入国内医疗机构</w:t>
      </w:r>
      <w:r>
        <w:rPr>
          <w:rFonts w:ascii="Times New Roman" w:hAnsi="Times New Roman" w:cs="Times New Roman" w:eastAsia="Times New Roman" w:hint="default"/>
        </w:rPr>
        <w:t>4,000</w:t>
      </w:r>
      <w:r>
        <w:rPr/>
        <w:t>余家，其中通过合作共建模式已取得医疗机构执业许可证的互联网医</w:t>
      </w:r>
      <w:r>
        <w:rPr>
          <w:spacing w:val="-49"/>
        </w:rPr>
        <w:t> </w:t>
      </w:r>
      <w:r>
        <w:rPr>
          <w:spacing w:val="-49"/>
        </w:rPr>
      </w:r>
      <w:r>
        <w:rPr/>
        <w:t>院共</w:t>
      </w:r>
      <w:r>
        <w:rPr>
          <w:rFonts w:ascii="Times New Roman" w:hAnsi="Times New Roman" w:cs="Times New Roman" w:eastAsia="Times New Roman" w:hint="default"/>
        </w:rPr>
        <w:t>89</w:t>
      </w:r>
      <w:r>
        <w:rPr/>
        <w:t>家（从全国公开数据看，据国家卫健委在</w:t>
      </w:r>
      <w:r>
        <w:rPr>
          <w:rFonts w:ascii="Times New Roman" w:hAnsi="Times New Roman" w:cs="Times New Roman" w:eastAsia="Times New Roman" w:hint="default"/>
        </w:rPr>
        <w:t>2019</w:t>
      </w:r>
      <w:r>
        <w:rPr/>
        <w:t>北京国际远程医学高峰论坛上介绍，到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月全国已有</w:t>
      </w:r>
      <w:r>
        <w:rPr>
          <w:rFonts w:ascii="Times New Roman" w:hAnsi="Times New Roman" w:cs="Times New Roman" w:eastAsia="Times New Roman" w:hint="default"/>
        </w:rPr>
        <w:t>269</w:t>
      </w:r>
      <w:r>
        <w:rPr/>
        <w:t>家互联 网医院，其后未再看到有更新权威统计数据公布），注册医护人员超</w:t>
      </w:r>
      <w:r>
        <w:rPr>
          <w:rFonts w:ascii="Times New Roman" w:hAnsi="Times New Roman" w:cs="Times New Roman" w:eastAsia="Times New Roman" w:hint="default"/>
        </w:rPr>
        <w:t>20</w:t>
      </w:r>
      <w:r>
        <w:rPr/>
        <w:t>万名，远程医疗超</w:t>
      </w:r>
      <w:r>
        <w:rPr>
          <w:rFonts w:ascii="Times New Roman" w:hAnsi="Times New Roman" w:cs="Times New Roman" w:eastAsia="Times New Roman" w:hint="default"/>
        </w:rPr>
        <w:t>200</w:t>
      </w:r>
      <w:r>
        <w:rPr/>
        <w:t>万人次，服务患者超</w:t>
      </w:r>
      <w:r>
        <w:rPr>
          <w:rFonts w:ascii="Times New Roman" w:hAnsi="Times New Roman" w:cs="Times New Roman" w:eastAsia="Times New Roman" w:hint="default"/>
        </w:rPr>
        <w:t>2</w:t>
      </w:r>
      <w:r>
        <w:rPr/>
        <w:t>亿人次， </w:t>
      </w:r>
      <w:r>
        <w:rPr>
          <w:spacing w:val="-7"/>
          <w:w w:val="99"/>
        </w:rPr>
        <w:t>有效实现</w:t>
      </w:r>
      <w:r>
        <w:rPr>
          <w:rFonts w:ascii="Times New Roman" w:hAnsi="Times New Roman" w:cs="Times New Roman" w:eastAsia="Times New Roman" w:hint="default"/>
          <w:spacing w:val="-7"/>
          <w:w w:val="99"/>
        </w:rPr>
        <w:t>“</w:t>
      </w:r>
      <w:r>
        <w:rPr>
          <w:spacing w:val="-7"/>
          <w:w w:val="99"/>
        </w:rPr>
        <w:t>首诊在社区、大病去医院、康复回社区</w:t>
      </w:r>
      <w:r>
        <w:rPr>
          <w:rFonts w:ascii="Times New Roman" w:hAnsi="Times New Roman" w:cs="Times New Roman" w:eastAsia="Times New Roman" w:hint="default"/>
          <w:spacing w:val="-7"/>
          <w:w w:val="99"/>
        </w:rPr>
        <w:t>”</w:t>
      </w:r>
      <w:r>
        <w:rPr>
          <w:spacing w:val="-7"/>
          <w:w w:val="99"/>
        </w:rPr>
        <w:t>的分诊格局。</w:t>
      </w:r>
      <w:r>
        <w:rPr>
          <w:rFonts w:ascii="Times New Roman" w:hAnsi="Times New Roman" w:cs="Times New Roman" w:eastAsia="Times New Roman" w:hint="default"/>
          <w:spacing w:val="-7"/>
          <w:w w:val="99"/>
        </w:rPr>
        <w:t>2019</w:t>
      </w:r>
      <w:r>
        <w:rPr>
          <w:spacing w:val="-7"/>
          <w:w w:val="99"/>
        </w:rPr>
        <w:t>年，纳里健康实现营业收入</w:t>
      </w:r>
      <w:r>
        <w:rPr>
          <w:rFonts w:ascii="Times New Roman" w:hAnsi="Times New Roman" w:cs="Times New Roman" w:eastAsia="Times New Roman" w:hint="default"/>
          <w:spacing w:val="-7"/>
          <w:w w:val="99"/>
        </w:rPr>
        <w:t>6,473.08</w:t>
      </w:r>
      <w:r>
        <w:rPr>
          <w:spacing w:val="-7"/>
          <w:w w:val="99"/>
        </w:rPr>
        <w:t>万元，同比增长</w:t>
      </w:r>
      <w:r>
        <w:rPr>
          <w:rFonts w:ascii="Times New Roman" w:hAnsi="Times New Roman" w:cs="Times New Roman" w:eastAsia="Times New Roman" w:hint="default"/>
          <w:spacing w:val="-7"/>
          <w:w w:val="99"/>
        </w:rPr>
        <w:t>17.31%</w:t>
      </w:r>
      <w:r>
        <w:rPr>
          <w:spacing w:val="-7"/>
          <w:w w:val="99"/>
        </w:rPr>
        <w:t>，</w:t>
      </w:r>
      <w:r>
        <w:rPr>
          <w:spacing w:val="-65"/>
          <w:w w:val="99"/>
        </w:rPr>
        <w:t> </w:t>
      </w:r>
      <w:r>
        <w:rPr/>
        <w:t>净利润</w:t>
      </w:r>
      <w:r>
        <w:rPr>
          <w:rFonts w:ascii="Times New Roman" w:hAnsi="Times New Roman" w:cs="Times New Roman" w:eastAsia="Times New Roman" w:hint="default"/>
        </w:rPr>
        <w:t>-1,501.88</w:t>
      </w:r>
      <w:r>
        <w:rPr/>
        <w:t>万元，同比下降</w:t>
      </w:r>
      <w:r>
        <w:rPr>
          <w:rFonts w:ascii="Times New Roman" w:hAnsi="Times New Roman" w:cs="Times New Roman" w:eastAsia="Times New Roman" w:hint="default"/>
        </w:rPr>
        <w:t>52.28%</w:t>
      </w:r>
      <w:r>
        <w:rPr/>
        <w:t>。</w:t>
      </w:r>
    </w:p>
    <w:p>
      <w:pPr>
        <w:pStyle w:val="BodyText"/>
        <w:spacing w:line="307" w:lineRule="auto" w:before="13"/>
        <w:ind w:right="1039" w:firstLine="360"/>
        <w:jc w:val="left"/>
      </w:pPr>
      <w:r>
        <w:rPr>
          <w:rFonts w:ascii="Times New Roman" w:hAnsi="Times New Roman" w:cs="Times New Roman" w:eastAsia="Times New Roman" w:hint="default"/>
        </w:rPr>
        <w:t>“</w:t>
      </w:r>
      <w:r>
        <w:rPr/>
        <w:t>云险</w:t>
      </w:r>
      <w:r>
        <w:rPr>
          <w:rFonts w:ascii="Times New Roman" w:hAnsi="Times New Roman" w:cs="Times New Roman" w:eastAsia="Times New Roman" w:hint="default"/>
        </w:rPr>
        <w:t>”</w:t>
      </w:r>
      <w:r>
        <w:rPr/>
        <w:t>以医疗支付为主线，构建统一支付平台以及保险风控体系为核心，解决医疗场景中遇到的自费、商保、医保支付 </w:t>
      </w:r>
      <w:r>
        <w:rPr>
          <w:spacing w:val="-2"/>
        </w:rPr>
        <w:t>问题，为客户打造统一多渠道的支付服务、商保快速理赔服务以及企业年金的保险升级服务。报告期内，新增覆盖医疗机构</w:t>
      </w:r>
      <w:r>
        <w:rPr>
          <w:spacing w:val="-64"/>
        </w:rPr>
        <w:t> </w:t>
      </w:r>
      <w:r>
        <w:rPr>
          <w:spacing w:val="-64"/>
        </w:rPr>
      </w:r>
      <w:r>
        <w:rPr/>
        <w:t>数百家，新增交易金额</w:t>
      </w:r>
      <w:r>
        <w:rPr>
          <w:rFonts w:ascii="Times New Roman" w:hAnsi="Times New Roman" w:cs="Times New Roman" w:eastAsia="Times New Roman" w:hint="default"/>
        </w:rPr>
        <w:t>210</w:t>
      </w:r>
      <w:r>
        <w:rPr/>
        <w:t>多亿元（累计交易金额已超过</w:t>
      </w:r>
      <w:r>
        <w:rPr>
          <w:rFonts w:ascii="Times New Roman" w:hAnsi="Times New Roman" w:cs="Times New Roman" w:eastAsia="Times New Roman" w:hint="default"/>
        </w:rPr>
        <w:t>300</w:t>
      </w:r>
      <w:r>
        <w:rPr/>
        <w:t>亿元），新增交易笔数</w:t>
      </w:r>
      <w:r>
        <w:rPr>
          <w:rFonts w:ascii="Times New Roman" w:hAnsi="Times New Roman" w:cs="Times New Roman" w:eastAsia="Times New Roman" w:hint="default"/>
        </w:rPr>
        <w:t>9,700</w:t>
      </w:r>
      <w:r>
        <w:rPr/>
        <w:t>多万笔。同时，已为多家医院接入</w:t>
      </w:r>
      <w:r>
        <w:rPr>
          <w:spacing w:val="-51"/>
        </w:rPr>
        <w:t> </w:t>
      </w:r>
      <w:r>
        <w:rPr>
          <w:spacing w:val="-51"/>
        </w:rPr>
      </w:r>
      <w:r>
        <w:rPr>
          <w:spacing w:val="-2"/>
        </w:rPr>
        <w:t>多种支付渠道：如支付宝、微信、银联云闪付、百度小程序、银行</w:t>
      </w:r>
      <w:r>
        <w:rPr>
          <w:rFonts w:ascii="Times New Roman" w:hAnsi="Times New Roman" w:cs="Times New Roman" w:eastAsia="Times New Roman" w:hint="default"/>
          <w:spacing w:val="-2"/>
        </w:rPr>
        <w:t>APP</w:t>
      </w:r>
      <w:r>
        <w:rPr>
          <w:spacing w:val="-2"/>
        </w:rPr>
        <w:t>等。公司积极布局医疗</w:t>
      </w:r>
      <w:r>
        <w:rPr>
          <w:rFonts w:ascii="Times New Roman" w:hAnsi="Times New Roman" w:cs="Times New Roman" w:eastAsia="Times New Roman" w:hint="default"/>
          <w:spacing w:val="-2"/>
        </w:rPr>
        <w:t>+</w:t>
      </w:r>
      <w:r>
        <w:rPr>
          <w:spacing w:val="-2"/>
        </w:rPr>
        <w:t>金融服务，完善医疗</w:t>
      </w:r>
      <w:r>
        <w:rPr>
          <w:rFonts w:ascii="Times New Roman" w:hAnsi="Times New Roman" w:cs="Times New Roman" w:eastAsia="Times New Roman" w:hint="default"/>
          <w:spacing w:val="-2"/>
        </w:rPr>
        <w:t>+</w:t>
      </w:r>
      <w:r>
        <w:rPr>
          <w:spacing w:val="-2"/>
        </w:rPr>
        <w:t>保险服</w:t>
      </w:r>
      <w:r>
        <w:rPr>
          <w:spacing w:val="-53"/>
        </w:rPr>
        <w:t> </w:t>
      </w:r>
      <w:r>
        <w:rPr>
          <w:spacing w:val="-2"/>
        </w:rPr>
        <w:t>务链路，打通商保直付通路，让保险覆盖更多的诊疗业务，接入企业客户建立医院黄金客户的服务模式，为医疗机构、医疗</w:t>
      </w:r>
      <w:r>
        <w:rPr>
          <w:spacing w:val="-64"/>
        </w:rPr>
        <w:t> </w:t>
      </w:r>
      <w:r>
        <w:rPr>
          <w:spacing w:val="-64"/>
        </w:rPr>
      </w:r>
      <w:r>
        <w:rPr>
          <w:spacing w:val="-4"/>
        </w:rPr>
        <w:t>保障机构、患者提供便捷支付、快速理赔、保险升级的一站式医疗健康支付服务解决方案，目前已接入中国平安、太保安联、</w:t>
      </w:r>
      <w:r>
        <w:rPr>
          <w:spacing w:val="-40"/>
        </w:rPr>
        <w:t> </w:t>
      </w:r>
      <w:r>
        <w:rPr>
          <w:spacing w:val="-40"/>
        </w:rPr>
      </w:r>
      <w:r>
        <w:rPr>
          <w:spacing w:val="-2"/>
        </w:rPr>
        <w:t>泰康产险等多家保险公司以及上海保交所、众安科技等多家保险平台，已经接入上海中医药大学附属龙华医院、上海市第六</w:t>
      </w:r>
      <w:r>
        <w:rPr>
          <w:spacing w:val="-63"/>
        </w:rPr>
        <w:t> </w:t>
      </w:r>
      <w:r>
        <w:rPr>
          <w:spacing w:val="-63"/>
        </w:rPr>
      </w:r>
      <w:r>
        <w:rPr>
          <w:spacing w:val="-2"/>
        </w:rPr>
        <w:t>人民医院、上海市第七人民医院、上海市公共卫生临床中心等十几家大型医院，并向江浙沪京等多个保险业务的重点地区快</w:t>
      </w:r>
      <w:r>
        <w:rPr>
          <w:spacing w:val="-63"/>
        </w:rPr>
        <w:t> </w:t>
      </w:r>
      <w:r>
        <w:rPr>
          <w:spacing w:val="-63"/>
        </w:rPr>
      </w:r>
      <w:r>
        <w:rPr/>
        <w:t>速拓展。此外，主要定位为商保公司及医保部门提供保险智能风控和数据</w:t>
      </w:r>
      <w:r>
        <w:rPr>
          <w:rFonts w:ascii="Times New Roman" w:hAnsi="Times New Roman" w:cs="Times New Roman" w:eastAsia="Times New Roman" w:hint="default"/>
        </w:rPr>
        <w:t>+AI</w:t>
      </w:r>
      <w:r>
        <w:rPr/>
        <w:t>服务的卫宁科技，业务拓展也在持续推进，虽</w:t>
      </w:r>
      <w:r>
        <w:rPr>
          <w:w w:val="99"/>
        </w:rPr>
        <w:t> </w:t>
      </w:r>
      <w:r>
        <w:rPr>
          <w:spacing w:val="-2"/>
        </w:rPr>
        <w:t>因投入加大导致报告期内仍然亏损，但市场竞争力方面有所提升，</w:t>
      </w:r>
      <w:r>
        <w:rPr>
          <w:rFonts w:ascii="Times New Roman" w:hAnsi="Times New Roman" w:cs="Times New Roman" w:eastAsia="Times New Roman" w:hint="default"/>
          <w:spacing w:val="-2"/>
        </w:rPr>
        <w:t>2019</w:t>
      </w:r>
      <w:r>
        <w:rPr>
          <w:spacing w:val="-2"/>
        </w:rPr>
        <w:t>年以来陆续中标了中国保险信息技术管理有限责任公</w:t>
      </w:r>
      <w:r>
        <w:rPr>
          <w:spacing w:val="-63"/>
        </w:rPr>
        <w:t> </w:t>
      </w:r>
      <w:r>
        <w:rPr/>
        <w:t>司（中国保信）重要平台项目和国家医疗保障局重要平台项目等，</w:t>
      </w:r>
      <w:r>
        <w:rPr>
          <w:rFonts w:ascii="Times New Roman" w:hAnsi="Times New Roman" w:cs="Times New Roman" w:eastAsia="Times New Roman" w:hint="default"/>
        </w:rPr>
        <w:t>12</w:t>
      </w:r>
      <w:r>
        <w:rPr/>
        <w:t>月，中国人寿大健康基金又向其增资</w:t>
      </w:r>
      <w:r>
        <w:rPr>
          <w:rFonts w:ascii="Times New Roman" w:hAnsi="Times New Roman" w:cs="Times New Roman" w:eastAsia="Times New Roman" w:hint="default"/>
        </w:rPr>
        <w:t>2</w:t>
      </w:r>
      <w:r>
        <w:rPr/>
        <w:t>亿元（详见公司</w:t>
      </w:r>
      <w:r>
        <w:rPr>
          <w:spacing w:val="-85"/>
        </w:rPr>
        <w:t> </w:t>
      </w:r>
      <w:r>
        <w:rPr>
          <w:rFonts w:ascii="Times New Roman" w:hAnsi="Times New Roman" w:cs="Times New Roman" w:eastAsia="Times New Roman" w:hint="default"/>
        </w:rPr>
        <w:t>2019-097</w:t>
      </w:r>
      <w:r>
        <w:rPr/>
        <w:t>号公告），为其后续提速发展奠定了坚实的基础。因第三方支付公司返点费率大幅下调等原因，</w:t>
      </w:r>
      <w:r>
        <w:rPr>
          <w:rFonts w:ascii="Times New Roman" w:hAnsi="Times New Roman" w:cs="Times New Roman" w:eastAsia="Times New Roman" w:hint="default"/>
        </w:rPr>
        <w:t>2019</w:t>
      </w:r>
      <w:r>
        <w:rPr/>
        <w:t>年，卫宁互联</w:t>
      </w:r>
      <w:r>
        <w:rPr>
          <w:w w:val="99"/>
        </w:rPr>
        <w:t> </w:t>
      </w:r>
      <w:r>
        <w:rPr>
          <w:spacing w:val="-2"/>
        </w:rPr>
        <w:t>网单体报表实现营业收入</w:t>
      </w:r>
      <w:r>
        <w:rPr>
          <w:rFonts w:ascii="Times New Roman" w:hAnsi="Times New Roman" w:cs="Times New Roman" w:eastAsia="Times New Roman" w:hint="default"/>
          <w:spacing w:val="-2"/>
        </w:rPr>
        <w:t>1,899.01</w:t>
      </w:r>
      <w:r>
        <w:rPr>
          <w:spacing w:val="-2"/>
        </w:rPr>
        <w:t>万元，同比增长</w:t>
      </w:r>
      <w:r>
        <w:rPr>
          <w:rFonts w:ascii="Times New Roman" w:hAnsi="Times New Roman" w:cs="Times New Roman" w:eastAsia="Times New Roman" w:hint="default"/>
          <w:spacing w:val="-2"/>
        </w:rPr>
        <w:t>0.78%</w:t>
      </w:r>
      <w:r>
        <w:rPr>
          <w:spacing w:val="-2"/>
        </w:rPr>
        <w:t>，净利润</w:t>
      </w:r>
      <w:r>
        <w:rPr>
          <w:rFonts w:ascii="Times New Roman" w:hAnsi="Times New Roman" w:cs="Times New Roman" w:eastAsia="Times New Roman" w:hint="default"/>
          <w:spacing w:val="-2"/>
        </w:rPr>
        <w:t>-547.53</w:t>
      </w:r>
      <w:r>
        <w:rPr>
          <w:spacing w:val="-2"/>
        </w:rPr>
        <w:t>万元，同比下降</w:t>
      </w:r>
      <w:r>
        <w:rPr>
          <w:rFonts w:ascii="Times New Roman" w:hAnsi="Times New Roman" w:cs="Times New Roman" w:eastAsia="Times New Roman" w:hint="default"/>
          <w:spacing w:val="-2"/>
        </w:rPr>
        <w:t>10,629.42%</w:t>
      </w:r>
      <w:r>
        <w:rPr>
          <w:spacing w:val="-2"/>
        </w:rPr>
        <w:t>；因承接上述国家重要项</w:t>
      </w:r>
      <w:r>
        <w:rPr>
          <w:spacing w:val="-46"/>
        </w:rPr>
        <w:t> </w:t>
      </w:r>
      <w:r>
        <w:rPr>
          <w:spacing w:val="-46"/>
        </w:rPr>
      </w:r>
      <w:r>
        <w:rPr/>
        <w:t>目投入加大等原因，卫宁科技实现营业收入</w:t>
      </w:r>
      <w:r>
        <w:rPr>
          <w:rFonts w:ascii="Times New Roman" w:hAnsi="Times New Roman" w:cs="Times New Roman" w:eastAsia="Times New Roman" w:hint="default"/>
        </w:rPr>
        <w:t>1,725.28</w:t>
      </w:r>
      <w:r>
        <w:rPr/>
        <w:t>万元，同比增长</w:t>
      </w:r>
      <w:r>
        <w:rPr>
          <w:rFonts w:ascii="Times New Roman" w:hAnsi="Times New Roman" w:cs="Times New Roman" w:eastAsia="Times New Roman" w:hint="default"/>
        </w:rPr>
        <w:t>40.02%</w:t>
      </w:r>
      <w:r>
        <w:rPr/>
        <w:t>，净利润</w:t>
      </w:r>
      <w:r>
        <w:rPr>
          <w:rFonts w:ascii="Times New Roman" w:hAnsi="Times New Roman" w:cs="Times New Roman" w:eastAsia="Times New Roman" w:hint="default"/>
        </w:rPr>
        <w:t>-6,091.23</w:t>
      </w:r>
      <w:r>
        <w:rPr/>
        <w:t>万元，同比下降</w:t>
      </w:r>
      <w:r>
        <w:rPr>
          <w:rFonts w:ascii="Times New Roman" w:hAnsi="Times New Roman" w:cs="Times New Roman" w:eastAsia="Times New Roman" w:hint="default"/>
        </w:rPr>
        <w:t>87.07%</w:t>
      </w:r>
      <w:r>
        <w:rPr/>
        <w:t>。按权</w:t>
      </w:r>
      <w:r>
        <w:rPr>
          <w:w w:val="99"/>
        </w:rPr>
        <w:t> </w:t>
      </w:r>
      <w:r>
        <w:rPr/>
        <w:t>益计算，卫宁科技一家亏损额约占卫宁整个创新业务板块亏损额的</w:t>
      </w:r>
      <w:r>
        <w:rPr>
          <w:rFonts w:ascii="Times New Roman" w:hAnsi="Times New Roman" w:cs="Times New Roman" w:eastAsia="Times New Roman" w:hint="default"/>
        </w:rPr>
        <w:t>63.93%</w:t>
      </w:r>
      <w:r>
        <w:rPr/>
        <w:t>。</w:t>
      </w:r>
    </w:p>
    <w:p>
      <w:pPr>
        <w:pStyle w:val="BodyText"/>
        <w:spacing w:line="307" w:lineRule="auto" w:before="7"/>
        <w:ind w:right="1051" w:firstLine="360"/>
        <w:jc w:val="left"/>
      </w:pPr>
      <w:r>
        <w:rPr>
          <w:rFonts w:ascii="Times New Roman" w:hAnsi="Times New Roman" w:cs="Times New Roman" w:eastAsia="Times New Roman" w:hint="default"/>
        </w:rPr>
        <w:t>“</w:t>
      </w:r>
      <w:r>
        <w:rPr/>
        <w:t>云药</w:t>
      </w:r>
      <w:r>
        <w:rPr>
          <w:rFonts w:ascii="Times New Roman" w:hAnsi="Times New Roman" w:cs="Times New Roman" w:eastAsia="Times New Roman" w:hint="default"/>
        </w:rPr>
        <w:t>”</w:t>
      </w:r>
      <w:r>
        <w:rPr/>
        <w:t>持续打造一个融</w:t>
      </w:r>
      <w:r>
        <w:rPr>
          <w:rFonts w:ascii="Times New Roman" w:hAnsi="Times New Roman" w:cs="Times New Roman" w:eastAsia="Times New Roman" w:hint="default"/>
        </w:rPr>
        <w:t>“</w:t>
      </w:r>
      <w:r>
        <w:rPr/>
        <w:t>处方流转、药险联动、</w:t>
      </w:r>
      <w:r>
        <w:rPr>
          <w:rFonts w:ascii="Times New Roman" w:hAnsi="Times New Roman" w:cs="Times New Roman" w:eastAsia="Times New Roman" w:hint="default"/>
        </w:rPr>
        <w:t>B2B</w:t>
      </w:r>
      <w:r>
        <w:rPr/>
        <w:t>赋能、健康服务</w:t>
      </w:r>
      <w:r>
        <w:rPr>
          <w:rFonts w:ascii="Times New Roman" w:hAnsi="Times New Roman" w:cs="Times New Roman" w:eastAsia="Times New Roman" w:hint="default"/>
        </w:rPr>
        <w:t>”</w:t>
      </w:r>
      <w:r>
        <w:rPr/>
        <w:t>于一体的</w:t>
      </w:r>
      <w:r>
        <w:rPr>
          <w:rFonts w:ascii="Times New Roman" w:hAnsi="Times New Roman" w:cs="Times New Roman" w:eastAsia="Times New Roman" w:hint="default"/>
        </w:rPr>
        <w:t>“</w:t>
      </w:r>
      <w:r>
        <w:rPr/>
        <w:t>药联体</w:t>
      </w:r>
      <w:r>
        <w:rPr>
          <w:rFonts w:ascii="Times New Roman" w:hAnsi="Times New Roman" w:cs="Times New Roman" w:eastAsia="Times New Roman" w:hint="default"/>
        </w:rPr>
        <w:t>”</w:t>
      </w:r>
      <w:r>
        <w:rPr/>
        <w:t>，推动钥世圈云药平台与卫宁医 疗健康业务的搭载与延伸。截至报告期末，</w:t>
      </w:r>
      <w:r>
        <w:rPr>
          <w:rFonts w:ascii="Times New Roman" w:hAnsi="Times New Roman" w:cs="Times New Roman" w:eastAsia="Times New Roman" w:hint="default"/>
        </w:rPr>
        <w:t>“</w:t>
      </w:r>
      <w:r>
        <w:rPr/>
        <w:t>药联体</w:t>
      </w:r>
      <w:r>
        <w:rPr>
          <w:rFonts w:ascii="Times New Roman" w:hAnsi="Times New Roman" w:cs="Times New Roman" w:eastAsia="Times New Roman" w:hint="default"/>
        </w:rPr>
        <w:t>”</w:t>
      </w:r>
      <w:r>
        <w:rPr/>
        <w:t>合作成员近</w:t>
      </w:r>
      <w:r>
        <w:rPr>
          <w:rFonts w:ascii="Times New Roman" w:hAnsi="Times New Roman" w:cs="Times New Roman" w:eastAsia="Times New Roman" w:hint="default"/>
        </w:rPr>
        <w:t>8</w:t>
      </w:r>
      <w:r>
        <w:rPr/>
        <w:t>万家，用户分布于全国</w:t>
      </w:r>
      <w:r>
        <w:rPr>
          <w:rFonts w:ascii="Times New Roman" w:hAnsi="Times New Roman" w:cs="Times New Roman" w:eastAsia="Times New Roman" w:hint="default"/>
        </w:rPr>
        <w:t>30</w:t>
      </w:r>
      <w:r>
        <w:rPr/>
        <w:t>个省市自治区；合作保险公司达</w:t>
      </w:r>
      <w:r>
        <w:rPr>
          <w:spacing w:val="-68"/>
        </w:rPr>
        <w:t> </w:t>
      </w:r>
      <w:r>
        <w:rPr>
          <w:spacing w:val="-68"/>
        </w:rPr>
      </w:r>
      <w:r>
        <w:rPr>
          <w:rFonts w:ascii="Times New Roman" w:hAnsi="Times New Roman" w:cs="Times New Roman" w:eastAsia="Times New Roman" w:hint="default"/>
        </w:rPr>
        <w:t>60</w:t>
      </w:r>
      <w:r>
        <w:rPr/>
        <w:t>余家，管理保费金额超</w:t>
      </w:r>
      <w:r>
        <w:rPr>
          <w:rFonts w:ascii="Times New Roman" w:hAnsi="Times New Roman" w:cs="Times New Roman" w:eastAsia="Times New Roman" w:hint="default"/>
        </w:rPr>
        <w:t>40</w:t>
      </w:r>
      <w:r>
        <w:rPr/>
        <w:t>亿元，依托</w:t>
      </w:r>
      <w:r>
        <w:rPr>
          <w:rFonts w:ascii="Times New Roman" w:hAnsi="Times New Roman" w:cs="Times New Roman" w:eastAsia="Times New Roman" w:hint="default"/>
        </w:rPr>
        <w:t>“</w:t>
      </w:r>
      <w:r>
        <w:rPr/>
        <w:t>药联体</w:t>
      </w:r>
      <w:r>
        <w:rPr>
          <w:rFonts w:ascii="Times New Roman" w:hAnsi="Times New Roman" w:cs="Times New Roman" w:eastAsia="Times New Roman" w:hint="default"/>
        </w:rPr>
        <w:t>”</w:t>
      </w:r>
      <w:r>
        <w:rPr/>
        <w:t>等平台，整体交易额累计超过</w:t>
      </w:r>
      <w:r>
        <w:rPr>
          <w:rFonts w:ascii="Times New Roman" w:hAnsi="Times New Roman" w:cs="Times New Roman" w:eastAsia="Times New Roman" w:hint="default"/>
        </w:rPr>
        <w:t>7</w:t>
      </w:r>
      <w:r>
        <w:rPr/>
        <w:t>亿元；通过</w:t>
      </w:r>
      <w:r>
        <w:rPr>
          <w:rFonts w:ascii="Times New Roman" w:hAnsi="Times New Roman" w:cs="Times New Roman" w:eastAsia="Times New Roman" w:hint="default"/>
        </w:rPr>
        <w:t>“</w:t>
      </w:r>
      <w:r>
        <w:rPr/>
        <w:t>钥健康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企健网</w:t>
      </w:r>
      <w:r>
        <w:rPr>
          <w:rFonts w:ascii="Times New Roman" w:hAnsi="Times New Roman" w:cs="Times New Roman" w:eastAsia="Times New Roman" w:hint="default"/>
        </w:rPr>
        <w:t>”</w:t>
      </w:r>
      <w:r>
        <w:rPr/>
        <w:t>门户平台，</w:t>
      </w:r>
      <w:r>
        <w:rPr>
          <w:spacing w:val="-33"/>
        </w:rPr>
        <w:t> </w:t>
      </w:r>
      <w:r>
        <w:rPr>
          <w:spacing w:val="-33"/>
        </w:rPr>
      </w:r>
      <w:r>
        <w:rPr>
          <w:spacing w:val="-2"/>
        </w:rPr>
        <w:t>双向对接上游保险机构及其各险种、下游各连锁药店以及医疗终端，既丰富了商业健康险服务内容，推动了健康险理赔服务</w:t>
      </w:r>
      <w:r>
        <w:rPr>
          <w:spacing w:val="-63"/>
        </w:rPr>
        <w:t> </w:t>
      </w:r>
      <w:r>
        <w:rPr>
          <w:spacing w:val="-63"/>
        </w:rPr>
      </w:r>
      <w:r>
        <w:rPr>
          <w:spacing w:val="-2"/>
        </w:rPr>
        <w:t>自动化水平，又通过导流等方式帮助了线下药房业务的发展；钥世圈作为卫宁云药平台，积极推动处方流转平台的搭建、布</w:t>
      </w:r>
      <w:r>
        <w:rPr>
          <w:spacing w:val="-64"/>
        </w:rPr>
        <w:t> </w:t>
      </w:r>
      <w:r>
        <w:rPr>
          <w:spacing w:val="-64"/>
        </w:rPr>
      </w:r>
      <w:r>
        <w:rPr/>
        <w:t>局和运营，持续优化电子处方安全管理与流转平台的开发与试点，已对接天津、上海、重庆、杭州等近</w:t>
      </w:r>
      <w:r>
        <w:rPr>
          <w:rFonts w:ascii="Times New Roman" w:hAnsi="Times New Roman" w:cs="Times New Roman" w:eastAsia="Times New Roman" w:hint="default"/>
        </w:rPr>
        <w:t>10</w:t>
      </w:r>
      <w:r>
        <w:rPr/>
        <w:t>家医院的云药房， </w:t>
      </w:r>
      <w:r>
        <w:rPr>
          <w:spacing w:val="-2"/>
        </w:rPr>
        <w:t>成为了医院线上及线下就诊患者院外取药、送药到家服务的新平台。同时，与相关医药及健康产品主流分销商、零售商实现</w:t>
      </w:r>
      <w:r>
        <w:rPr>
          <w:spacing w:val="-64"/>
        </w:rPr>
        <w:t> </w:t>
      </w:r>
      <w:r>
        <w:rPr>
          <w:spacing w:val="-64"/>
        </w:rPr>
      </w:r>
      <w:r>
        <w:rPr>
          <w:spacing w:val="-2"/>
        </w:rPr>
        <w:t>了系统对接、品种匹配和库存同步，致力打造</w:t>
      </w:r>
      <w:r>
        <w:rPr>
          <w:rFonts w:ascii="Times New Roman" w:hAnsi="Times New Roman" w:cs="Times New Roman" w:eastAsia="Times New Roman" w:hint="default"/>
          <w:spacing w:val="-2"/>
        </w:rPr>
        <w:t>“</w:t>
      </w:r>
      <w:r>
        <w:rPr>
          <w:spacing w:val="-2"/>
        </w:rPr>
        <w:t>开放、联通、共赢、中立</w:t>
      </w:r>
      <w:r>
        <w:rPr>
          <w:rFonts w:ascii="Times New Roman" w:hAnsi="Times New Roman" w:cs="Times New Roman" w:eastAsia="Times New Roman" w:hint="default"/>
          <w:spacing w:val="-2"/>
        </w:rPr>
        <w:t>”</w:t>
      </w:r>
      <w:r>
        <w:rPr>
          <w:spacing w:val="-2"/>
        </w:rPr>
        <w:t>的院外药品及健康产品供应链。</w:t>
      </w:r>
      <w:r>
        <w:rPr>
          <w:rFonts w:ascii="Times New Roman" w:hAnsi="Times New Roman" w:cs="Times New Roman" w:eastAsia="Times New Roman" w:hint="default"/>
          <w:spacing w:val="-2"/>
        </w:rPr>
        <w:t>2019</w:t>
      </w:r>
      <w:r>
        <w:rPr>
          <w:spacing w:val="-2"/>
        </w:rPr>
        <w:t>年，钥世圈实</w:t>
      </w:r>
      <w:r>
        <w:rPr>
          <w:spacing w:val="-43"/>
        </w:rPr>
        <w:t> </w:t>
      </w:r>
      <w:r>
        <w:rPr>
          <w:spacing w:val="-43"/>
        </w:rPr>
      </w:r>
      <w:r>
        <w:rPr/>
        <w:t>现营业收入</w:t>
      </w:r>
      <w:r>
        <w:rPr>
          <w:rFonts w:ascii="Times New Roman" w:hAnsi="Times New Roman" w:cs="Times New Roman" w:eastAsia="Times New Roman" w:hint="default"/>
        </w:rPr>
        <w:t>17,929.21</w:t>
      </w:r>
      <w:r>
        <w:rPr/>
        <w:t>万元，同比增长</w:t>
      </w:r>
      <w:r>
        <w:rPr>
          <w:rFonts w:ascii="Times New Roman" w:hAnsi="Times New Roman" w:cs="Times New Roman" w:eastAsia="Times New Roman" w:hint="default"/>
        </w:rPr>
        <w:t>105.07%</w:t>
      </w:r>
      <w:r>
        <w:rPr/>
        <w:t>，净利润</w:t>
      </w:r>
      <w:r>
        <w:rPr>
          <w:rFonts w:ascii="Times New Roman" w:hAnsi="Times New Roman" w:cs="Times New Roman" w:eastAsia="Times New Roman" w:hint="default"/>
        </w:rPr>
        <w:t>-916.24</w:t>
      </w:r>
      <w:r>
        <w:rPr/>
        <w:t>万元，同比增长</w:t>
      </w:r>
      <w:r>
        <w:rPr>
          <w:rFonts w:ascii="Times New Roman" w:hAnsi="Times New Roman" w:cs="Times New Roman" w:eastAsia="Times New Roman" w:hint="default"/>
        </w:rPr>
        <w:t>1.18%</w:t>
      </w:r>
      <w:r>
        <w:rPr/>
        <w:t>。</w:t>
      </w:r>
    </w:p>
    <w:p>
      <w:pPr>
        <w:pStyle w:val="BodyText"/>
        <w:spacing w:line="300" w:lineRule="auto" w:before="7"/>
        <w:ind w:right="1109" w:firstLine="360"/>
        <w:jc w:val="left"/>
      </w:pPr>
      <w:r>
        <w:rPr>
          <w:rFonts w:ascii="Times New Roman" w:hAnsi="Times New Roman" w:cs="Times New Roman" w:eastAsia="Times New Roman" w:hint="default"/>
        </w:rPr>
        <w:t>“</w:t>
      </w:r>
      <w:r>
        <w:rPr/>
        <w:t>云康</w:t>
      </w:r>
      <w:r>
        <w:rPr>
          <w:rFonts w:ascii="Times New Roman" w:hAnsi="Times New Roman" w:cs="Times New Roman" w:eastAsia="Times New Roman" w:hint="default"/>
        </w:rPr>
        <w:t>”</w:t>
      </w:r>
      <w:r>
        <w:rPr/>
        <w:t>以实现线上线下一体化的居民保健</w:t>
      </w:r>
      <w:r>
        <w:rPr>
          <w:rFonts w:ascii="Times New Roman" w:hAnsi="Times New Roman" w:cs="Times New Roman" w:eastAsia="Times New Roman" w:hint="default"/>
        </w:rPr>
        <w:t>+</w:t>
      </w:r>
      <w:r>
        <w:rPr/>
        <w:t>慢病管理</w:t>
      </w:r>
      <w:r>
        <w:rPr>
          <w:rFonts w:ascii="Times New Roman" w:hAnsi="Times New Roman" w:cs="Times New Roman" w:eastAsia="Times New Roman" w:hint="default"/>
        </w:rPr>
        <w:t>+</w:t>
      </w:r>
      <w:r>
        <w:rPr/>
        <w:t>就医导医</w:t>
      </w:r>
      <w:r>
        <w:rPr>
          <w:rFonts w:ascii="Times New Roman" w:hAnsi="Times New Roman" w:cs="Times New Roman" w:eastAsia="Times New Roman" w:hint="default"/>
        </w:rPr>
        <w:t>+</w:t>
      </w:r>
      <w:r>
        <w:rPr/>
        <w:t>体检服务，其中公司参股的上海好医通健康信息咨询有 限公司布局</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体检</w:t>
      </w:r>
      <w:r>
        <w:rPr>
          <w:rFonts w:ascii="Times New Roman" w:hAnsi="Times New Roman" w:cs="Times New Roman" w:eastAsia="Times New Roman" w:hint="default"/>
        </w:rPr>
        <w:t>”</w:t>
      </w:r>
      <w:r>
        <w:rPr/>
        <w:t>保持既定的战略持续推进中。</w:t>
      </w:r>
    </w:p>
    <w:p>
      <w:pPr>
        <w:pStyle w:val="BodyText"/>
        <w:spacing w:line="300" w:lineRule="auto" w:before="13"/>
        <w:ind w:right="0" w:firstLine="360"/>
        <w:jc w:val="left"/>
      </w:pPr>
      <w:r>
        <w:rPr>
          <w:rFonts w:ascii="Times New Roman" w:hAnsi="Times New Roman" w:cs="Times New Roman" w:eastAsia="Times New Roman" w:hint="default"/>
        </w:rPr>
        <w:t>“</w:t>
      </w:r>
      <w:r>
        <w:rPr/>
        <w:t>创新服务平台</w:t>
      </w:r>
      <w:r>
        <w:rPr>
          <w:rFonts w:ascii="Times New Roman" w:hAnsi="Times New Roman" w:cs="Times New Roman" w:eastAsia="Times New Roman" w:hint="default"/>
        </w:rPr>
        <w:t>”</w:t>
      </w:r>
      <w:r>
        <w:rPr/>
        <w:t>主要通过卫宁互联网，作为卫宁创新业务的平台和孵化器，推动公司互联网</w:t>
      </w:r>
      <w:r>
        <w:rPr>
          <w:rFonts w:ascii="Times New Roman" w:hAnsi="Times New Roman" w:cs="Times New Roman" w:eastAsia="Times New Roman" w:hint="default"/>
        </w:rPr>
        <w:t>+</w:t>
      </w:r>
      <w:r>
        <w:rPr/>
        <w:t>模式下的医疗健康云服务 等创新业务的发展，整合</w:t>
      </w:r>
      <w:r>
        <w:rPr>
          <w:rFonts w:ascii="Times New Roman" w:hAnsi="Times New Roman" w:cs="Times New Roman" w:eastAsia="Times New Roman" w:hint="default"/>
        </w:rPr>
        <w:t>4</w:t>
      </w:r>
      <w:r>
        <w:rPr/>
        <w:t>朵云间业务资源、数据资源、服务资源，实现</w:t>
      </w:r>
      <w:r>
        <w:rPr>
          <w:rFonts w:ascii="Times New Roman" w:hAnsi="Times New Roman" w:cs="Times New Roman" w:eastAsia="Times New Roman" w:hint="default"/>
        </w:rPr>
        <w:t>4</w:t>
      </w:r>
      <w:r>
        <w:rPr/>
        <w:t>朵云间业务联动、协同以及输出。</w:t>
      </w:r>
    </w:p>
    <w:p>
      <w:pPr>
        <w:pStyle w:val="Heading4"/>
        <w:spacing w:line="240" w:lineRule="auto" w:before="13"/>
        <w:ind w:right="0"/>
        <w:jc w:val="left"/>
        <w:rPr>
          <w:b w:val="0"/>
          <w:bCs w:val="0"/>
        </w:rPr>
      </w:pPr>
      <w:r>
        <w:rPr/>
        <w:t>公司创新业务板块主要公司经营情况表：</w:t>
      </w:r>
      <w:r>
        <w:rPr>
          <w:b w:val="0"/>
          <w:bCs w:val="0"/>
        </w:rPr>
      </w:r>
    </w:p>
    <w:p>
      <w:pPr>
        <w:pStyle w:val="BodyText"/>
        <w:spacing w:line="240" w:lineRule="auto" w:before="76"/>
        <w:ind w:left="0" w:right="1132"/>
        <w:jc w:val="right"/>
      </w:pPr>
      <w:r>
        <w:rPr/>
        <w:t>单位：万元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653"/>
        <w:gridCol w:w="1404"/>
        <w:gridCol w:w="983"/>
        <w:gridCol w:w="981"/>
        <w:gridCol w:w="1124"/>
        <w:gridCol w:w="1124"/>
        <w:gridCol w:w="1123"/>
        <w:gridCol w:w="1266"/>
      </w:tblGrid>
      <w:tr>
        <w:trPr>
          <w:trHeight w:val="342" w:hRule="exact"/>
        </w:trPr>
        <w:tc>
          <w:tcPr>
            <w:tcW w:w="165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40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卫宁持股比例</w:t>
            </w:r>
          </w:p>
        </w:tc>
        <w:tc>
          <w:tcPr>
            <w:tcW w:w="308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51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42" w:hRule="exact"/>
        </w:trPr>
        <w:tc>
          <w:tcPr>
            <w:tcW w:w="1653" w:type="dxa"/>
            <w:vMerge/>
            <w:tcBorders>
              <w:left w:val="single" w:sz="4" w:space="0" w:color="000000"/>
              <w:bottom w:val="single" w:sz="4" w:space="0" w:color="000000"/>
              <w:right w:val="single" w:sz="4" w:space="0" w:color="000000"/>
            </w:tcBorders>
            <w:shd w:val="clear" w:color="auto" w:fill="D9D9D9"/>
          </w:tcPr>
          <w:p>
            <w:pPr/>
          </w:p>
        </w:tc>
        <w:tc>
          <w:tcPr>
            <w:tcW w:w="1404" w:type="dxa"/>
            <w:vMerge/>
            <w:tcBorders>
              <w:left w:val="single" w:sz="4" w:space="0" w:color="000000"/>
              <w:bottom w:val="single" w:sz="4" w:space="0" w:color="000000"/>
              <w:right w:val="single" w:sz="4" w:space="0" w:color="000000"/>
            </w:tcBorders>
            <w:shd w:val="clear" w:color="auto" w:fill="D9D9D9"/>
          </w:tcPr>
          <w:p>
            <w:pPr/>
          </w:p>
        </w:tc>
        <w:tc>
          <w:tcPr>
            <w:tcW w:w="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86" w:right="0"/>
              <w:jc w:val="left"/>
              <w:rPr>
                <w:rFonts w:ascii="宋体" w:hAnsi="宋体" w:cs="宋体" w:eastAsia="宋体" w:hint="default"/>
                <w:sz w:val="18"/>
                <w:szCs w:val="18"/>
              </w:rPr>
            </w:pPr>
            <w:r>
              <w:rPr>
                <w:rFonts w:ascii="宋体" w:hAnsi="宋体" w:cs="宋体" w:eastAsia="宋体" w:hint="default"/>
                <w:sz w:val="18"/>
                <w:szCs w:val="18"/>
              </w:rPr>
              <w:t>增长率</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增长率</w:t>
            </w:r>
          </w:p>
        </w:tc>
      </w:tr>
      <w:tr>
        <w:trPr>
          <w:trHeight w:val="654" w:hRule="exact"/>
        </w:trPr>
        <w:tc>
          <w:tcPr>
            <w:tcW w:w="1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卫宁互联网</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（单体）</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1,899.01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1,884.34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0.78%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-547.53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-10,629.42%</w:t>
            </w:r>
          </w:p>
        </w:tc>
      </w:tr>
      <w:tr>
        <w:trPr>
          <w:trHeight w:val="342" w:hRule="exact"/>
        </w:trPr>
        <w:tc>
          <w:tcPr>
            <w:tcW w:w="1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纳里健康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69.37%</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6,473.08</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5,517.86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17.31%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-1,501.88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-986.29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-52.28%</w:t>
            </w:r>
          </w:p>
        </w:tc>
      </w:tr>
      <w:tr>
        <w:trPr>
          <w:trHeight w:val="342" w:hRule="exact"/>
        </w:trPr>
        <w:tc>
          <w:tcPr>
            <w:tcW w:w="1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31.97%</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17,929.21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8,742.85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105.07%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-916.24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-927.18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1.18%</w:t>
            </w:r>
          </w:p>
        </w:tc>
      </w:tr>
      <w:tr>
        <w:trPr>
          <w:trHeight w:val="342" w:hRule="exact"/>
        </w:trPr>
        <w:tc>
          <w:tcPr>
            <w:tcW w:w="1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卫宁科技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1,725.28</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1,232.20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-6,091.23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-3,256.14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-87.07%</w:t>
            </w:r>
          </w:p>
        </w:tc>
      </w:tr>
      <w:tr>
        <w:trPr>
          <w:trHeight w:val="342" w:hRule="exact"/>
        </w:trPr>
        <w:tc>
          <w:tcPr>
            <w:tcW w:w="1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28,026.58</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17,377.25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61.28%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-9,056.88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-5,164.41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-75.37%</w:t>
            </w:r>
          </w:p>
        </w:tc>
      </w:tr>
    </w:tbl>
    <w:p>
      <w:pPr>
        <w:pStyle w:val="BodyText"/>
        <w:spacing w:line="300" w:lineRule="auto" w:before="10"/>
        <w:ind w:left="132" w:right="1128" w:firstLine="360"/>
        <w:jc w:val="both"/>
      </w:pPr>
      <w:r>
        <w:rPr>
          <w:spacing w:val="-2"/>
        </w:rPr>
        <w:t>注：（</w:t>
      </w:r>
      <w:r>
        <w:rPr>
          <w:rFonts w:ascii="Times New Roman" w:hAnsi="Times New Roman" w:cs="Times New Roman" w:eastAsia="Times New Roman" w:hint="default"/>
          <w:spacing w:val="-2"/>
        </w:rPr>
        <w:t>1</w:t>
      </w:r>
      <w:r>
        <w:rPr>
          <w:spacing w:val="-2"/>
        </w:rPr>
        <w:t>）卫宁持股比例指卫宁健康及其控股子公司合计持股比例；（</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月中国人寿大健康基金向卫宁科技增</w:t>
      </w:r>
      <w:r>
        <w:rPr/>
        <w:t> </w:t>
      </w:r>
      <w:r>
        <w:rPr>
          <w:spacing w:val="2"/>
        </w:rPr>
        <w:t>资</w:t>
      </w:r>
      <w:r>
        <w:rPr>
          <w:rFonts w:ascii="Times New Roman" w:hAnsi="Times New Roman" w:cs="Times New Roman" w:eastAsia="Times New Roman" w:hint="default"/>
          <w:spacing w:val="2"/>
        </w:rPr>
        <w:t>2</w:t>
      </w:r>
      <w:r>
        <w:rPr>
          <w:spacing w:val="2"/>
        </w:rPr>
        <w:t>亿元导致卫宁持股比例由</w:t>
      </w:r>
      <w:r>
        <w:rPr>
          <w:rFonts w:ascii="Times New Roman" w:hAnsi="Times New Roman" w:cs="Times New Roman" w:eastAsia="Times New Roman" w:hint="default"/>
          <w:spacing w:val="2"/>
        </w:rPr>
        <w:t>50.00%</w:t>
      </w:r>
      <w:r>
        <w:rPr>
          <w:spacing w:val="2"/>
        </w:rPr>
        <w:t>摊薄为</w:t>
      </w:r>
      <w:r>
        <w:rPr>
          <w:rFonts w:ascii="Times New Roman" w:hAnsi="Times New Roman" w:cs="Times New Roman" w:eastAsia="Times New Roman" w:hint="default"/>
          <w:spacing w:val="2"/>
        </w:rPr>
        <w:t>42.86%</w:t>
      </w:r>
      <w:r>
        <w:rPr>
          <w:spacing w:val="2"/>
        </w:rPr>
        <w:t>（详见公司</w:t>
      </w:r>
      <w:r>
        <w:rPr>
          <w:rFonts w:ascii="Times New Roman" w:hAnsi="Times New Roman" w:cs="Times New Roman" w:eastAsia="Times New Roman" w:hint="default"/>
          <w:spacing w:val="2"/>
        </w:rPr>
        <w:t>2019-097</w:t>
      </w:r>
      <w:r>
        <w:rPr>
          <w:spacing w:val="2"/>
        </w:rPr>
        <w:t>号公告），自</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日起执行，报告期内仍按</w:t>
      </w:r>
      <w:r>
        <w:rPr>
          <w:spacing w:val="-70"/>
        </w:rPr>
        <w:t> </w:t>
      </w:r>
      <w:r>
        <w:rPr>
          <w:spacing w:val="-70"/>
        </w:rPr>
      </w:r>
      <w:r>
        <w:rPr>
          <w:rFonts w:ascii="Times New Roman" w:hAnsi="Times New Roman" w:cs="Times New Roman" w:eastAsia="Times New Roman" w:hint="default"/>
        </w:rPr>
        <w:t>50.00%</w:t>
      </w:r>
      <w:r>
        <w:rPr/>
        <w:t>核算。</w:t>
      </w:r>
    </w:p>
    <w:p>
      <w:pPr>
        <w:pStyle w:val="Heading4"/>
        <w:spacing w:line="240" w:lineRule="auto" w:before="13"/>
        <w:ind w:left="492" w:right="1034"/>
        <w:jc w:val="left"/>
        <w:rPr>
          <w:b w:val="0"/>
          <w:bCs w:val="0"/>
        </w:rPr>
      </w:pPr>
      <w:r>
        <w:rPr>
          <w:rFonts w:ascii="Times New Roman" w:hAnsi="Times New Roman" w:cs="Times New Roman" w:eastAsia="Times New Roman" w:hint="default"/>
        </w:rPr>
        <w:t>3</w:t>
      </w:r>
      <w:r>
        <w:rPr/>
        <w:t>、持续研发创新，推动公司技术进步</w:t>
      </w:r>
      <w:r>
        <w:rPr>
          <w:b w:val="0"/>
          <w:bCs w:val="0"/>
        </w:rPr>
      </w:r>
    </w:p>
    <w:p>
      <w:pPr>
        <w:pStyle w:val="BodyText"/>
        <w:spacing w:line="300" w:lineRule="auto" w:before="63"/>
        <w:ind w:left="132" w:right="1041" w:firstLine="360"/>
        <w:jc w:val="both"/>
      </w:pPr>
      <w:r>
        <w:rPr/>
        <w:t>报告期内，公司持续围绕《卫宁健康产品家族三年发展纲要</w:t>
      </w:r>
      <w:r>
        <w:rPr>
          <w:rFonts w:ascii="Times New Roman" w:hAnsi="Times New Roman" w:cs="Times New Roman" w:eastAsia="Times New Roman" w:hint="default"/>
        </w:rPr>
        <w:t>2018-2020</w:t>
      </w:r>
      <w:r>
        <w:rPr/>
        <w:t>》，贯彻纲要发展战略及行动路径，研发包含</w:t>
      </w:r>
      <w:r>
        <w:rPr>
          <w:rFonts w:ascii="Times New Roman" w:hAnsi="Times New Roman" w:cs="Times New Roman" w:eastAsia="Times New Roman" w:hint="default"/>
        </w:rPr>
        <w:t>“</w:t>
      </w:r>
      <w:r>
        <w:rPr/>
        <w:t>智 慧医院</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区域卫生</w:t>
      </w:r>
      <w:r>
        <w:rPr>
          <w:rFonts w:ascii="Times New Roman" w:hAnsi="Times New Roman" w:cs="Times New Roman" w:eastAsia="Times New Roman" w:hint="default"/>
        </w:rPr>
        <w:t>3.0”</w:t>
      </w:r>
      <w:r>
        <w:rPr/>
        <w:t>以及</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+2.0”</w:t>
      </w:r>
      <w:r>
        <w:rPr/>
        <w:t>在内的新一代智慧应用产品。报告期内，公司研发投入</w:t>
      </w:r>
      <w:r>
        <w:rPr>
          <w:rFonts w:ascii="Times New Roman" w:hAnsi="Times New Roman" w:cs="Times New Roman" w:eastAsia="Times New Roman" w:hint="default"/>
        </w:rPr>
        <w:t>38,596.20</w:t>
      </w:r>
      <w:r>
        <w:rPr/>
        <w:t>万元，同比增 </w:t>
      </w:r>
      <w:r>
        <w:rPr>
          <w:spacing w:val="-6"/>
        </w:rPr>
        <w:t>长</w:t>
      </w:r>
      <w:r>
        <w:rPr>
          <w:rFonts w:ascii="Times New Roman" w:hAnsi="Times New Roman" w:cs="Times New Roman" w:eastAsia="Times New Roman" w:hint="default"/>
          <w:spacing w:val="-6"/>
        </w:rPr>
        <w:t>32.69%</w:t>
      </w:r>
      <w:r>
        <w:rPr>
          <w:spacing w:val="-6"/>
        </w:rPr>
        <w:t>，占营业收入比例为</w:t>
      </w:r>
      <w:r>
        <w:rPr>
          <w:rFonts w:ascii="Times New Roman" w:hAnsi="Times New Roman" w:cs="Times New Roman" w:eastAsia="Times New Roman" w:hint="default"/>
          <w:spacing w:val="-6"/>
        </w:rPr>
        <w:t>20.23%</w:t>
      </w:r>
      <w:r>
        <w:rPr>
          <w:spacing w:val="-6"/>
        </w:rPr>
        <w:t>，其中研发支出资本化金额</w:t>
      </w:r>
      <w:r>
        <w:rPr>
          <w:rFonts w:ascii="Times New Roman" w:hAnsi="Times New Roman" w:cs="Times New Roman" w:eastAsia="Times New Roman" w:hint="default"/>
          <w:spacing w:val="-6"/>
        </w:rPr>
        <w:t>18,032.89</w:t>
      </w:r>
      <w:r>
        <w:rPr>
          <w:spacing w:val="-6"/>
        </w:rPr>
        <w:t>万元，资本化率下降为</w:t>
      </w:r>
      <w:r>
        <w:rPr>
          <w:rFonts w:ascii="Times New Roman" w:hAnsi="Times New Roman" w:cs="Times New Roman" w:eastAsia="Times New Roman" w:hint="default"/>
          <w:spacing w:val="-6"/>
        </w:rPr>
        <w:t>46.72%</w:t>
      </w:r>
      <w:r>
        <w:rPr>
          <w:spacing w:val="-6"/>
        </w:rPr>
        <w:t>（上年同期为</w:t>
      </w:r>
      <w:r>
        <w:rPr>
          <w:rFonts w:ascii="Times New Roman" w:hAnsi="Times New Roman" w:cs="Times New Roman" w:eastAsia="Times New Roman" w:hint="default"/>
          <w:spacing w:val="-6"/>
        </w:rPr>
        <w:t>49.40%</w:t>
      </w:r>
      <w:r>
        <w:rPr>
          <w:spacing w:val="-6"/>
        </w:rPr>
        <w:t>）。</w:t>
      </w:r>
    </w:p>
    <w:p>
      <w:pPr>
        <w:pStyle w:val="BodyText"/>
        <w:spacing w:line="302" w:lineRule="auto" w:before="13"/>
        <w:ind w:left="132" w:right="1034" w:firstLine="360"/>
        <w:jc w:val="left"/>
      </w:pPr>
      <w:r>
        <w:rPr>
          <w:rFonts w:ascii="Times New Roman" w:hAnsi="Times New Roman" w:cs="Times New Roman" w:eastAsia="Times New Roman" w:hint="default"/>
        </w:rPr>
        <w:t>“</w:t>
      </w:r>
      <w:r>
        <w:rPr/>
        <w:t>智慧医院</w:t>
      </w:r>
      <w:r>
        <w:rPr>
          <w:rFonts w:ascii="Times New Roman" w:hAnsi="Times New Roman" w:cs="Times New Roman" w:eastAsia="Times New Roman" w:hint="default"/>
        </w:rPr>
        <w:t>2.0”</w:t>
      </w:r>
      <w:r>
        <w:rPr/>
        <w:t>以智慧平台为核心，围绕智慧服务、智慧临床、智慧管理、智慧医技、智慧药学以及智慧供应链六大方 面进行升维研发，提升产品和服务能力，引领行业发展新趋势。智慧服务，全新构建</w:t>
      </w:r>
      <w:r>
        <w:rPr>
          <w:rFonts w:ascii="Times New Roman" w:hAnsi="Times New Roman" w:cs="Times New Roman" w:eastAsia="Times New Roman" w:hint="default"/>
        </w:rPr>
        <w:t>“</w:t>
      </w:r>
      <w:r>
        <w:rPr/>
        <w:t>以人为中心</w:t>
      </w:r>
      <w:r>
        <w:rPr>
          <w:rFonts w:ascii="Times New Roman" w:hAnsi="Times New Roman" w:cs="Times New Roman" w:eastAsia="Times New Roman" w:hint="default"/>
        </w:rPr>
        <w:t>”</w:t>
      </w:r>
      <w:r>
        <w:rPr/>
        <w:t>的患者服务平台，基于平 台快速推出患者服务套件，面向患者提供无窗口的就医新服务，实现</w:t>
      </w:r>
      <w:r>
        <w:rPr>
          <w:rFonts w:ascii="Times New Roman" w:hAnsi="Times New Roman" w:cs="Times New Roman" w:eastAsia="Times New Roman" w:hint="default"/>
        </w:rPr>
        <w:t>“</w:t>
      </w:r>
      <w:r>
        <w:rPr/>
        <w:t>诊前</w:t>
      </w:r>
      <w:r>
        <w:rPr>
          <w:rFonts w:ascii="Times New Roman" w:hAnsi="Times New Roman" w:cs="Times New Roman" w:eastAsia="Times New Roman" w:hint="default"/>
        </w:rPr>
        <w:t>-</w:t>
      </w:r>
      <w:r>
        <w:rPr/>
        <w:t>诊中</w:t>
      </w:r>
      <w:r>
        <w:rPr>
          <w:rFonts w:ascii="Times New Roman" w:hAnsi="Times New Roman" w:cs="Times New Roman" w:eastAsia="Times New Roman" w:hint="default"/>
        </w:rPr>
        <w:t>-</w:t>
      </w:r>
      <w:r>
        <w:rPr/>
        <w:t>诊后</w:t>
      </w:r>
      <w:r>
        <w:rPr>
          <w:rFonts w:ascii="Times New Roman" w:hAnsi="Times New Roman" w:cs="Times New Roman" w:eastAsia="Times New Roman" w:hint="default"/>
        </w:rPr>
        <w:t>”</w:t>
      </w:r>
      <w:r>
        <w:rPr/>
        <w:t>患者就医全流程闭环服务。同时，面 向医院可提供智慧服务等级测评一体化解决方案。智慧临床，全面解耦</w:t>
      </w:r>
      <w:r>
        <w:rPr>
          <w:rFonts w:ascii="Times New Roman" w:hAnsi="Times New Roman" w:cs="Times New Roman" w:eastAsia="Times New Roman" w:hint="default"/>
        </w:rPr>
        <w:t>5.X</w:t>
      </w:r>
      <w:r>
        <w:rPr/>
        <w:t>产品，优化产品架构，提升产品运行速度，打造</w:t>
      </w:r>
      <w:r>
        <w:rPr>
          <w:spacing w:val="-81"/>
        </w:rPr>
        <w:t> </w:t>
      </w:r>
      <w:r>
        <w:rPr>
          <w:spacing w:val="-81"/>
        </w:rPr>
      </w:r>
      <w:r>
        <w:rPr/>
        <w:t>产品模板知识库，实现导入即用，快速交付。加强与人民卫生出版社合作研发，推出临床辅助决策系统</w:t>
      </w:r>
      <w:r>
        <w:rPr>
          <w:rFonts w:ascii="Times New Roman" w:hAnsi="Times New Roman" w:cs="Times New Roman" w:eastAsia="Times New Roman" w:hint="default"/>
        </w:rPr>
        <w:t>CDSS</w:t>
      </w:r>
      <w:r>
        <w:rPr/>
        <w:t>。同时，主推</w:t>
      </w:r>
      <w:r>
        <w:rPr>
          <w:spacing w:val="-86"/>
        </w:rPr>
        <w:t> </w:t>
      </w:r>
      <w:r>
        <w:rPr>
          <w:rFonts w:ascii="Times New Roman" w:hAnsi="Times New Roman" w:cs="Times New Roman" w:eastAsia="Times New Roman" w:hint="default"/>
        </w:rPr>
        <w:t>5.6</w:t>
      </w:r>
      <w:r>
        <w:rPr/>
        <w:t>新版本、</w:t>
      </w:r>
      <w:r>
        <w:rPr>
          <w:rFonts w:ascii="Times New Roman" w:hAnsi="Times New Roman" w:cs="Times New Roman" w:eastAsia="Times New Roman" w:hint="default"/>
        </w:rPr>
        <w:t>IDMS</w:t>
      </w:r>
      <w:r>
        <w:rPr/>
        <w:t>、闭环等新产品，全面整合医护系统，提升用户操作体验。智慧管理，利用大数据分析技术，深挖数据价 </w:t>
      </w:r>
      <w:r>
        <w:rPr>
          <w:spacing w:val="-2"/>
        </w:rPr>
        <w:t>值，研发</w:t>
      </w:r>
      <w:r>
        <w:rPr>
          <w:rFonts w:ascii="Times New Roman" w:hAnsi="Times New Roman" w:cs="Times New Roman" w:eastAsia="Times New Roman" w:hint="default"/>
          <w:spacing w:val="-2"/>
        </w:rPr>
        <w:t>BI</w:t>
      </w:r>
      <w:r>
        <w:rPr>
          <w:spacing w:val="-2"/>
        </w:rPr>
        <w:t>决策平台、医务管理大屏、护理管理大屏等产品，实现临床诊疗管理活动的一体化、全视角、全过程和精细化管</w:t>
      </w:r>
      <w:r>
        <w:rPr>
          <w:spacing w:val="-63"/>
        </w:rPr>
        <w:t> </w:t>
      </w:r>
      <w:r>
        <w:rPr>
          <w:spacing w:val="-63"/>
        </w:rPr>
      </w:r>
      <w:r>
        <w:rPr>
          <w:spacing w:val="-8"/>
          <w:w w:val="99"/>
        </w:rPr>
        <w:t>理。智慧医技，重点推动医技业务向精细化、智能化方向发展，研发实验室信息管理系统</w:t>
      </w:r>
      <w:r>
        <w:rPr>
          <w:rFonts w:ascii="Times New Roman" w:hAnsi="Times New Roman" w:cs="Times New Roman" w:eastAsia="Times New Roman" w:hint="default"/>
          <w:spacing w:val="-8"/>
          <w:w w:val="99"/>
        </w:rPr>
        <w:t>LIS60</w:t>
      </w:r>
      <w:r>
        <w:rPr>
          <w:spacing w:val="-8"/>
          <w:w w:val="99"/>
        </w:rPr>
        <w:t>、融合人工智能算法的</w:t>
      </w:r>
      <w:r>
        <w:rPr>
          <w:rFonts w:ascii="Times New Roman" w:hAnsi="Times New Roman" w:cs="Times New Roman" w:eastAsia="Times New Roman" w:hint="default"/>
          <w:spacing w:val="-8"/>
          <w:w w:val="99"/>
        </w:rPr>
        <w:t>AI</w:t>
      </w:r>
      <w:r>
        <w:rPr>
          <w:rFonts w:ascii="Times New Roman" w:hAnsi="Times New Roman" w:cs="Times New Roman" w:eastAsia="Times New Roman" w:hint="default"/>
          <w:spacing w:val="31"/>
          <w:w w:val="99"/>
        </w:rPr>
        <w:t> </w:t>
      </w:r>
      <w:r>
        <w:rPr>
          <w:rFonts w:ascii="Times New Roman" w:hAnsi="Times New Roman" w:cs="Times New Roman" w:eastAsia="Times New Roman" w:hint="default"/>
          <w:w w:val="99"/>
        </w:rPr>
        <w:t>PACS</w:t>
      </w:r>
      <w:r>
        <w:rPr>
          <w:w w:val="99"/>
        </w:rPr>
        <w:t>、</w:t>
      </w:r>
      <w:r>
        <w:rPr>
          <w:spacing w:val="-80"/>
          <w:w w:val="99"/>
        </w:rPr>
        <w:t> </w:t>
      </w:r>
      <w:r>
        <w:rPr>
          <w:spacing w:val="-1"/>
        </w:rPr>
        <w:t>基于云计算的云影像、血透</w:t>
      </w:r>
      <w:r>
        <w:rPr>
          <w:rFonts w:ascii="Times New Roman" w:hAnsi="Times New Roman" w:cs="Times New Roman" w:eastAsia="Times New Roman" w:hint="default"/>
          <w:spacing w:val="-1"/>
        </w:rPr>
        <w:t>3.0</w:t>
      </w:r>
      <w:r>
        <w:rPr>
          <w:spacing w:val="-1"/>
        </w:rPr>
        <w:t>等产品，以更好的产品和体验服务于医技科室。智慧药学，以患者为中心，药物治疗为主线，</w:t>
      </w:r>
      <w:r>
        <w:rPr>
          <w:spacing w:val="-71"/>
        </w:rPr>
        <w:t> </w:t>
      </w:r>
      <w:r>
        <w:rPr>
          <w:spacing w:val="-71"/>
        </w:rPr>
      </w:r>
      <w:r>
        <w:rPr/>
        <w:t>药学智库为支撑，通过药品知识库、</w:t>
      </w:r>
      <w:r>
        <w:rPr>
          <w:rFonts w:ascii="Times New Roman" w:hAnsi="Times New Roman" w:cs="Times New Roman" w:eastAsia="Times New Roman" w:hint="default"/>
        </w:rPr>
        <w:t>360</w:t>
      </w:r>
      <w:r>
        <w:rPr/>
        <w:t>药学监护、互联网</w:t>
      </w:r>
      <w:r>
        <w:rPr>
          <w:rFonts w:ascii="Times New Roman" w:hAnsi="Times New Roman" w:cs="Times New Roman" w:eastAsia="Times New Roman" w:hint="default"/>
        </w:rPr>
        <w:t>+</w:t>
      </w:r>
      <w:r>
        <w:rPr/>
        <w:t>药学服务等应用，打破信息孤岛，构建合理用药监控和处方医</w:t>
      </w:r>
      <w:r>
        <w:rPr>
          <w:spacing w:val="-20"/>
        </w:rPr>
        <w:t> </w:t>
      </w:r>
      <w:r>
        <w:rPr>
          <w:spacing w:val="-20"/>
        </w:rPr>
      </w:r>
      <w:r>
        <w:rPr>
          <w:spacing w:val="-2"/>
        </w:rPr>
        <w:t>嘱的全流程闭环。智慧供应链，融合物联网技术，借助数字化、可视化模式，实现医院有效医疗资源的共享。通过研发物资</w:t>
      </w:r>
      <w:r>
        <w:rPr>
          <w:spacing w:val="-65"/>
        </w:rPr>
        <w:t> </w:t>
      </w:r>
      <w:r>
        <w:rPr>
          <w:spacing w:val="-65"/>
        </w:rPr>
      </w:r>
      <w:r>
        <w:rPr/>
        <w:t>信息双向导入、大屏监管、微信平台订单等功能，增加全节点闭环</w:t>
      </w:r>
      <w:r>
        <w:rPr>
          <w:rFonts w:ascii="Times New Roman" w:hAnsi="Times New Roman" w:cs="Times New Roman" w:eastAsia="Times New Roman" w:hint="default"/>
        </w:rPr>
        <w:t>SPD</w:t>
      </w:r>
      <w:r>
        <w:rPr/>
        <w:t>管理，整体升级供应链管理。报告期内，卫宁健康积 极推动下一代智慧医院</w:t>
      </w:r>
      <w:r>
        <w:rPr>
          <w:rFonts w:ascii="Times New Roman" w:hAnsi="Times New Roman" w:cs="Times New Roman" w:eastAsia="Times New Roman" w:hint="default"/>
        </w:rPr>
        <w:t>3.0</w:t>
      </w:r>
      <w:r>
        <w:rPr/>
        <w:t>相关产品的研发工作，利用全新的中台服务体系重构业务生态，实现医院服务从</w:t>
      </w:r>
      <w:r>
        <w:rPr>
          <w:rFonts w:ascii="Times New Roman" w:hAnsi="Times New Roman" w:cs="Times New Roman" w:eastAsia="Times New Roman" w:hint="default"/>
        </w:rPr>
        <w:t>“</w:t>
      </w:r>
      <w:r>
        <w:rPr/>
        <w:t>信息化</w:t>
      </w:r>
      <w:r>
        <w:rPr>
          <w:rFonts w:ascii="Times New Roman" w:hAnsi="Times New Roman" w:cs="Times New Roman" w:eastAsia="Times New Roman" w:hint="default"/>
        </w:rPr>
        <w:t>”</w:t>
      </w:r>
      <w:r>
        <w:rPr/>
        <w:t>到</w:t>
      </w:r>
      <w:r>
        <w:rPr>
          <w:rFonts w:ascii="Times New Roman" w:hAnsi="Times New Roman" w:cs="Times New Roman" w:eastAsia="Times New Roman" w:hint="default"/>
        </w:rPr>
        <w:t>“</w:t>
      </w:r>
      <w:r>
        <w:rPr/>
        <w:t>数字 化</w:t>
      </w:r>
      <w:r>
        <w:rPr>
          <w:rFonts w:ascii="Times New Roman" w:hAnsi="Times New Roman" w:cs="Times New Roman" w:eastAsia="Times New Roman" w:hint="default"/>
        </w:rPr>
        <w:t>”</w:t>
      </w:r>
      <w:r>
        <w:rPr/>
        <w:t>的转变。</w:t>
      </w:r>
    </w:p>
    <w:p>
      <w:pPr>
        <w:pStyle w:val="BodyText"/>
        <w:spacing w:line="314" w:lineRule="auto" w:before="11"/>
        <w:ind w:left="132" w:right="1130" w:firstLine="360"/>
        <w:jc w:val="both"/>
      </w:pPr>
      <w:r>
        <w:rPr>
          <w:rFonts w:ascii="Times New Roman" w:hAnsi="Times New Roman" w:cs="Times New Roman" w:eastAsia="Times New Roman" w:hint="default"/>
        </w:rPr>
        <w:t>“</w:t>
      </w:r>
      <w:r>
        <w:rPr/>
        <w:t>智慧卫生</w:t>
      </w:r>
      <w:r>
        <w:rPr>
          <w:rFonts w:ascii="Times New Roman" w:hAnsi="Times New Roman" w:cs="Times New Roman" w:eastAsia="Times New Roman" w:hint="default"/>
        </w:rPr>
        <w:t>3.0”</w:t>
      </w:r>
      <w:r>
        <w:rPr/>
        <w:t>以支撑新医改为目标，全面覆盖全民健康、三医联动、分级诊疗、便民惠民、综合监管与分析等业务， </w:t>
      </w:r>
      <w:r>
        <w:rPr>
          <w:spacing w:val="-2"/>
        </w:rPr>
        <w:t>推动平台和基层业务协同发展，提供一揽子适应医改要求的解决方案。智慧社区，构建以家庭医生为核心基层医疗和公共卫</w:t>
      </w:r>
      <w:r>
        <w:rPr>
          <w:spacing w:val="-63"/>
        </w:rPr>
        <w:t> </w:t>
      </w:r>
      <w:r>
        <w:rPr>
          <w:spacing w:val="-63"/>
        </w:rPr>
      </w:r>
      <w:r>
        <w:rPr>
          <w:spacing w:val="-2"/>
        </w:rPr>
        <w:t>生服务体系，新研发健康管理、医养护康等产品，推动区域体检、公共卫生、双向转诊等产品融合，全力构建基层医疗、公</w:t>
      </w:r>
      <w:r>
        <w:rPr>
          <w:spacing w:val="-62"/>
        </w:rPr>
        <w:t> </w:t>
      </w:r>
      <w:r>
        <w:rPr>
          <w:spacing w:val="-62"/>
        </w:rPr>
      </w:r>
      <w:r>
        <w:rPr>
          <w:spacing w:val="-2"/>
        </w:rPr>
        <w:t>共卫生、养老护理、健康管理等应用的一体化基层服务体系，同时，结合互联网技术、人脸识别技术，推动新型智慧社区建</w:t>
      </w:r>
      <w:r>
        <w:rPr>
          <w:spacing w:val="-63"/>
        </w:rPr>
        <w:t> </w:t>
      </w:r>
      <w:r>
        <w:rPr>
          <w:spacing w:val="-63"/>
        </w:rPr>
      </w:r>
      <w:r>
        <w:rPr>
          <w:spacing w:val="-2"/>
        </w:rPr>
        <w:t>设。智慧平台，深度融合大数据及微服务技术，优化平台业务应用和数据共享机制，不断丰富和完善适应医改要求的解决方</w:t>
      </w:r>
      <w:r>
        <w:rPr>
          <w:spacing w:val="-64"/>
        </w:rPr>
        <w:t> </w:t>
      </w:r>
      <w:r>
        <w:rPr>
          <w:spacing w:val="-64"/>
        </w:rPr>
      </w:r>
      <w:r>
        <w:rPr>
          <w:spacing w:val="-2"/>
        </w:rPr>
        <w:t>案。报告期内，积极研发和改善医共体、医联体服务平台，利用平台和基层业务的联动性，有效促进医共体、医联体内医疗</w:t>
      </w:r>
      <w:r>
        <w:rPr>
          <w:spacing w:val="-63"/>
        </w:rPr>
        <w:t> </w:t>
      </w:r>
      <w:r>
        <w:rPr>
          <w:spacing w:val="-63"/>
        </w:rPr>
      </w:r>
      <w:r>
        <w:rPr>
          <w:spacing w:val="-2"/>
        </w:rPr>
        <w:t>健康信息的交互共享、业务的协同联动、人财物的一体化精细管理；研发大数据服务平台，借助申康医联二期电子病历临床</w:t>
      </w:r>
      <w:r>
        <w:rPr>
          <w:spacing w:val="-64"/>
        </w:rPr>
        <w:t> </w:t>
      </w:r>
      <w:r>
        <w:rPr>
          <w:spacing w:val="-64"/>
        </w:rPr>
      </w:r>
      <w:r>
        <w:rPr>
          <w:spacing w:val="-2"/>
        </w:rPr>
        <w:t>大数据应用项目，建设用于专病研究的数据中心和基于大数据分析支撑的医疗质量促进与评价系统，反哺专病联盟中</w:t>
      </w:r>
      <w:r>
        <w:rPr>
          <w:rFonts w:ascii="Times New Roman" w:hAnsi="Times New Roman" w:cs="Times New Roman" w:eastAsia="Times New Roman" w:hint="default"/>
          <w:spacing w:val="-2"/>
        </w:rPr>
        <w:t>38</w:t>
      </w:r>
      <w:r>
        <w:rPr>
          <w:spacing w:val="-2"/>
        </w:rPr>
        <w:t>家医</w:t>
      </w:r>
      <w:r>
        <w:rPr>
          <w:spacing w:val="-63"/>
        </w:rPr>
        <w:t> </w:t>
      </w:r>
      <w:r>
        <w:rPr>
          <w:spacing w:val="-2"/>
        </w:rPr>
        <w:t>院的科研服务，促进医院的医疗质量提升；研发电子健康档案质量控制管理平台，以数据流向为导向，构建事前、事中、事</w:t>
      </w:r>
      <w:r>
        <w:rPr>
          <w:spacing w:val="-63"/>
        </w:rPr>
        <w:t> </w:t>
      </w:r>
      <w:r>
        <w:rPr>
          <w:spacing w:val="-63"/>
        </w:rPr>
      </w:r>
      <w:r>
        <w:rPr/>
        <w:t>后于一体的全程可视化监控服务体系。</w:t>
      </w:r>
    </w:p>
    <w:p>
      <w:pPr>
        <w:pStyle w:val="BodyText"/>
        <w:spacing w:line="240" w:lineRule="auto" w:before="20"/>
        <w:ind w:left="492" w:right="1034"/>
        <w:jc w:val="left"/>
      </w:pP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+2.0”</w:t>
      </w:r>
      <w:r>
        <w:rPr/>
        <w:t>将继续实践《国务院办公厅关于促进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发展的意见》、《关于印发互联网诊疗管理办法</w:t>
      </w:r>
    </w:p>
    <w:p>
      <w:pPr>
        <w:pStyle w:val="BodyText"/>
        <w:spacing w:line="300" w:lineRule="auto" w:before="63"/>
        <w:ind w:left="132" w:right="1129"/>
        <w:jc w:val="both"/>
        <w:rPr>
          <w:rFonts w:ascii="Times New Roman" w:hAnsi="Times New Roman" w:cs="Times New Roman" w:eastAsia="Times New Roman" w:hint="default"/>
        </w:rPr>
      </w:pPr>
      <w:r>
        <w:rPr/>
        <w:t>（试行）等</w:t>
      </w:r>
      <w:r>
        <w:rPr>
          <w:rFonts w:ascii="Times New Roman" w:hAnsi="Times New Roman" w:cs="Times New Roman" w:eastAsia="Times New Roman" w:hint="default"/>
        </w:rPr>
        <w:t>3</w:t>
      </w:r>
      <w:r>
        <w:rPr/>
        <w:t>个文件的通知》等政策，以</w:t>
      </w:r>
      <w:r>
        <w:rPr>
          <w:rFonts w:ascii="Times New Roman" w:hAnsi="Times New Roman" w:cs="Times New Roman" w:eastAsia="Times New Roman" w:hint="default"/>
        </w:rPr>
        <w:t>4</w:t>
      </w:r>
      <w:r>
        <w:rPr/>
        <w:t>（云医、云药、云险、云康）</w:t>
      </w:r>
      <w:r>
        <w:rPr>
          <w:rFonts w:ascii="Times New Roman" w:hAnsi="Times New Roman" w:cs="Times New Roman" w:eastAsia="Times New Roman" w:hint="default"/>
        </w:rPr>
        <w:t>+1</w:t>
      </w:r>
      <w:r>
        <w:rPr/>
        <w:t>（创新服务平台）组织构想为依托，巩固扩大卫</w:t>
      </w:r>
      <w:r>
        <w:rPr>
          <w:spacing w:val="-17"/>
        </w:rPr>
        <w:t> </w:t>
      </w:r>
      <w:r>
        <w:rPr>
          <w:spacing w:val="-17"/>
        </w:rPr>
      </w:r>
      <w:r>
        <w:rPr/>
        <w:t>宁健康在互联网</w:t>
      </w:r>
      <w:r>
        <w:rPr>
          <w:rFonts w:ascii="Times New Roman" w:hAnsi="Times New Roman" w:cs="Times New Roman" w:eastAsia="Times New Roman" w:hint="default"/>
        </w:rPr>
        <w:t>+</w:t>
      </w:r>
      <w:r>
        <w:rPr/>
        <w:t>医疗健康的持续领先优势。继续完善基于大型高并发高可靠架构的区域互联网医疗健康业务和监管一体化 </w:t>
      </w:r>
      <w:r>
        <w:rPr>
          <w:spacing w:val="-2"/>
        </w:rPr>
        <w:t>平台的业务功能及底层架构升级，进一步提升平台</w:t>
      </w:r>
      <w:r>
        <w:rPr>
          <w:rFonts w:ascii="Times New Roman" w:hAnsi="Times New Roman" w:cs="Times New Roman" w:eastAsia="Times New Roman" w:hint="default"/>
          <w:spacing w:val="-2"/>
        </w:rPr>
        <w:t>SaaS</w:t>
      </w:r>
      <w:r>
        <w:rPr>
          <w:spacing w:val="-2"/>
        </w:rPr>
        <w:t>服务能力和管理能力，降低互联网医院的建设时间和管理成本，同时</w:t>
      </w:r>
      <w:r>
        <w:rPr>
          <w:spacing w:val="-60"/>
        </w:rPr>
        <w:t> </w:t>
      </w:r>
      <w:r>
        <w:rPr>
          <w:spacing w:val="-60"/>
        </w:rPr>
      </w:r>
      <w:r>
        <w:rPr/>
        <w:t>加强互联网医院的推广和运营，让更多的医院都成为互联网医院，利用互联网技术助力医院战胜疫情，建立</w:t>
      </w:r>
      <w:r>
        <w:rPr>
          <w:rFonts w:ascii="Times New Roman" w:hAnsi="Times New Roman" w:cs="Times New Roman" w:eastAsia="Times New Roman" w:hint="default"/>
        </w:rPr>
        <w:t>“</w:t>
      </w:r>
      <w:r>
        <w:rPr/>
        <w:t>互联网诊疗</w:t>
      </w:r>
      <w:r>
        <w:rPr>
          <w:rFonts w:ascii="Times New Roman" w:hAnsi="Times New Roman" w:cs="Times New Roman" w:eastAsia="Times New Roman" w:hint="default"/>
        </w:rPr>
        <w:t>+</w:t>
      </w:r>
    </w:p>
    <w:p>
      <w:pPr>
        <w:spacing w:after="0" w:line="300" w:lineRule="auto"/>
        <w:jc w:val="both"/>
        <w:rPr>
          <w:rFonts w:ascii="Times New Roman" w:hAnsi="Times New Roman" w:cs="Times New Roman" w:eastAsia="Times New Roman" w:hint="default"/>
        </w:rPr>
        <w:sectPr>
          <w:pgSz w:w="11910" w:h="16840"/>
          <w:pgMar w:header="746" w:footer="978" w:top="1060" w:bottom="1160" w:left="100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left="472" w:right="0" w:hanging="360"/>
        <w:jc w:val="left"/>
      </w:pPr>
      <w:r>
        <w:rPr/>
        <w:t>电子处方</w:t>
      </w:r>
      <w:r>
        <w:rPr>
          <w:rFonts w:ascii="Times New Roman" w:hAnsi="Times New Roman" w:cs="Times New Roman" w:eastAsia="Times New Roman" w:hint="default"/>
        </w:rPr>
        <w:t>+</w:t>
      </w:r>
      <w:r>
        <w:rPr/>
        <w:t>医保支付</w:t>
      </w:r>
      <w:r>
        <w:rPr>
          <w:rFonts w:ascii="Times New Roman" w:hAnsi="Times New Roman" w:cs="Times New Roman" w:eastAsia="Times New Roman" w:hint="default"/>
        </w:rPr>
        <w:t>+</w:t>
      </w:r>
      <w:r>
        <w:rPr/>
        <w:t>药品配送到家</w:t>
      </w:r>
      <w:r>
        <w:rPr>
          <w:rFonts w:ascii="Times New Roman" w:hAnsi="Times New Roman" w:cs="Times New Roman" w:eastAsia="Times New Roman" w:hint="default"/>
        </w:rPr>
        <w:t>”</w:t>
      </w:r>
      <w:r>
        <w:rPr/>
        <w:t>的互联网就医闭环和新常态。 </w:t>
      </w:r>
      <w:r>
        <w:rPr>
          <w:spacing w:val="-2"/>
        </w:rPr>
        <w:t>开发基于区块链技术的医疗数据隐私保护及价值链跟踪系统，提升基于互联网技术的医疗数据安全性和流通性，为医疗</w:t>
      </w:r>
    </w:p>
    <w:p>
      <w:pPr>
        <w:pStyle w:val="BodyText"/>
        <w:spacing w:line="314" w:lineRule="auto" w:before="31"/>
        <w:ind w:right="0"/>
        <w:jc w:val="left"/>
      </w:pPr>
      <w:r>
        <w:rPr/>
        <w:t>大数据的利用奠定基础。充分利用</w:t>
      </w:r>
      <w:r>
        <w:rPr>
          <w:rFonts w:ascii="Times New Roman" w:hAnsi="Times New Roman" w:cs="Times New Roman" w:eastAsia="Times New Roman" w:hint="default"/>
        </w:rPr>
        <w:t>5G</w:t>
      </w:r>
      <w:r>
        <w:rPr/>
        <w:t>网络的发展契机，研发基于</w:t>
      </w:r>
      <w:r>
        <w:rPr>
          <w:rFonts w:ascii="Times New Roman" w:hAnsi="Times New Roman" w:cs="Times New Roman" w:eastAsia="Times New Roman" w:hint="default"/>
        </w:rPr>
        <w:t>AI</w:t>
      </w:r>
      <w:r>
        <w:rPr/>
        <w:t>和大数据技术的互联网医疗健康辅助协作系统，帮助医</w:t>
      </w:r>
      <w:r>
        <w:rPr>
          <w:spacing w:val="-50"/>
        </w:rPr>
        <w:t> </w:t>
      </w:r>
      <w:r>
        <w:rPr>
          <w:spacing w:val="-50"/>
        </w:rPr>
      </w:r>
      <w:r>
        <w:rPr>
          <w:spacing w:val="-2"/>
        </w:rPr>
        <w:t>疗机构、医务工作者以及健康生态参与者更高效的基于互联网进行协作，充分发挥互联网医院价值。构建医疗健康互联网开</w:t>
      </w:r>
      <w:r>
        <w:rPr>
          <w:spacing w:val="-64"/>
        </w:rPr>
        <w:t> </w:t>
      </w:r>
      <w:r>
        <w:rPr>
          <w:spacing w:val="-64"/>
        </w:rPr>
      </w:r>
      <w:r>
        <w:rPr>
          <w:spacing w:val="-4"/>
        </w:rPr>
        <w:t>放平台，面向广大互联网医院、医疗健康互联网生态厂商（包括商业保险、银行、运营商、药企、体检中心、健康管理机构、</w:t>
      </w:r>
      <w:r>
        <w:rPr>
          <w:spacing w:val="-44"/>
        </w:rPr>
        <w:t> </w:t>
      </w:r>
      <w:r>
        <w:rPr>
          <w:spacing w:val="-44"/>
        </w:rPr>
      </w:r>
      <w:r>
        <w:rPr>
          <w:spacing w:val="-2"/>
        </w:rPr>
        <w:t>养老服务机构等）开放平台业务服务能力以及数据服务能力，鼓励专业厂商和生态伙伴基于医疗数据和平台医疗健康服务能</w:t>
      </w:r>
      <w:r>
        <w:rPr>
          <w:spacing w:val="-65"/>
        </w:rPr>
        <w:t> </w:t>
      </w:r>
      <w:r>
        <w:rPr>
          <w:spacing w:val="-65"/>
        </w:rPr>
      </w:r>
      <w:r>
        <w:rPr/>
        <w:t>力构建更新更专业的垂直领域应用和商业价值。</w:t>
      </w:r>
    </w:p>
    <w:p>
      <w:pPr>
        <w:spacing w:line="300" w:lineRule="auto" w:before="20"/>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、提升管理效能，完善激励机制</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报告期内，公司立足战略目标合理进行资源调配和组织架构调整，优化公司治理，提升管理水平；加强内控制度建设和</w:t>
      </w:r>
    </w:p>
    <w:p>
      <w:pPr>
        <w:pStyle w:val="BodyText"/>
        <w:spacing w:line="300" w:lineRule="auto" w:before="31"/>
        <w:ind w:right="1124"/>
        <w:jc w:val="left"/>
      </w:pPr>
      <w:r>
        <w:rPr/>
        <w:t>完善工作，做好各类经营风险防控；推出第四期股权激励计划，向</w:t>
      </w:r>
      <w:r>
        <w:rPr>
          <w:rFonts w:ascii="Times New Roman" w:hAnsi="Times New Roman" w:cs="Times New Roman" w:eastAsia="Times New Roman" w:hint="default"/>
        </w:rPr>
        <w:t>858</w:t>
      </w:r>
      <w:r>
        <w:rPr/>
        <w:t>名激励对象授予股票期权和限制性股票，长期化、阳</w:t>
      </w:r>
      <w:r>
        <w:rPr>
          <w:spacing w:val="-85"/>
        </w:rPr>
        <w:t> </w:t>
      </w:r>
      <w:r>
        <w:rPr>
          <w:spacing w:val="-85"/>
        </w:rPr>
      </w:r>
      <w:r>
        <w:rPr/>
        <w:t>光化的激励机制形成了良好的示范效应，优秀人才加快聚集，为公司可持续发展提供人才保障。</w:t>
      </w:r>
    </w:p>
    <w:p>
      <w:pPr>
        <w:spacing w:line="300" w:lineRule="auto" w:before="31"/>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、荣获多项荣誉和资质，不断提升卫宁竞争力和品牌美誉度</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报告期内，公司出席</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年国家网络安全宣传周活动，成为网络安全博览会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安全可控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专题展区中国医疗信息化领域的</w:t>
      </w:r>
    </w:p>
    <w:p>
      <w:pPr>
        <w:pStyle w:val="BodyText"/>
        <w:spacing w:line="300" w:lineRule="auto" w:before="13"/>
        <w:ind w:right="1105"/>
        <w:jc w:val="both"/>
      </w:pPr>
      <w:r>
        <w:rPr/>
        <w:t>代表性企业；荣获</w:t>
      </w:r>
      <w:r>
        <w:rPr>
          <w:rFonts w:ascii="Times New Roman" w:hAnsi="Times New Roman" w:cs="Times New Roman" w:eastAsia="Times New Roman" w:hint="default"/>
        </w:rPr>
        <w:t>“</w:t>
      </w:r>
      <w:r>
        <w:rPr/>
        <w:t>中国软件诚信示范企业</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w:t>
      </w:r>
      <w:r>
        <w:rPr/>
        <w:t>医养护一体化平台</w:t>
      </w:r>
      <w:r>
        <w:rPr>
          <w:rFonts w:ascii="Times New Roman" w:hAnsi="Times New Roman" w:cs="Times New Roman" w:eastAsia="Times New Roman" w:hint="default"/>
        </w:rPr>
        <w:t>”</w:t>
      </w:r>
      <w:r>
        <w:rPr/>
        <w:t>荣获全国</w:t>
      </w:r>
      <w:r>
        <w:rPr>
          <w:rFonts w:ascii="Times New Roman" w:hAnsi="Times New Roman" w:cs="Times New Roman" w:eastAsia="Times New Roman" w:hint="default"/>
        </w:rPr>
        <w:t>“</w:t>
      </w:r>
      <w:r>
        <w:rPr/>
        <w:t>智慧健康养老创新创业大赛</w:t>
      </w:r>
      <w:r>
        <w:rPr>
          <w:rFonts w:ascii="Times New Roman" w:hAnsi="Times New Roman" w:cs="Times New Roman" w:eastAsia="Times New Roman" w:hint="default"/>
        </w:rPr>
        <w:t>”</w:t>
      </w:r>
      <w:r>
        <w:rPr/>
        <w:t>服务组银奖；</w:t>
      </w:r>
      <w:r>
        <w:rPr>
          <w:spacing w:val="-87"/>
        </w:rPr>
        <w:t> </w:t>
      </w:r>
      <w:r>
        <w:rPr>
          <w:spacing w:val="-87"/>
        </w:rPr>
      </w:r>
      <w:r>
        <w:rPr>
          <w:rFonts w:ascii="Times New Roman" w:hAnsi="Times New Roman" w:cs="Times New Roman" w:eastAsia="Times New Roman" w:hint="default"/>
          <w:spacing w:val="-2"/>
          <w:w w:val="99"/>
        </w:rPr>
        <w:t>“</w:t>
      </w:r>
      <w:r>
        <w:rPr>
          <w:spacing w:val="-2"/>
          <w:w w:val="99"/>
        </w:rPr>
        <w:t>面向信息管理智能化的云计算系统关键技术与应用</w:t>
      </w:r>
      <w:r>
        <w:rPr>
          <w:rFonts w:ascii="Times New Roman" w:hAnsi="Times New Roman" w:cs="Times New Roman" w:eastAsia="Times New Roman" w:hint="default"/>
          <w:spacing w:val="-2"/>
          <w:w w:val="99"/>
        </w:rPr>
        <w:t>”</w:t>
      </w:r>
      <w:r>
        <w:rPr>
          <w:spacing w:val="-2"/>
          <w:w w:val="99"/>
        </w:rPr>
        <w:t>项目荣获上海市科学技术奖一等奖证书；取得了国家</w:t>
      </w:r>
      <w:r>
        <w:rPr>
          <w:rFonts w:ascii="Times New Roman" w:hAnsi="Times New Roman" w:cs="Times New Roman" w:eastAsia="Times New Roman" w:hint="default"/>
          <w:spacing w:val="-2"/>
          <w:w w:val="99"/>
        </w:rPr>
        <w:t>ITSS</w:t>
      </w:r>
      <w:r>
        <w:rPr>
          <w:spacing w:val="-2"/>
          <w:w w:val="99"/>
        </w:rPr>
        <w:t>云计算服务能</w:t>
      </w:r>
      <w:r>
        <w:rPr>
          <w:spacing w:val="-46"/>
          <w:w w:val="99"/>
        </w:rPr>
        <w:t> </w:t>
      </w:r>
      <w:r>
        <w:rPr/>
        <w:t>力</w:t>
      </w:r>
      <w:r>
        <w:rPr>
          <w:rFonts w:ascii="Times New Roman" w:hAnsi="Times New Roman" w:cs="Times New Roman" w:eastAsia="Times New Roman" w:hint="default"/>
        </w:rPr>
        <w:t>(</w:t>
      </w:r>
      <w:r>
        <w:rPr/>
        <w:t>私有云</w:t>
      </w:r>
      <w:r>
        <w:rPr>
          <w:rFonts w:ascii="Times New Roman" w:hAnsi="Times New Roman" w:cs="Times New Roman" w:eastAsia="Times New Roman" w:hint="default"/>
        </w:rPr>
        <w:t>IaaS)</w:t>
      </w:r>
      <w:r>
        <w:rPr/>
        <w:t>贰级、</w:t>
      </w:r>
      <w:r>
        <w:rPr>
          <w:rFonts w:ascii="Times New Roman" w:hAnsi="Times New Roman" w:cs="Times New Roman" w:eastAsia="Times New Roman" w:hint="default"/>
        </w:rPr>
        <w:t>ITSS</w:t>
      </w:r>
      <w:r>
        <w:rPr/>
        <w:t>云计算服务能力</w:t>
      </w:r>
      <w:r>
        <w:rPr>
          <w:rFonts w:ascii="Times New Roman" w:hAnsi="Times New Roman" w:cs="Times New Roman" w:eastAsia="Times New Roman" w:hint="default"/>
        </w:rPr>
        <w:t>(SaaS)</w:t>
      </w:r>
      <w:r>
        <w:rPr/>
        <w:t>贰级标准符合性证书，更强调技术对业务的驱动与赋能，为医院提供全面</w:t>
      </w:r>
      <w:r>
        <w:rPr>
          <w:spacing w:val="-30"/>
        </w:rPr>
        <w:t> </w:t>
      </w:r>
      <w:r>
        <w:rPr>
          <w:spacing w:val="-30"/>
        </w:rPr>
      </w:r>
      <w:r>
        <w:rPr/>
        <w:t>创新和转型动力医疗联合体信息化建设；持续推进</w:t>
      </w:r>
      <w:r>
        <w:rPr>
          <w:rFonts w:ascii="Times New Roman" w:hAnsi="Times New Roman" w:cs="Times New Roman" w:eastAsia="Times New Roman" w:hint="default"/>
        </w:rPr>
        <w:t>AI+</w:t>
      </w:r>
      <w:r>
        <w:rPr/>
        <w:t>医疗健康应用落地，卫宁健康</w:t>
      </w:r>
      <w:r>
        <w:rPr>
          <w:rFonts w:ascii="Times New Roman" w:hAnsi="Times New Roman" w:cs="Times New Roman" w:eastAsia="Times New Roman" w:hint="default"/>
        </w:rPr>
        <w:t>AI</w:t>
      </w:r>
      <w:r>
        <w:rPr/>
        <w:t>骨龄检测产品在上海市儿童医院成功</w:t>
      </w:r>
      <w:r>
        <w:rPr>
          <w:w w:val="99"/>
        </w:rPr>
        <w:t> </w:t>
      </w:r>
      <w:r>
        <w:rPr/>
        <w:t>落地案例，在</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rFonts w:ascii="Times New Roman" w:hAnsi="Times New Roman" w:cs="Times New Roman" w:eastAsia="Times New Roman" w:hint="default"/>
        </w:rPr>
        <w:t>CHITEC</w:t>
      </w:r>
      <w:r>
        <w:rPr/>
        <w:t>会议上荣获国家卫健委</w:t>
      </w:r>
      <w:r>
        <w:rPr>
          <w:rFonts w:ascii="Times New Roman" w:hAnsi="Times New Roman" w:cs="Times New Roman" w:eastAsia="Times New Roman" w:hint="default"/>
        </w:rPr>
        <w:t>“</w:t>
      </w:r>
      <w:r>
        <w:rPr/>
        <w:t>医疗健康人工智能应用落地</w:t>
      </w:r>
      <w:r>
        <w:rPr>
          <w:rFonts w:ascii="Times New Roman" w:hAnsi="Times New Roman" w:cs="Times New Roman" w:eastAsia="Times New Roman" w:hint="default"/>
        </w:rPr>
        <w:t>30</w:t>
      </w:r>
      <w:r>
        <w:rPr/>
        <w:t>最佳案例</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营业收入整体情况</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1,908,007,949.00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1,438,761,343.81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医疗卫生信息化行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1,892,389,508.42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1,425,554,551.38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15,618,440.58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13,206,792.43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1,055,151,114.69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800,138,253.26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31.87%</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450,413,803.00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303,969,647.15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386,824,590.73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321,446,650.97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15,618,440.58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13,206,792.43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414,560,467.05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335,521,629.93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564,498,329.30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377,902,509.94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979,058,796.35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713,424,139.87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699,051,573.03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547,878,103.77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97,941,714.39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74,338,615.62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131,955,865.23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103,120,484.55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27.96%</w:t>
            </w:r>
          </w:p>
        </w:tc>
      </w:tr>
    </w:tbl>
    <w:p>
      <w:pPr>
        <w:pStyle w:val="BodyText"/>
        <w:spacing w:line="240" w:lineRule="auto" w:before="51"/>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18"/>
        <w:gridCol w:w="1008"/>
        <w:gridCol w:w="1010"/>
        <w:gridCol w:w="1011"/>
        <w:gridCol w:w="1011"/>
        <w:gridCol w:w="1004"/>
        <w:gridCol w:w="1004"/>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8"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246,968,378.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422,573,227.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528,291,296.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710,175,045.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205,643,379.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341,210,392.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378,124,965.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513,782,606.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57,464,834.8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104,732,654.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110,741,865.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125,481,378.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40,446,118.7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78,280,961.9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73,855,149.7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110,722,973.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r>
    </w:tbl>
    <w:p>
      <w:pPr>
        <w:pStyle w:val="BodyText"/>
        <w:spacing w:line="360" w:lineRule="auto" w:before="50"/>
        <w:ind w:left="472" w:right="1034" w:hanging="360"/>
        <w:jc w:val="left"/>
      </w:pPr>
      <w:r>
        <w:rPr/>
        <w:t>说明经营季节性（或周期性）发生的原因及波动风险 由于公司客户以国内的公立医院、卫生管理部门等机构为主，其对信息产品的采购一般遵守较为严格的预算管理制度，</w:t>
      </w:r>
    </w:p>
    <w:p>
      <w:pPr>
        <w:pStyle w:val="BodyText"/>
        <w:spacing w:line="222" w:lineRule="exact"/>
        <w:ind w:right="0"/>
        <w:jc w:val="both"/>
      </w:pPr>
      <w:r>
        <w:rPr>
          <w:spacing w:val="-4"/>
        </w:rPr>
        <w:t>通常在每年上半年制定投资计划，需要通过预算、审批、招标、合同签订等流程，许多项目还需要纳入财政预算、政府采购，</w:t>
      </w:r>
    </w:p>
    <w:p>
      <w:pPr>
        <w:pStyle w:val="BodyText"/>
        <w:spacing w:line="309" w:lineRule="auto" w:before="76"/>
        <w:ind w:right="1125"/>
        <w:jc w:val="both"/>
      </w:pPr>
      <w:r>
        <w:rPr>
          <w:spacing w:val="-2"/>
        </w:rPr>
        <w:t>周期相对较长。公司客户年度资本开支主要集中在下半年尤其是第四季度，对公司的项目验收和付款也集中在下半年。由于</w:t>
      </w:r>
      <w:r>
        <w:rPr>
          <w:spacing w:val="-63"/>
        </w:rPr>
        <w:t> </w:t>
      </w:r>
      <w:r>
        <w:rPr>
          <w:spacing w:val="-63"/>
        </w:rPr>
      </w:r>
      <w:r>
        <w:rPr>
          <w:spacing w:val="-2"/>
        </w:rPr>
        <w:t>受上述因素的影响，导致公司营业收入、净利润、经营性现金流量呈不均衡的季节性分布：最近三年，公司上半年收款一般</w:t>
      </w:r>
      <w:r>
        <w:rPr>
          <w:spacing w:val="-63"/>
        </w:rPr>
        <w:t> </w:t>
      </w:r>
      <w:r>
        <w:rPr>
          <w:spacing w:val="-63"/>
        </w:rPr>
      </w:r>
      <w:r>
        <w:rPr>
          <w:spacing w:val="-1"/>
        </w:rPr>
        <w:t>只占全年的</w:t>
      </w:r>
      <w:r>
        <w:rPr>
          <w:rFonts w:ascii="Times New Roman" w:hAnsi="Times New Roman" w:cs="Times New Roman" w:eastAsia="Times New Roman" w:hint="default"/>
          <w:spacing w:val="-1"/>
        </w:rPr>
        <w:t>20%-30%</w:t>
      </w:r>
      <w:r>
        <w:rPr>
          <w:spacing w:val="-1"/>
        </w:rPr>
        <w:t>，而第四季度能达到全年的</w:t>
      </w:r>
      <w:r>
        <w:rPr>
          <w:rFonts w:ascii="Times New Roman" w:hAnsi="Times New Roman" w:cs="Times New Roman" w:eastAsia="Times New Roman" w:hint="default"/>
          <w:spacing w:val="-1"/>
        </w:rPr>
        <w:t>50%</w:t>
      </w:r>
      <w:r>
        <w:rPr>
          <w:spacing w:val="-1"/>
        </w:rPr>
        <w:t>以上；公司的收入和利润存在一定的季节性，也有一定的波动性，软件</w:t>
      </w:r>
      <w:r>
        <w:rPr>
          <w:spacing w:val="-84"/>
        </w:rPr>
        <w:t> </w:t>
      </w:r>
      <w:r>
        <w:rPr>
          <w:spacing w:val="-84"/>
        </w:rPr>
      </w:r>
      <w:r>
        <w:rPr>
          <w:spacing w:val="-1"/>
        </w:rPr>
        <w:t>及技术服务收入、扣非净利润在上、下半年分别占比平均约为</w:t>
      </w:r>
      <w:r>
        <w:rPr>
          <w:rFonts w:ascii="Times New Roman" w:hAnsi="Times New Roman" w:cs="Times New Roman" w:eastAsia="Times New Roman" w:hint="default"/>
          <w:spacing w:val="-1"/>
        </w:rPr>
        <w:t>35%</w:t>
      </w:r>
      <w:r>
        <w:rPr>
          <w:spacing w:val="-1"/>
        </w:rPr>
        <w:t>、</w:t>
      </w:r>
      <w:r>
        <w:rPr>
          <w:rFonts w:ascii="Times New Roman" w:hAnsi="Times New Roman" w:cs="Times New Roman" w:eastAsia="Times New Roman" w:hint="default"/>
          <w:spacing w:val="-1"/>
        </w:rPr>
        <w:t>65%</w:t>
      </w:r>
      <w:r>
        <w:rPr>
          <w:spacing w:val="-1"/>
        </w:rPr>
        <w:t>。因此，投资者不宜以公司季度或者半年度业绩作</w:t>
      </w:r>
      <w:r>
        <w:rPr>
          <w:spacing w:val="-55"/>
        </w:rPr>
        <w:t> </w:t>
      </w:r>
      <w:r>
        <w:rPr>
          <w:spacing w:val="-55"/>
        </w:rPr>
      </w:r>
      <w:r>
        <w:rPr/>
        <w:t>为投资判断的主要依据。</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1020" w:right="0"/>
          <w:cols w:num="2" w:equalWidth="0">
            <w:col w:w="9025" w:space="40"/>
            <w:col w:w="1825"/>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1,892,389,508.42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913,372,297.78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15,618,440.58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13,483,681.89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r>
      <w:tr>
        <w:trPr>
          <w:trHeight w:val="400"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1,055,151,114.69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377,919,857.51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17.92%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450,413,803.00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387,243,431.82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386,824,590.73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148,209,008.45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48.70%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15,618,440.58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13,483,681.89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414,560,467.05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209,487,109.25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564,498,329.30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266,105,543.38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54.93%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979,058,796.35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475,592,652.63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699,051,573.03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350,843,678.04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37.58%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97,941,714.39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30,897,955.84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131,955,865.23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69,521,693.16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37.08%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-3.51%</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913,372,297.78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678,700,550.27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13,483,681.89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11,910,682.13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w:t>
            </w:r>
          </w:p>
        </w:tc>
      </w:tr>
    </w:tbl>
    <w:p>
      <w:pPr>
        <w:pStyle w:val="BodyText"/>
        <w:spacing w:line="240" w:lineRule="auto" w:before="50"/>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159,640,954.53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125,396,028.77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4" w:right="193"/>
              <w:jc w:val="left"/>
              <w:rPr>
                <w:rFonts w:ascii="宋体" w:hAnsi="宋体" w:cs="宋体" w:eastAsia="宋体" w:hint="default"/>
                <w:sz w:val="18"/>
                <w:szCs w:val="18"/>
              </w:rPr>
            </w:pPr>
            <w:r>
              <w:rPr>
                <w:rFonts w:ascii="宋体" w:hAnsi="宋体" w:cs="宋体" w:eastAsia="宋体" w:hint="default"/>
                <w:sz w:val="18"/>
                <w:szCs w:val="18"/>
              </w:rPr>
              <w:t>硬件成本</w:t>
            </w:r>
            <w:r>
              <w:rPr>
                <w:rFonts w:ascii="Times New Roman" w:hAnsi="Times New Roman" w:cs="Times New Roman" w:eastAsia="Times New Roman" w:hint="default"/>
                <w:sz w:val="18"/>
                <w:szCs w:val="18"/>
              </w:rPr>
              <w:t>-</w:t>
            </w:r>
            <w:r>
              <w:rPr>
                <w:rFonts w:ascii="宋体" w:hAnsi="宋体" w:cs="宋体" w:eastAsia="宋体" w:hint="default"/>
                <w:sz w:val="18"/>
                <w:szCs w:val="18"/>
              </w:rPr>
              <w:t>原材 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387,243,431.82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258,540,369.71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88,073,562.56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84,842,035.09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3"/>
          <w:pgSz w:w="11910" w:h="16840"/>
          <w:pgMar w:footer="978" w:header="746" w:top="1060" w:bottom="1160" w:left="1020" w:right="0"/>
          <w:pgNumType w:start="20"/>
        </w:sectPr>
      </w:pPr>
    </w:p>
    <w:p>
      <w:pPr>
        <w:pStyle w:val="BodyText"/>
        <w:spacing w:line="240" w:lineRule="auto" w:before="44"/>
        <w:ind w:right="-17"/>
        <w:jc w:val="left"/>
      </w:pPr>
      <w:r>
        <w:rPr/>
        <w:t>说明</w:t>
      </w:r>
    </w:p>
    <w:p>
      <w:pPr>
        <w:pStyle w:val="BodyText"/>
        <w:spacing w:line="3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33" w:right="0"/>
        <w:jc w:val="left"/>
      </w:pPr>
      <w:r>
        <w:rPr/>
        <w:t>单位：元</w:t>
      </w:r>
    </w:p>
    <w:p>
      <w:pPr>
        <w:spacing w:after="0" w:line="240" w:lineRule="auto"/>
        <w:jc w:val="left"/>
        <w:sectPr>
          <w:type w:val="continuous"/>
          <w:pgSz w:w="11910" w:h="16840"/>
          <w:pgMar w:top="1060" w:bottom="1160" w:left="1020" w:right="0"/>
          <w:cols w:num="2" w:equalWidth="0">
            <w:col w:w="9025" w:space="40"/>
            <w:col w:w="1825"/>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316" w:lineRule="auto" w:before="103"/>
        <w:ind w:left="472" w:right="1754"/>
        <w:jc w:val="left"/>
      </w:pPr>
      <w:r>
        <w:rPr/>
        <w:t>报告期内，公司纳入合并范围子公司发生变动，增加陕西卫宁互联网科技有限公司和上海卫心科技有限公司。 合并范围变更主体的具体信息详见本报告“第十二节</w:t>
      </w:r>
      <w:r>
        <w:rPr>
          <w:spacing w:val="1"/>
        </w:rPr>
        <w:t> </w:t>
      </w:r>
      <w:r>
        <w:rPr/>
        <w:t>财务报告”中“八、合并范围的变更”。</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137,284,824.72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7.20%</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30,270,106.20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29,932,459.53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29,265,486.73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28,848,962.08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18,967,810.18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137,284,824.72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7.20%</w:t>
            </w:r>
          </w:p>
        </w:tc>
      </w:tr>
    </w:tbl>
    <w:p>
      <w:pPr>
        <w:pStyle w:val="BodyText"/>
        <w:spacing w:line="240" w:lineRule="auto" w:before="49"/>
        <w:ind w:right="0"/>
        <w:jc w:val="left"/>
      </w:pPr>
      <w:r>
        <w:rPr/>
        <w:t>主要客户其他情况说明</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69,149,110.77</w:t>
            </w:r>
          </w:p>
        </w:tc>
      </w:tr>
      <w:tr>
        <w:trPr>
          <w:trHeight w:val="400"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2"/>
                <w:sz w:val="18"/>
              </w:rPr>
              <w:t>11.51%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1"/>
        <w:rPr>
          <w:rFonts w:ascii="宋体" w:hAnsi="宋体" w:cs="宋体" w:eastAsia="宋体" w:hint="default"/>
          <w:sz w:val="28"/>
          <w:szCs w:val="28"/>
        </w:rPr>
      </w:pPr>
    </w:p>
    <w:p>
      <w:pPr>
        <w:spacing w:line="728" w:lineRule="exact"/>
        <w:ind w:left="10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4pt;height:36.450pt;mso-position-horizontal-relative:char;mso-position-vertical-relative:line" coordorigin="0,0" coordsize="9588,729">
            <v:group style="position:absolute;left:13;top:13;width:4252;height:709" coordorigin="13,13" coordsize="4252,709">
              <v:shape style="position:absolute;left:13;top:13;width:4252;height:709" coordorigin="13,13" coordsize="4252,709" path="m13,13l4265,13,4265,722,13,722,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724;width:9578;height:2" coordorigin="5,724" coordsize="9578,2">
              <v:shape style="position:absolute;left:5;top:724;width:9578;height:2" coordorigin="5,724" coordsize="9578,0" path="m5,724l9582,724e" filled="false" stroked="true" strokeweight=".48pt" strokecolor="#000000">
                <v:path arrowok="t"/>
              </v:shape>
            </v:group>
            <v:group style="position:absolute;left:10;top:5;width:2;height:714" coordorigin="10,5" coordsize="2,714">
              <v:shape style="position:absolute;left:10;top:5;width:2;height:714" coordorigin="10,5" coordsize="0,714" path="m10,5l10,719e" filled="false" stroked="true" strokeweight=".48pt" strokecolor="#000000">
                <v:path arrowok="t"/>
              </v:shape>
            </v:group>
            <v:group style="position:absolute;left:4267;top:5;width:2;height:714" coordorigin="4267,5" coordsize="2,714">
              <v:shape style="position:absolute;left:4267;top:5;width:2;height:714" coordorigin="4267,5" coordsize="0,714" path="m4267,5l4267,719e" filled="false" stroked="true" strokeweight=".48pt" strokecolor="#000000">
                <v:path arrowok="t"/>
              </v:shape>
            </v:group>
            <v:group style="position:absolute;left:9578;top:5;width:2;height:714" coordorigin="9578,5" coordsize="2,714">
              <v:shape style="position:absolute;left:9578;top:5;width:2;height:714" coordorigin="9578,5" coordsize="0,714" path="m9578,5l9578,719e" filled="false" stroked="true" strokeweight=".48pt" strokecolor="#000000">
                <v:path arrowok="t"/>
              </v:shape>
              <v:shape style="position:absolute;left:10;top:10;width:4257;height:714" type="#_x0000_t202" filled="false" stroked="false">
                <v:textbox inset="0,0,0,0">
                  <w:txbxContent>
                    <w:p>
                      <w:pPr>
                        <w:spacing w:line="316" w:lineRule="auto" w:before="54"/>
                        <w:ind w:left="27" w:right="87" w:firstLine="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xbxContent>
                </v:textbox>
                <w10:wrap type="none"/>
              </v:shape>
              <v:shape style="position:absolute;left:9085;top:286;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14"/>
          <w:sz w:val="20"/>
          <w:szCs w:val="20"/>
        </w:rPr>
      </w:r>
    </w:p>
    <w:p>
      <w:pPr>
        <w:pStyle w:val="BodyText"/>
        <w:spacing w:line="240" w:lineRule="auto" w:before="51"/>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20,513,274.33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13,801,326.51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2.30%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12,063,162.83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11,688,620.20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11,082,726.90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69,149,110.77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11.51%</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241,740,797.38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200,844,773.63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140,154,759.92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118,079,752.60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3,206,515.85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8,016,580.08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主要是利息收入增加所致。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205,633,105.31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147,208,167.90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
              <w:jc w:val="left"/>
              <w:rPr>
                <w:rFonts w:ascii="宋体" w:hAnsi="宋体" w:cs="宋体" w:eastAsia="宋体" w:hint="default"/>
                <w:sz w:val="18"/>
                <w:szCs w:val="18"/>
              </w:rPr>
            </w:pPr>
            <w:r>
              <w:rPr>
                <w:rFonts w:ascii="宋体" w:hAnsi="宋体" w:cs="宋体" w:eastAsia="宋体" w:hint="default"/>
                <w:sz w:val="18"/>
                <w:szCs w:val="18"/>
              </w:rPr>
              <w:t>主要是业务增长带来人工成本增加、 创新型业务研发投入增加所致。</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472" w:right="103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8"/>
        </w:rPr>
        <w:t>报告期内，公司密切关注行业发展趋势，积极跟随行业政策导向，持续围绕《卫宁健康产品家族三年发展纲要</w:t>
      </w:r>
      <w:r>
        <w:rPr>
          <w:rFonts w:ascii="Times New Roman" w:hAnsi="Times New Roman" w:cs="Times New Roman" w:eastAsia="Times New Roman" w:hint="default"/>
          <w:spacing w:val="-8"/>
        </w:rPr>
        <w:t>2018-2020</w:t>
      </w:r>
      <w:r>
        <w:rPr>
          <w:spacing w:val="-8"/>
        </w:rPr>
        <w:t>》，</w:t>
      </w:r>
    </w:p>
    <w:p>
      <w:pPr>
        <w:pStyle w:val="BodyText"/>
        <w:spacing w:line="230" w:lineRule="exact"/>
        <w:ind w:right="0"/>
        <w:jc w:val="left"/>
      </w:pPr>
      <w:r>
        <w:rPr/>
        <w:t>坚持技术创新，保障新产品开发与技术升级有序进行，研发包含</w:t>
      </w:r>
      <w:r>
        <w:rPr>
          <w:rFonts w:ascii="Times New Roman" w:hAnsi="Times New Roman" w:cs="Times New Roman" w:eastAsia="Times New Roman" w:hint="default"/>
        </w:rPr>
        <w:t>“</w:t>
      </w:r>
      <w:r>
        <w:rPr/>
        <w:t>智慧医院</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区域卫生</w:t>
      </w:r>
      <w:r>
        <w:rPr>
          <w:rFonts w:ascii="Times New Roman" w:hAnsi="Times New Roman" w:cs="Times New Roman" w:eastAsia="Times New Roman" w:hint="default"/>
        </w:rPr>
        <w:t>3.0”</w:t>
      </w:r>
      <w:r>
        <w:rPr/>
        <w:t>以及</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+2.0”</w:t>
      </w:r>
      <w:r>
        <w:rPr/>
        <w:t>在内的新一</w:t>
      </w:r>
    </w:p>
    <w:p>
      <w:pPr>
        <w:pStyle w:val="BodyText"/>
        <w:spacing w:line="319" w:lineRule="auto" w:before="63"/>
        <w:ind w:left="472" w:right="4585" w:hanging="360"/>
        <w:jc w:val="left"/>
      </w:pPr>
      <w:r>
        <w:rPr/>
        <w:t>代智慧应用产品。详见本年度报告</w:t>
      </w:r>
      <w:r>
        <w:rPr>
          <w:rFonts w:ascii="Times New Roman" w:hAnsi="Times New Roman" w:cs="Times New Roman" w:eastAsia="Times New Roman" w:hint="default"/>
        </w:rPr>
        <w:t>“</w:t>
      </w:r>
      <w:r>
        <w:rPr/>
        <w:t>第四节</w:t>
      </w:r>
      <w:r>
        <w:rPr>
          <w:spacing w:val="-1"/>
        </w:rPr>
        <w:t> </w:t>
      </w:r>
      <w:r>
        <w:rPr/>
        <w:t>经营情况讨论与分析</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报告期内，公司及全资子公司申请获得</w:t>
      </w:r>
      <w:r>
        <w:rPr>
          <w:rFonts w:ascii="Times New Roman" w:hAnsi="Times New Roman" w:cs="Times New Roman" w:eastAsia="Times New Roman" w:hint="default"/>
        </w:rPr>
        <w:t>97</w:t>
      </w:r>
      <w:r>
        <w:rPr/>
        <w:t>项计算机软件著作权证书。 近三年公司研发投入金额及占营业收入的比例</w:t>
      </w:r>
    </w:p>
    <w:p>
      <w:pPr>
        <w:spacing w:line="240" w:lineRule="auto" w:before="8"/>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38.31%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385,961,962.71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290,921,964.57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241,800,279.00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20.09%</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180,328,857.40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143,713,796.67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131,574,357.99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54.41%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57.27%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17"/>
        <w:jc w:val="left"/>
      </w:pPr>
      <w:r>
        <w:rPr/>
        <w:t>研发投入总额占营业收入的比重较上年发生显著变化的原因</w:t>
      </w:r>
    </w:p>
    <w:p>
      <w:pPr>
        <w:pStyle w:val="BodyText"/>
        <w:spacing w:line="340" w:lineRule="auto" w:before="117"/>
        <w:ind w:right="4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pStyle w:val="BodyText"/>
        <w:spacing w:line="240" w:lineRule="auto" w:before="39"/>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3" w:right="0"/>
        <w:jc w:val="left"/>
      </w:pPr>
      <w:r>
        <w:rPr/>
        <w:pict>
          <v:group style="position:absolute;margin-left:415.649994pt;margin-top:37.54171pt;width:119.35pt;height:191.45pt;mso-position-horizontal-relative:page;mso-position-vertical-relative:paragraph;z-index:-1272904" coordorigin="8313,751" coordsize="2387,3829">
            <v:shape style="position:absolute;left:8313;top:751;width:2387;height:3829" coordorigin="8313,751" coordsize="2387,3829" path="m8313,751l10700,751,10700,4580,8313,4580,8313,751xe" filled="true" fillcolor="#ffffff" stroked="false">
              <v:path arrowok="t"/>
              <v:fill type="solid"/>
            </v:shape>
            <w10:wrap type="none"/>
          </v:group>
        </w:pict>
      </w:r>
      <w:r>
        <w:rPr/>
        <w:t>单位：元</w:t>
      </w:r>
    </w:p>
    <w:p>
      <w:pPr>
        <w:spacing w:after="0" w:line="240" w:lineRule="auto"/>
        <w:jc w:val="left"/>
        <w:sectPr>
          <w:type w:val="continuous"/>
          <w:pgSz w:w="11910" w:h="16840"/>
          <w:pgMar w:top="1060" w:bottom="116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4"/>
                <w:sz w:val="18"/>
                <w:szCs w:val="18"/>
              </w:rPr>
              <w:t>智慧医疗实现医疗信息资源</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的交换、共享，实现服务的互</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连互通和互操作。在不同医疗</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机构间建立健康信息整合平</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台，使服务机构业务流程可以</w:t>
            </w:r>
          </w:p>
        </w:tc>
        <w:tc>
          <w:tcPr>
            <w:tcW w:w="2392"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智慧医疗信息系统三期</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44,940,294.79</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整合，医疗信息和资源可以共 </w:t>
            </w:r>
            <w:r>
              <w:rPr>
                <w:rFonts w:ascii="宋体" w:hAnsi="宋体" w:cs="宋体" w:eastAsia="宋体" w:hint="default"/>
                <w:spacing w:val="14"/>
                <w:sz w:val="18"/>
                <w:szCs w:val="18"/>
              </w:rPr>
              <w:t>享，跨医疗机构可以在线预</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截至本报告期末已完成。</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约、分级诊疗和双向转诊，实</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w:t>
            </w:r>
            <w:r>
              <w:rPr>
                <w:rFonts w:ascii="Times New Roman" w:hAnsi="Times New Roman" w:cs="Times New Roman" w:eastAsia="Times New Roman" w:hint="default"/>
                <w:sz w:val="18"/>
                <w:szCs w:val="18"/>
              </w:rPr>
              <w:t>“</w:t>
            </w:r>
            <w:r>
              <w:rPr>
                <w:rFonts w:ascii="宋体" w:hAnsi="宋体" w:cs="宋体" w:eastAsia="宋体" w:hint="default"/>
                <w:sz w:val="18"/>
                <w:szCs w:val="18"/>
              </w:rPr>
              <w:t>小病在社区，大病进医院</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康复回社区</w:t>
            </w:r>
            <w:r>
              <w:rPr>
                <w:rFonts w:ascii="Times New Roman" w:hAnsi="Times New Roman" w:cs="Times New Roman" w:eastAsia="Times New Roman" w:hint="default"/>
                <w:sz w:val="18"/>
                <w:szCs w:val="18"/>
              </w:rPr>
              <w:t>”</w:t>
            </w:r>
            <w:r>
              <w:rPr>
                <w:rFonts w:ascii="宋体" w:hAnsi="宋体" w:cs="宋体" w:eastAsia="宋体" w:hint="default"/>
                <w:sz w:val="18"/>
                <w:szCs w:val="18"/>
              </w:rPr>
              <w:t>的便民就诊模式</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4"/>
                <w:sz w:val="18"/>
                <w:szCs w:val="18"/>
              </w:rPr>
              <w:t>从而大幅提升医疗资源的合</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理化分配。</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建设以居民健康档案、电子病</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历两大应用主线为切入点，以</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优化流程、促进业务融合、惠</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及居民为宗旨，以实现公共卫</w:t>
            </w:r>
          </w:p>
        </w:tc>
        <w:tc>
          <w:tcPr>
            <w:tcW w:w="239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基于互联网的家庭医生签约 管理</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6,583,891.56</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生、医疗服务、医疗保障等重 </w:t>
            </w:r>
            <w:r>
              <w:rPr>
                <w:rFonts w:ascii="宋体" w:hAnsi="宋体" w:cs="宋体" w:eastAsia="宋体" w:hint="default"/>
                <w:spacing w:val="14"/>
                <w:sz w:val="18"/>
                <w:szCs w:val="18"/>
              </w:rPr>
              <w:t>点业务的互联互通和信息共</w:t>
            </w:r>
            <w:r>
              <w:rPr>
                <w:rFonts w:ascii="宋体" w:hAnsi="宋体" w:cs="宋体" w:eastAsia="宋体" w:hint="default"/>
                <w:sz w:val="18"/>
                <w:szCs w:val="18"/>
              </w:rPr>
              <w:t> 享为基本要求，构建卫生信息</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截至本报告期末已完成。</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网络综合平台，为医疗卫生人</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员提供技术支持，让城乡居民</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获得更加便捷、高效的医疗卫</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生服务。</w:t>
            </w:r>
          </w:p>
        </w:tc>
        <w:tc>
          <w:tcPr>
            <w:tcW w:w="2392"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5"/>
        <w:rPr>
          <w:rFonts w:ascii="宋体" w:hAnsi="宋体" w:cs="宋体" w:eastAsia="宋体" w:hint="default"/>
          <w:sz w:val="28"/>
          <w:szCs w:val="28"/>
        </w:rPr>
      </w:pPr>
      <w:r>
        <w:rPr/>
        <w:pict>
          <v:shape style="position:absolute;margin-left:409.55899pt;margin-top:72.400024pt;width:125.45pt;height:253.7pt;mso-position-horizontal-relative:page;mso-position-vertical-relative:page;z-index:-12728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415.649994pt;margin-top:72.400024pt;width:119.35pt;height:253.85pt;mso-position-horizontal-relative:page;mso-position-vertical-relative:page;z-index:-1272856" coordorigin="8313,1448" coordsize="2387,5077">
            <v:shape style="position:absolute;left:8313;top:1448;width:2387;height:5077" coordorigin="8313,1448" coordsize="2387,5077" path="m8313,1448l10700,1448,10700,6525,8313,6525,8313,1448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61"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10"/>
                <w:sz w:val="18"/>
                <w:szCs w:val="18"/>
              </w:rPr>
              <w:t>该项</w:t>
            </w:r>
            <w:r>
              <w:rPr>
                <w:rFonts w:ascii="宋体" w:hAnsi="宋体" w:cs="宋体" w:eastAsia="宋体" w:hint="default"/>
                <w:spacing w:val="-64"/>
                <w:sz w:val="18"/>
                <w:szCs w:val="18"/>
              </w:rPr>
              <w:t> </w:t>
            </w:r>
            <w:r>
              <w:rPr>
                <w:rFonts w:ascii="宋体" w:hAnsi="宋体" w:cs="宋体" w:eastAsia="宋体" w:hint="default"/>
                <w:spacing w:val="5"/>
                <w:sz w:val="18"/>
                <w:szCs w:val="18"/>
              </w:rPr>
              <w:t>目以</w:t>
            </w:r>
            <w:r>
              <w:rPr>
                <w:rFonts w:ascii="Times New Roman" w:hAnsi="Times New Roman" w:cs="Times New Roman" w:eastAsia="Times New Roman" w:hint="default"/>
                <w:spacing w:val="5"/>
                <w:sz w:val="18"/>
                <w:szCs w:val="18"/>
              </w:rPr>
              <w:t>“HBT”</w:t>
            </w:r>
            <w:r>
              <w:rPr>
                <w:rFonts w:ascii="Times New Roman" w:hAnsi="Times New Roman" w:cs="Times New Roman" w:eastAsia="Times New Roman" w:hint="default"/>
                <w:spacing w:val="-20"/>
                <w:sz w:val="18"/>
                <w:szCs w:val="18"/>
              </w:rPr>
              <w:t> </w:t>
            </w:r>
            <w:r>
              <w:rPr>
                <w:rFonts w:ascii="宋体" w:hAnsi="宋体" w:cs="宋体" w:eastAsia="宋体" w:hint="default"/>
                <w:spacing w:val="10"/>
                <w:sz w:val="18"/>
                <w:szCs w:val="18"/>
              </w:rPr>
              <w:t>理念</w:t>
            </w:r>
            <w:r>
              <w:rPr>
                <w:rFonts w:ascii="宋体" w:hAnsi="宋体" w:cs="宋体" w:eastAsia="宋体" w:hint="default"/>
                <w:spacing w:val="-64"/>
                <w:sz w:val="18"/>
                <w:szCs w:val="18"/>
              </w:rPr>
              <w:t> </w:t>
            </w:r>
            <w:r>
              <w:rPr>
                <w:rFonts w:ascii="宋体" w:hAnsi="宋体" w:cs="宋体" w:eastAsia="宋体" w:hint="default"/>
                <w:spacing w:val="14"/>
                <w:sz w:val="18"/>
                <w:szCs w:val="18"/>
              </w:rPr>
              <w:t>为出发</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点，聚焦务业提升效率、数据</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反哺业务、内容及服务实现生</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态赋能。以一个中台为依托，</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打造</w:t>
            </w:r>
            <w:r>
              <w:rPr>
                <w:rFonts w:ascii="Times New Roman" w:hAnsi="Times New Roman" w:cs="Times New Roman" w:eastAsia="Times New Roman" w:hint="default"/>
                <w:spacing w:val="4"/>
                <w:sz w:val="18"/>
                <w:szCs w:val="18"/>
              </w:rPr>
              <w:t>“X”</w:t>
            </w:r>
            <w:r>
              <w:rPr>
                <w:rFonts w:ascii="宋体" w:hAnsi="宋体" w:cs="宋体" w:eastAsia="宋体" w:hint="default"/>
                <w:spacing w:val="4"/>
                <w:sz w:val="18"/>
                <w:szCs w:val="18"/>
              </w:rPr>
              <w:t>场景化解决方案，推</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进数字化转型</w:t>
            </w:r>
            <w:r>
              <w:rPr>
                <w:rFonts w:ascii="宋体" w:hAnsi="宋体" w:cs="宋体" w:eastAsia="宋体" w:hint="default"/>
                <w:spacing w:val="-46"/>
                <w:sz w:val="18"/>
                <w:szCs w:val="18"/>
              </w:rPr>
              <w:t>。</w:t>
            </w:r>
            <w:r>
              <w:rPr>
                <w:rFonts w:ascii="宋体" w:hAnsi="宋体" w:cs="宋体" w:eastAsia="宋体" w:hint="default"/>
                <w:sz w:val="18"/>
                <w:szCs w:val="18"/>
              </w:rPr>
              <w:t>具体包括</w:t>
            </w:r>
            <w:r>
              <w:rPr>
                <w:rFonts w:ascii="宋体" w:hAnsi="宋体" w:cs="宋体" w:eastAsia="宋体" w:hint="default"/>
                <w:spacing w:val="-137"/>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WiNEX</w:t>
            </w:r>
            <w:r>
              <w:rPr>
                <w:rFonts w:ascii="宋体" w:hAnsi="宋体" w:cs="宋体" w:eastAsia="宋体" w:hint="default"/>
                <w:spacing w:val="-4"/>
                <w:sz w:val="18"/>
                <w:szCs w:val="18"/>
              </w:rPr>
              <w:t>、胸痛中心系统、医务</w:t>
            </w:r>
          </w:p>
        </w:tc>
        <w:tc>
          <w:tcPr>
            <w:tcW w:w="2392"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智慧医疗信息系统四期</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118,273,276.79</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管理系统、</w:t>
            </w:r>
            <w:r>
              <w:rPr>
                <w:rFonts w:ascii="Times New Roman" w:hAnsi="Times New Roman" w:cs="Times New Roman" w:eastAsia="Times New Roman" w:hint="default"/>
                <w:sz w:val="18"/>
                <w:szCs w:val="18"/>
              </w:rPr>
              <w:t>LIS60</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在内的智慧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医院服务深化，以知识驱动诊</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进行中</w:t>
            </w: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疗业务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基于健康管理的</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4"/>
                <w:sz w:val="18"/>
                <w:szCs w:val="18"/>
              </w:rPr>
              <w:t>分级诊疗平台持续优化就医</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模式，推</w:t>
            </w:r>
            <w:r>
              <w:rPr>
                <w:rFonts w:ascii="宋体" w:hAnsi="宋体" w:cs="宋体" w:eastAsia="宋体" w:hint="default"/>
                <w:spacing w:val="16"/>
                <w:sz w:val="18"/>
                <w:szCs w:val="18"/>
              </w:rPr>
              <w:t>动</w:t>
            </w:r>
            <w:r>
              <w:rPr>
                <w:rFonts w:ascii="宋体" w:hAnsi="宋体" w:cs="宋体" w:eastAsia="宋体" w:hint="default"/>
                <w:spacing w:val="14"/>
                <w:sz w:val="18"/>
                <w:szCs w:val="18"/>
              </w:rPr>
              <w:t>医改进程</w:t>
            </w:r>
            <w:r>
              <w:rPr>
                <w:rFonts w:ascii="宋体" w:hAnsi="宋体" w:cs="宋体" w:eastAsia="宋体" w:hint="default"/>
                <w:spacing w:val="-75"/>
                <w:sz w:val="18"/>
                <w:szCs w:val="18"/>
              </w:rPr>
              <w:t>；</w:t>
            </w:r>
            <w:r>
              <w:rPr>
                <w:rFonts w:ascii="宋体" w:hAnsi="宋体" w:cs="宋体" w:eastAsia="宋体" w:hint="default"/>
                <w:spacing w:val="14"/>
                <w:sz w:val="18"/>
                <w:szCs w:val="18"/>
              </w:rPr>
              <w:t>（</w:t>
            </w:r>
            <w:r>
              <w:rPr>
                <w:rFonts w:ascii="Times New Roman" w:hAnsi="Times New Roman" w:cs="Times New Roman" w:eastAsia="Times New Roman" w:hint="default"/>
                <w:spacing w:val="13"/>
                <w:sz w:val="18"/>
                <w:szCs w:val="18"/>
              </w:rPr>
              <w:t>3</w:t>
            </w:r>
            <w:r>
              <w:rPr>
                <w:rFonts w:ascii="宋体" w:hAnsi="宋体" w:cs="宋体" w:eastAsia="宋体" w:hint="default"/>
                <w:sz w:val="18"/>
                <w:szCs w:val="18"/>
              </w:rPr>
              <w:t>）</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DRGS</w:t>
            </w:r>
            <w:r>
              <w:rPr>
                <w:rFonts w:ascii="宋体" w:hAnsi="宋体" w:cs="宋体" w:eastAsia="宋体" w:hint="default"/>
                <w:spacing w:val="3"/>
                <w:sz w:val="18"/>
                <w:szCs w:val="18"/>
              </w:rPr>
              <w:t>、科研一体化平台在内</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的大数据智慧服务，优化医保</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支付，提升科研水平，挖掘数</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据价值，利用数据反哺业务。</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该平台利用互联网技术，接入</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和连接各级医疗机构、医生、</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患者、支付方、第三方健康产</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业机构和行政管理部门，构建</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完整的医疗健康服务生态体</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系。行政管理部门通过监管平</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台对所有开展互联网诊疗的</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医疗机构及其医疗业务范围</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进行监管，对医生在线提供的</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3"/>
                <w:sz w:val="18"/>
                <w:szCs w:val="18"/>
              </w:rPr>
              <w:t>诊疗服务进行全面、</w:t>
            </w:r>
            <w:r>
              <w:rPr>
                <w:rFonts w:ascii="宋体" w:hAnsi="宋体" w:cs="宋体" w:eastAsia="宋体" w:hint="default"/>
                <w:spacing w:val="-70"/>
                <w:sz w:val="18"/>
                <w:szCs w:val="18"/>
              </w:rPr>
              <w:t> </w:t>
            </w:r>
            <w:r>
              <w:rPr>
                <w:rFonts w:ascii="宋体" w:hAnsi="宋体" w:cs="宋体" w:eastAsia="宋体" w:hint="default"/>
                <w:spacing w:val="10"/>
                <w:sz w:val="18"/>
                <w:szCs w:val="18"/>
              </w:rPr>
              <w:t>全程监</w:t>
            </w:r>
          </w:p>
        </w:tc>
        <w:tc>
          <w:tcPr>
            <w:tcW w:w="2392"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省级互联网服务监管一体化 平台</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10,531,394.26</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管，通过系统预警，及时统计 </w:t>
            </w:r>
            <w:r>
              <w:rPr>
                <w:rFonts w:ascii="宋体" w:hAnsi="宋体" w:cs="宋体" w:eastAsia="宋体" w:hint="default"/>
                <w:spacing w:val="13"/>
                <w:sz w:val="18"/>
                <w:szCs w:val="18"/>
              </w:rPr>
              <w:t>分析违规行为，</w:t>
            </w:r>
            <w:r>
              <w:rPr>
                <w:rFonts w:ascii="宋体" w:hAnsi="宋体" w:cs="宋体" w:eastAsia="宋体" w:hint="default"/>
                <w:spacing w:val="-74"/>
                <w:sz w:val="18"/>
                <w:szCs w:val="18"/>
              </w:rPr>
              <w:t> </w:t>
            </w:r>
            <w:r>
              <w:rPr>
                <w:rFonts w:ascii="宋体" w:hAnsi="宋体" w:cs="宋体" w:eastAsia="宋体" w:hint="default"/>
                <w:spacing w:val="12"/>
                <w:sz w:val="18"/>
                <w:szCs w:val="18"/>
              </w:rPr>
              <w:t>保障医疗安</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进行中</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全。与此同时，监管平台嵌入</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了医疗机构、医师、护士等电</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子注册系统，其诊疗科目均经</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过卫生健康行政部门许可，提</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供医疗服务的每一位医务人</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员都能够在国家医师、护士电</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子注册系统中进行查询并获</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得相关执业信息，从而确保在</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线服务医疗机构和医务人员</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的合法合规。</w:t>
            </w:r>
          </w:p>
        </w:tc>
        <w:tc>
          <w:tcPr>
            <w:tcW w:w="2392" w:type="dxa"/>
            <w:tcBorders>
              <w:top w:val="nil" w:sz="6" w:space="0" w:color="auto"/>
              <w:left w:val="single" w:sz="4" w:space="0" w:color="000000"/>
              <w:bottom w:val="single" w:sz="4" w:space="0" w:color="000000"/>
              <w:right w:val="single" w:sz="4" w:space="0" w:color="000000"/>
            </w:tcBorders>
          </w:tcPr>
          <w:p>
            <w:pPr/>
          </w:p>
        </w:tc>
      </w:tr>
    </w:tbl>
    <w:p>
      <w:pPr>
        <w:pStyle w:val="BodyText"/>
        <w:spacing w:line="316" w:lineRule="auto" w:before="11"/>
        <w:ind w:left="472" w:right="0"/>
        <w:jc w:val="left"/>
      </w:pPr>
      <w:r>
        <w:rPr/>
        <w:t>公司将内部研究开发项目的支出，区分为研究阶段支出和开发阶段支出。研究阶段的支出，于发生时计入当期损益。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316" w:lineRule="auto" w:before="19"/>
        <w:ind w:right="1130"/>
        <w:jc w:val="both"/>
      </w:pPr>
      <w:r>
        <w:rPr>
          <w:spacing w:val="-2"/>
        </w:rPr>
        <w:t>行性；具有完成该无形资产并使用或出售的意图；无形资产产生经济利益的方式，包括能够证明运用该无形资产生产的产品</w:t>
      </w:r>
      <w:r>
        <w:rPr>
          <w:spacing w:val="-63"/>
        </w:rPr>
        <w:t> </w:t>
      </w:r>
      <w:r>
        <w:rPr>
          <w:spacing w:val="-63"/>
        </w:rPr>
      </w:r>
      <w:r>
        <w:rPr>
          <w:spacing w:val="-2"/>
        </w:rPr>
        <w:t>存在市场或无形资产自身存在市场，无形资产将在内部使用的，能够证明其有用性；有足够的技术、财务资源和其他资源支</w:t>
      </w:r>
      <w:r>
        <w:rPr>
          <w:spacing w:val="-64"/>
        </w:rPr>
        <w:t> </w:t>
      </w:r>
      <w:r>
        <w:rPr>
          <w:spacing w:val="-64"/>
        </w:rPr>
      </w:r>
      <w:r>
        <w:rPr>
          <w:spacing w:val="-2"/>
        </w:rPr>
        <w:t>持，以完成该无形资产的开发，并有能力使用或出售该无形资产；归属于该无形资产开发阶段的支出能够可靠地计量。不能</w:t>
      </w:r>
      <w:r>
        <w:rPr>
          <w:spacing w:val="-64"/>
        </w:rPr>
        <w:t> </w:t>
      </w:r>
      <w:r>
        <w:rPr>
          <w:spacing w:val="-64"/>
        </w:rPr>
      </w:r>
      <w:r>
        <w:rPr/>
        <w:t>满足前述条件的开发支出计入当期损益。</w:t>
      </w:r>
    </w:p>
    <w:p>
      <w:pPr>
        <w:spacing w:after="0" w:line="316"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314" w:right="0"/>
        <w:jc w:val="left"/>
      </w:pPr>
      <w:r>
        <w:rPr/>
        <w:t>上述项目均经过市场调研，项目可行性研究报告、项目立项报告、项目预算、项目决策分析等环节严格的项目评审。 上述资本化研发项目基于无形资产的使用或出售在技术上具有可行性，且公司有依赖上述无形资产进行销售的意图，基</w:t>
      </w:r>
    </w:p>
    <w:p>
      <w:pPr>
        <w:pStyle w:val="BodyText"/>
        <w:spacing w:line="316" w:lineRule="auto" w:before="19"/>
        <w:ind w:right="0"/>
        <w:jc w:val="left"/>
      </w:pPr>
      <w:r>
        <w:rPr>
          <w:spacing w:val="-2"/>
        </w:rPr>
        <w:t>于无形资产完成的软件解决方案存在市场。公司营业收入及经营活动现金流入足以支撑研发工作，公司研发经验丰富，有足</w:t>
      </w:r>
      <w:r>
        <w:rPr>
          <w:spacing w:val="-63"/>
        </w:rPr>
        <w:t> </w:t>
      </w:r>
      <w:r>
        <w:rPr>
          <w:spacing w:val="-63"/>
        </w:rPr>
      </w:r>
      <w:r>
        <w:rPr/>
        <w:t>够的技术、财务资源和其他资源支持，以完成该项目的开发，并有能力使用或出售该无形资产。</w:t>
      </w:r>
    </w:p>
    <w:p>
      <w:pPr>
        <w:pStyle w:val="BodyText"/>
        <w:spacing w:line="316" w:lineRule="auto" w:before="19"/>
        <w:ind w:right="0" w:firstLine="201"/>
        <w:jc w:val="left"/>
      </w:pPr>
      <w:r>
        <w:rPr/>
        <w:t>公司设立了完善的研发休系，从产品的立项、评审、开发、测试、发布评审、发布等均建立了相应的流程或制度，建立 了相应的控制措施和识别标识，确保资本化的准确。</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1,972,913,657.73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1,692,065,175.02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1,739,612,736.58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1,568,170,647.84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10.93%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233,300,921.15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123,894,527.18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6,287,838.14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25,950,208.68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-75.77%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267,960,150.36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276,247,069.61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-261,672,312.22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-250,296,860.93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485,238,924.20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428,339,171.59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259,000,030.98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271,578,198.70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226,238,893.22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156,760,972.89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197,867,502.15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30,358,639.14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551.77%</w:t>
            </w:r>
          </w:p>
        </w:tc>
      </w:tr>
    </w:tbl>
    <w:p>
      <w:pPr>
        <w:pStyle w:val="BodyText"/>
        <w:spacing w:line="240" w:lineRule="auto" w:before="51"/>
        <w:ind w:right="0"/>
        <w:jc w:val="left"/>
      </w:pPr>
      <w:r>
        <w:rPr/>
        <w:t>相关数据同比发生重大变动的主要影响因素说明</w:t>
      </w:r>
    </w:p>
    <w:p>
      <w:pPr>
        <w:pStyle w:val="BodyText"/>
        <w:spacing w:line="319" w:lineRule="auto" w:before="117"/>
        <w:ind w:left="472" w:right="245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经营活动产生的现金流量净额较上年增加</w:t>
      </w:r>
      <w:r>
        <w:rPr>
          <w:rFonts w:ascii="Times New Roman" w:hAnsi="Times New Roman" w:cs="Times New Roman" w:eastAsia="Times New Roman" w:hint="default"/>
        </w:rPr>
        <w:t>88.31%</w:t>
      </w:r>
      <w:r>
        <w:rPr/>
        <w:t>，主要是销售商品、提供劳务收到的现金增加所致； 筹资活动产生的现金流量净额较上年增加</w:t>
      </w:r>
      <w:r>
        <w:rPr>
          <w:rFonts w:ascii="Times New Roman" w:hAnsi="Times New Roman" w:cs="Times New Roman" w:eastAsia="Times New Roman" w:hint="default"/>
        </w:rPr>
        <w:t>44.32%</w:t>
      </w:r>
      <w:r>
        <w:rPr/>
        <w:t>，主要是取得借款收到的现金增加所致；</w:t>
      </w:r>
    </w:p>
    <w:p>
      <w:pPr>
        <w:pStyle w:val="BodyText"/>
        <w:spacing w:line="340" w:lineRule="auto"/>
        <w:ind w:right="3269" w:firstLine="360"/>
        <w:jc w:val="left"/>
      </w:pPr>
      <w:r>
        <w:rPr/>
        <w:t>现金及现金等价物增加额较上年增加</w:t>
      </w:r>
      <w:r>
        <w:rPr>
          <w:rFonts w:ascii="Times New Roman" w:hAnsi="Times New Roman" w:cs="Times New Roman" w:eastAsia="Times New Roman" w:hint="default"/>
        </w:rPr>
        <w:t>551.77%</w:t>
      </w:r>
      <w:r>
        <w:rPr/>
        <w:t>，主要是经营活动产生的现金流量增加所致。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-20,059,489.83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-4.86%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1"/>
                <w:sz w:val="18"/>
                <w:szCs w:val="18"/>
              </w:rPr>
              <w:t>按权益法核算的联营企业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12,901,132.90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1"/>
                <w:sz w:val="18"/>
                <w:szCs w:val="18"/>
              </w:rPr>
              <w:t>其他非流动金融资产公允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价值变动产生的损益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351,284.98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1"/>
                <w:sz w:val="18"/>
                <w:szCs w:val="18"/>
              </w:rPr>
              <w:t>与企业日常活动无关的政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240,029.52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捐赠支出等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-91,799,813.69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-22.25%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计提坏账损失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240" w:lineRule="auto" w:before="44"/>
        <w:ind w:right="-17"/>
        <w:jc w:val="left"/>
      </w:pPr>
      <w:r>
        <w:rPr/>
        <w:t>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0"/>
          <w:cols w:num="2" w:equalWidth="0">
            <w:col w:w="8485" w:space="434"/>
            <w:col w:w="197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715,122,809.4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514,652,940.19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1,483,206,697.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1,165,117,421.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175,120,614.5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157,873,311.87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87,997,637.79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89,850,597.05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-0.37%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588,565,717.0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541,048,033.77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429,795,946.9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435,370,374.49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554,938.19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224,271,083.3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0.87%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81"/>
        <w:gridCol w:w="1015"/>
        <w:gridCol w:w="1063"/>
        <w:gridCol w:w="1194"/>
        <w:gridCol w:w="930"/>
        <w:gridCol w:w="1196"/>
        <w:gridCol w:w="1063"/>
        <w:gridCol w:w="915"/>
        <w:gridCol w:w="1212"/>
      </w:tblGrid>
      <w:tr>
        <w:trPr>
          <w:trHeight w:val="102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0" w:right="99"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2"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981"/>
        <w:gridCol w:w="1015"/>
        <w:gridCol w:w="1063"/>
        <w:gridCol w:w="1194"/>
        <w:gridCol w:w="930"/>
        <w:gridCol w:w="1196"/>
        <w:gridCol w:w="1063"/>
        <w:gridCol w:w="915"/>
        <w:gridCol w:w="1212"/>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274,158,390.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12,901,132.9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1,525,690.07</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315,033,833.23</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274,158,390.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12,901,132.9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1,525,690.07</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315,033,833.23</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274,158,390.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12,901,132.9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1,525,690.07</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315,033,833.23</w:t>
            </w:r>
          </w:p>
        </w:tc>
      </w:tr>
      <w:tr>
        <w:trPr>
          <w:trHeight w:val="402"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left="492" w:right="1034" w:hanging="360"/>
        <w:jc w:val="left"/>
      </w:pPr>
      <w:r>
        <w:rPr/>
        <w:t>其他变动的内容 </w:t>
      </w:r>
      <w:r>
        <w:rPr>
          <w:spacing w:val="-2"/>
        </w:rPr>
        <w:t>本公司对联营公司上海信医科技有限公司本年持股比例下降，不再对其有重大影响，导致本期由长期股权投资转为其他</w:t>
      </w:r>
    </w:p>
    <w:p>
      <w:pPr>
        <w:pStyle w:val="BodyText"/>
        <w:spacing w:line="222" w:lineRule="exact"/>
        <w:ind w:left="132" w:right="1034"/>
        <w:jc w:val="left"/>
      </w:pPr>
      <w:r>
        <w:rPr/>
        <w:t>权益工具投资核算。</w:t>
      </w:r>
    </w:p>
    <w:p>
      <w:pPr>
        <w:pStyle w:val="BodyText"/>
        <w:spacing w:line="240" w:lineRule="auto" w:before="115"/>
        <w:ind w:left="132" w:right="1034"/>
        <w:jc w:val="left"/>
      </w:pPr>
      <w:r>
        <w:rPr/>
        <w:t>报告期内公司主要资产计量属性是否发生重大变化</w:t>
      </w:r>
    </w:p>
    <w:p>
      <w:pPr>
        <w:pStyle w:val="BodyText"/>
        <w:spacing w:line="240" w:lineRule="auto" w:before="117"/>
        <w:ind w:left="132"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left="132" w:right="1034"/>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649"/>
        <w:gridCol w:w="5654"/>
        <w:gridCol w:w="2355"/>
      </w:tblGrid>
      <w:tr>
        <w:trPr>
          <w:trHeight w:val="347" w:hRule="exact"/>
        </w:trPr>
        <w:tc>
          <w:tcPr>
            <w:tcW w:w="164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5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期末账面价值（元）</w:t>
            </w:r>
          </w:p>
        </w:tc>
        <w:tc>
          <w:tcPr>
            <w:tcW w:w="235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164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5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10,619,790.79</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保函及银行承兑汇票保证金</w:t>
            </w:r>
          </w:p>
        </w:tc>
      </w:tr>
      <w:tr>
        <w:trPr>
          <w:trHeight w:val="347" w:hRule="exact"/>
        </w:trPr>
        <w:tc>
          <w:tcPr>
            <w:tcW w:w="164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10,619,790.79</w:t>
            </w:r>
          </w:p>
        </w:tc>
        <w:tc>
          <w:tcPr>
            <w:tcW w:w="235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8"/>
          <w:szCs w:val="18"/>
        </w:rPr>
      </w:pPr>
    </w:p>
    <w:p>
      <w:pPr>
        <w:pStyle w:val="Heading2"/>
        <w:spacing w:line="240" w:lineRule="auto" w:before="26"/>
        <w:ind w:left="132" w:right="1034"/>
        <w:jc w:val="left"/>
        <w:rPr>
          <w:b w:val="0"/>
          <w:bCs w:val="0"/>
        </w:rPr>
      </w:pPr>
      <w:bookmarkStart w:name="五、投资状况分析" w:id="44"/>
      <w:bookmarkEnd w:id="44"/>
      <w:r>
        <w:rPr>
          <w:b w:val="0"/>
          <w:bCs w:val="0"/>
        </w:rPr>
      </w:r>
      <w:r>
        <w:rPr/>
        <w:t>五、投资状况分析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034"/>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42,412,500.00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w:t>
            </w:r>
          </w:p>
        </w:tc>
      </w:tr>
    </w:tbl>
    <w:p>
      <w:pPr>
        <w:spacing w:line="240" w:lineRule="auto" w:before="4"/>
        <w:rPr>
          <w:rFonts w:ascii="宋体" w:hAnsi="宋体" w:cs="宋体" w:eastAsia="宋体" w:hint="default"/>
          <w:sz w:val="19"/>
          <w:szCs w:val="19"/>
        </w:rPr>
      </w:pPr>
    </w:p>
    <w:p>
      <w:pPr>
        <w:pStyle w:val="Heading3"/>
        <w:spacing w:line="240" w:lineRule="auto" w:before="34"/>
        <w:ind w:left="132" w:right="1034"/>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32" w:right="1034"/>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32" w:right="1034"/>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单位：元</w:t>
      </w:r>
    </w:p>
    <w:p>
      <w:pPr>
        <w:spacing w:after="0" w:line="240" w:lineRule="auto"/>
        <w:jc w:val="right"/>
        <w:sectPr>
          <w:pgSz w:w="11910" w:h="16840"/>
          <w:pgMar w:header="746" w:footer="978" w:top="1060" w:bottom="1160" w:left="100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87"/>
        <w:gridCol w:w="895"/>
        <w:gridCol w:w="1089"/>
        <w:gridCol w:w="1179"/>
        <w:gridCol w:w="1194"/>
        <w:gridCol w:w="956"/>
        <w:gridCol w:w="956"/>
        <w:gridCol w:w="956"/>
        <w:gridCol w:w="956"/>
      </w:tblGrid>
      <w:tr>
        <w:trPr>
          <w:trHeight w:val="1026"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3" w:right="80"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7"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2"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2" w:right="22"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3" w:right="20"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left"/>
              <w:rPr>
                <w:rFonts w:ascii="Times New Roman" w:hAnsi="Times New Roman" w:cs="Times New Roman" w:eastAsia="Times New Roman" w:hint="default"/>
                <w:sz w:val="18"/>
                <w:szCs w:val="18"/>
              </w:rPr>
            </w:pPr>
            <w:r>
              <w:rPr>
                <w:rFonts w:ascii="Times New Roman"/>
                <w:sz w:val="18"/>
              </w:rPr>
              <w:t>274,158,39</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0.40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12,901,132.9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1,525,690.0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315,033,833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274,158,39</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0.40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12,901,132.9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1,525,690.0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315,033,833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公司报告期无募集资金使用情况。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1020" w:right="0"/>
          <w:cols w:num="2" w:equalWidth="0">
            <w:col w:w="4808" w:space="3931"/>
            <w:col w:w="21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pStyle w:val="BodyText"/>
        <w:spacing w:line="240" w:lineRule="auto" w:before="50"/>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57"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进一步强化公司在医疗健康信息化领域</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陕西卫宁互联网科技有限公司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的竞争优势和市场开拓及服务能力，提</w:t>
            </w:r>
          </w:p>
        </w:tc>
      </w:tr>
      <w:tr>
        <w:trPr>
          <w:trHeight w:val="357"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升公司盈利能力和持续发展能力。</w:t>
            </w:r>
          </w:p>
        </w:tc>
      </w:tr>
      <w:tr>
        <w:trPr>
          <w:trHeight w:val="358"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进一步强化公司在医疗健康信息化领域</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的竞争优势和市场开拓及服务能力，提</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上海卫心科技有限公司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升公司盈利能力和持续发展能力。截至</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本报告期末，公司尚未对上海卫心实际</w:t>
            </w:r>
          </w:p>
        </w:tc>
      </w:tr>
      <w:tr>
        <w:trPr>
          <w:trHeight w:val="356"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出资。</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12"/>
        <w:rPr>
          <w:rFonts w:ascii="宋体" w:hAnsi="宋体" w:cs="宋体" w:eastAsia="宋体" w:hint="default"/>
          <w:sz w:val="25"/>
          <w:szCs w:val="25"/>
        </w:rPr>
      </w:pPr>
    </w:p>
    <w:p>
      <w:pPr>
        <w:pStyle w:val="BodyText"/>
        <w:spacing w:line="357" w:lineRule="auto" w:before="44"/>
        <w:ind w:left="472" w:right="0" w:hanging="360"/>
        <w:jc w:val="left"/>
      </w:pPr>
      <w:r>
        <w:rPr/>
        <w:t>主要控股参股公司情况说明 </w:t>
      </w:r>
      <w:r>
        <w:rPr>
          <w:spacing w:val="-2"/>
        </w:rPr>
        <w:t>截至本报告期末，公司下属共有</w:t>
      </w:r>
      <w:r>
        <w:rPr>
          <w:rFonts w:ascii="Times New Roman" w:hAnsi="Times New Roman" w:cs="Times New Roman" w:eastAsia="Times New Roman" w:hint="default"/>
          <w:spacing w:val="-2"/>
        </w:rPr>
        <w:t>10</w:t>
      </w:r>
      <w:r>
        <w:rPr>
          <w:spacing w:val="-2"/>
        </w:rPr>
        <w:t>家全资子公司：江苏卫宁软件有限公司、西安卫宁软件有限公司、山西卫宁软件有限</w:t>
      </w:r>
    </w:p>
    <w:p>
      <w:pPr>
        <w:pStyle w:val="BodyText"/>
        <w:spacing w:line="201" w:lineRule="exact"/>
        <w:ind w:right="0"/>
        <w:jc w:val="both"/>
      </w:pPr>
      <w:r>
        <w:rPr/>
        <w:t>公司、杭州东联软件有限公司、北京卫宁健康科技有限公司、上海卫宁软件有限公司、天津卫宁软件有限公司、宣城卫宁软</w:t>
      </w:r>
    </w:p>
    <w:p>
      <w:pPr>
        <w:pStyle w:val="BodyText"/>
        <w:spacing w:line="312" w:lineRule="auto" w:before="76"/>
        <w:ind w:right="1130"/>
        <w:jc w:val="both"/>
      </w:pPr>
      <w:r>
        <w:rPr>
          <w:spacing w:val="-2"/>
        </w:rPr>
        <w:t>件科技有限公司、上海卫心科技有限公司；</w:t>
      </w:r>
      <w:r>
        <w:rPr>
          <w:rFonts w:ascii="Times New Roman" w:hAnsi="Times New Roman" w:cs="Times New Roman" w:eastAsia="Times New Roman" w:hint="default"/>
          <w:spacing w:val="-2"/>
        </w:rPr>
        <w:t>11</w:t>
      </w:r>
      <w:r>
        <w:rPr>
          <w:spacing w:val="-2"/>
        </w:rPr>
        <w:t>家控股子公司：新疆卫宁软件有限公司、重庆卫宁软件有限公司、黑龙江卫宁</w:t>
      </w:r>
      <w:r>
        <w:rPr>
          <w:spacing w:val="-62"/>
        </w:rPr>
        <w:t> </w:t>
      </w:r>
      <w:r>
        <w:rPr>
          <w:spacing w:val="-62"/>
        </w:rPr>
      </w:r>
      <w:r>
        <w:rPr>
          <w:spacing w:val="-2"/>
        </w:rPr>
        <w:t>软件有限公司、浙江万鼎信息技术有限公司、宁波金仕达卫宁软件有限公司、合肥汉思信息技术有限责任公司、深圳卫宁中</w:t>
      </w:r>
      <w:r>
        <w:rPr>
          <w:spacing w:val="-64"/>
        </w:rPr>
        <w:t> </w:t>
      </w:r>
      <w:r>
        <w:rPr>
          <w:spacing w:val="-64"/>
        </w:rPr>
      </w:r>
      <w:r>
        <w:rPr>
          <w:spacing w:val="-2"/>
        </w:rPr>
        <w:t>天软件有限公司、四川卫宁软件有限公司、广东卫宁软件有限公司、卫宁互联网科技有限公司、快享医疗科技（上海）有限</w:t>
      </w:r>
      <w:r>
        <w:rPr>
          <w:spacing w:val="-63"/>
        </w:rPr>
        <w:t> </w:t>
      </w:r>
      <w:r>
        <w:rPr>
          <w:spacing w:val="-63"/>
        </w:rPr>
      </w:r>
      <w:r>
        <w:rPr/>
        <w:t>公司、陕西卫宁互联网科技有限公司。</w:t>
      </w:r>
    </w:p>
    <w:p>
      <w:pPr>
        <w:pStyle w:val="BodyText"/>
        <w:spacing w:line="300" w:lineRule="auto" w:before="22"/>
        <w:ind w:left="472" w:right="1034"/>
        <w:jc w:val="left"/>
      </w:pPr>
      <w:r>
        <w:rPr>
          <w:rFonts w:ascii="Times New Roman" w:hAnsi="Times New Roman" w:cs="Times New Roman" w:eastAsia="Times New Roman" w:hint="default"/>
        </w:rPr>
        <w:t>1</w:t>
      </w:r>
      <w:r>
        <w:rPr/>
        <w:t>、江苏卫宁 </w:t>
      </w:r>
      <w:r>
        <w:rPr>
          <w:spacing w:val="-4"/>
          <w:w w:val="99"/>
        </w:rPr>
        <w:t>江苏卫宁成立于</w:t>
      </w:r>
      <w:r>
        <w:rPr>
          <w:rFonts w:ascii="Times New Roman" w:hAnsi="Times New Roman" w:cs="Times New Roman" w:eastAsia="Times New Roman" w:hint="default"/>
          <w:spacing w:val="-4"/>
          <w:w w:val="99"/>
        </w:rPr>
        <w:t>2010</w:t>
      </w:r>
      <w:r>
        <w:rPr>
          <w:spacing w:val="-4"/>
          <w:w w:val="99"/>
        </w:rPr>
        <w:t>年</w:t>
      </w:r>
      <w:r>
        <w:rPr>
          <w:rFonts w:ascii="Times New Roman" w:hAnsi="Times New Roman" w:cs="Times New Roman" w:eastAsia="Times New Roman" w:hint="default"/>
          <w:spacing w:val="-4"/>
          <w:w w:val="99"/>
        </w:rPr>
        <w:t>7</w:t>
      </w:r>
      <w:r>
        <w:rPr>
          <w:spacing w:val="-4"/>
          <w:w w:val="99"/>
        </w:rPr>
        <w:t>月</w:t>
      </w:r>
      <w:r>
        <w:rPr>
          <w:rFonts w:ascii="Times New Roman" w:hAnsi="Times New Roman" w:cs="Times New Roman" w:eastAsia="Times New Roman" w:hint="default"/>
          <w:spacing w:val="-4"/>
          <w:w w:val="99"/>
        </w:rPr>
        <w:t>2</w:t>
      </w:r>
      <w:r>
        <w:rPr>
          <w:spacing w:val="-4"/>
          <w:w w:val="99"/>
        </w:rPr>
        <w:t>日，注册资本人民币</w:t>
      </w:r>
      <w:r>
        <w:rPr>
          <w:rFonts w:ascii="Times New Roman" w:hAnsi="Times New Roman" w:cs="Times New Roman" w:eastAsia="Times New Roman" w:hint="default"/>
          <w:spacing w:val="-4"/>
          <w:w w:val="99"/>
        </w:rPr>
        <w:t>1,500</w:t>
      </w:r>
      <w:r>
        <w:rPr>
          <w:spacing w:val="-4"/>
          <w:w w:val="99"/>
        </w:rPr>
        <w:t>万元，法定代表人孙凯，统一社会信用代码为</w:t>
      </w:r>
      <w:r>
        <w:rPr>
          <w:rFonts w:ascii="Times New Roman" w:hAnsi="Times New Roman" w:cs="Times New Roman" w:eastAsia="Times New Roman" w:hint="default"/>
          <w:spacing w:val="-4"/>
          <w:w w:val="99"/>
        </w:rPr>
        <w:t>9132041155804351X3</w:t>
      </w:r>
      <w:r>
        <w:rPr>
          <w:spacing w:val="-4"/>
          <w:w w:val="99"/>
        </w:rPr>
        <w:t>，</w:t>
      </w:r>
    </w:p>
    <w:p>
      <w:pPr>
        <w:pStyle w:val="BodyText"/>
        <w:spacing w:line="309" w:lineRule="auto" w:before="13"/>
        <w:ind w:right="0"/>
        <w:jc w:val="left"/>
      </w:pPr>
      <w:r>
        <w:rPr>
          <w:spacing w:val="-2"/>
        </w:rPr>
        <w:t>住所为常州市新北区太湖东路</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24</w:t>
      </w:r>
      <w:r>
        <w:rPr>
          <w:spacing w:val="-2"/>
        </w:rPr>
        <w:t>楼，公司类型为有限责任公司（自然人投资或控股的法人独资），经营范围为计算机</w:t>
      </w:r>
      <w:r>
        <w:rPr>
          <w:spacing w:val="-62"/>
        </w:rPr>
        <w:t> </w:t>
      </w:r>
      <w:r>
        <w:rPr>
          <w:spacing w:val="-62"/>
        </w:rPr>
      </w:r>
      <w:r>
        <w:rPr>
          <w:spacing w:val="-4"/>
        </w:rPr>
        <w:t>软件的技术开发、设计和制作、技术咨询和技术服务及计算机配件的销售；计算机网络信息系统集成的维护；信息咨询服务；</w:t>
      </w:r>
      <w:r>
        <w:rPr>
          <w:spacing w:val="-43"/>
        </w:rPr>
        <w:t> </w:t>
      </w:r>
      <w:r>
        <w:rPr>
          <w:spacing w:val="-43"/>
        </w:rPr>
      </w:r>
      <w:r>
        <w:rPr/>
        <w:t>Ⅱ类医疗器械：</w:t>
      </w:r>
      <w:r>
        <w:rPr>
          <w:rFonts w:ascii="Times New Roman" w:hAnsi="Times New Roman" w:cs="Times New Roman" w:eastAsia="Times New Roman" w:hint="default"/>
        </w:rPr>
        <w:t>6870</w:t>
      </w:r>
      <w:r>
        <w:rPr/>
        <w:t>软件的销售。公司持有江苏卫宁</w:t>
      </w:r>
      <w:r>
        <w:rPr>
          <w:rFonts w:ascii="Times New Roman" w:hAnsi="Times New Roman" w:cs="Times New Roman" w:eastAsia="Times New Roman" w:hint="default"/>
        </w:rPr>
        <w:t>100%</w:t>
      </w:r>
      <w:r>
        <w:rPr/>
        <w:t>股权。</w:t>
      </w:r>
    </w:p>
    <w:p>
      <w:pPr>
        <w:pStyle w:val="BodyText"/>
        <w:spacing w:line="300" w:lineRule="auto" w:before="5"/>
        <w:ind w:left="472" w:right="1034"/>
        <w:jc w:val="left"/>
      </w:pPr>
      <w:r>
        <w:rPr>
          <w:rFonts w:ascii="Times New Roman" w:hAnsi="Times New Roman" w:cs="Times New Roman" w:eastAsia="Times New Roman" w:hint="default"/>
        </w:rPr>
        <w:t>2</w:t>
      </w:r>
      <w:r>
        <w:rPr/>
        <w:t>、西安卫宁 </w:t>
      </w:r>
      <w:r>
        <w:rPr>
          <w:spacing w:val="-3"/>
        </w:rPr>
        <w:t>西安卫宁成立于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日，注册资本人民币</w:t>
      </w:r>
      <w:r>
        <w:rPr>
          <w:rFonts w:ascii="Times New Roman" w:hAnsi="Times New Roman" w:cs="Times New Roman" w:eastAsia="Times New Roman" w:hint="default"/>
          <w:spacing w:val="-3"/>
        </w:rPr>
        <w:t>500</w:t>
      </w:r>
      <w:r>
        <w:rPr>
          <w:spacing w:val="-3"/>
        </w:rPr>
        <w:t>万元，法定代表人孙凯，统一社会信用代码为</w:t>
      </w:r>
      <w:r>
        <w:rPr>
          <w:rFonts w:ascii="Times New Roman" w:hAnsi="Times New Roman" w:cs="Times New Roman" w:eastAsia="Times New Roman" w:hint="default"/>
          <w:spacing w:val="-3"/>
        </w:rPr>
        <w:t>91610104051599551P</w:t>
      </w:r>
      <w:r>
        <w:rPr>
          <w:spacing w:val="-3"/>
        </w:rPr>
        <w:t>，</w:t>
      </w:r>
    </w:p>
    <w:p>
      <w:pPr>
        <w:pStyle w:val="BodyText"/>
        <w:spacing w:line="309" w:lineRule="auto" w:before="13"/>
        <w:ind w:right="1130"/>
        <w:jc w:val="both"/>
      </w:pPr>
      <w:r>
        <w:rPr>
          <w:spacing w:val="-1"/>
        </w:rPr>
        <w:t>住所为西安市高新区丈八街办丈八四路</w:t>
      </w:r>
      <w:r>
        <w:rPr>
          <w:rFonts w:ascii="Times New Roman" w:hAnsi="Times New Roman" w:cs="Times New Roman" w:eastAsia="Times New Roman" w:hint="default"/>
          <w:spacing w:val="-1"/>
        </w:rPr>
        <w:t>20</w:t>
      </w:r>
      <w:r>
        <w:rPr>
          <w:spacing w:val="-1"/>
        </w:rPr>
        <w:t>号神州数码西安科技园</w:t>
      </w:r>
      <w:r>
        <w:rPr>
          <w:rFonts w:ascii="Times New Roman" w:hAnsi="Times New Roman" w:cs="Times New Roman" w:eastAsia="Times New Roman" w:hint="default"/>
          <w:spacing w:val="-1"/>
        </w:rPr>
        <w:t>4</w:t>
      </w:r>
      <w:r>
        <w:rPr>
          <w:spacing w:val="-1"/>
        </w:rPr>
        <w:t>幢</w:t>
      </w:r>
      <w:r>
        <w:rPr>
          <w:rFonts w:ascii="Times New Roman" w:hAnsi="Times New Roman" w:cs="Times New Roman" w:eastAsia="Times New Roman" w:hint="default"/>
          <w:spacing w:val="-1"/>
        </w:rPr>
        <w:t>7</w:t>
      </w:r>
      <w:r>
        <w:rPr>
          <w:spacing w:val="-1"/>
        </w:rPr>
        <w:t>层</w:t>
      </w:r>
      <w:r>
        <w:rPr>
          <w:rFonts w:ascii="Times New Roman" w:hAnsi="Times New Roman" w:cs="Times New Roman" w:eastAsia="Times New Roman" w:hint="default"/>
          <w:spacing w:val="-1"/>
        </w:rPr>
        <w:t>B/C/D</w:t>
      </w:r>
      <w:r>
        <w:rPr>
          <w:spacing w:val="-1"/>
        </w:rPr>
        <w:t>单元，公司类型为有限责任公司（自然人投资</w:t>
      </w:r>
      <w:r>
        <w:rPr>
          <w:spacing w:val="-46"/>
        </w:rPr>
        <w:t> </w:t>
      </w:r>
      <w:r>
        <w:rPr>
          <w:spacing w:val="-46"/>
        </w:rPr>
      </w:r>
      <w:r>
        <w:rPr>
          <w:spacing w:val="-2"/>
        </w:rPr>
        <w:t>或控股的法人独资），经营范围为计算机软硬件的研发、销售；计算机及辅助设备的销售；计算机网络信息系统集成、技术</w:t>
      </w:r>
      <w:r>
        <w:rPr>
          <w:spacing w:val="-64"/>
        </w:rPr>
        <w:t> </w:t>
      </w:r>
      <w:r>
        <w:rPr>
          <w:spacing w:val="-64"/>
        </w:rPr>
      </w:r>
      <w:r>
        <w:rPr/>
        <w:t>开发、技术咨询和技术服务。公司持有西安卫宁</w:t>
      </w:r>
      <w:r>
        <w:rPr>
          <w:rFonts w:ascii="Times New Roman" w:hAnsi="Times New Roman" w:cs="Times New Roman" w:eastAsia="Times New Roman" w:hint="default"/>
        </w:rPr>
        <w:t>100%</w:t>
      </w:r>
      <w:r>
        <w:rPr/>
        <w:t>股权。</w:t>
      </w:r>
    </w:p>
    <w:p>
      <w:pPr>
        <w:pStyle w:val="BodyText"/>
        <w:spacing w:line="300" w:lineRule="auto" w:before="5"/>
        <w:ind w:left="472" w:right="15"/>
        <w:jc w:val="left"/>
      </w:pPr>
      <w:r>
        <w:rPr>
          <w:rFonts w:ascii="Times New Roman" w:hAnsi="Times New Roman" w:cs="Times New Roman" w:eastAsia="Times New Roman" w:hint="default"/>
        </w:rPr>
        <w:t>3</w:t>
      </w:r>
      <w:r>
        <w:rPr/>
        <w:t>、山西卫宁 </w:t>
      </w:r>
      <w:r>
        <w:rPr>
          <w:spacing w:val="-4"/>
          <w:w w:val="99"/>
        </w:rPr>
        <w:t>山西卫宁成立于</w:t>
      </w:r>
      <w:r>
        <w:rPr>
          <w:rFonts w:ascii="Times New Roman" w:hAnsi="Times New Roman" w:cs="Times New Roman" w:eastAsia="Times New Roman" w:hint="default"/>
          <w:spacing w:val="-4"/>
          <w:w w:val="99"/>
        </w:rPr>
        <w:t>2000</w:t>
      </w:r>
      <w:r>
        <w:rPr>
          <w:spacing w:val="-4"/>
          <w:w w:val="99"/>
        </w:rPr>
        <w:t>年</w:t>
      </w:r>
      <w:r>
        <w:rPr>
          <w:rFonts w:ascii="Times New Roman" w:hAnsi="Times New Roman" w:cs="Times New Roman" w:eastAsia="Times New Roman" w:hint="default"/>
          <w:spacing w:val="-4"/>
          <w:w w:val="99"/>
        </w:rPr>
        <w:t>7</w:t>
      </w:r>
      <w:r>
        <w:rPr>
          <w:spacing w:val="-4"/>
          <w:w w:val="99"/>
        </w:rPr>
        <w:t>月</w:t>
      </w:r>
      <w:r>
        <w:rPr>
          <w:rFonts w:ascii="Times New Roman" w:hAnsi="Times New Roman" w:cs="Times New Roman" w:eastAsia="Times New Roman" w:hint="default"/>
          <w:spacing w:val="-4"/>
          <w:w w:val="99"/>
        </w:rPr>
        <w:t>11</w:t>
      </w:r>
      <w:r>
        <w:rPr>
          <w:spacing w:val="-4"/>
          <w:w w:val="99"/>
        </w:rPr>
        <w:t>日，注册资本人民币</w:t>
      </w:r>
      <w:r>
        <w:rPr>
          <w:rFonts w:ascii="Times New Roman" w:hAnsi="Times New Roman" w:cs="Times New Roman" w:eastAsia="Times New Roman" w:hint="default"/>
          <w:spacing w:val="-4"/>
          <w:w w:val="99"/>
        </w:rPr>
        <w:t>3,000</w:t>
      </w:r>
      <w:r>
        <w:rPr>
          <w:spacing w:val="-4"/>
          <w:w w:val="99"/>
        </w:rPr>
        <w:t>万元，法定代表人李强，统一社会信用代码为</w:t>
      </w:r>
      <w:r>
        <w:rPr>
          <w:rFonts w:ascii="Times New Roman" w:hAnsi="Times New Roman" w:cs="Times New Roman" w:eastAsia="Times New Roman" w:hint="default"/>
          <w:spacing w:val="-4"/>
          <w:w w:val="99"/>
        </w:rPr>
        <w:t>91140100719897998B</w:t>
      </w:r>
      <w:r>
        <w:rPr>
          <w:spacing w:val="-4"/>
          <w:w w:val="99"/>
        </w:rPr>
        <w:t>，</w:t>
      </w:r>
    </w:p>
    <w:p>
      <w:pPr>
        <w:pStyle w:val="BodyText"/>
        <w:spacing w:line="316" w:lineRule="auto" w:before="13"/>
        <w:ind w:right="1125"/>
        <w:jc w:val="both"/>
      </w:pPr>
      <w:r>
        <w:rPr>
          <w:spacing w:val="-2"/>
        </w:rPr>
        <w:t>住所为山西综改示范区太原学府园区高新街９号瑞杰科技中心８层，公司类型为有限责任公司（自然人投资或控股的法人独</w:t>
      </w:r>
      <w:r>
        <w:rPr>
          <w:spacing w:val="-64"/>
        </w:rPr>
        <w:t> </w:t>
      </w:r>
      <w:r>
        <w:rPr>
          <w:spacing w:val="-64"/>
        </w:rPr>
      </w:r>
      <w:r>
        <w:rPr>
          <w:spacing w:val="-2"/>
        </w:rPr>
        <w:t>资），经营范围为计算机软硬件的技术开发、设计、技术服务、技术咨询、技术转让；计算机信息系统集成及综合布线；医</w:t>
      </w:r>
      <w:r>
        <w:rPr>
          <w:spacing w:val="-60"/>
        </w:rPr>
        <w:t> </w:t>
      </w:r>
      <w:r>
        <w:rPr>
          <w:spacing w:val="-60"/>
        </w:rPr>
      </w:r>
      <w:r>
        <w:rPr>
          <w:spacing w:val="-2"/>
        </w:rPr>
        <w:t>疗器械经营：二类医疗器械的销售；计算机软硬件及辅助设备、办公设备与耗材、电子产品、通讯产品（不含卫星广播电视</w:t>
      </w:r>
      <w:r>
        <w:rPr>
          <w:spacing w:val="-63"/>
        </w:rPr>
        <w:t> </w:t>
      </w:r>
      <w:r>
        <w:rPr>
          <w:spacing w:val="-63"/>
        </w:rPr>
      </w:r>
      <w:r>
        <w:rPr/>
        <w:t>地面接收设施）的销售。公司持有山西卫宁</w:t>
      </w:r>
      <w:r>
        <w:rPr>
          <w:rFonts w:ascii="Times New Roman" w:hAnsi="Times New Roman" w:cs="Times New Roman" w:eastAsia="Times New Roman" w:hint="default"/>
        </w:rPr>
        <w:t>100%</w:t>
      </w:r>
      <w:r>
        <w:rPr/>
        <w:t>股权。</w:t>
      </w:r>
    </w:p>
    <w:p>
      <w:pPr>
        <w:pStyle w:val="BodyText"/>
        <w:spacing w:line="300" w:lineRule="auto"/>
        <w:ind w:left="472" w:right="961"/>
        <w:jc w:val="left"/>
      </w:pPr>
      <w:r>
        <w:rPr>
          <w:rFonts w:ascii="Times New Roman" w:hAnsi="Times New Roman" w:cs="Times New Roman" w:eastAsia="Times New Roman" w:hint="default"/>
        </w:rPr>
        <w:t>4</w:t>
      </w:r>
      <w:r>
        <w:rPr/>
        <w:t>、杭州东联 </w:t>
      </w:r>
      <w:r>
        <w:rPr>
          <w:spacing w:val="-4"/>
        </w:rPr>
        <w:t>杭州东联成立于</w:t>
      </w:r>
      <w:r>
        <w:rPr>
          <w:rFonts w:ascii="Times New Roman" w:hAnsi="Times New Roman" w:cs="Times New Roman" w:eastAsia="Times New Roman" w:hint="default"/>
          <w:spacing w:val="-4"/>
        </w:rPr>
        <w:t>1999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8</w:t>
      </w:r>
      <w:r>
        <w:rPr>
          <w:spacing w:val="-4"/>
        </w:rPr>
        <w:t>日，注册资本人民币</w:t>
      </w:r>
      <w:r>
        <w:rPr>
          <w:rFonts w:ascii="Times New Roman" w:hAnsi="Times New Roman" w:cs="Times New Roman" w:eastAsia="Times New Roman" w:hint="default"/>
          <w:spacing w:val="-4"/>
        </w:rPr>
        <w:t>420</w:t>
      </w:r>
      <w:r>
        <w:rPr>
          <w:spacing w:val="-4"/>
        </w:rPr>
        <w:t>万元，法定代表人李继东，统一社会信用代码为</w:t>
      </w:r>
      <w:r>
        <w:rPr>
          <w:rFonts w:ascii="Times New Roman" w:hAnsi="Times New Roman" w:cs="Times New Roman" w:eastAsia="Times New Roman" w:hint="default"/>
          <w:spacing w:val="-4"/>
        </w:rPr>
        <w:t>91330108716150223K</w:t>
      </w:r>
      <w:r>
        <w:rPr>
          <w:spacing w:val="-4"/>
        </w:rPr>
        <w:t>，</w:t>
      </w:r>
    </w:p>
    <w:p>
      <w:pPr>
        <w:pStyle w:val="BodyText"/>
        <w:spacing w:line="309" w:lineRule="auto" w:before="13"/>
        <w:ind w:right="1130"/>
        <w:jc w:val="both"/>
      </w:pPr>
      <w:r>
        <w:rPr/>
        <w:t>住所为杭州市西湖区文三路</w:t>
      </w:r>
      <w:r>
        <w:rPr>
          <w:rFonts w:ascii="Times New Roman" w:hAnsi="Times New Roman" w:cs="Times New Roman" w:eastAsia="Times New Roman" w:hint="default"/>
        </w:rPr>
        <w:t>90</w:t>
      </w:r>
      <w:r>
        <w:rPr/>
        <w:t>号杭州东部软件园科技大厦三楼</w:t>
      </w:r>
      <w:r>
        <w:rPr>
          <w:rFonts w:ascii="Times New Roman" w:hAnsi="Times New Roman" w:cs="Times New Roman" w:eastAsia="Times New Roman" w:hint="default"/>
        </w:rPr>
        <w:t>A306</w:t>
      </w:r>
      <w:r>
        <w:rPr/>
        <w:t>室，企业类型为有限责任公司（自然人投资或控股的法</w:t>
      </w:r>
      <w:r>
        <w:rPr>
          <w:spacing w:val="-44"/>
        </w:rPr>
        <w:t> </w:t>
      </w:r>
      <w:r>
        <w:rPr>
          <w:spacing w:val="-44"/>
        </w:rPr>
      </w:r>
      <w:r>
        <w:rPr>
          <w:spacing w:val="-2"/>
        </w:rPr>
        <w:t>人独资），经营范围为技术开发、技术服务；计算机软、硬件；设计、安装：计算机网络工程；批发、零售：计算机软、硬</w:t>
      </w:r>
      <w:r>
        <w:rPr>
          <w:spacing w:val="-69"/>
        </w:rPr>
        <w:t> </w:t>
      </w:r>
      <w:r>
        <w:rPr>
          <w:spacing w:val="-69"/>
        </w:rPr>
      </w:r>
      <w:r>
        <w:rPr/>
        <w:t>件；其他无需报经审批的一切合法项目。公司持有杭州东联</w:t>
      </w:r>
      <w:r>
        <w:rPr>
          <w:rFonts w:ascii="Times New Roman" w:hAnsi="Times New Roman" w:cs="Times New Roman" w:eastAsia="Times New Roman" w:hint="default"/>
        </w:rPr>
        <w:t>100%</w:t>
      </w:r>
      <w:r>
        <w:rPr/>
        <w:t>股权。</w:t>
      </w:r>
    </w:p>
    <w:p>
      <w:pPr>
        <w:pStyle w:val="BodyText"/>
        <w:spacing w:line="300" w:lineRule="auto" w:before="5"/>
        <w:ind w:left="472" w:right="0"/>
        <w:jc w:val="left"/>
      </w:pPr>
      <w:r>
        <w:rPr>
          <w:rFonts w:ascii="Times New Roman" w:hAnsi="Times New Roman" w:cs="Times New Roman" w:eastAsia="Times New Roman" w:hint="default"/>
        </w:rPr>
        <w:t>5</w:t>
      </w:r>
      <w:r>
        <w:rPr/>
        <w:t>、北京卫宁健康 北京卫宁健康原名称</w:t>
      </w:r>
      <w:r>
        <w:rPr>
          <w:rFonts w:ascii="Times New Roman" w:hAnsi="Times New Roman" w:cs="Times New Roman" w:eastAsia="Times New Roman" w:hint="default"/>
        </w:rPr>
        <w:t>“</w:t>
      </w:r>
      <w:r>
        <w:rPr/>
        <w:t>北京宇信网景信息技术有限公司</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09</w:t>
      </w:r>
      <w:r>
        <w:rPr/>
        <w:t>日，注册资本为人民币</w:t>
      </w:r>
      <w:r>
        <w:rPr>
          <w:rFonts w:ascii="Times New Roman" w:hAnsi="Times New Roman" w:cs="Times New Roman" w:eastAsia="Times New Roman" w:hint="default"/>
        </w:rPr>
        <w:t>2,000</w:t>
      </w:r>
      <w:r>
        <w:rPr/>
        <w:t>万元，法定代</w:t>
      </w:r>
    </w:p>
    <w:p>
      <w:pPr>
        <w:pStyle w:val="BodyText"/>
        <w:spacing w:line="300" w:lineRule="auto" w:before="13"/>
        <w:ind w:right="1041"/>
        <w:jc w:val="both"/>
      </w:pPr>
      <w:r>
        <w:rPr/>
        <w:t>表人刘宁，统一社会信用代码为</w:t>
      </w:r>
      <w:r>
        <w:rPr>
          <w:rFonts w:ascii="Times New Roman" w:hAnsi="Times New Roman" w:cs="Times New Roman" w:eastAsia="Times New Roman" w:hint="default"/>
        </w:rPr>
        <w:t>91110108802052080U</w:t>
      </w:r>
      <w:r>
        <w:rPr/>
        <w:t>，住所为北京市海淀区蓝靛厂金源时代购物中心</w:t>
      </w:r>
      <w:r>
        <w:rPr>
          <w:rFonts w:ascii="Times New Roman" w:hAnsi="Times New Roman" w:cs="Times New Roman" w:eastAsia="Times New Roman" w:hint="default"/>
        </w:rPr>
        <w:t>B</w:t>
      </w:r>
      <w:r>
        <w:rPr/>
        <w:t>区</w:t>
      </w:r>
      <w:r>
        <w:rPr>
          <w:rFonts w:ascii="Times New Roman" w:hAnsi="Times New Roman" w:cs="Times New Roman" w:eastAsia="Times New Roman" w:hint="default"/>
        </w:rPr>
        <w:t>2#B</w:t>
      </w:r>
      <w:r>
        <w:rPr/>
        <w:t>座</w:t>
      </w:r>
      <w:r>
        <w:rPr>
          <w:rFonts w:ascii="Times New Roman" w:hAnsi="Times New Roman" w:cs="Times New Roman" w:eastAsia="Times New Roman" w:hint="default"/>
        </w:rPr>
        <w:t>1608</w:t>
      </w:r>
      <w:r>
        <w:rPr/>
        <w:t>，公司 类型为有限责任公司</w:t>
      </w:r>
      <w:r>
        <w:rPr>
          <w:rFonts w:ascii="Times New Roman" w:hAnsi="Times New Roman" w:cs="Times New Roman" w:eastAsia="Times New Roman" w:hint="default"/>
        </w:rPr>
        <w:t>(</w:t>
      </w:r>
      <w:r>
        <w:rPr/>
        <w:t>法人独资</w:t>
      </w:r>
      <w:r>
        <w:rPr>
          <w:rFonts w:ascii="Times New Roman" w:hAnsi="Times New Roman" w:cs="Times New Roman" w:eastAsia="Times New Roman" w:hint="default"/>
        </w:rPr>
        <w:t>)</w:t>
      </w:r>
      <w:r>
        <w:rPr/>
        <w:t>，经营范围为技术开发、技术转让、技术咨询、技术服务；组装计算机；计算机系统服务； </w:t>
      </w:r>
      <w:r>
        <w:rPr>
          <w:spacing w:val="-1"/>
        </w:rPr>
        <w:t>数据处理；计算机维修；基础软件服务；应用软件服务；销售计算机、软件及辅助设备。公司持有北京卫宁健康</w:t>
      </w:r>
      <w:r>
        <w:rPr>
          <w:rFonts w:ascii="Times New Roman" w:hAnsi="Times New Roman" w:cs="Times New Roman" w:eastAsia="Times New Roman" w:hint="default"/>
          <w:spacing w:val="-1"/>
        </w:rPr>
        <w:t>100%</w:t>
      </w:r>
      <w:r>
        <w:rPr>
          <w:spacing w:val="-1"/>
        </w:rPr>
        <w:t>股权。</w:t>
      </w:r>
    </w:p>
    <w:p>
      <w:pPr>
        <w:pStyle w:val="BodyText"/>
        <w:spacing w:line="240" w:lineRule="auto" w:before="13"/>
        <w:ind w:left="472" w:right="0"/>
        <w:jc w:val="left"/>
      </w:pPr>
      <w:r>
        <w:rPr>
          <w:rFonts w:ascii="Times New Roman" w:hAnsi="Times New Roman" w:cs="Times New Roman" w:eastAsia="Times New Roman" w:hint="default"/>
        </w:rPr>
        <w:t>6</w:t>
      </w:r>
      <w:r>
        <w:rPr/>
        <w:t>、上海卫宁</w:t>
      </w:r>
    </w:p>
    <w:p>
      <w:pPr>
        <w:pStyle w:val="BodyText"/>
        <w:spacing w:line="307" w:lineRule="auto" w:before="63"/>
        <w:ind w:right="1034" w:firstLine="360"/>
        <w:jc w:val="left"/>
      </w:pPr>
      <w:r>
        <w:rPr/>
        <w:t>上</w:t>
      </w:r>
      <w:r>
        <w:rPr>
          <w:spacing w:val="-54"/>
        </w:rPr>
        <w:t> </w:t>
      </w:r>
      <w:r>
        <w:rPr/>
        <w:t>海</w:t>
      </w:r>
      <w:r>
        <w:rPr>
          <w:spacing w:val="-54"/>
        </w:rPr>
        <w:t> </w:t>
      </w:r>
      <w:r>
        <w:rPr/>
        <w:t>卫</w:t>
      </w:r>
      <w:r>
        <w:rPr>
          <w:spacing w:val="-52"/>
        </w:rPr>
        <w:t> </w:t>
      </w:r>
      <w:r>
        <w:rPr/>
        <w:t>宁</w:t>
      </w:r>
      <w:r>
        <w:rPr>
          <w:spacing w:val="-54"/>
        </w:rPr>
        <w:t> </w:t>
      </w:r>
      <w:r>
        <w:rPr/>
        <w:t>成</w:t>
      </w:r>
      <w:r>
        <w:rPr>
          <w:spacing w:val="-54"/>
        </w:rPr>
        <w:t> </w:t>
      </w:r>
      <w:r>
        <w:rPr/>
        <w:t>立</w:t>
      </w:r>
      <w:r>
        <w:rPr>
          <w:spacing w:val="-54"/>
        </w:rPr>
        <w:t> </w:t>
      </w:r>
      <w:r>
        <w:rPr/>
        <w:t>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w:t>
      </w:r>
      <w:r>
        <w:rPr>
          <w:spacing w:val="-54"/>
        </w:rPr>
        <w:t> </w:t>
      </w:r>
      <w:r>
        <w:rPr/>
        <w:t>，</w:t>
      </w:r>
      <w:r>
        <w:rPr>
          <w:spacing w:val="-54"/>
        </w:rPr>
        <w:t> </w:t>
      </w:r>
      <w:r>
        <w:rPr/>
        <w:t>注</w:t>
      </w:r>
      <w:r>
        <w:rPr>
          <w:spacing w:val="-52"/>
        </w:rPr>
        <w:t> </w:t>
      </w:r>
      <w:r>
        <w:rPr/>
        <w:t>册</w:t>
      </w:r>
      <w:r>
        <w:rPr>
          <w:spacing w:val="-54"/>
        </w:rPr>
        <w:t> </w:t>
      </w:r>
      <w:r>
        <w:rPr/>
        <w:t>资</w:t>
      </w:r>
      <w:r>
        <w:rPr>
          <w:spacing w:val="-54"/>
        </w:rPr>
        <w:t> </w:t>
      </w:r>
      <w:r>
        <w:rPr/>
        <w:t>本</w:t>
      </w:r>
      <w:r>
        <w:rPr>
          <w:spacing w:val="-54"/>
        </w:rPr>
        <w:t> </w:t>
      </w:r>
      <w:r>
        <w:rPr/>
        <w:t>人</w:t>
      </w:r>
      <w:r>
        <w:rPr>
          <w:spacing w:val="-54"/>
        </w:rPr>
        <w:t> </w:t>
      </w:r>
      <w:r>
        <w:rPr/>
        <w:t>民</w:t>
      </w:r>
      <w:r>
        <w:rPr>
          <w:spacing w:val="-54"/>
        </w:rPr>
        <w:t> </w:t>
      </w:r>
      <w:r>
        <w:rPr/>
        <w:t>币</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w:t>
      </w:r>
      <w:r>
        <w:rPr>
          <w:spacing w:val="-54"/>
        </w:rPr>
        <w:t> </w:t>
      </w:r>
      <w:r>
        <w:rPr/>
        <w:t>元</w:t>
      </w:r>
      <w:r>
        <w:rPr>
          <w:spacing w:val="-54"/>
        </w:rPr>
        <w:t> </w:t>
      </w:r>
      <w:r>
        <w:rPr/>
        <w:t>，</w:t>
      </w:r>
      <w:r>
        <w:rPr>
          <w:spacing w:val="-52"/>
        </w:rPr>
        <w:t> </w:t>
      </w:r>
      <w:r>
        <w:rPr/>
        <w:t>法</w:t>
      </w:r>
      <w:r>
        <w:rPr>
          <w:spacing w:val="-54"/>
        </w:rPr>
        <w:t> </w:t>
      </w:r>
      <w:r>
        <w:rPr/>
        <w:t>定</w:t>
      </w:r>
      <w:r>
        <w:rPr>
          <w:spacing w:val="-54"/>
        </w:rPr>
        <w:t> </w:t>
      </w:r>
      <w:r>
        <w:rPr/>
        <w:t>代</w:t>
      </w:r>
      <w:r>
        <w:rPr>
          <w:spacing w:val="-54"/>
        </w:rPr>
        <w:t> </w:t>
      </w:r>
      <w:r>
        <w:rPr/>
        <w:t>表</w:t>
      </w:r>
      <w:r>
        <w:rPr>
          <w:spacing w:val="-54"/>
        </w:rPr>
        <w:t> </w:t>
      </w:r>
      <w:r>
        <w:rPr/>
        <w:t>人</w:t>
      </w:r>
      <w:r>
        <w:rPr>
          <w:spacing w:val="-54"/>
        </w:rPr>
        <w:t> </w:t>
      </w:r>
      <w:r>
        <w:rPr/>
        <w:t>周</w:t>
      </w:r>
      <w:r>
        <w:rPr>
          <w:spacing w:val="-52"/>
        </w:rPr>
        <w:t> </w:t>
      </w:r>
      <w:r>
        <w:rPr/>
        <w:t>炜</w:t>
      </w:r>
      <w:r>
        <w:rPr>
          <w:spacing w:val="-54"/>
        </w:rPr>
        <w:t> </w:t>
      </w:r>
      <w:r>
        <w:rPr/>
        <w:t>，</w:t>
      </w:r>
      <w:r>
        <w:rPr>
          <w:spacing w:val="-54"/>
        </w:rPr>
        <w:t> </w:t>
      </w:r>
      <w:r>
        <w:rPr/>
        <w:t>统</w:t>
      </w:r>
      <w:r>
        <w:rPr>
          <w:spacing w:val="-54"/>
        </w:rPr>
        <w:t> </w:t>
      </w:r>
      <w:r>
        <w:rPr/>
        <w:t>一</w:t>
      </w:r>
      <w:r>
        <w:rPr>
          <w:spacing w:val="-54"/>
        </w:rPr>
        <w:t> </w:t>
      </w:r>
      <w:r>
        <w:rPr/>
        <w:t>社</w:t>
      </w:r>
      <w:r>
        <w:rPr>
          <w:spacing w:val="-54"/>
        </w:rPr>
        <w:t> </w:t>
      </w:r>
      <w:r>
        <w:rPr/>
        <w:t>会</w:t>
      </w:r>
      <w:r>
        <w:rPr>
          <w:spacing w:val="-52"/>
        </w:rPr>
        <w:t> </w:t>
      </w:r>
      <w:r>
        <w:rPr/>
        <w:t>信</w:t>
      </w:r>
      <w:r>
        <w:rPr>
          <w:spacing w:val="-54"/>
        </w:rPr>
        <w:t> </w:t>
      </w:r>
      <w:r>
        <w:rPr/>
        <w:t>用</w:t>
      </w:r>
      <w:r>
        <w:rPr>
          <w:spacing w:val="-54"/>
        </w:rPr>
        <w:t> </w:t>
      </w:r>
      <w:r>
        <w:rPr/>
        <w:t>代</w:t>
      </w:r>
      <w:r>
        <w:rPr>
          <w:spacing w:val="-54"/>
        </w:rPr>
        <w:t> </w:t>
      </w:r>
      <w:r>
        <w:rPr/>
        <w:t>码</w:t>
      </w:r>
      <w:r>
        <w:rPr>
          <w:spacing w:val="-54"/>
        </w:rPr>
        <w:t> </w:t>
      </w:r>
      <w:r>
        <w:rPr/>
        <w:t>为</w:t>
      </w:r>
      <w:r>
        <w:rPr/>
        <w:t> </w:t>
      </w:r>
      <w:r>
        <w:rPr>
          <w:rFonts w:ascii="Times New Roman" w:hAnsi="Times New Roman" w:cs="Times New Roman" w:eastAsia="Times New Roman" w:hint="default"/>
        </w:rPr>
        <w:t>91310106MA1FY30X66</w:t>
      </w:r>
      <w:r>
        <w:rPr/>
        <w:t>，住所为上海市静安区江场三路</w:t>
      </w:r>
      <w:r>
        <w:rPr>
          <w:rFonts w:ascii="Times New Roman" w:hAnsi="Times New Roman" w:cs="Times New Roman" w:eastAsia="Times New Roman" w:hint="default"/>
        </w:rPr>
        <w:t>26</w:t>
      </w:r>
      <w:r>
        <w:rPr/>
        <w:t>、</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405</w:t>
      </w:r>
      <w:r>
        <w:rPr/>
        <w:t>室，企业类型为有限责任公司（自然人投资或控股的法 人独资），经营范围为在软件、计算机科技专业领域内从事技术开发、技术咨询、技术转让、技术服务，计算机系统集成， 网络工程，计算机维修，计算机软硬件的销售。公司持有上海卫宁</w:t>
      </w:r>
      <w:r>
        <w:rPr>
          <w:rFonts w:ascii="Times New Roman" w:hAnsi="Times New Roman" w:cs="Times New Roman" w:eastAsia="Times New Roman" w:hint="default"/>
        </w:rPr>
        <w:t>100%</w:t>
      </w:r>
      <w:r>
        <w:rPr/>
        <w:t>股权。</w:t>
      </w:r>
    </w:p>
    <w:p>
      <w:pPr>
        <w:pStyle w:val="BodyText"/>
        <w:spacing w:line="240" w:lineRule="auto" w:before="7"/>
        <w:ind w:left="472" w:right="0"/>
        <w:jc w:val="left"/>
      </w:pPr>
      <w:r>
        <w:rPr>
          <w:rFonts w:ascii="Times New Roman" w:hAnsi="Times New Roman" w:cs="Times New Roman" w:eastAsia="Times New Roman" w:hint="default"/>
        </w:rPr>
        <w:t>7</w:t>
      </w:r>
      <w:r>
        <w:rPr/>
        <w:t>、天津卫宁</w:t>
      </w:r>
    </w:p>
    <w:p>
      <w:pPr>
        <w:pStyle w:val="BodyText"/>
        <w:spacing w:line="304" w:lineRule="auto" w:before="63"/>
        <w:ind w:right="1124" w:firstLine="360"/>
        <w:jc w:val="both"/>
      </w:pPr>
      <w:r>
        <w:rPr/>
        <w:t>天</w:t>
      </w:r>
      <w:r>
        <w:rPr>
          <w:spacing w:val="-59"/>
        </w:rPr>
        <w:t> </w:t>
      </w:r>
      <w:r>
        <w:rPr/>
        <w:t>津</w:t>
      </w:r>
      <w:r>
        <w:rPr>
          <w:spacing w:val="-62"/>
        </w:rPr>
        <w:t> </w:t>
      </w:r>
      <w:r>
        <w:rPr/>
        <w:t>卫</w:t>
      </w:r>
      <w:r>
        <w:rPr>
          <w:spacing w:val="-59"/>
        </w:rPr>
        <w:t> </w:t>
      </w:r>
      <w:r>
        <w:rPr/>
        <w:t>宁</w:t>
      </w:r>
      <w:r>
        <w:rPr>
          <w:spacing w:val="-62"/>
        </w:rPr>
        <w:t> </w:t>
      </w:r>
      <w:r>
        <w:rPr/>
        <w:t>成</w:t>
      </w:r>
      <w:r>
        <w:rPr>
          <w:spacing w:val="-59"/>
        </w:rPr>
        <w:t> </w:t>
      </w:r>
      <w:r>
        <w:rPr/>
        <w:t>立</w:t>
      </w:r>
      <w:r>
        <w:rPr>
          <w:spacing w:val="-62"/>
        </w:rPr>
        <w:t> </w:t>
      </w:r>
      <w:r>
        <w:rPr/>
        <w:t>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日</w:t>
      </w:r>
      <w:r>
        <w:rPr>
          <w:spacing w:val="-59"/>
        </w:rPr>
        <w:t> </w:t>
      </w:r>
      <w:r>
        <w:rPr/>
        <w:t>，</w:t>
      </w:r>
      <w:r>
        <w:rPr>
          <w:spacing w:val="-62"/>
        </w:rPr>
        <w:t> </w:t>
      </w:r>
      <w:r>
        <w:rPr/>
        <w:t>注</w:t>
      </w:r>
      <w:r>
        <w:rPr>
          <w:spacing w:val="-59"/>
        </w:rPr>
        <w:t> </w:t>
      </w:r>
      <w:r>
        <w:rPr/>
        <w:t>册</w:t>
      </w:r>
      <w:r>
        <w:rPr>
          <w:spacing w:val="-62"/>
        </w:rPr>
        <w:t> </w:t>
      </w:r>
      <w:r>
        <w:rPr/>
        <w:t>资</w:t>
      </w:r>
      <w:r>
        <w:rPr>
          <w:spacing w:val="-59"/>
        </w:rPr>
        <w:t> </w:t>
      </w:r>
      <w:r>
        <w:rPr/>
        <w:t>本</w:t>
      </w:r>
      <w:r>
        <w:rPr>
          <w:spacing w:val="-62"/>
        </w:rPr>
        <w:t> </w:t>
      </w:r>
      <w:r>
        <w:rPr/>
        <w:t>人</w:t>
      </w:r>
      <w:r>
        <w:rPr>
          <w:spacing w:val="-59"/>
        </w:rPr>
        <w:t> </w:t>
      </w:r>
      <w:r>
        <w:rPr/>
        <w:t>民</w:t>
      </w:r>
      <w:r>
        <w:rPr>
          <w:spacing w:val="-59"/>
        </w:rPr>
        <w:t> </w:t>
      </w:r>
      <w:r>
        <w:rPr/>
        <w:t>币</w:t>
      </w:r>
      <w:r>
        <w:rPr>
          <w:spacing w:val="-62"/>
        </w:rPr>
        <w:t> </w:t>
      </w:r>
      <w:r>
        <w:rPr>
          <w:rFonts w:ascii="Times New Roman" w:hAnsi="Times New Roman" w:cs="Times New Roman" w:eastAsia="Times New Roman" w:hint="default"/>
        </w:rPr>
        <w:t>500</w:t>
      </w:r>
      <w:r>
        <w:rPr>
          <w:rFonts w:ascii="Times New Roman" w:hAnsi="Times New Roman" w:cs="Times New Roman" w:eastAsia="Times New Roman" w:hint="default"/>
          <w:spacing w:val="-13"/>
        </w:rPr>
        <w:t> </w:t>
      </w:r>
      <w:r>
        <w:rPr/>
        <w:t>万</w:t>
      </w:r>
      <w:r>
        <w:rPr>
          <w:spacing w:val="-59"/>
        </w:rPr>
        <w:t> </w:t>
      </w:r>
      <w:r>
        <w:rPr/>
        <w:t>元</w:t>
      </w:r>
      <w:r>
        <w:rPr>
          <w:spacing w:val="-62"/>
        </w:rPr>
        <w:t> </w:t>
      </w:r>
      <w:r>
        <w:rPr/>
        <w:t>，</w:t>
      </w:r>
      <w:r>
        <w:rPr>
          <w:spacing w:val="-59"/>
        </w:rPr>
        <w:t> </w:t>
      </w:r>
      <w:r>
        <w:rPr/>
        <w:t>法</w:t>
      </w:r>
      <w:r>
        <w:rPr>
          <w:spacing w:val="-62"/>
        </w:rPr>
        <w:t> </w:t>
      </w:r>
      <w:r>
        <w:rPr/>
        <w:t>定</w:t>
      </w:r>
      <w:r>
        <w:rPr>
          <w:spacing w:val="-59"/>
        </w:rPr>
        <w:t> </w:t>
      </w:r>
      <w:r>
        <w:rPr/>
        <w:t>代</w:t>
      </w:r>
      <w:r>
        <w:rPr>
          <w:spacing w:val="-62"/>
        </w:rPr>
        <w:t> </w:t>
      </w:r>
      <w:r>
        <w:rPr/>
        <w:t>表</w:t>
      </w:r>
      <w:r>
        <w:rPr>
          <w:spacing w:val="-59"/>
        </w:rPr>
        <w:t> </w:t>
      </w:r>
      <w:r>
        <w:rPr/>
        <w:t>人</w:t>
      </w:r>
      <w:r>
        <w:rPr>
          <w:spacing w:val="-59"/>
        </w:rPr>
        <w:t> </w:t>
      </w:r>
      <w:r>
        <w:rPr/>
        <w:t>沈</w:t>
      </w:r>
      <w:r>
        <w:rPr>
          <w:spacing w:val="-62"/>
        </w:rPr>
        <w:t> </w:t>
      </w:r>
      <w:r>
        <w:rPr/>
        <w:t>宇</w:t>
      </w:r>
      <w:r>
        <w:rPr>
          <w:spacing w:val="-59"/>
        </w:rPr>
        <w:t> </w:t>
      </w:r>
      <w:r>
        <w:rPr/>
        <w:t>青</w:t>
      </w:r>
      <w:r>
        <w:rPr>
          <w:spacing w:val="-62"/>
        </w:rPr>
        <w:t> </w:t>
      </w:r>
      <w:r>
        <w:rPr/>
        <w:t>，</w:t>
      </w:r>
      <w:r>
        <w:rPr>
          <w:spacing w:val="-59"/>
        </w:rPr>
        <w:t> </w:t>
      </w:r>
      <w:r>
        <w:rPr/>
        <w:t>统</w:t>
      </w:r>
      <w:r>
        <w:rPr>
          <w:spacing w:val="-59"/>
        </w:rPr>
        <w:t> </w:t>
      </w:r>
      <w:r>
        <w:rPr/>
        <w:t>一</w:t>
      </w:r>
      <w:r>
        <w:rPr>
          <w:spacing w:val="-62"/>
        </w:rPr>
        <w:t> </w:t>
      </w:r>
      <w:r>
        <w:rPr/>
        <w:t>社</w:t>
      </w:r>
      <w:r>
        <w:rPr>
          <w:spacing w:val="-59"/>
        </w:rPr>
        <w:t> </w:t>
      </w:r>
      <w:r>
        <w:rPr/>
        <w:t>会</w:t>
      </w:r>
      <w:r>
        <w:rPr>
          <w:spacing w:val="-62"/>
        </w:rPr>
        <w:t> </w:t>
      </w:r>
      <w:r>
        <w:rPr/>
        <w:t>信</w:t>
      </w:r>
      <w:r>
        <w:rPr>
          <w:spacing w:val="-59"/>
        </w:rPr>
        <w:t> </w:t>
      </w:r>
      <w:r>
        <w:rPr/>
        <w:t>用</w:t>
      </w:r>
      <w:r>
        <w:rPr>
          <w:spacing w:val="-62"/>
        </w:rPr>
        <w:t> </w:t>
      </w:r>
      <w:r>
        <w:rPr/>
        <w:t>代</w:t>
      </w:r>
      <w:r>
        <w:rPr>
          <w:spacing w:val="-59"/>
        </w:rPr>
        <w:t> </w:t>
      </w:r>
      <w:r>
        <w:rPr/>
        <w:t>码</w:t>
      </w:r>
      <w:r>
        <w:rPr>
          <w:spacing w:val="-59"/>
        </w:rPr>
        <w:t> </w:t>
      </w:r>
      <w:r>
        <w:rPr/>
        <w:t>为</w:t>
      </w:r>
      <w:r>
        <w:rPr/>
        <w:t> </w:t>
      </w:r>
      <w:r>
        <w:rPr>
          <w:rFonts w:ascii="Times New Roman" w:hAnsi="Times New Roman" w:cs="Times New Roman" w:eastAsia="Times New Roman" w:hint="default"/>
        </w:rPr>
        <w:t>91120116663077543K</w:t>
      </w:r>
      <w:r>
        <w:rPr/>
        <w:t>，住所为天津市华苑产业区海泰发展六道</w:t>
      </w:r>
      <w:r>
        <w:rPr>
          <w:rFonts w:ascii="Times New Roman" w:hAnsi="Times New Roman" w:cs="Times New Roman" w:eastAsia="Times New Roman" w:hint="default"/>
        </w:rPr>
        <w:t>6</w:t>
      </w:r>
      <w:r>
        <w:rPr/>
        <w:t>号海泰绿色产业基地</w:t>
      </w:r>
      <w:r>
        <w:rPr>
          <w:rFonts w:ascii="Times New Roman" w:hAnsi="Times New Roman" w:cs="Times New Roman" w:eastAsia="Times New Roman" w:hint="default"/>
        </w:rPr>
        <w:t>G</w:t>
      </w:r>
      <w:r>
        <w:rPr/>
        <w:t>座</w:t>
      </w:r>
      <w:r>
        <w:rPr>
          <w:rFonts w:ascii="Times New Roman" w:hAnsi="Times New Roman" w:cs="Times New Roman" w:eastAsia="Times New Roman" w:hint="default"/>
        </w:rPr>
        <w:t>1015</w:t>
      </w:r>
      <w:r>
        <w:rPr/>
        <w:t>、</w:t>
      </w:r>
      <w:r>
        <w:rPr>
          <w:rFonts w:ascii="Times New Roman" w:hAnsi="Times New Roman" w:cs="Times New Roman" w:eastAsia="Times New Roman" w:hint="default"/>
        </w:rPr>
        <w:t>1016</w:t>
      </w:r>
      <w:r>
        <w:rPr/>
        <w:t>室，企业类型为有限现</w:t>
      </w:r>
      <w:r>
        <w:rPr>
          <w:spacing w:val="-87"/>
        </w:rPr>
        <w:t> </w:t>
      </w:r>
      <w:r>
        <w:rPr>
          <w:spacing w:val="-87"/>
        </w:rPr>
      </w:r>
      <w:r>
        <w:rPr>
          <w:spacing w:val="-2"/>
        </w:rPr>
        <w:t>任公司（法人独资），经营范围为软件技术开发、咨询、服务、培训；软件销售；计算机系统集成；交电、计算机及外围设</w:t>
      </w:r>
      <w:r>
        <w:rPr>
          <w:spacing w:val="-64"/>
        </w:rPr>
        <w:t> </w:t>
      </w:r>
      <w:r>
        <w:rPr>
          <w:spacing w:val="-64"/>
        </w:rPr>
      </w:r>
      <w:r>
        <w:rPr>
          <w:spacing w:val="-3"/>
        </w:rPr>
        <w:t>备、通讯器材销售；计算机安装、电信工程、建筑智能化工程、电子工程承包；货物及技术进出口。公司持有天津卫宁</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股权。</w:t>
      </w:r>
    </w:p>
    <w:p>
      <w:pPr>
        <w:spacing w:after="0" w:line="304"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rFonts w:ascii="Times New Roman" w:hAnsi="Times New Roman" w:cs="Times New Roman" w:eastAsia="Times New Roman" w:hint="default"/>
        </w:rPr>
        <w:t>8</w:t>
      </w:r>
      <w:r>
        <w:rPr/>
        <w:t>、宣城卫宁</w:t>
      </w:r>
    </w:p>
    <w:p>
      <w:pPr>
        <w:pStyle w:val="BodyText"/>
        <w:spacing w:line="309" w:lineRule="auto" w:before="63"/>
        <w:ind w:right="0" w:firstLine="360"/>
        <w:jc w:val="left"/>
      </w:pPr>
      <w:r>
        <w:rPr/>
        <w:t>宣</w:t>
      </w:r>
      <w:r>
        <w:rPr>
          <w:spacing w:val="-59"/>
        </w:rPr>
        <w:t> </w:t>
      </w:r>
      <w:r>
        <w:rPr/>
        <w:t>城</w:t>
      </w:r>
      <w:r>
        <w:rPr>
          <w:spacing w:val="-57"/>
        </w:rPr>
        <w:t> </w:t>
      </w:r>
      <w:r>
        <w:rPr/>
        <w:t>卫</w:t>
      </w:r>
      <w:r>
        <w:rPr>
          <w:spacing w:val="-59"/>
        </w:rPr>
        <w:t> </w:t>
      </w:r>
      <w:r>
        <w:rPr/>
        <w:t>宁</w:t>
      </w:r>
      <w:r>
        <w:rPr>
          <w:spacing w:val="-57"/>
        </w:rPr>
        <w:t> </w:t>
      </w:r>
      <w:r>
        <w:rPr/>
        <w:t>成</w:t>
      </w:r>
      <w:r>
        <w:rPr>
          <w:spacing w:val="-59"/>
        </w:rPr>
        <w:t> </w:t>
      </w:r>
      <w:r>
        <w:rPr/>
        <w:t>立</w:t>
      </w:r>
      <w:r>
        <w:rPr>
          <w:spacing w:val="-57"/>
        </w:rPr>
        <w:t> </w:t>
      </w:r>
      <w:r>
        <w:rPr/>
        <w:t>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5"/>
        </w:rPr>
        <w:t> </w:t>
      </w:r>
      <w:r>
        <w:rPr/>
        <w:t>日</w:t>
      </w:r>
      <w:r>
        <w:rPr>
          <w:spacing w:val="-59"/>
        </w:rPr>
        <w:t> </w:t>
      </w:r>
      <w:r>
        <w:rPr/>
        <w:t>，</w:t>
      </w:r>
      <w:r>
        <w:rPr>
          <w:spacing w:val="-57"/>
        </w:rPr>
        <w:t> </w:t>
      </w:r>
      <w:r>
        <w:rPr/>
        <w:t>注</w:t>
      </w:r>
      <w:r>
        <w:rPr>
          <w:spacing w:val="-59"/>
        </w:rPr>
        <w:t> </w:t>
      </w:r>
      <w:r>
        <w:rPr/>
        <w:t>册</w:t>
      </w:r>
      <w:r>
        <w:rPr>
          <w:spacing w:val="-57"/>
        </w:rPr>
        <w:t> </w:t>
      </w:r>
      <w:r>
        <w:rPr/>
        <w:t>资</w:t>
      </w:r>
      <w:r>
        <w:rPr>
          <w:spacing w:val="-59"/>
        </w:rPr>
        <w:t> </w:t>
      </w:r>
      <w:r>
        <w:rPr/>
        <w:t>本</w:t>
      </w:r>
      <w:r>
        <w:rPr>
          <w:spacing w:val="-57"/>
        </w:rPr>
        <w:t> </w:t>
      </w:r>
      <w:r>
        <w:rPr/>
        <w:t>人</w:t>
      </w:r>
      <w:r>
        <w:rPr>
          <w:spacing w:val="-59"/>
        </w:rPr>
        <w:t> </w:t>
      </w:r>
      <w:r>
        <w:rPr/>
        <w:t>民</w:t>
      </w:r>
      <w:r>
        <w:rPr>
          <w:spacing w:val="-57"/>
        </w:rPr>
        <w:t> </w:t>
      </w:r>
      <w:r>
        <w:rPr/>
        <w:t>币</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3"/>
        </w:rPr>
        <w:t> </w:t>
      </w:r>
      <w:r>
        <w:rPr/>
        <w:t>万</w:t>
      </w:r>
      <w:r>
        <w:rPr>
          <w:spacing w:val="-59"/>
        </w:rPr>
        <w:t> </w:t>
      </w:r>
      <w:r>
        <w:rPr/>
        <w:t>元</w:t>
      </w:r>
      <w:r>
        <w:rPr>
          <w:spacing w:val="-57"/>
        </w:rPr>
        <w:t> </w:t>
      </w:r>
      <w:r>
        <w:rPr/>
        <w:t>，</w:t>
      </w:r>
      <w:r>
        <w:rPr>
          <w:spacing w:val="-59"/>
        </w:rPr>
        <w:t> </w:t>
      </w:r>
      <w:r>
        <w:rPr/>
        <w:t>法</w:t>
      </w:r>
      <w:r>
        <w:rPr>
          <w:spacing w:val="-57"/>
        </w:rPr>
        <w:t> </w:t>
      </w:r>
      <w:r>
        <w:rPr/>
        <w:t>定</w:t>
      </w:r>
      <w:r>
        <w:rPr>
          <w:spacing w:val="-59"/>
        </w:rPr>
        <w:t> </w:t>
      </w:r>
      <w:r>
        <w:rPr/>
        <w:t>代</w:t>
      </w:r>
      <w:r>
        <w:rPr>
          <w:spacing w:val="-57"/>
        </w:rPr>
        <w:t> </w:t>
      </w:r>
      <w:r>
        <w:rPr/>
        <w:t>表</w:t>
      </w:r>
      <w:r>
        <w:rPr>
          <w:spacing w:val="-59"/>
        </w:rPr>
        <w:t> </w:t>
      </w:r>
      <w:r>
        <w:rPr/>
        <w:t>人</w:t>
      </w:r>
      <w:r>
        <w:rPr>
          <w:spacing w:val="-57"/>
        </w:rPr>
        <w:t> </w:t>
      </w:r>
      <w:r>
        <w:rPr/>
        <w:t>李</w:t>
      </w:r>
      <w:r>
        <w:rPr>
          <w:spacing w:val="-59"/>
        </w:rPr>
        <w:t> </w:t>
      </w:r>
      <w:r>
        <w:rPr/>
        <w:t>继</w:t>
      </w:r>
      <w:r>
        <w:rPr>
          <w:spacing w:val="-57"/>
        </w:rPr>
        <w:t> </w:t>
      </w:r>
      <w:r>
        <w:rPr/>
        <w:t>东</w:t>
      </w:r>
      <w:r>
        <w:rPr>
          <w:spacing w:val="-59"/>
        </w:rPr>
        <w:t> </w:t>
      </w:r>
      <w:r>
        <w:rPr/>
        <w:t>，</w:t>
      </w:r>
      <w:r>
        <w:rPr>
          <w:spacing w:val="-57"/>
        </w:rPr>
        <w:t> </w:t>
      </w:r>
      <w:r>
        <w:rPr/>
        <w:t>统</w:t>
      </w:r>
      <w:r>
        <w:rPr>
          <w:spacing w:val="-59"/>
        </w:rPr>
        <w:t> </w:t>
      </w:r>
      <w:r>
        <w:rPr/>
        <w:t>一</w:t>
      </w:r>
      <w:r>
        <w:rPr>
          <w:spacing w:val="-57"/>
        </w:rPr>
        <w:t> </w:t>
      </w:r>
      <w:r>
        <w:rPr/>
        <w:t>社</w:t>
      </w:r>
      <w:r>
        <w:rPr>
          <w:spacing w:val="-59"/>
        </w:rPr>
        <w:t> </w:t>
      </w:r>
      <w:r>
        <w:rPr/>
        <w:t>会</w:t>
      </w:r>
      <w:r>
        <w:rPr>
          <w:spacing w:val="-57"/>
        </w:rPr>
        <w:t> </w:t>
      </w:r>
      <w:r>
        <w:rPr/>
        <w:t>信</w:t>
      </w:r>
      <w:r>
        <w:rPr>
          <w:spacing w:val="-59"/>
        </w:rPr>
        <w:t> </w:t>
      </w:r>
      <w:r>
        <w:rPr/>
        <w:t>用</w:t>
      </w:r>
      <w:r>
        <w:rPr>
          <w:spacing w:val="-59"/>
        </w:rPr>
        <w:t> </w:t>
      </w:r>
      <w:r>
        <w:rPr/>
        <w:t>代</w:t>
      </w:r>
      <w:r>
        <w:rPr>
          <w:spacing w:val="-57"/>
        </w:rPr>
        <w:t> </w:t>
      </w:r>
      <w:r>
        <w:rPr/>
        <w:t>码</w:t>
      </w:r>
      <w:r>
        <w:rPr>
          <w:spacing w:val="-59"/>
        </w:rPr>
        <w:t> </w:t>
      </w:r>
      <w:r>
        <w:rPr/>
        <w:t>为</w:t>
      </w:r>
      <w:r>
        <w:rPr/>
        <w:t> </w:t>
      </w:r>
      <w:r>
        <w:rPr>
          <w:rFonts w:ascii="Times New Roman" w:hAnsi="Times New Roman" w:cs="Times New Roman" w:eastAsia="Times New Roman" w:hint="default"/>
        </w:rPr>
        <w:t>91341802MA2RJQ4EXJ</w:t>
      </w:r>
      <w:r>
        <w:rPr/>
        <w:t>，住所为安徽省宣城市市区九洲三期市场场外</w:t>
      </w:r>
      <w:r>
        <w:rPr>
          <w:rFonts w:ascii="Times New Roman" w:hAnsi="Times New Roman" w:cs="Times New Roman" w:eastAsia="Times New Roman" w:hint="default"/>
        </w:rPr>
        <w:t>46</w:t>
      </w:r>
      <w:r>
        <w:rPr/>
        <w:t>号，企业类型为有限责任公司（自然人投资或控股</w:t>
      </w:r>
      <w:r>
        <w:rPr>
          <w:spacing w:val="-28"/>
        </w:rPr>
        <w:t> </w:t>
      </w:r>
      <w:r>
        <w:rPr>
          <w:spacing w:val="-28"/>
        </w:rPr>
      </w:r>
      <w:r>
        <w:rPr>
          <w:spacing w:val="-4"/>
        </w:rPr>
        <w:t>的法人独资），经营范围为从事医疗、计算机科技领域内的技术开发、技术转让、技术咨询、技术服务，计算机软件的开发、</w:t>
      </w:r>
      <w:r>
        <w:rPr>
          <w:spacing w:val="-38"/>
        </w:rPr>
        <w:t> </w:t>
      </w:r>
      <w:r>
        <w:rPr>
          <w:spacing w:val="-38"/>
        </w:rPr>
      </w:r>
      <w:r>
        <w:rPr>
          <w:spacing w:val="-2"/>
        </w:rPr>
        <w:t>设计，计算机软硬件及辅助设备的销售，计算机系统集成，网络工程，仓储服务（除危险化学品），供应链管理。公司持有</w:t>
      </w:r>
      <w:r>
        <w:rPr>
          <w:spacing w:val="-62"/>
        </w:rPr>
        <w:t> </w:t>
      </w:r>
      <w:r>
        <w:rPr>
          <w:spacing w:val="-62"/>
        </w:rPr>
      </w:r>
      <w:r>
        <w:rPr/>
        <w:t>宣城卫宁</w:t>
      </w:r>
      <w:r>
        <w:rPr>
          <w:rFonts w:ascii="Times New Roman" w:hAnsi="Times New Roman" w:cs="Times New Roman" w:eastAsia="Times New Roman" w:hint="default"/>
        </w:rPr>
        <w:t>100%</w:t>
      </w:r>
      <w:r>
        <w:rPr/>
        <w:t>股权。</w:t>
      </w:r>
    </w:p>
    <w:p>
      <w:pPr>
        <w:pStyle w:val="BodyText"/>
        <w:spacing w:line="240" w:lineRule="auto" w:before="5"/>
        <w:ind w:left="472" w:right="0"/>
        <w:jc w:val="left"/>
      </w:pPr>
      <w:r>
        <w:rPr>
          <w:rFonts w:ascii="Times New Roman" w:hAnsi="Times New Roman" w:cs="Times New Roman" w:eastAsia="Times New Roman" w:hint="default"/>
        </w:rPr>
        <w:t>9</w:t>
      </w:r>
      <w:r>
        <w:rPr/>
        <w:t>、深圳卫宁</w:t>
      </w:r>
    </w:p>
    <w:p>
      <w:pPr>
        <w:pStyle w:val="BodyText"/>
        <w:spacing w:line="307" w:lineRule="auto" w:before="63"/>
        <w:ind w:right="1130" w:firstLine="360"/>
        <w:jc w:val="both"/>
      </w:pPr>
      <w:r>
        <w:rPr/>
        <w:t>深</w:t>
      </w:r>
      <w:r>
        <w:rPr>
          <w:spacing w:val="-62"/>
        </w:rPr>
        <w:t> </w:t>
      </w:r>
      <w:r>
        <w:rPr/>
        <w:t>圳</w:t>
      </w:r>
      <w:r>
        <w:rPr>
          <w:spacing w:val="-62"/>
        </w:rPr>
        <w:t> </w:t>
      </w:r>
      <w:r>
        <w:rPr/>
        <w:t>卫</w:t>
      </w:r>
      <w:r>
        <w:rPr>
          <w:spacing w:val="-62"/>
        </w:rPr>
        <w:t> </w:t>
      </w:r>
      <w:r>
        <w:rPr/>
        <w:t>宁</w:t>
      </w:r>
      <w:r>
        <w:rPr>
          <w:spacing w:val="-59"/>
        </w:rPr>
        <w:t> </w:t>
      </w:r>
      <w:r>
        <w:rPr/>
        <w:t>成</w:t>
      </w:r>
      <w:r>
        <w:rPr>
          <w:spacing w:val="-62"/>
        </w:rPr>
        <w:t> </w:t>
      </w:r>
      <w:r>
        <w:rPr/>
        <w:t>立</w:t>
      </w:r>
      <w:r>
        <w:rPr>
          <w:spacing w:val="-62"/>
        </w:rPr>
        <w:t> </w:t>
      </w:r>
      <w:r>
        <w:rPr/>
        <w:t>于</w:t>
      </w:r>
      <w:r>
        <w:rPr>
          <w:spacing w:val="-6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8"/>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日</w:t>
      </w:r>
      <w:r>
        <w:rPr>
          <w:spacing w:val="-62"/>
        </w:rPr>
        <w:t> </w:t>
      </w:r>
      <w:r>
        <w:rPr/>
        <w:t>，</w:t>
      </w:r>
      <w:r>
        <w:rPr>
          <w:spacing w:val="-62"/>
        </w:rPr>
        <w:t> </w:t>
      </w:r>
      <w:r>
        <w:rPr/>
        <w:t>注</w:t>
      </w:r>
      <w:r>
        <w:rPr>
          <w:spacing w:val="-62"/>
        </w:rPr>
        <w:t> </w:t>
      </w:r>
      <w:r>
        <w:rPr/>
        <w:t>册</w:t>
      </w:r>
      <w:r>
        <w:rPr>
          <w:spacing w:val="-59"/>
        </w:rPr>
        <w:t> </w:t>
      </w:r>
      <w:r>
        <w:rPr/>
        <w:t>资</w:t>
      </w:r>
      <w:r>
        <w:rPr>
          <w:spacing w:val="-62"/>
        </w:rPr>
        <w:t> </w:t>
      </w:r>
      <w:r>
        <w:rPr/>
        <w:t>本</w:t>
      </w:r>
      <w:r>
        <w:rPr>
          <w:spacing w:val="-62"/>
        </w:rPr>
        <w:t> </w:t>
      </w:r>
      <w:r>
        <w:rPr/>
        <w:t>人</w:t>
      </w:r>
      <w:r>
        <w:rPr>
          <w:spacing w:val="-62"/>
        </w:rPr>
        <w:t> </w:t>
      </w:r>
      <w:r>
        <w:rPr/>
        <w:t>民</w:t>
      </w:r>
      <w:r>
        <w:rPr>
          <w:spacing w:val="-62"/>
        </w:rPr>
        <w:t> </w:t>
      </w:r>
      <w:r>
        <w:rPr/>
        <w:t>币</w:t>
      </w:r>
      <w:r>
        <w:rPr>
          <w:spacing w:val="-59"/>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8"/>
        </w:rPr>
        <w:t> </w:t>
      </w:r>
      <w:r>
        <w:rPr/>
        <w:t>万</w:t>
      </w:r>
      <w:r>
        <w:rPr>
          <w:spacing w:val="-62"/>
        </w:rPr>
        <w:t> </w:t>
      </w:r>
      <w:r>
        <w:rPr/>
        <w:t>元</w:t>
      </w:r>
      <w:r>
        <w:rPr>
          <w:spacing w:val="-62"/>
        </w:rPr>
        <w:t> </w:t>
      </w:r>
      <w:r>
        <w:rPr/>
        <w:t>，</w:t>
      </w:r>
      <w:r>
        <w:rPr>
          <w:spacing w:val="-62"/>
        </w:rPr>
        <w:t> </w:t>
      </w:r>
      <w:r>
        <w:rPr/>
        <w:t>法</w:t>
      </w:r>
      <w:r>
        <w:rPr>
          <w:spacing w:val="-59"/>
        </w:rPr>
        <w:t> </w:t>
      </w:r>
      <w:r>
        <w:rPr/>
        <w:t>定</w:t>
      </w:r>
      <w:r>
        <w:rPr>
          <w:spacing w:val="-62"/>
        </w:rPr>
        <w:t> </w:t>
      </w:r>
      <w:r>
        <w:rPr/>
        <w:t>代</w:t>
      </w:r>
      <w:r>
        <w:rPr>
          <w:spacing w:val="-62"/>
        </w:rPr>
        <w:t> </w:t>
      </w:r>
      <w:r>
        <w:rPr/>
        <w:t>表</w:t>
      </w:r>
      <w:r>
        <w:rPr>
          <w:spacing w:val="-62"/>
        </w:rPr>
        <w:t> </w:t>
      </w:r>
      <w:r>
        <w:rPr/>
        <w:t>人</w:t>
      </w:r>
      <w:r>
        <w:rPr>
          <w:spacing w:val="-62"/>
        </w:rPr>
        <w:t> </w:t>
      </w:r>
      <w:r>
        <w:rPr/>
        <w:t>沈</w:t>
      </w:r>
      <w:r>
        <w:rPr>
          <w:spacing w:val="-62"/>
        </w:rPr>
        <w:t> </w:t>
      </w:r>
      <w:r>
        <w:rPr/>
        <w:t>宇</w:t>
      </w:r>
      <w:r>
        <w:rPr>
          <w:spacing w:val="-62"/>
        </w:rPr>
        <w:t> </w:t>
      </w:r>
      <w:r>
        <w:rPr/>
        <w:t>青</w:t>
      </w:r>
      <w:r>
        <w:rPr>
          <w:spacing w:val="-62"/>
        </w:rPr>
        <w:t> </w:t>
      </w:r>
      <w:r>
        <w:rPr/>
        <w:t>，</w:t>
      </w:r>
      <w:r>
        <w:rPr>
          <w:spacing w:val="-59"/>
        </w:rPr>
        <w:t> </w:t>
      </w:r>
      <w:r>
        <w:rPr/>
        <w:t>统</w:t>
      </w:r>
      <w:r>
        <w:rPr>
          <w:spacing w:val="-62"/>
        </w:rPr>
        <w:t> </w:t>
      </w:r>
      <w:r>
        <w:rPr/>
        <w:t>一</w:t>
      </w:r>
      <w:r>
        <w:rPr>
          <w:spacing w:val="-62"/>
        </w:rPr>
        <w:t> </w:t>
      </w:r>
      <w:r>
        <w:rPr/>
        <w:t>社</w:t>
      </w:r>
      <w:r>
        <w:rPr>
          <w:spacing w:val="-62"/>
        </w:rPr>
        <w:t> </w:t>
      </w:r>
      <w:r>
        <w:rPr/>
        <w:t>会</w:t>
      </w:r>
      <w:r>
        <w:rPr>
          <w:spacing w:val="-62"/>
        </w:rPr>
        <w:t> </w:t>
      </w:r>
      <w:r>
        <w:rPr/>
        <w:t>信</w:t>
      </w:r>
      <w:r>
        <w:rPr>
          <w:spacing w:val="-62"/>
        </w:rPr>
        <w:t> </w:t>
      </w:r>
      <w:r>
        <w:rPr/>
        <w:t>用</w:t>
      </w:r>
      <w:r>
        <w:rPr>
          <w:spacing w:val="-62"/>
        </w:rPr>
        <w:t> </w:t>
      </w:r>
      <w:r>
        <w:rPr/>
        <w:t>代</w:t>
      </w:r>
      <w:r>
        <w:rPr>
          <w:spacing w:val="-59"/>
        </w:rPr>
        <w:t> </w:t>
      </w:r>
      <w:r>
        <w:rPr/>
        <w:t>码</w:t>
      </w:r>
      <w:r>
        <w:rPr>
          <w:spacing w:val="-62"/>
        </w:rPr>
        <w:t> </w:t>
      </w:r>
      <w:r>
        <w:rPr/>
        <w:t>为</w:t>
      </w:r>
      <w:r>
        <w:rPr/>
        <w:t> </w:t>
      </w:r>
      <w:r>
        <w:rPr>
          <w:rFonts w:ascii="Times New Roman" w:hAnsi="Times New Roman" w:cs="Times New Roman" w:eastAsia="Times New Roman" w:hint="default"/>
          <w:spacing w:val="-2"/>
        </w:rPr>
        <w:t>914403007691816991</w:t>
      </w:r>
      <w:r>
        <w:rPr>
          <w:spacing w:val="-2"/>
        </w:rPr>
        <w:t>，住所为深圳市南山区科技南十二路长虹科技大厦</w:t>
      </w:r>
      <w:r>
        <w:rPr>
          <w:rFonts w:ascii="Times New Roman" w:hAnsi="Times New Roman" w:cs="Times New Roman" w:eastAsia="Times New Roman" w:hint="default"/>
          <w:spacing w:val="-2"/>
        </w:rPr>
        <w:t>2003</w:t>
      </w:r>
      <w:r>
        <w:rPr>
          <w:spacing w:val="-2"/>
        </w:rPr>
        <w:t>，企业类型为有限责任公司（法人独资），经营</w:t>
      </w:r>
      <w:r>
        <w:rPr>
          <w:spacing w:val="-52"/>
        </w:rPr>
        <w:t> </w:t>
      </w:r>
      <w:r>
        <w:rPr>
          <w:spacing w:val="-52"/>
        </w:rPr>
      </w:r>
      <w:r>
        <w:rPr>
          <w:spacing w:val="-2"/>
        </w:rPr>
        <w:t>范围为计算机软硬件、计算机网络、应用系统、电子产品、通信设备及信息管理系统的技术开发，系统集成及相关技术咨询</w:t>
      </w:r>
      <w:r>
        <w:rPr>
          <w:spacing w:val="-63"/>
        </w:rPr>
        <w:t> </w:t>
      </w:r>
      <w:r>
        <w:rPr>
          <w:spacing w:val="-63"/>
        </w:rPr>
      </w:r>
      <w:r>
        <w:rPr/>
        <w:t>服务。公司持有深圳卫宁</w:t>
      </w:r>
      <w:r>
        <w:rPr>
          <w:rFonts w:ascii="Times New Roman" w:hAnsi="Times New Roman" w:cs="Times New Roman" w:eastAsia="Times New Roman" w:hint="default"/>
        </w:rPr>
        <w:t>100%</w:t>
      </w:r>
      <w:r>
        <w:rPr/>
        <w:t>股权。</w:t>
      </w:r>
    </w:p>
    <w:p>
      <w:pPr>
        <w:pStyle w:val="BodyText"/>
        <w:spacing w:line="240" w:lineRule="auto" w:before="7"/>
        <w:ind w:left="472" w:right="0"/>
        <w:jc w:val="left"/>
      </w:pPr>
      <w:r>
        <w:rPr>
          <w:rFonts w:ascii="Times New Roman" w:hAnsi="Times New Roman" w:cs="Times New Roman" w:eastAsia="Times New Roman" w:hint="default"/>
        </w:rPr>
        <w:t>10</w:t>
      </w:r>
      <w:r>
        <w:rPr/>
        <w:t>、上海卫心</w:t>
      </w:r>
    </w:p>
    <w:p>
      <w:pPr>
        <w:pStyle w:val="BodyText"/>
        <w:spacing w:line="307" w:lineRule="auto" w:before="63"/>
        <w:ind w:right="1034" w:firstLine="360"/>
        <w:jc w:val="left"/>
      </w:pPr>
      <w:r>
        <w:rPr/>
        <w:t>上</w:t>
      </w:r>
      <w:r>
        <w:rPr>
          <w:spacing w:val="-59"/>
        </w:rPr>
        <w:t> </w:t>
      </w:r>
      <w:r>
        <w:rPr/>
        <w:t>海</w:t>
      </w:r>
      <w:r>
        <w:rPr>
          <w:spacing w:val="-57"/>
        </w:rPr>
        <w:t> </w:t>
      </w:r>
      <w:r>
        <w:rPr/>
        <w:t>卫</w:t>
      </w:r>
      <w:r>
        <w:rPr>
          <w:spacing w:val="-59"/>
        </w:rPr>
        <w:t> </w:t>
      </w:r>
      <w:r>
        <w:rPr/>
        <w:t>心</w:t>
      </w:r>
      <w:r>
        <w:rPr>
          <w:spacing w:val="-59"/>
        </w:rPr>
        <w:t> </w:t>
      </w:r>
      <w:r>
        <w:rPr/>
        <w:t>成</w:t>
      </w:r>
      <w:r>
        <w:rPr>
          <w:spacing w:val="-57"/>
        </w:rPr>
        <w:t> </w:t>
      </w:r>
      <w:r>
        <w:rPr/>
        <w:t>立</w:t>
      </w:r>
      <w:r>
        <w:rPr>
          <w:spacing w:val="-59"/>
        </w:rPr>
        <w:t> </w:t>
      </w:r>
      <w:r>
        <w:rPr/>
        <w:t>于</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5"/>
        </w:rPr>
        <w:t> </w:t>
      </w:r>
      <w:r>
        <w:rPr/>
        <w:t>日</w:t>
      </w:r>
      <w:r>
        <w:rPr>
          <w:spacing w:val="-59"/>
        </w:rPr>
        <w:t> </w:t>
      </w:r>
      <w:r>
        <w:rPr/>
        <w:t>，</w:t>
      </w:r>
      <w:r>
        <w:rPr>
          <w:spacing w:val="-57"/>
        </w:rPr>
        <w:t> </w:t>
      </w:r>
      <w:r>
        <w:rPr/>
        <w:t>注</w:t>
      </w:r>
      <w:r>
        <w:rPr>
          <w:spacing w:val="-59"/>
        </w:rPr>
        <w:t> </w:t>
      </w:r>
      <w:r>
        <w:rPr/>
        <w:t>册</w:t>
      </w:r>
      <w:r>
        <w:rPr>
          <w:spacing w:val="-59"/>
        </w:rPr>
        <w:t> </w:t>
      </w:r>
      <w:r>
        <w:rPr/>
        <w:t>资</w:t>
      </w:r>
      <w:r>
        <w:rPr>
          <w:spacing w:val="-57"/>
        </w:rPr>
        <w:t> </w:t>
      </w:r>
      <w:r>
        <w:rPr/>
        <w:t>本</w:t>
      </w:r>
      <w:r>
        <w:rPr>
          <w:spacing w:val="-59"/>
        </w:rPr>
        <w:t> </w:t>
      </w:r>
      <w:r>
        <w:rPr/>
        <w:t>人</w:t>
      </w:r>
      <w:r>
        <w:rPr>
          <w:spacing w:val="-59"/>
        </w:rPr>
        <w:t> </w:t>
      </w:r>
      <w:r>
        <w:rPr/>
        <w:t>民</w:t>
      </w:r>
      <w:r>
        <w:rPr>
          <w:spacing w:val="-57"/>
        </w:rPr>
        <w:t> </w:t>
      </w:r>
      <w:r>
        <w:rPr/>
        <w:t>币</w:t>
      </w:r>
      <w:r>
        <w:rPr>
          <w:spacing w:val="-5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3"/>
        </w:rPr>
        <w:t> </w:t>
      </w:r>
      <w:r>
        <w:rPr/>
        <w:t>万</w:t>
      </w:r>
      <w:r>
        <w:rPr>
          <w:spacing w:val="-59"/>
        </w:rPr>
        <w:t> </w:t>
      </w:r>
      <w:r>
        <w:rPr/>
        <w:t>元</w:t>
      </w:r>
      <w:r>
        <w:rPr>
          <w:spacing w:val="-57"/>
        </w:rPr>
        <w:t> </w:t>
      </w:r>
      <w:r>
        <w:rPr/>
        <w:t>，</w:t>
      </w:r>
      <w:r>
        <w:rPr>
          <w:spacing w:val="-59"/>
        </w:rPr>
        <w:t> </w:t>
      </w:r>
      <w:r>
        <w:rPr/>
        <w:t>法</w:t>
      </w:r>
      <w:r>
        <w:rPr>
          <w:spacing w:val="-59"/>
        </w:rPr>
        <w:t> </w:t>
      </w:r>
      <w:r>
        <w:rPr/>
        <w:t>定</w:t>
      </w:r>
      <w:r>
        <w:rPr>
          <w:spacing w:val="-57"/>
        </w:rPr>
        <w:t> </w:t>
      </w:r>
      <w:r>
        <w:rPr/>
        <w:t>代</w:t>
      </w:r>
      <w:r>
        <w:rPr>
          <w:spacing w:val="-59"/>
        </w:rPr>
        <w:t> </w:t>
      </w:r>
      <w:r>
        <w:rPr/>
        <w:t>表</w:t>
      </w:r>
      <w:r>
        <w:rPr>
          <w:spacing w:val="-59"/>
        </w:rPr>
        <w:t> </w:t>
      </w:r>
      <w:r>
        <w:rPr/>
        <w:t>人</w:t>
      </w:r>
      <w:r>
        <w:rPr>
          <w:spacing w:val="-57"/>
        </w:rPr>
        <w:t> </w:t>
      </w:r>
      <w:r>
        <w:rPr/>
        <w:t>刘</w:t>
      </w:r>
      <w:r>
        <w:rPr>
          <w:spacing w:val="-59"/>
        </w:rPr>
        <w:t> </w:t>
      </w:r>
      <w:r>
        <w:rPr/>
        <w:t>宁</w:t>
      </w:r>
      <w:r>
        <w:rPr>
          <w:spacing w:val="-59"/>
        </w:rPr>
        <w:t> </w:t>
      </w:r>
      <w:r>
        <w:rPr/>
        <w:t>，</w:t>
      </w:r>
      <w:r>
        <w:rPr>
          <w:spacing w:val="-57"/>
        </w:rPr>
        <w:t> </w:t>
      </w:r>
      <w:r>
        <w:rPr/>
        <w:t>统</w:t>
      </w:r>
      <w:r>
        <w:rPr>
          <w:spacing w:val="-59"/>
        </w:rPr>
        <w:t> </w:t>
      </w:r>
      <w:r>
        <w:rPr/>
        <w:t>一</w:t>
      </w:r>
      <w:r>
        <w:rPr>
          <w:spacing w:val="-59"/>
        </w:rPr>
        <w:t> </w:t>
      </w:r>
      <w:r>
        <w:rPr/>
        <w:t>社</w:t>
      </w:r>
      <w:r>
        <w:rPr>
          <w:spacing w:val="-57"/>
        </w:rPr>
        <w:t> </w:t>
      </w:r>
      <w:r>
        <w:rPr/>
        <w:t>会</w:t>
      </w:r>
      <w:r>
        <w:rPr>
          <w:spacing w:val="-59"/>
        </w:rPr>
        <w:t> </w:t>
      </w:r>
      <w:r>
        <w:rPr/>
        <w:t>信</w:t>
      </w:r>
      <w:r>
        <w:rPr>
          <w:spacing w:val="-59"/>
        </w:rPr>
        <w:t> </w:t>
      </w:r>
      <w:r>
        <w:rPr/>
        <w:t>用</w:t>
      </w:r>
      <w:r>
        <w:rPr>
          <w:spacing w:val="-57"/>
        </w:rPr>
        <w:t> </w:t>
      </w:r>
      <w:r>
        <w:rPr/>
        <w:t>代</w:t>
      </w:r>
      <w:r>
        <w:rPr>
          <w:spacing w:val="-59"/>
        </w:rPr>
        <w:t> </w:t>
      </w:r>
      <w:r>
        <w:rPr/>
        <w:t>码</w:t>
      </w:r>
      <w:r>
        <w:rPr>
          <w:spacing w:val="-57"/>
        </w:rPr>
        <w:t> </w:t>
      </w:r>
      <w:r>
        <w:rPr/>
        <w:t>为</w:t>
      </w:r>
      <w:r>
        <w:rPr/>
        <w:t> </w:t>
      </w:r>
      <w:r>
        <w:rPr>
          <w:rFonts w:ascii="Times New Roman" w:hAnsi="Times New Roman" w:cs="Times New Roman" w:eastAsia="Times New Roman" w:hint="default"/>
        </w:rPr>
        <w:t>91310106MA1FYJKT45</w:t>
      </w:r>
      <w:r>
        <w:rPr/>
        <w:t>，住所为上海市静安区江场三路</w:t>
      </w:r>
      <w:r>
        <w:rPr>
          <w:rFonts w:ascii="Times New Roman" w:hAnsi="Times New Roman" w:cs="Times New Roman" w:eastAsia="Times New Roman" w:hint="default"/>
        </w:rPr>
        <w:t>238</w:t>
      </w:r>
      <w:r>
        <w:rPr/>
        <w:t>号</w:t>
      </w:r>
      <w:r>
        <w:rPr>
          <w:rFonts w:ascii="Times New Roman" w:hAnsi="Times New Roman" w:cs="Times New Roman" w:eastAsia="Times New Roman" w:hint="default"/>
        </w:rPr>
        <w:t>1601</w:t>
      </w:r>
      <w:r>
        <w:rPr/>
        <w:t>室，企业类型为有限责任公司（自然人投资或控股的法人 独资），经营范围为从事计算机、软件、信息科技领域内的技术开发、技术咨询、技术转让、技术服务，计算机系统集成， 网络工程，计算机软硬件及辅助设备、办公设备、电子产品的销售。公司持有上海卫心</w:t>
      </w:r>
      <w:r>
        <w:rPr>
          <w:rFonts w:ascii="Times New Roman" w:hAnsi="Times New Roman" w:cs="Times New Roman" w:eastAsia="Times New Roman" w:hint="default"/>
        </w:rPr>
        <w:t>100%</w:t>
      </w:r>
      <w:r>
        <w:rPr/>
        <w:t>股权。</w:t>
      </w:r>
    </w:p>
    <w:p>
      <w:pPr>
        <w:pStyle w:val="BodyText"/>
        <w:spacing w:line="240" w:lineRule="auto" w:before="7"/>
        <w:ind w:left="472" w:right="0"/>
        <w:jc w:val="left"/>
      </w:pPr>
      <w:r>
        <w:rPr>
          <w:rFonts w:ascii="Times New Roman" w:hAnsi="Times New Roman" w:cs="Times New Roman" w:eastAsia="Times New Roman" w:hint="default"/>
        </w:rPr>
        <w:t>11</w:t>
      </w:r>
      <w:r>
        <w:rPr/>
        <w:t>、快享医疗</w:t>
      </w:r>
    </w:p>
    <w:p>
      <w:pPr>
        <w:pStyle w:val="BodyText"/>
        <w:spacing w:line="304" w:lineRule="auto" w:before="63"/>
        <w:ind w:right="1126" w:firstLine="360"/>
        <w:jc w:val="both"/>
      </w:pPr>
      <w:r>
        <w:rPr/>
        <w:t>快</w:t>
      </w:r>
      <w:r>
        <w:rPr>
          <w:spacing w:val="-57"/>
        </w:rPr>
        <w:t> </w:t>
      </w:r>
      <w:r>
        <w:rPr/>
        <w:t>享</w:t>
      </w:r>
      <w:r>
        <w:rPr>
          <w:spacing w:val="-54"/>
        </w:rPr>
        <w:t> </w:t>
      </w:r>
      <w:r>
        <w:rPr/>
        <w:t>医</w:t>
      </w:r>
      <w:r>
        <w:rPr>
          <w:spacing w:val="-57"/>
        </w:rPr>
        <w:t> </w:t>
      </w:r>
      <w:r>
        <w:rPr/>
        <w:t>疗</w:t>
      </w:r>
      <w:r>
        <w:rPr>
          <w:spacing w:val="-57"/>
        </w:rPr>
        <w:t> </w:t>
      </w:r>
      <w:r>
        <w:rPr/>
        <w:t>成</w:t>
      </w:r>
      <w:r>
        <w:rPr>
          <w:spacing w:val="-57"/>
        </w:rPr>
        <w:t> </w:t>
      </w:r>
      <w:r>
        <w:rPr/>
        <w:t>立</w:t>
      </w:r>
      <w:r>
        <w:rPr>
          <w:spacing w:val="-54"/>
        </w:rPr>
        <w:t> </w:t>
      </w:r>
      <w:r>
        <w:rPr/>
        <w:t>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w:t>
      </w:r>
      <w:r>
        <w:rPr>
          <w:spacing w:val="-57"/>
        </w:rPr>
        <w:t> </w:t>
      </w:r>
      <w:r>
        <w:rPr/>
        <w:t>，</w:t>
      </w:r>
      <w:r>
        <w:rPr>
          <w:spacing w:val="-54"/>
        </w:rPr>
        <w:t> </w:t>
      </w:r>
      <w:r>
        <w:rPr/>
        <w:t>注</w:t>
      </w:r>
      <w:r>
        <w:rPr>
          <w:spacing w:val="-57"/>
        </w:rPr>
        <w:t> </w:t>
      </w:r>
      <w:r>
        <w:rPr/>
        <w:t>册</w:t>
      </w:r>
      <w:r>
        <w:rPr>
          <w:spacing w:val="-57"/>
        </w:rPr>
        <w:t> </w:t>
      </w:r>
      <w:r>
        <w:rPr/>
        <w:t>资</w:t>
      </w:r>
      <w:r>
        <w:rPr>
          <w:spacing w:val="-57"/>
        </w:rPr>
        <w:t> </w:t>
      </w:r>
      <w:r>
        <w:rPr/>
        <w:t>本</w:t>
      </w:r>
      <w:r>
        <w:rPr>
          <w:spacing w:val="-54"/>
        </w:rPr>
        <w:t> </w:t>
      </w:r>
      <w:r>
        <w:rPr/>
        <w:t>人</w:t>
      </w:r>
      <w:r>
        <w:rPr>
          <w:spacing w:val="-57"/>
        </w:rPr>
        <w:t> </w:t>
      </w:r>
      <w:r>
        <w:rPr/>
        <w:t>民</w:t>
      </w:r>
      <w:r>
        <w:rPr>
          <w:spacing w:val="-57"/>
        </w:rPr>
        <w:t> </w:t>
      </w:r>
      <w:r>
        <w:rPr/>
        <w:t>币</w:t>
      </w:r>
      <w:r>
        <w:rPr>
          <w:spacing w:val="-5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3"/>
        </w:rPr>
        <w:t> </w:t>
      </w:r>
      <w:r>
        <w:rPr/>
        <w:t>万</w:t>
      </w:r>
      <w:r>
        <w:rPr>
          <w:spacing w:val="-57"/>
        </w:rPr>
        <w:t> </w:t>
      </w:r>
      <w:r>
        <w:rPr/>
        <w:t>元</w:t>
      </w:r>
      <w:r>
        <w:rPr>
          <w:spacing w:val="-54"/>
        </w:rPr>
        <w:t> </w:t>
      </w:r>
      <w:r>
        <w:rPr/>
        <w:t>，</w:t>
      </w:r>
      <w:r>
        <w:rPr>
          <w:spacing w:val="-57"/>
        </w:rPr>
        <w:t> </w:t>
      </w:r>
      <w:r>
        <w:rPr/>
        <w:t>法</w:t>
      </w:r>
      <w:r>
        <w:rPr>
          <w:spacing w:val="-57"/>
        </w:rPr>
        <w:t> </w:t>
      </w:r>
      <w:r>
        <w:rPr/>
        <w:t>定</w:t>
      </w:r>
      <w:r>
        <w:rPr>
          <w:spacing w:val="-57"/>
        </w:rPr>
        <w:t> </w:t>
      </w:r>
      <w:r>
        <w:rPr/>
        <w:t>代</w:t>
      </w:r>
      <w:r>
        <w:rPr>
          <w:spacing w:val="-54"/>
        </w:rPr>
        <w:t> </w:t>
      </w:r>
      <w:r>
        <w:rPr/>
        <w:t>表</w:t>
      </w:r>
      <w:r>
        <w:rPr>
          <w:spacing w:val="-57"/>
        </w:rPr>
        <w:t> </w:t>
      </w:r>
      <w:r>
        <w:rPr/>
        <w:t>人</w:t>
      </w:r>
      <w:r>
        <w:rPr>
          <w:spacing w:val="-57"/>
        </w:rPr>
        <w:t> </w:t>
      </w:r>
      <w:r>
        <w:rPr/>
        <w:t>刘</w:t>
      </w:r>
      <w:r>
        <w:rPr>
          <w:spacing w:val="-57"/>
        </w:rPr>
        <w:t> </w:t>
      </w:r>
      <w:r>
        <w:rPr/>
        <w:t>宁</w:t>
      </w:r>
      <w:r>
        <w:rPr>
          <w:spacing w:val="-54"/>
        </w:rPr>
        <w:t> </w:t>
      </w:r>
      <w:r>
        <w:rPr/>
        <w:t>，</w:t>
      </w:r>
      <w:r>
        <w:rPr>
          <w:spacing w:val="-57"/>
        </w:rPr>
        <w:t> </w:t>
      </w:r>
      <w:r>
        <w:rPr/>
        <w:t>统</w:t>
      </w:r>
      <w:r>
        <w:rPr>
          <w:spacing w:val="-57"/>
        </w:rPr>
        <w:t> </w:t>
      </w:r>
      <w:r>
        <w:rPr/>
        <w:t>一</w:t>
      </w:r>
      <w:r>
        <w:rPr>
          <w:spacing w:val="-57"/>
        </w:rPr>
        <w:t> </w:t>
      </w:r>
      <w:r>
        <w:rPr/>
        <w:t>社</w:t>
      </w:r>
      <w:r>
        <w:rPr>
          <w:spacing w:val="-54"/>
        </w:rPr>
        <w:t> </w:t>
      </w:r>
      <w:r>
        <w:rPr/>
        <w:t>会</w:t>
      </w:r>
      <w:r>
        <w:rPr>
          <w:spacing w:val="-57"/>
        </w:rPr>
        <w:t> </w:t>
      </w:r>
      <w:r>
        <w:rPr/>
        <w:t>信</w:t>
      </w:r>
      <w:r>
        <w:rPr>
          <w:spacing w:val="-57"/>
        </w:rPr>
        <w:t> </w:t>
      </w:r>
      <w:r>
        <w:rPr/>
        <w:t>用</w:t>
      </w:r>
      <w:r>
        <w:rPr>
          <w:spacing w:val="-57"/>
        </w:rPr>
        <w:t> </w:t>
      </w:r>
      <w:r>
        <w:rPr/>
        <w:t>代</w:t>
      </w:r>
      <w:r>
        <w:rPr>
          <w:spacing w:val="-54"/>
        </w:rPr>
        <w:t> </w:t>
      </w:r>
      <w:r>
        <w:rPr/>
        <w:t>码</w:t>
      </w:r>
      <w:r>
        <w:rPr>
          <w:spacing w:val="-57"/>
        </w:rPr>
        <w:t> </w:t>
      </w:r>
      <w:r>
        <w:rPr/>
        <w:t>为</w:t>
      </w:r>
      <w:r>
        <w:rPr/>
        <w:t> </w:t>
      </w:r>
      <w:r>
        <w:rPr>
          <w:rFonts w:ascii="Times New Roman" w:hAnsi="Times New Roman" w:cs="Times New Roman" w:eastAsia="Times New Roman" w:hint="default"/>
        </w:rPr>
        <w:t>91310106MA1FB1A62</w:t>
      </w:r>
      <w:r>
        <w:rPr/>
        <w:t>，住所为上海市静安区寿阳路</w:t>
      </w:r>
      <w:r>
        <w:rPr>
          <w:rFonts w:ascii="Times New Roman" w:hAnsi="Times New Roman" w:cs="Times New Roman" w:eastAsia="Times New Roman" w:hint="default"/>
        </w:rPr>
        <w:t>99</w:t>
      </w:r>
      <w:r>
        <w:rPr/>
        <w:t>弄</w:t>
      </w:r>
      <w:r>
        <w:rPr>
          <w:rFonts w:ascii="Times New Roman" w:hAnsi="Times New Roman" w:cs="Times New Roman" w:eastAsia="Times New Roman" w:hint="default"/>
        </w:rPr>
        <w:t>19</w:t>
      </w:r>
      <w:r>
        <w:rPr/>
        <w:t>、</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10</w:t>
      </w:r>
      <w:r>
        <w:rPr/>
        <w:t>层，企业类型为有限责任公司（自然人投资或控股）， </w:t>
      </w:r>
      <w:r>
        <w:rPr>
          <w:spacing w:val="-2"/>
        </w:rPr>
        <w:t>经营范围为从事医疗、计算机科技领域内的技术开发、技术转让、技术咨询、技术服务，计算机软件的开发、设计，计算机</w:t>
      </w:r>
      <w:r>
        <w:rPr>
          <w:spacing w:val="-62"/>
        </w:rPr>
        <w:t> </w:t>
      </w:r>
      <w:r>
        <w:rPr>
          <w:spacing w:val="-62"/>
        </w:rPr>
      </w:r>
      <w:r>
        <w:rPr>
          <w:spacing w:val="-5"/>
        </w:rPr>
        <w:t>软硬件及辅助设备的销售，计算机系统集成，网络工程，仓储服务（除危险化学品），供应链管理。公司持有快享医疗</w:t>
      </w:r>
      <w:r>
        <w:rPr>
          <w:rFonts w:ascii="Times New Roman" w:hAnsi="Times New Roman" w:cs="Times New Roman" w:eastAsia="Times New Roman" w:hint="default"/>
          <w:spacing w:val="-5"/>
        </w:rPr>
        <w:t>74.71%</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股权。</w:t>
      </w:r>
    </w:p>
    <w:p>
      <w:pPr>
        <w:pStyle w:val="BodyText"/>
        <w:spacing w:line="300" w:lineRule="auto" w:before="28"/>
        <w:ind w:left="472" w:right="1132"/>
        <w:jc w:val="left"/>
      </w:pPr>
      <w:r>
        <w:rPr>
          <w:rFonts w:ascii="Times New Roman" w:hAnsi="Times New Roman" w:cs="Times New Roman" w:eastAsia="Times New Roman" w:hint="default"/>
        </w:rPr>
        <w:t>12</w:t>
      </w:r>
      <w:r>
        <w:rPr/>
        <w:t>、卫宁互联网 </w:t>
      </w:r>
      <w:r>
        <w:rPr/>
        <w:t>                                                                       </w:t>
      </w:r>
      <w:r>
        <w:rPr>
          <w:spacing w:val="14"/>
        </w:rPr>
        <w:t>卫宁互联网成立于</w:t>
      </w:r>
      <w:r>
        <w:rPr>
          <w:spacing w:val="-72"/>
        </w:rPr>
        <w:t> </w:t>
      </w:r>
      <w:r>
        <w:rPr>
          <w:rFonts w:ascii="Times New Roman" w:hAnsi="Times New Roman" w:cs="Times New Roman" w:eastAsia="Times New Roman" w:hint="default"/>
          <w:spacing w:val="3"/>
        </w:rPr>
        <w:t>2016</w:t>
      </w:r>
      <w:r>
        <w:rPr>
          <w:spacing w:val="3"/>
        </w:rPr>
        <w:t>年</w:t>
      </w:r>
      <w:r>
        <w:rPr>
          <w:spacing w:val="-68"/>
        </w:rPr>
        <w:t> </w:t>
      </w:r>
      <w:r>
        <w:rPr>
          <w:rFonts w:ascii="Times New Roman" w:hAnsi="Times New Roman" w:cs="Times New Roman" w:eastAsia="Times New Roman" w:hint="default"/>
          <w:spacing w:val="7"/>
        </w:rPr>
        <w:t>4</w:t>
      </w:r>
      <w:r>
        <w:rPr>
          <w:spacing w:val="7"/>
        </w:rPr>
        <w:t>月</w:t>
      </w:r>
      <w:r>
        <w:rPr>
          <w:spacing w:val="-72"/>
        </w:rPr>
        <w:t> </w:t>
      </w:r>
      <w:r>
        <w:rPr>
          <w:rFonts w:ascii="Times New Roman" w:hAnsi="Times New Roman" w:cs="Times New Roman" w:eastAsia="Times New Roman" w:hint="default"/>
        </w:rPr>
        <w:t>19</w:t>
      </w:r>
      <w:r>
        <w:rPr>
          <w:rFonts w:ascii="Times New Roman" w:hAnsi="Times New Roman" w:cs="Times New Roman" w:eastAsia="Times New Roman" w:hint="default"/>
          <w:spacing w:val="-24"/>
        </w:rPr>
        <w:t> </w:t>
      </w:r>
      <w:r>
        <w:rPr>
          <w:spacing w:val="8"/>
        </w:rPr>
        <w:t>日，</w:t>
      </w:r>
      <w:r>
        <w:rPr>
          <w:spacing w:val="-72"/>
        </w:rPr>
        <w:t> </w:t>
      </w:r>
      <w:r>
        <w:rPr>
          <w:spacing w:val="14"/>
        </w:rPr>
        <w:t>注册资本人民币</w:t>
      </w:r>
      <w:r>
        <w:rPr>
          <w:spacing w:val="-72"/>
        </w:rPr>
        <w:t> </w:t>
      </w:r>
      <w:r>
        <w:rPr>
          <w:rFonts w:ascii="Times New Roman" w:hAnsi="Times New Roman" w:cs="Times New Roman" w:eastAsia="Times New Roman" w:hint="default"/>
          <w:spacing w:val="3"/>
        </w:rPr>
        <w:t>28,571.4286</w:t>
      </w:r>
      <w:r>
        <w:rPr>
          <w:spacing w:val="3"/>
        </w:rPr>
        <w:t>万元，</w:t>
      </w:r>
      <w:r>
        <w:rPr>
          <w:spacing w:val="-68"/>
        </w:rPr>
        <w:t> </w:t>
      </w:r>
      <w:r>
        <w:rPr>
          <w:spacing w:val="14"/>
        </w:rPr>
        <w:t>法定代表人周炜，</w:t>
      </w:r>
      <w:r>
        <w:rPr>
          <w:spacing w:val="-72"/>
        </w:rPr>
        <w:t> </w:t>
      </w:r>
      <w:r>
        <w:rPr>
          <w:spacing w:val="14"/>
        </w:rPr>
        <w:t>统一社会信用代码为</w:t>
      </w:r>
    </w:p>
    <w:p>
      <w:pPr>
        <w:pStyle w:val="BodyText"/>
        <w:spacing w:line="309" w:lineRule="auto" w:before="13"/>
        <w:ind w:right="1128"/>
        <w:jc w:val="both"/>
      </w:pPr>
      <w:r>
        <w:rPr>
          <w:rFonts w:ascii="Times New Roman" w:hAnsi="Times New Roman" w:cs="Times New Roman" w:eastAsia="Times New Roman" w:hint="default"/>
        </w:rPr>
        <w:t>91310106MA1FY173XU</w:t>
      </w:r>
      <w:r>
        <w:rPr/>
        <w:t>，住所为上海市静安区江场三路</w:t>
      </w:r>
      <w:r>
        <w:rPr>
          <w:rFonts w:ascii="Times New Roman" w:hAnsi="Times New Roman" w:cs="Times New Roman" w:eastAsia="Times New Roman" w:hint="default"/>
        </w:rPr>
        <w:t>250</w:t>
      </w:r>
      <w:r>
        <w:rPr/>
        <w:t>号</w:t>
      </w:r>
      <w:r>
        <w:rPr>
          <w:rFonts w:ascii="Times New Roman" w:hAnsi="Times New Roman" w:cs="Times New Roman" w:eastAsia="Times New Roman" w:hint="default"/>
        </w:rPr>
        <w:t>406</w:t>
      </w:r>
      <w:r>
        <w:rPr/>
        <w:t>室，企业类型为其他有限责任公司，经营范围为从事互联</w:t>
      </w:r>
      <w:r>
        <w:rPr>
          <w:spacing w:val="-65"/>
        </w:rPr>
        <w:t> </w:t>
      </w:r>
      <w:r>
        <w:rPr>
          <w:spacing w:val="-65"/>
        </w:rPr>
      </w:r>
      <w:r>
        <w:rPr>
          <w:spacing w:val="-2"/>
        </w:rPr>
        <w:t>网科技领域、计算机信息科技、健康科技领域内的技术开发、技术转让、技术服务、技术咨询，计算机软件的开发、设计和</w:t>
      </w:r>
      <w:r>
        <w:rPr>
          <w:spacing w:val="-62"/>
        </w:rPr>
        <w:t> </w:t>
      </w:r>
      <w:r>
        <w:rPr>
          <w:spacing w:val="-62"/>
        </w:rPr>
      </w:r>
      <w:r>
        <w:rPr/>
        <w:t>制作，计算机软、硬件及辅助设备的销售，计算机系统集成。公司持有卫宁互联网</w:t>
      </w:r>
      <w:r>
        <w:rPr>
          <w:rFonts w:ascii="Times New Roman" w:hAnsi="Times New Roman" w:cs="Times New Roman" w:eastAsia="Times New Roman" w:hint="default"/>
        </w:rPr>
        <w:t>70%</w:t>
      </w:r>
      <w:r>
        <w:rPr/>
        <w:t>股权。</w:t>
      </w:r>
    </w:p>
    <w:p>
      <w:pPr>
        <w:pStyle w:val="BodyText"/>
        <w:spacing w:line="240" w:lineRule="auto" w:before="5"/>
        <w:ind w:left="472" w:right="0"/>
        <w:jc w:val="left"/>
      </w:pPr>
      <w:r>
        <w:rPr>
          <w:rFonts w:ascii="Times New Roman" w:hAnsi="Times New Roman" w:cs="Times New Roman" w:eastAsia="Times New Roman" w:hint="default"/>
        </w:rPr>
        <w:t>13</w:t>
      </w:r>
      <w:r>
        <w:rPr/>
        <w:t>、浙江万鼎</w:t>
      </w:r>
    </w:p>
    <w:p>
      <w:pPr>
        <w:pStyle w:val="BodyText"/>
        <w:spacing w:line="307" w:lineRule="auto" w:before="63"/>
        <w:ind w:right="1034" w:firstLine="360"/>
        <w:jc w:val="left"/>
      </w:pPr>
      <w:r>
        <w:rPr/>
        <w:t>浙</w:t>
      </w:r>
      <w:r>
        <w:rPr>
          <w:spacing w:val="-59"/>
        </w:rPr>
        <w:t> </w:t>
      </w:r>
      <w:r>
        <w:rPr/>
        <w:t>江</w:t>
      </w:r>
      <w:r>
        <w:rPr>
          <w:spacing w:val="-59"/>
        </w:rPr>
        <w:t> </w:t>
      </w:r>
      <w:r>
        <w:rPr/>
        <w:t>万</w:t>
      </w:r>
      <w:r>
        <w:rPr>
          <w:spacing w:val="-59"/>
        </w:rPr>
        <w:t> </w:t>
      </w:r>
      <w:r>
        <w:rPr/>
        <w:t>鼎</w:t>
      </w:r>
      <w:r>
        <w:rPr>
          <w:spacing w:val="-59"/>
        </w:rPr>
        <w:t> </w:t>
      </w:r>
      <w:r>
        <w:rPr/>
        <w:t>成</w:t>
      </w:r>
      <w:r>
        <w:rPr>
          <w:spacing w:val="-59"/>
        </w:rPr>
        <w:t> </w:t>
      </w:r>
      <w:r>
        <w:rPr/>
        <w:t>立</w:t>
      </w:r>
      <w:r>
        <w:rPr>
          <w:spacing w:val="-59"/>
        </w:rPr>
        <w:t> </w:t>
      </w:r>
      <w:r>
        <w:rPr/>
        <w:t>于</w:t>
      </w:r>
      <w:r>
        <w:rPr>
          <w:spacing w:val="-5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日</w:t>
      </w:r>
      <w:r>
        <w:rPr>
          <w:spacing w:val="-59"/>
        </w:rPr>
        <w:t> </w:t>
      </w:r>
      <w:r>
        <w:rPr/>
        <w:t>，</w:t>
      </w:r>
      <w:r>
        <w:rPr>
          <w:spacing w:val="-59"/>
        </w:rPr>
        <w:t> </w:t>
      </w:r>
      <w:r>
        <w:rPr/>
        <w:t>注</w:t>
      </w:r>
      <w:r>
        <w:rPr>
          <w:spacing w:val="-59"/>
        </w:rPr>
        <w:t> </w:t>
      </w:r>
      <w:r>
        <w:rPr/>
        <w:t>册</w:t>
      </w:r>
      <w:r>
        <w:rPr>
          <w:spacing w:val="-59"/>
        </w:rPr>
        <w:t> </w:t>
      </w:r>
      <w:r>
        <w:rPr/>
        <w:t>资</w:t>
      </w:r>
      <w:r>
        <w:rPr>
          <w:spacing w:val="-59"/>
        </w:rPr>
        <w:t> </w:t>
      </w:r>
      <w:r>
        <w:rPr/>
        <w:t>本</w:t>
      </w:r>
      <w:r>
        <w:rPr>
          <w:spacing w:val="-59"/>
        </w:rPr>
        <w:t> </w:t>
      </w:r>
      <w:r>
        <w:rPr/>
        <w:t>人</w:t>
      </w:r>
      <w:r>
        <w:rPr>
          <w:spacing w:val="-59"/>
        </w:rPr>
        <w:t> </w:t>
      </w:r>
      <w:r>
        <w:rPr/>
        <w:t>民</w:t>
      </w:r>
      <w:r>
        <w:rPr>
          <w:spacing w:val="-59"/>
        </w:rPr>
        <w:t> </w:t>
      </w:r>
      <w:r>
        <w:rPr/>
        <w:t>币</w:t>
      </w:r>
      <w:r>
        <w:rPr>
          <w:spacing w:val="-59"/>
        </w:rPr>
        <w:t> </w:t>
      </w:r>
      <w:r>
        <w:rPr>
          <w:rFonts w:ascii="Times New Roman" w:hAnsi="Times New Roman" w:cs="Times New Roman" w:eastAsia="Times New Roman" w:hint="default"/>
        </w:rPr>
        <w:t>2,902</w:t>
      </w:r>
      <w:r>
        <w:rPr>
          <w:rFonts w:ascii="Times New Roman" w:hAnsi="Times New Roman" w:cs="Times New Roman" w:eastAsia="Times New Roman" w:hint="default"/>
          <w:spacing w:val="-18"/>
        </w:rPr>
        <w:t> </w:t>
      </w:r>
      <w:r>
        <w:rPr/>
        <w:t>万</w:t>
      </w:r>
      <w:r>
        <w:rPr>
          <w:spacing w:val="-59"/>
        </w:rPr>
        <w:t> </w:t>
      </w:r>
      <w:r>
        <w:rPr/>
        <w:t>元</w:t>
      </w:r>
      <w:r>
        <w:rPr>
          <w:spacing w:val="-59"/>
        </w:rPr>
        <w:t> </w:t>
      </w:r>
      <w:r>
        <w:rPr/>
        <w:t>，</w:t>
      </w:r>
      <w:r>
        <w:rPr>
          <w:spacing w:val="-59"/>
        </w:rPr>
        <w:t> </w:t>
      </w:r>
      <w:r>
        <w:rPr/>
        <w:t>法</w:t>
      </w:r>
      <w:r>
        <w:rPr>
          <w:spacing w:val="-59"/>
        </w:rPr>
        <w:t> </w:t>
      </w:r>
      <w:r>
        <w:rPr/>
        <w:t>定</w:t>
      </w:r>
      <w:r>
        <w:rPr>
          <w:spacing w:val="-59"/>
        </w:rPr>
        <w:t> </w:t>
      </w:r>
      <w:r>
        <w:rPr/>
        <w:t>代</w:t>
      </w:r>
      <w:r>
        <w:rPr>
          <w:spacing w:val="-59"/>
        </w:rPr>
        <w:t> </w:t>
      </w:r>
      <w:r>
        <w:rPr/>
        <w:t>表</w:t>
      </w:r>
      <w:r>
        <w:rPr>
          <w:spacing w:val="-59"/>
        </w:rPr>
        <w:t> </w:t>
      </w:r>
      <w:r>
        <w:rPr/>
        <w:t>人</w:t>
      </w:r>
      <w:r>
        <w:rPr>
          <w:spacing w:val="-59"/>
        </w:rPr>
        <w:t> </w:t>
      </w:r>
      <w:r>
        <w:rPr/>
        <w:t>李</w:t>
      </w:r>
      <w:r>
        <w:rPr>
          <w:spacing w:val="-59"/>
        </w:rPr>
        <w:t> </w:t>
      </w:r>
      <w:r>
        <w:rPr/>
        <w:t>继</w:t>
      </w:r>
      <w:r>
        <w:rPr>
          <w:spacing w:val="-59"/>
        </w:rPr>
        <w:t> </w:t>
      </w:r>
      <w:r>
        <w:rPr/>
        <w:t>东</w:t>
      </w:r>
      <w:r>
        <w:rPr>
          <w:spacing w:val="-59"/>
        </w:rPr>
        <w:t> </w:t>
      </w:r>
      <w:r>
        <w:rPr/>
        <w:t>，</w:t>
      </w:r>
      <w:r>
        <w:rPr>
          <w:spacing w:val="-59"/>
        </w:rPr>
        <w:t> </w:t>
      </w:r>
      <w:r>
        <w:rPr/>
        <w:t>统</w:t>
      </w:r>
      <w:r>
        <w:rPr>
          <w:spacing w:val="-59"/>
        </w:rPr>
        <w:t> </w:t>
      </w:r>
      <w:r>
        <w:rPr/>
        <w:t>一</w:t>
      </w:r>
      <w:r>
        <w:rPr>
          <w:spacing w:val="-59"/>
        </w:rPr>
        <w:t> </w:t>
      </w:r>
      <w:r>
        <w:rPr/>
        <w:t>社</w:t>
      </w:r>
      <w:r>
        <w:rPr>
          <w:spacing w:val="-59"/>
        </w:rPr>
        <w:t> </w:t>
      </w:r>
      <w:r>
        <w:rPr/>
        <w:t>会</w:t>
      </w:r>
      <w:r>
        <w:rPr>
          <w:spacing w:val="-59"/>
        </w:rPr>
        <w:t> </w:t>
      </w:r>
      <w:r>
        <w:rPr/>
        <w:t>信</w:t>
      </w:r>
      <w:r>
        <w:rPr>
          <w:spacing w:val="-59"/>
        </w:rPr>
        <w:t> </w:t>
      </w:r>
      <w:r>
        <w:rPr/>
        <w:t>用</w:t>
      </w:r>
      <w:r>
        <w:rPr>
          <w:spacing w:val="-59"/>
        </w:rPr>
        <w:t> </w:t>
      </w:r>
      <w:r>
        <w:rPr/>
        <w:t>代</w:t>
      </w:r>
      <w:r>
        <w:rPr>
          <w:spacing w:val="-59"/>
        </w:rPr>
        <w:t> </w:t>
      </w:r>
      <w:r>
        <w:rPr/>
        <w:t>码</w:t>
      </w:r>
      <w:r>
        <w:rPr>
          <w:spacing w:val="-57"/>
        </w:rPr>
        <w:t> </w:t>
      </w:r>
      <w:r>
        <w:rPr/>
        <w:t>为</w:t>
      </w:r>
      <w:r>
        <w:rPr/>
        <w:t> </w:t>
      </w:r>
      <w:r>
        <w:rPr>
          <w:rFonts w:ascii="Times New Roman" w:hAnsi="Times New Roman" w:cs="Times New Roman" w:eastAsia="Times New Roman" w:hint="default"/>
        </w:rPr>
        <w:t>913301087735878195</w:t>
      </w:r>
      <w:r>
        <w:rPr/>
        <w:t>，住所为杭州市西湖区文三路</w:t>
      </w:r>
      <w:r>
        <w:rPr>
          <w:rFonts w:ascii="Times New Roman" w:hAnsi="Times New Roman" w:cs="Times New Roman" w:eastAsia="Times New Roman" w:hint="default"/>
        </w:rPr>
        <w:t>90</w:t>
      </w:r>
      <w:r>
        <w:rPr/>
        <w:t>号</w:t>
      </w:r>
      <w:r>
        <w:rPr>
          <w:rFonts w:ascii="Times New Roman" w:hAnsi="Times New Roman" w:cs="Times New Roman" w:eastAsia="Times New Roman" w:hint="default"/>
        </w:rPr>
        <w:t>71</w:t>
      </w:r>
      <w:r>
        <w:rPr/>
        <w:t>幢</w:t>
      </w:r>
      <w:r>
        <w:rPr>
          <w:rFonts w:ascii="Times New Roman" w:hAnsi="Times New Roman" w:cs="Times New Roman" w:eastAsia="Times New Roman" w:hint="default"/>
        </w:rPr>
        <w:t>3</w:t>
      </w:r>
      <w:r>
        <w:rPr/>
        <w:t>层东</w:t>
      </w:r>
      <w:r>
        <w:rPr>
          <w:rFonts w:ascii="Times New Roman" w:hAnsi="Times New Roman" w:cs="Times New Roman" w:eastAsia="Times New Roman" w:hint="default"/>
        </w:rPr>
        <w:t>309</w:t>
      </w:r>
      <w:r>
        <w:rPr/>
        <w:t>室，企业类型为有限责任公司</w:t>
      </w:r>
      <w:r>
        <w:rPr>
          <w:rFonts w:ascii="Times New Roman" w:hAnsi="Times New Roman" w:cs="Times New Roman" w:eastAsia="Times New Roman" w:hint="default"/>
        </w:rPr>
        <w:t>(</w:t>
      </w:r>
      <w:r>
        <w:rPr/>
        <w:t>自然人投资或控股</w:t>
      </w:r>
      <w:r>
        <w:rPr>
          <w:rFonts w:ascii="Times New Roman" w:hAnsi="Times New Roman" w:cs="Times New Roman" w:eastAsia="Times New Roman" w:hint="default"/>
        </w:rPr>
        <w:t>)</w:t>
      </w:r>
      <w:r>
        <w:rPr/>
        <w:t>，经 营范围为技术开发、技术服务、成果转让；计算机软、硬件，通信设备，计算机信息技术；批发、零售；计算机软、硬件； 其他无需报经审批的一切合法项目。公司持有浙江万鼎</w:t>
      </w:r>
      <w:r>
        <w:rPr>
          <w:rFonts w:ascii="Times New Roman" w:hAnsi="Times New Roman" w:cs="Times New Roman" w:eastAsia="Times New Roman" w:hint="default"/>
        </w:rPr>
        <w:t>92.76%</w:t>
      </w:r>
      <w:r>
        <w:rPr/>
        <w:t>股权。</w:t>
      </w:r>
    </w:p>
    <w:p>
      <w:pPr>
        <w:pStyle w:val="BodyText"/>
        <w:spacing w:line="300" w:lineRule="auto" w:before="7"/>
        <w:ind w:left="472" w:right="0"/>
        <w:jc w:val="left"/>
      </w:pPr>
      <w:r>
        <w:rPr>
          <w:rFonts w:ascii="Times New Roman" w:hAnsi="Times New Roman" w:cs="Times New Roman" w:eastAsia="Times New Roman" w:hint="default"/>
        </w:rPr>
        <w:t>14</w:t>
      </w:r>
      <w:r>
        <w:rPr/>
        <w:t>、新疆卫宁 </w:t>
      </w:r>
      <w:r>
        <w:rPr>
          <w:spacing w:val="-4"/>
        </w:rPr>
        <w:t>新疆卫宁成立于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25</w:t>
      </w:r>
      <w:r>
        <w:rPr>
          <w:spacing w:val="-4"/>
        </w:rPr>
        <w:t>日，注册资本人民币</w:t>
      </w:r>
      <w:r>
        <w:rPr>
          <w:rFonts w:ascii="Times New Roman" w:hAnsi="Times New Roman" w:cs="Times New Roman" w:eastAsia="Times New Roman" w:hint="default"/>
          <w:spacing w:val="-4"/>
        </w:rPr>
        <w:t>1,000</w:t>
      </w:r>
      <w:r>
        <w:rPr>
          <w:spacing w:val="-4"/>
        </w:rPr>
        <w:t>万元，法定代表人田明，统一社会信用代码为</w:t>
      </w:r>
      <w:r>
        <w:rPr>
          <w:rFonts w:ascii="Times New Roman" w:hAnsi="Times New Roman" w:cs="Times New Roman" w:eastAsia="Times New Roman" w:hint="default"/>
          <w:spacing w:val="-4"/>
        </w:rPr>
        <w:t>916501000955068049</w:t>
      </w:r>
      <w:r>
        <w:rPr>
          <w:spacing w:val="-4"/>
        </w:rPr>
        <w:t>，</w:t>
      </w:r>
    </w:p>
    <w:p>
      <w:pPr>
        <w:pStyle w:val="BodyText"/>
        <w:spacing w:line="309" w:lineRule="auto" w:before="13"/>
        <w:ind w:right="1129"/>
        <w:jc w:val="both"/>
      </w:pPr>
      <w:r>
        <w:rPr>
          <w:spacing w:val="-1"/>
        </w:rPr>
        <w:t>住所为新疆乌鲁木齐高新技术产业开发区（新市区）北区冬融街</w:t>
      </w:r>
      <w:r>
        <w:rPr>
          <w:rFonts w:ascii="Times New Roman" w:hAnsi="Times New Roman" w:cs="Times New Roman" w:eastAsia="Times New Roman" w:hint="default"/>
          <w:spacing w:val="-1"/>
        </w:rPr>
        <w:t>567</w:t>
      </w:r>
      <w:r>
        <w:rPr>
          <w:spacing w:val="-1"/>
        </w:rPr>
        <w:t>号高新人才大厦南塔九楼</w:t>
      </w:r>
      <w:r>
        <w:rPr>
          <w:rFonts w:ascii="Times New Roman" w:hAnsi="Times New Roman" w:cs="Times New Roman" w:eastAsia="Times New Roman" w:hint="default"/>
          <w:spacing w:val="-1"/>
        </w:rPr>
        <w:t>9-1</w:t>
      </w:r>
      <w:r>
        <w:rPr>
          <w:spacing w:val="-1"/>
        </w:rPr>
        <w:t>，公司类型为其他有限责任</w:t>
      </w:r>
      <w:r>
        <w:rPr>
          <w:spacing w:val="-86"/>
        </w:rPr>
        <w:t> </w:t>
      </w:r>
      <w:r>
        <w:rPr>
          <w:spacing w:val="-86"/>
        </w:rPr>
      </w:r>
      <w:r>
        <w:rPr>
          <w:spacing w:val="-2"/>
        </w:rPr>
        <w:t>公司，经营范围为软件开发，信息系统集成服务，信息技术推广服务，销售；医疗器械，计算机、软件及辅助设备。公司持</w:t>
      </w:r>
      <w:r>
        <w:rPr>
          <w:spacing w:val="-62"/>
        </w:rPr>
        <w:t> </w:t>
      </w:r>
      <w:r>
        <w:rPr>
          <w:spacing w:val="-62"/>
        </w:rPr>
      </w:r>
      <w:r>
        <w:rPr/>
        <w:t>有新疆卫宁</w:t>
      </w:r>
      <w:r>
        <w:rPr>
          <w:rFonts w:ascii="Times New Roman" w:hAnsi="Times New Roman" w:cs="Times New Roman" w:eastAsia="Times New Roman" w:hint="default"/>
        </w:rPr>
        <w:t>51%</w:t>
      </w:r>
      <w:r>
        <w:rPr/>
        <w:t>股权。</w:t>
      </w:r>
    </w:p>
    <w:p>
      <w:pPr>
        <w:pStyle w:val="BodyText"/>
        <w:spacing w:line="240" w:lineRule="auto" w:before="5"/>
        <w:ind w:left="472" w:right="0"/>
        <w:jc w:val="left"/>
      </w:pPr>
      <w:r>
        <w:rPr>
          <w:rFonts w:ascii="Times New Roman" w:hAnsi="Times New Roman" w:cs="Times New Roman" w:eastAsia="Times New Roman" w:hint="default"/>
        </w:rPr>
        <w:t>15</w:t>
      </w:r>
      <w:r>
        <w:rPr/>
        <w:t>、重庆卫宁</w:t>
      </w:r>
    </w:p>
    <w:p>
      <w:pPr>
        <w:pStyle w:val="BodyText"/>
        <w:spacing w:line="307" w:lineRule="auto" w:before="63"/>
        <w:ind w:right="1130" w:firstLine="360"/>
        <w:jc w:val="both"/>
      </w:pPr>
      <w:r>
        <w:rPr/>
        <w:t>重</w:t>
      </w:r>
      <w:r>
        <w:rPr>
          <w:spacing w:val="-62"/>
        </w:rPr>
        <w:t> </w:t>
      </w:r>
      <w:r>
        <w:rPr/>
        <w:t>庆</w:t>
      </w:r>
      <w:r>
        <w:rPr>
          <w:spacing w:val="-62"/>
        </w:rPr>
        <w:t> </w:t>
      </w:r>
      <w:r>
        <w:rPr/>
        <w:t>卫</w:t>
      </w:r>
      <w:r>
        <w:rPr>
          <w:spacing w:val="-62"/>
        </w:rPr>
        <w:t> </w:t>
      </w:r>
      <w:r>
        <w:rPr/>
        <w:t>宁</w:t>
      </w:r>
      <w:r>
        <w:rPr>
          <w:spacing w:val="-59"/>
        </w:rPr>
        <w:t> </w:t>
      </w:r>
      <w:r>
        <w:rPr/>
        <w:t>成</w:t>
      </w:r>
      <w:r>
        <w:rPr>
          <w:spacing w:val="-62"/>
        </w:rPr>
        <w:t> </w:t>
      </w:r>
      <w:r>
        <w:rPr/>
        <w:t>立</w:t>
      </w:r>
      <w:r>
        <w:rPr>
          <w:spacing w:val="-62"/>
        </w:rPr>
        <w:t> </w:t>
      </w:r>
      <w:r>
        <w:rPr/>
        <w:t>于</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月</w:t>
      </w:r>
      <w:r>
        <w:rPr>
          <w:spacing w:val="-62"/>
        </w:rPr>
        <w:t> </w:t>
      </w:r>
      <w:r>
        <w:rPr>
          <w:rFonts w:ascii="Times New Roman" w:hAnsi="Times New Roman" w:cs="Times New Roman" w:eastAsia="Times New Roman" w:hint="default"/>
        </w:rPr>
        <w:t>11</w:t>
      </w:r>
      <w:r>
        <w:rPr>
          <w:rFonts w:ascii="Times New Roman" w:hAnsi="Times New Roman" w:cs="Times New Roman" w:eastAsia="Times New Roman" w:hint="default"/>
          <w:spacing w:val="-18"/>
        </w:rPr>
        <w:t> </w:t>
      </w:r>
      <w:r>
        <w:rPr/>
        <w:t>日</w:t>
      </w:r>
      <w:r>
        <w:rPr>
          <w:spacing w:val="-62"/>
        </w:rPr>
        <w:t> </w:t>
      </w:r>
      <w:r>
        <w:rPr/>
        <w:t>，</w:t>
      </w:r>
      <w:r>
        <w:rPr>
          <w:spacing w:val="-62"/>
        </w:rPr>
        <w:t> </w:t>
      </w:r>
      <w:r>
        <w:rPr/>
        <w:t>注</w:t>
      </w:r>
      <w:r>
        <w:rPr>
          <w:spacing w:val="-62"/>
        </w:rPr>
        <w:t> </w:t>
      </w:r>
      <w:r>
        <w:rPr/>
        <w:t>册</w:t>
      </w:r>
      <w:r>
        <w:rPr>
          <w:spacing w:val="-59"/>
        </w:rPr>
        <w:t> </w:t>
      </w:r>
      <w:r>
        <w:rPr/>
        <w:t>资</w:t>
      </w:r>
      <w:r>
        <w:rPr>
          <w:spacing w:val="-62"/>
        </w:rPr>
        <w:t> </w:t>
      </w:r>
      <w:r>
        <w:rPr/>
        <w:t>本</w:t>
      </w:r>
      <w:r>
        <w:rPr>
          <w:spacing w:val="-62"/>
        </w:rPr>
        <w:t> </w:t>
      </w:r>
      <w:r>
        <w:rPr/>
        <w:t>人</w:t>
      </w:r>
      <w:r>
        <w:rPr>
          <w:spacing w:val="-62"/>
        </w:rPr>
        <w:t> </w:t>
      </w:r>
      <w:r>
        <w:rPr/>
        <w:t>民</w:t>
      </w:r>
      <w:r>
        <w:rPr>
          <w:spacing w:val="-62"/>
        </w:rPr>
        <w:t> </w:t>
      </w:r>
      <w:r>
        <w:rPr/>
        <w:t>币</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8"/>
        </w:rPr>
        <w:t> </w:t>
      </w:r>
      <w:r>
        <w:rPr/>
        <w:t>万</w:t>
      </w:r>
      <w:r>
        <w:rPr>
          <w:spacing w:val="-62"/>
        </w:rPr>
        <w:t> </w:t>
      </w:r>
      <w:r>
        <w:rPr/>
        <w:t>元</w:t>
      </w:r>
      <w:r>
        <w:rPr>
          <w:spacing w:val="-62"/>
        </w:rPr>
        <w:t> </w:t>
      </w:r>
      <w:r>
        <w:rPr/>
        <w:t>，</w:t>
      </w:r>
      <w:r>
        <w:rPr>
          <w:spacing w:val="-62"/>
        </w:rPr>
        <w:t> </w:t>
      </w:r>
      <w:r>
        <w:rPr/>
        <w:t>法</w:t>
      </w:r>
      <w:r>
        <w:rPr>
          <w:spacing w:val="-59"/>
        </w:rPr>
        <w:t> </w:t>
      </w:r>
      <w:r>
        <w:rPr/>
        <w:t>定</w:t>
      </w:r>
      <w:r>
        <w:rPr>
          <w:spacing w:val="-62"/>
        </w:rPr>
        <w:t> </w:t>
      </w:r>
      <w:r>
        <w:rPr/>
        <w:t>代</w:t>
      </w:r>
      <w:r>
        <w:rPr>
          <w:spacing w:val="-62"/>
        </w:rPr>
        <w:t> </w:t>
      </w:r>
      <w:r>
        <w:rPr/>
        <w:t>表</w:t>
      </w:r>
      <w:r>
        <w:rPr>
          <w:spacing w:val="-62"/>
        </w:rPr>
        <w:t> </w:t>
      </w:r>
      <w:r>
        <w:rPr/>
        <w:t>人</w:t>
      </w:r>
      <w:r>
        <w:rPr>
          <w:spacing w:val="-62"/>
        </w:rPr>
        <w:t> </w:t>
      </w:r>
      <w:r>
        <w:rPr/>
        <w:t>孙</w:t>
      </w:r>
      <w:r>
        <w:rPr>
          <w:spacing w:val="-62"/>
        </w:rPr>
        <w:t> </w:t>
      </w:r>
      <w:r>
        <w:rPr/>
        <w:t>嘉</w:t>
      </w:r>
      <w:r>
        <w:rPr>
          <w:spacing w:val="-62"/>
        </w:rPr>
        <w:t> </w:t>
      </w:r>
      <w:r>
        <w:rPr/>
        <w:t>明</w:t>
      </w:r>
      <w:r>
        <w:rPr>
          <w:spacing w:val="-62"/>
        </w:rPr>
        <w:t> </w:t>
      </w:r>
      <w:r>
        <w:rPr/>
        <w:t>，</w:t>
      </w:r>
      <w:r>
        <w:rPr>
          <w:spacing w:val="-59"/>
        </w:rPr>
        <w:t> </w:t>
      </w:r>
      <w:r>
        <w:rPr/>
        <w:t>统</w:t>
      </w:r>
      <w:r>
        <w:rPr>
          <w:spacing w:val="-62"/>
        </w:rPr>
        <w:t> </w:t>
      </w:r>
      <w:r>
        <w:rPr/>
        <w:t>一</w:t>
      </w:r>
      <w:r>
        <w:rPr>
          <w:spacing w:val="-62"/>
        </w:rPr>
        <w:t> </w:t>
      </w:r>
      <w:r>
        <w:rPr/>
        <w:t>社</w:t>
      </w:r>
      <w:r>
        <w:rPr>
          <w:spacing w:val="-62"/>
        </w:rPr>
        <w:t> </w:t>
      </w:r>
      <w:r>
        <w:rPr/>
        <w:t>会</w:t>
      </w:r>
      <w:r>
        <w:rPr>
          <w:spacing w:val="-62"/>
        </w:rPr>
        <w:t> </w:t>
      </w:r>
      <w:r>
        <w:rPr/>
        <w:t>信</w:t>
      </w:r>
      <w:r>
        <w:rPr>
          <w:spacing w:val="-62"/>
        </w:rPr>
        <w:t> </w:t>
      </w:r>
      <w:r>
        <w:rPr/>
        <w:t>用</w:t>
      </w:r>
      <w:r>
        <w:rPr>
          <w:spacing w:val="-62"/>
        </w:rPr>
        <w:t> </w:t>
      </w:r>
      <w:r>
        <w:rPr/>
        <w:t>代</w:t>
      </w:r>
      <w:r>
        <w:rPr>
          <w:spacing w:val="-59"/>
        </w:rPr>
        <w:t> </w:t>
      </w:r>
      <w:r>
        <w:rPr/>
        <w:t>码</w:t>
      </w:r>
      <w:r>
        <w:rPr>
          <w:spacing w:val="-62"/>
        </w:rPr>
        <w:t> </w:t>
      </w:r>
      <w:r>
        <w:rPr/>
        <w:t>为</w:t>
      </w:r>
      <w:r>
        <w:rPr/>
        <w:t> </w:t>
      </w:r>
      <w:r>
        <w:rPr>
          <w:rFonts w:ascii="Times New Roman" w:hAnsi="Times New Roman" w:cs="Times New Roman" w:eastAsia="Times New Roman" w:hint="default"/>
        </w:rPr>
        <w:t>91500000331580038A</w:t>
      </w:r>
      <w:r>
        <w:rPr/>
        <w:t>，住所为重庆市北碚区水土高新技术产业园云汉大道</w:t>
      </w:r>
      <w:r>
        <w:rPr>
          <w:rFonts w:ascii="Times New Roman" w:hAnsi="Times New Roman" w:cs="Times New Roman" w:eastAsia="Times New Roman" w:hint="default"/>
        </w:rPr>
        <w:t>5</w:t>
      </w:r>
      <w:r>
        <w:rPr/>
        <w:t>号附</w:t>
      </w:r>
      <w:r>
        <w:rPr>
          <w:rFonts w:ascii="Times New Roman" w:hAnsi="Times New Roman" w:cs="Times New Roman" w:eastAsia="Times New Roman" w:hint="default"/>
        </w:rPr>
        <w:t>214</w:t>
      </w:r>
      <w:r>
        <w:rPr/>
        <w:t>号，企业类型为有限责任公司，经营范</w:t>
      </w:r>
      <w:r>
        <w:rPr>
          <w:spacing w:val="-49"/>
        </w:rPr>
        <w:t> </w:t>
      </w:r>
      <w:r>
        <w:rPr>
          <w:spacing w:val="-49"/>
        </w:rPr>
      </w:r>
      <w:r>
        <w:rPr>
          <w:spacing w:val="-2"/>
        </w:rPr>
        <w:t>围为计算机软硬件的开发、设立、销售；计算机网络信息系统集成及技术开发、技术转让、技术咨询、技术服务。公司持有</w:t>
      </w:r>
      <w:r>
        <w:rPr>
          <w:spacing w:val="-62"/>
        </w:rPr>
        <w:t> </w:t>
      </w:r>
      <w:r>
        <w:rPr>
          <w:spacing w:val="-62"/>
        </w:rPr>
      </w:r>
      <w:r>
        <w:rPr/>
        <w:t>重庆卫宁</w:t>
      </w:r>
      <w:r>
        <w:rPr>
          <w:rFonts w:ascii="Times New Roman" w:hAnsi="Times New Roman" w:cs="Times New Roman" w:eastAsia="Times New Roman" w:hint="default"/>
        </w:rPr>
        <w:t>51%</w:t>
      </w:r>
      <w:r>
        <w:rPr/>
        <w:t>股权。</w:t>
      </w:r>
    </w:p>
    <w:p>
      <w:pPr>
        <w:pStyle w:val="BodyText"/>
        <w:spacing w:line="240" w:lineRule="auto" w:before="7"/>
        <w:ind w:left="472" w:right="0"/>
        <w:jc w:val="left"/>
      </w:pPr>
      <w:r>
        <w:rPr>
          <w:rFonts w:ascii="Times New Roman" w:hAnsi="Times New Roman" w:cs="Times New Roman" w:eastAsia="Times New Roman" w:hint="default"/>
        </w:rPr>
        <w:t>16</w:t>
      </w:r>
      <w:r>
        <w:rPr/>
        <w:t>、黑龙江卫宁</w:t>
      </w:r>
    </w:p>
    <w:p>
      <w:pPr>
        <w:pStyle w:val="BodyText"/>
        <w:spacing w:line="240" w:lineRule="auto" w:before="63"/>
        <w:ind w:left="472" w:right="0"/>
        <w:jc w:val="left"/>
      </w:pPr>
      <w:r>
        <w:rPr/>
        <w:t>黑</w:t>
      </w:r>
      <w:r>
        <w:rPr>
          <w:spacing w:val="-65"/>
        </w:rPr>
        <w:t> </w:t>
      </w:r>
      <w:r>
        <w:rPr/>
        <w:t>龙</w:t>
      </w:r>
      <w:r>
        <w:rPr>
          <w:spacing w:val="-65"/>
        </w:rPr>
        <w:t> </w:t>
      </w:r>
      <w:r>
        <w:rPr/>
        <w:t>江</w:t>
      </w:r>
      <w:r>
        <w:rPr>
          <w:spacing w:val="-65"/>
        </w:rPr>
        <w:t> </w:t>
      </w:r>
      <w:r>
        <w:rPr/>
        <w:t>卫</w:t>
      </w:r>
      <w:r>
        <w:rPr>
          <w:spacing w:val="-65"/>
        </w:rPr>
        <w:t> </w:t>
      </w:r>
      <w:r>
        <w:rPr/>
        <w:t>宁</w:t>
      </w:r>
      <w:r>
        <w:rPr>
          <w:spacing w:val="-65"/>
        </w:rPr>
        <w:t> </w:t>
      </w:r>
      <w:r>
        <w:rPr/>
        <w:t>成</w:t>
      </w:r>
      <w:r>
        <w:rPr>
          <w:spacing w:val="-65"/>
        </w:rPr>
        <w:t> </w:t>
      </w:r>
      <w:r>
        <w:rPr/>
        <w:t>立</w:t>
      </w:r>
      <w:r>
        <w:rPr>
          <w:spacing w:val="-65"/>
        </w:rPr>
        <w:t> </w:t>
      </w:r>
      <w:r>
        <w:rPr/>
        <w:t>于</w:t>
      </w:r>
      <w:r>
        <w:rPr>
          <w:spacing w:val="-6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月</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日</w:t>
      </w:r>
      <w:r>
        <w:rPr>
          <w:spacing w:val="-65"/>
        </w:rPr>
        <w:t> </w:t>
      </w:r>
      <w:r>
        <w:rPr/>
        <w:t>，</w:t>
      </w:r>
      <w:r>
        <w:rPr>
          <w:spacing w:val="-65"/>
        </w:rPr>
        <w:t> </w:t>
      </w:r>
      <w:r>
        <w:rPr/>
        <w:t>注</w:t>
      </w:r>
      <w:r>
        <w:rPr>
          <w:spacing w:val="-65"/>
        </w:rPr>
        <w:t> </w:t>
      </w:r>
      <w:r>
        <w:rPr/>
        <w:t>册</w:t>
      </w:r>
      <w:r>
        <w:rPr>
          <w:spacing w:val="-65"/>
        </w:rPr>
        <w:t> </w:t>
      </w:r>
      <w:r>
        <w:rPr/>
        <w:t>资</w:t>
      </w:r>
      <w:r>
        <w:rPr>
          <w:spacing w:val="-65"/>
        </w:rPr>
        <w:t> </w:t>
      </w:r>
      <w:r>
        <w:rPr/>
        <w:t>本</w:t>
      </w:r>
      <w:r>
        <w:rPr>
          <w:spacing w:val="-65"/>
        </w:rPr>
        <w:t> </w:t>
      </w:r>
      <w:r>
        <w:rPr/>
        <w:t>人</w:t>
      </w:r>
      <w:r>
        <w:rPr>
          <w:spacing w:val="-65"/>
        </w:rPr>
        <w:t> </w:t>
      </w:r>
      <w:r>
        <w:rPr/>
        <w:t>民</w:t>
      </w:r>
      <w:r>
        <w:rPr>
          <w:spacing w:val="-65"/>
        </w:rPr>
        <w:t> </w:t>
      </w:r>
      <w:r>
        <w:rPr/>
        <w:t>币</w:t>
      </w:r>
      <w:r>
        <w:rPr>
          <w:spacing w:val="-6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9"/>
        </w:rPr>
        <w:t> </w:t>
      </w:r>
      <w:r>
        <w:rPr/>
        <w:t>万</w:t>
      </w:r>
      <w:r>
        <w:rPr>
          <w:spacing w:val="-65"/>
        </w:rPr>
        <w:t> </w:t>
      </w:r>
      <w:r>
        <w:rPr/>
        <w:t>元</w:t>
      </w:r>
      <w:r>
        <w:rPr>
          <w:spacing w:val="-65"/>
        </w:rPr>
        <w:t> </w:t>
      </w:r>
      <w:r>
        <w:rPr/>
        <w:t>，</w:t>
      </w:r>
      <w:r>
        <w:rPr>
          <w:spacing w:val="-65"/>
        </w:rPr>
        <w:t> </w:t>
      </w:r>
      <w:r>
        <w:rPr/>
        <w:t>法</w:t>
      </w:r>
      <w:r>
        <w:rPr>
          <w:spacing w:val="-65"/>
        </w:rPr>
        <w:t> </w:t>
      </w:r>
      <w:r>
        <w:rPr/>
        <w:t>定</w:t>
      </w:r>
      <w:r>
        <w:rPr>
          <w:spacing w:val="-65"/>
        </w:rPr>
        <w:t> </w:t>
      </w:r>
      <w:r>
        <w:rPr/>
        <w:t>代</w:t>
      </w:r>
      <w:r>
        <w:rPr>
          <w:spacing w:val="-65"/>
        </w:rPr>
        <w:t> </w:t>
      </w:r>
      <w:r>
        <w:rPr/>
        <w:t>表</w:t>
      </w:r>
      <w:r>
        <w:rPr>
          <w:spacing w:val="-65"/>
        </w:rPr>
        <w:t> </w:t>
      </w:r>
      <w:r>
        <w:rPr/>
        <w:t>人</w:t>
      </w:r>
      <w:r>
        <w:rPr>
          <w:spacing w:val="-65"/>
        </w:rPr>
        <w:t> </w:t>
      </w:r>
      <w:r>
        <w:rPr/>
        <w:t>沈</w:t>
      </w:r>
      <w:r>
        <w:rPr>
          <w:spacing w:val="-65"/>
        </w:rPr>
        <w:t> </w:t>
      </w:r>
      <w:r>
        <w:rPr/>
        <w:t>宇</w:t>
      </w:r>
      <w:r>
        <w:rPr>
          <w:spacing w:val="-65"/>
        </w:rPr>
        <w:t> </w:t>
      </w:r>
      <w:r>
        <w:rPr/>
        <w:t>青</w:t>
      </w:r>
      <w:r>
        <w:rPr>
          <w:spacing w:val="-65"/>
        </w:rPr>
        <w:t> </w:t>
      </w:r>
      <w:r>
        <w:rPr/>
        <w:t>，</w:t>
      </w:r>
      <w:r>
        <w:rPr>
          <w:spacing w:val="-65"/>
        </w:rPr>
        <w:t> </w:t>
      </w:r>
      <w:r>
        <w:rPr/>
        <w:t>统</w:t>
      </w:r>
      <w:r>
        <w:rPr>
          <w:spacing w:val="-65"/>
        </w:rPr>
        <w:t> </w:t>
      </w:r>
      <w:r>
        <w:rPr/>
        <w:t>一</w:t>
      </w:r>
      <w:r>
        <w:rPr>
          <w:spacing w:val="-65"/>
        </w:rPr>
        <w:t> </w:t>
      </w:r>
      <w:r>
        <w:rPr/>
        <w:t>社</w:t>
      </w:r>
      <w:r>
        <w:rPr>
          <w:spacing w:val="-65"/>
        </w:rPr>
        <w:t> </w:t>
      </w:r>
      <w:r>
        <w:rPr/>
        <w:t>会</w:t>
      </w:r>
      <w:r>
        <w:rPr>
          <w:spacing w:val="-65"/>
        </w:rPr>
        <w:t> </w:t>
      </w:r>
      <w:r>
        <w:rPr/>
        <w:t>信</w:t>
      </w:r>
      <w:r>
        <w:rPr>
          <w:spacing w:val="-65"/>
        </w:rPr>
        <w:t> </w:t>
      </w:r>
      <w:r>
        <w:rPr/>
        <w:t>用</w:t>
      </w:r>
      <w:r>
        <w:rPr>
          <w:spacing w:val="-65"/>
        </w:rPr>
        <w:t> </w:t>
      </w:r>
      <w:r>
        <w:rPr/>
        <w:t>代</w:t>
      </w:r>
      <w:r>
        <w:rPr>
          <w:spacing w:val="-65"/>
        </w:rPr>
        <w:t> </w:t>
      </w:r>
      <w:r>
        <w:rPr/>
        <w:t>码</w:t>
      </w:r>
      <w:r>
        <w:rPr>
          <w:spacing w:val="-65"/>
        </w:rPr>
        <w:t> </w:t>
      </w:r>
      <w:r>
        <w:rPr/>
        <w:t>为</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9" w:lineRule="auto" w:before="44"/>
        <w:ind w:right="1034"/>
        <w:jc w:val="left"/>
      </w:pPr>
      <w:r>
        <w:rPr>
          <w:rFonts w:ascii="Times New Roman" w:hAnsi="Times New Roman" w:cs="Times New Roman" w:eastAsia="Times New Roman" w:hint="default"/>
        </w:rPr>
        <w:t>912306073332237553</w:t>
      </w:r>
      <w:r>
        <w:rPr/>
        <w:t>，住所为黑龙江省大庆市高新区中科创业园</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2303A-2310</w:t>
      </w:r>
      <w:r>
        <w:rPr/>
        <w:t>室，企业类型为其他有限责任公司，经营范</w:t>
      </w:r>
      <w:r>
        <w:rPr>
          <w:w w:val="99"/>
        </w:rPr>
        <w:t> </w:t>
      </w:r>
      <w:r>
        <w:rPr/>
        <w:t>围为计算机软件的开发、设计、销售，计算机及辅助设备的销售，计算机网络信息系统集成的维护及技术咨询、技术服务。</w:t>
      </w:r>
      <w:r>
        <w:rPr>
          <w:w w:val="99"/>
        </w:rPr>
        <w:t> </w:t>
      </w:r>
      <w:r>
        <w:rPr/>
        <w:t>公司持有黑龙江卫宁</w:t>
      </w:r>
      <w:r>
        <w:rPr>
          <w:rFonts w:ascii="Times New Roman" w:hAnsi="Times New Roman" w:cs="Times New Roman" w:eastAsia="Times New Roman" w:hint="default"/>
        </w:rPr>
        <w:t>51%</w:t>
      </w:r>
      <w:r>
        <w:rPr/>
        <w:t>股权。</w:t>
      </w:r>
    </w:p>
    <w:p>
      <w:pPr>
        <w:pStyle w:val="BodyText"/>
        <w:spacing w:line="240" w:lineRule="auto" w:before="5"/>
        <w:ind w:left="472" w:right="0"/>
        <w:jc w:val="left"/>
      </w:pPr>
      <w:r>
        <w:rPr>
          <w:rFonts w:ascii="Times New Roman" w:hAnsi="Times New Roman" w:cs="Times New Roman" w:eastAsia="Times New Roman" w:hint="default"/>
        </w:rPr>
        <w:t>17</w:t>
      </w:r>
      <w:r>
        <w:rPr/>
        <w:t>、合肥汉思</w:t>
      </w:r>
    </w:p>
    <w:p>
      <w:pPr>
        <w:pStyle w:val="BodyText"/>
        <w:spacing w:line="307" w:lineRule="auto" w:before="63"/>
        <w:ind w:right="0" w:firstLine="360"/>
        <w:jc w:val="left"/>
      </w:pPr>
      <w:r>
        <w:rPr/>
        <w:t>合</w:t>
      </w:r>
      <w:r>
        <w:rPr>
          <w:spacing w:val="-62"/>
        </w:rPr>
        <w:t> </w:t>
      </w:r>
      <w:r>
        <w:rPr/>
        <w:t>肥</w:t>
      </w:r>
      <w:r>
        <w:rPr>
          <w:spacing w:val="-62"/>
        </w:rPr>
        <w:t> </w:t>
      </w:r>
      <w:r>
        <w:rPr/>
        <w:t>汉</w:t>
      </w:r>
      <w:r>
        <w:rPr>
          <w:spacing w:val="-62"/>
        </w:rPr>
        <w:t> </w:t>
      </w:r>
      <w:r>
        <w:rPr/>
        <w:t>思</w:t>
      </w:r>
      <w:r>
        <w:rPr>
          <w:spacing w:val="-59"/>
        </w:rPr>
        <w:t> </w:t>
      </w:r>
      <w:r>
        <w:rPr/>
        <w:t>成</w:t>
      </w:r>
      <w:r>
        <w:rPr>
          <w:spacing w:val="-62"/>
        </w:rPr>
        <w:t> </w:t>
      </w:r>
      <w:r>
        <w:rPr/>
        <w:t>立</w:t>
      </w:r>
      <w:r>
        <w:rPr>
          <w:spacing w:val="-62"/>
        </w:rPr>
        <w:t> </w:t>
      </w:r>
      <w:r>
        <w:rPr/>
        <w:t>于</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8"/>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月</w:t>
      </w:r>
      <w:r>
        <w:rPr>
          <w:spacing w:val="-62"/>
        </w:rPr>
        <w:t> </w:t>
      </w:r>
      <w:r>
        <w:rPr>
          <w:rFonts w:ascii="Times New Roman" w:hAnsi="Times New Roman" w:cs="Times New Roman" w:eastAsia="Times New Roman" w:hint="default"/>
        </w:rPr>
        <w:t>18</w:t>
      </w:r>
      <w:r>
        <w:rPr>
          <w:rFonts w:ascii="Times New Roman" w:hAnsi="Times New Roman" w:cs="Times New Roman" w:eastAsia="Times New Roman" w:hint="default"/>
          <w:spacing w:val="-18"/>
        </w:rPr>
        <w:t> </w:t>
      </w:r>
      <w:r>
        <w:rPr/>
        <w:t>日</w:t>
      </w:r>
      <w:r>
        <w:rPr>
          <w:spacing w:val="-62"/>
        </w:rPr>
        <w:t> </w:t>
      </w:r>
      <w:r>
        <w:rPr/>
        <w:t>，</w:t>
      </w:r>
      <w:r>
        <w:rPr>
          <w:spacing w:val="-62"/>
        </w:rPr>
        <w:t> </w:t>
      </w:r>
      <w:r>
        <w:rPr/>
        <w:t>注</w:t>
      </w:r>
      <w:r>
        <w:rPr>
          <w:spacing w:val="-62"/>
        </w:rPr>
        <w:t> </w:t>
      </w:r>
      <w:r>
        <w:rPr/>
        <w:t>册</w:t>
      </w:r>
      <w:r>
        <w:rPr>
          <w:spacing w:val="-59"/>
        </w:rPr>
        <w:t> </w:t>
      </w:r>
      <w:r>
        <w:rPr/>
        <w:t>资</w:t>
      </w:r>
      <w:r>
        <w:rPr>
          <w:spacing w:val="-62"/>
        </w:rPr>
        <w:t> </w:t>
      </w:r>
      <w:r>
        <w:rPr/>
        <w:t>本</w:t>
      </w:r>
      <w:r>
        <w:rPr>
          <w:spacing w:val="-62"/>
        </w:rPr>
        <w:t> </w:t>
      </w:r>
      <w:r>
        <w:rPr/>
        <w:t>人</w:t>
      </w:r>
      <w:r>
        <w:rPr>
          <w:spacing w:val="-62"/>
        </w:rPr>
        <w:t> </w:t>
      </w:r>
      <w:r>
        <w:rPr/>
        <w:t>民</w:t>
      </w:r>
      <w:r>
        <w:rPr>
          <w:spacing w:val="-62"/>
        </w:rPr>
        <w:t> </w:t>
      </w:r>
      <w:r>
        <w:rPr/>
        <w:t>币</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8"/>
        </w:rPr>
        <w:t> </w:t>
      </w:r>
      <w:r>
        <w:rPr/>
        <w:t>万</w:t>
      </w:r>
      <w:r>
        <w:rPr>
          <w:spacing w:val="-62"/>
        </w:rPr>
        <w:t> </w:t>
      </w:r>
      <w:r>
        <w:rPr/>
        <w:t>元</w:t>
      </w:r>
      <w:r>
        <w:rPr>
          <w:spacing w:val="-62"/>
        </w:rPr>
        <w:t> </w:t>
      </w:r>
      <w:r>
        <w:rPr/>
        <w:t>，</w:t>
      </w:r>
      <w:r>
        <w:rPr>
          <w:spacing w:val="-62"/>
        </w:rPr>
        <w:t> </w:t>
      </w:r>
      <w:r>
        <w:rPr/>
        <w:t>法</w:t>
      </w:r>
      <w:r>
        <w:rPr>
          <w:spacing w:val="-59"/>
        </w:rPr>
        <w:t> </w:t>
      </w:r>
      <w:r>
        <w:rPr/>
        <w:t>定</w:t>
      </w:r>
      <w:r>
        <w:rPr>
          <w:spacing w:val="-62"/>
        </w:rPr>
        <w:t> </w:t>
      </w:r>
      <w:r>
        <w:rPr/>
        <w:t>代</w:t>
      </w:r>
      <w:r>
        <w:rPr>
          <w:spacing w:val="-62"/>
        </w:rPr>
        <w:t> </w:t>
      </w:r>
      <w:r>
        <w:rPr/>
        <w:t>表</w:t>
      </w:r>
      <w:r>
        <w:rPr>
          <w:spacing w:val="-62"/>
        </w:rPr>
        <w:t> </w:t>
      </w:r>
      <w:r>
        <w:rPr/>
        <w:t>人</w:t>
      </w:r>
      <w:r>
        <w:rPr>
          <w:spacing w:val="-62"/>
        </w:rPr>
        <w:t> </w:t>
      </w:r>
      <w:r>
        <w:rPr/>
        <w:t>孙</w:t>
      </w:r>
      <w:r>
        <w:rPr>
          <w:spacing w:val="-62"/>
        </w:rPr>
        <w:t> </w:t>
      </w:r>
      <w:r>
        <w:rPr/>
        <w:t>嘉</w:t>
      </w:r>
      <w:r>
        <w:rPr>
          <w:spacing w:val="-62"/>
        </w:rPr>
        <w:t> </w:t>
      </w:r>
      <w:r>
        <w:rPr/>
        <w:t>明</w:t>
      </w:r>
      <w:r>
        <w:rPr>
          <w:spacing w:val="-62"/>
        </w:rPr>
        <w:t> </w:t>
      </w:r>
      <w:r>
        <w:rPr/>
        <w:t>，</w:t>
      </w:r>
      <w:r>
        <w:rPr>
          <w:spacing w:val="-59"/>
        </w:rPr>
        <w:t> </w:t>
      </w:r>
      <w:r>
        <w:rPr/>
        <w:t>统</w:t>
      </w:r>
      <w:r>
        <w:rPr>
          <w:spacing w:val="-62"/>
        </w:rPr>
        <w:t> </w:t>
      </w:r>
      <w:r>
        <w:rPr/>
        <w:t>一</w:t>
      </w:r>
      <w:r>
        <w:rPr>
          <w:spacing w:val="-62"/>
        </w:rPr>
        <w:t> </w:t>
      </w:r>
      <w:r>
        <w:rPr/>
        <w:t>社</w:t>
      </w:r>
      <w:r>
        <w:rPr>
          <w:spacing w:val="-62"/>
        </w:rPr>
        <w:t> </w:t>
      </w:r>
      <w:r>
        <w:rPr/>
        <w:t>会</w:t>
      </w:r>
      <w:r>
        <w:rPr>
          <w:spacing w:val="-62"/>
        </w:rPr>
        <w:t> </w:t>
      </w:r>
      <w:r>
        <w:rPr/>
        <w:t>信</w:t>
      </w:r>
      <w:r>
        <w:rPr>
          <w:spacing w:val="-62"/>
        </w:rPr>
        <w:t> </w:t>
      </w:r>
      <w:r>
        <w:rPr/>
        <w:t>用</w:t>
      </w:r>
      <w:r>
        <w:rPr>
          <w:spacing w:val="-62"/>
        </w:rPr>
        <w:t> </w:t>
      </w:r>
      <w:r>
        <w:rPr/>
        <w:t>代</w:t>
      </w:r>
      <w:r>
        <w:rPr>
          <w:spacing w:val="-59"/>
        </w:rPr>
        <w:t> </w:t>
      </w:r>
      <w:r>
        <w:rPr/>
        <w:t>码</w:t>
      </w:r>
      <w:r>
        <w:rPr>
          <w:spacing w:val="-62"/>
        </w:rPr>
        <w:t> </w:t>
      </w:r>
      <w:r>
        <w:rPr/>
        <w:t>为</w:t>
      </w:r>
      <w:r>
        <w:rPr/>
        <w:t> </w:t>
      </w:r>
      <w:r>
        <w:rPr>
          <w:rFonts w:ascii="Times New Roman" w:hAnsi="Times New Roman" w:cs="Times New Roman" w:eastAsia="Times New Roman" w:hint="default"/>
        </w:rPr>
        <w:t>91340100713988274F</w:t>
      </w:r>
      <w:r>
        <w:rPr/>
        <w:t>，住所为合肥市高新区创新大道</w:t>
      </w:r>
      <w:r>
        <w:rPr>
          <w:rFonts w:ascii="Times New Roman" w:hAnsi="Times New Roman" w:cs="Times New Roman" w:eastAsia="Times New Roman" w:hint="default"/>
        </w:rPr>
        <w:t>425</w:t>
      </w:r>
      <w:r>
        <w:rPr/>
        <w:t>号安徽省科技成果转化示范基地</w:t>
      </w:r>
      <w:r>
        <w:rPr>
          <w:rFonts w:ascii="Times New Roman" w:hAnsi="Times New Roman" w:cs="Times New Roman" w:eastAsia="Times New Roman" w:hint="default"/>
        </w:rPr>
        <w:t>C</w:t>
      </w:r>
      <w:r>
        <w:rPr/>
        <w:t>区</w:t>
      </w:r>
      <w:r>
        <w:rPr>
          <w:rFonts w:ascii="Times New Roman" w:hAnsi="Times New Roman" w:cs="Times New Roman" w:eastAsia="Times New Roman" w:hint="default"/>
        </w:rPr>
        <w:t>301</w:t>
      </w:r>
      <w:r>
        <w:rPr/>
        <w:t>室，企业类型为其他有限责 </w:t>
      </w:r>
      <w:r>
        <w:rPr>
          <w:spacing w:val="-4"/>
        </w:rPr>
        <w:t>任公司，经营范围为计算机软件、系统集成、监控系统、信息系统、计算机应用领域技术开发与服务，人才培训、网络工程、</w:t>
      </w:r>
      <w:r>
        <w:rPr>
          <w:spacing w:val="-38"/>
        </w:rPr>
        <w:t> </w:t>
      </w:r>
      <w:r>
        <w:rPr>
          <w:spacing w:val="-38"/>
        </w:rPr>
      </w:r>
      <w:r>
        <w:rPr/>
        <w:t>综合布线；医疗器械销售（在许可证有效期及核定范围内经营）。公司持有合肥汉思</w:t>
      </w:r>
      <w:r>
        <w:rPr>
          <w:rFonts w:ascii="Times New Roman" w:hAnsi="Times New Roman" w:cs="Times New Roman" w:eastAsia="Times New Roman" w:hint="default"/>
        </w:rPr>
        <w:t>51%</w:t>
      </w:r>
      <w:r>
        <w:rPr/>
        <w:t>股权。</w:t>
      </w:r>
    </w:p>
    <w:p>
      <w:pPr>
        <w:pStyle w:val="BodyText"/>
        <w:spacing w:line="240" w:lineRule="auto" w:before="7"/>
        <w:ind w:left="472" w:right="0"/>
        <w:jc w:val="left"/>
      </w:pPr>
      <w:r>
        <w:rPr>
          <w:rFonts w:ascii="Times New Roman" w:hAnsi="Times New Roman" w:cs="Times New Roman" w:eastAsia="Times New Roman" w:hint="default"/>
        </w:rPr>
        <w:t>18</w:t>
      </w:r>
      <w:r>
        <w:rPr/>
        <w:t>、广东卫宁</w:t>
      </w:r>
    </w:p>
    <w:p>
      <w:pPr>
        <w:pStyle w:val="BodyText"/>
        <w:spacing w:line="300" w:lineRule="auto" w:before="63"/>
        <w:ind w:right="1033" w:firstLine="360"/>
        <w:jc w:val="left"/>
      </w:pPr>
      <w:r>
        <w:rPr/>
        <w:t>广</w:t>
      </w:r>
      <w:r>
        <w:rPr>
          <w:spacing w:val="-59"/>
        </w:rPr>
        <w:t> </w:t>
      </w:r>
      <w:r>
        <w:rPr/>
        <w:t>东</w:t>
      </w:r>
      <w:r>
        <w:rPr>
          <w:spacing w:val="-59"/>
        </w:rPr>
        <w:t> </w:t>
      </w:r>
      <w:r>
        <w:rPr/>
        <w:t>卫</w:t>
      </w:r>
      <w:r>
        <w:rPr>
          <w:spacing w:val="-59"/>
        </w:rPr>
        <w:t> </w:t>
      </w:r>
      <w:r>
        <w:rPr/>
        <w:t>宁</w:t>
      </w:r>
      <w:r>
        <w:rPr>
          <w:spacing w:val="-59"/>
        </w:rPr>
        <w:t> </w:t>
      </w:r>
      <w:r>
        <w:rPr/>
        <w:t>成</w:t>
      </w:r>
      <w:r>
        <w:rPr>
          <w:spacing w:val="-59"/>
        </w:rPr>
        <w:t> </w:t>
      </w:r>
      <w:r>
        <w:rPr/>
        <w:t>立</w:t>
      </w:r>
      <w:r>
        <w:rPr>
          <w:spacing w:val="-59"/>
        </w:rPr>
        <w:t> </w:t>
      </w:r>
      <w:r>
        <w:rPr/>
        <w:t>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日</w:t>
      </w:r>
      <w:r>
        <w:rPr>
          <w:spacing w:val="-59"/>
        </w:rPr>
        <w:t> </w:t>
      </w:r>
      <w:r>
        <w:rPr/>
        <w:t>，</w:t>
      </w:r>
      <w:r>
        <w:rPr>
          <w:spacing w:val="-59"/>
        </w:rPr>
        <w:t> </w:t>
      </w:r>
      <w:r>
        <w:rPr/>
        <w:t>注</w:t>
      </w:r>
      <w:r>
        <w:rPr>
          <w:spacing w:val="-59"/>
        </w:rPr>
        <w:t> </w:t>
      </w:r>
      <w:r>
        <w:rPr/>
        <w:t>册</w:t>
      </w:r>
      <w:r>
        <w:rPr>
          <w:spacing w:val="-59"/>
        </w:rPr>
        <w:t> </w:t>
      </w:r>
      <w:r>
        <w:rPr/>
        <w:t>资</w:t>
      </w:r>
      <w:r>
        <w:rPr>
          <w:spacing w:val="-59"/>
        </w:rPr>
        <w:t> </w:t>
      </w:r>
      <w:r>
        <w:rPr/>
        <w:t>本</w:t>
      </w:r>
      <w:r>
        <w:rPr>
          <w:spacing w:val="-59"/>
        </w:rPr>
        <w:t> </w:t>
      </w:r>
      <w:r>
        <w:rPr/>
        <w:t>人</w:t>
      </w:r>
      <w:r>
        <w:rPr>
          <w:spacing w:val="-59"/>
        </w:rPr>
        <w:t> </w:t>
      </w:r>
      <w:r>
        <w:rPr/>
        <w:t>民</w:t>
      </w:r>
      <w:r>
        <w:rPr>
          <w:spacing w:val="-59"/>
        </w:rPr>
        <w:t> </w:t>
      </w:r>
      <w:r>
        <w:rPr/>
        <w:t>币</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8"/>
        </w:rPr>
        <w:t> </w:t>
      </w:r>
      <w:r>
        <w:rPr/>
        <w:t>万</w:t>
      </w:r>
      <w:r>
        <w:rPr>
          <w:spacing w:val="-59"/>
        </w:rPr>
        <w:t> </w:t>
      </w:r>
      <w:r>
        <w:rPr/>
        <w:t>元</w:t>
      </w:r>
      <w:r>
        <w:rPr>
          <w:spacing w:val="-59"/>
        </w:rPr>
        <w:t> </w:t>
      </w:r>
      <w:r>
        <w:rPr/>
        <w:t>，</w:t>
      </w:r>
      <w:r>
        <w:rPr>
          <w:spacing w:val="-59"/>
        </w:rPr>
        <w:t> </w:t>
      </w:r>
      <w:r>
        <w:rPr/>
        <w:t>法</w:t>
      </w:r>
      <w:r>
        <w:rPr>
          <w:spacing w:val="-59"/>
        </w:rPr>
        <w:t> </w:t>
      </w:r>
      <w:r>
        <w:rPr/>
        <w:t>定</w:t>
      </w:r>
      <w:r>
        <w:rPr>
          <w:spacing w:val="-59"/>
        </w:rPr>
        <w:t> </w:t>
      </w:r>
      <w:r>
        <w:rPr/>
        <w:t>代</w:t>
      </w:r>
      <w:r>
        <w:rPr>
          <w:spacing w:val="-59"/>
        </w:rPr>
        <w:t> </w:t>
      </w:r>
      <w:r>
        <w:rPr/>
        <w:t>表</w:t>
      </w:r>
      <w:r>
        <w:rPr>
          <w:spacing w:val="-59"/>
        </w:rPr>
        <w:t> </w:t>
      </w:r>
      <w:r>
        <w:rPr/>
        <w:t>人</w:t>
      </w:r>
      <w:r>
        <w:rPr>
          <w:spacing w:val="-59"/>
        </w:rPr>
        <w:t> </w:t>
      </w:r>
      <w:r>
        <w:rPr/>
        <w:t>徐</w:t>
      </w:r>
      <w:r>
        <w:rPr>
          <w:spacing w:val="-59"/>
        </w:rPr>
        <w:t> </w:t>
      </w:r>
      <w:r>
        <w:rPr/>
        <w:t>春</w:t>
      </w:r>
      <w:r>
        <w:rPr>
          <w:spacing w:val="-59"/>
        </w:rPr>
        <w:t> </w:t>
      </w:r>
      <w:r>
        <w:rPr/>
        <w:t>华</w:t>
      </w:r>
      <w:r>
        <w:rPr>
          <w:spacing w:val="-59"/>
        </w:rPr>
        <w:t> </w:t>
      </w:r>
      <w:r>
        <w:rPr/>
        <w:t>，</w:t>
      </w:r>
      <w:r>
        <w:rPr>
          <w:spacing w:val="-59"/>
        </w:rPr>
        <w:t> </w:t>
      </w:r>
      <w:r>
        <w:rPr/>
        <w:t>统</w:t>
      </w:r>
      <w:r>
        <w:rPr>
          <w:spacing w:val="-59"/>
        </w:rPr>
        <w:t> </w:t>
      </w:r>
      <w:r>
        <w:rPr/>
        <w:t>一</w:t>
      </w:r>
      <w:r>
        <w:rPr>
          <w:spacing w:val="-59"/>
        </w:rPr>
        <w:t> </w:t>
      </w:r>
      <w:r>
        <w:rPr/>
        <w:t>社</w:t>
      </w:r>
      <w:r>
        <w:rPr>
          <w:spacing w:val="-59"/>
        </w:rPr>
        <w:t> </w:t>
      </w:r>
      <w:r>
        <w:rPr/>
        <w:t>会</w:t>
      </w:r>
      <w:r>
        <w:rPr>
          <w:spacing w:val="-59"/>
        </w:rPr>
        <w:t> </w:t>
      </w:r>
      <w:r>
        <w:rPr/>
        <w:t>信</w:t>
      </w:r>
      <w:r>
        <w:rPr>
          <w:spacing w:val="-59"/>
        </w:rPr>
        <w:t> </w:t>
      </w:r>
      <w:r>
        <w:rPr/>
        <w:t>用</w:t>
      </w:r>
      <w:r>
        <w:rPr>
          <w:spacing w:val="-59"/>
        </w:rPr>
        <w:t> </w:t>
      </w:r>
      <w:r>
        <w:rPr/>
        <w:t>代</w:t>
      </w:r>
      <w:r>
        <w:rPr>
          <w:spacing w:val="-59"/>
        </w:rPr>
        <w:t> </w:t>
      </w:r>
      <w:r>
        <w:rPr/>
        <w:t>码</w:t>
      </w:r>
      <w:r>
        <w:rPr>
          <w:spacing w:val="-57"/>
        </w:rPr>
        <w:t> </w:t>
      </w:r>
      <w:r>
        <w:rPr/>
        <w:t>为</w:t>
      </w:r>
      <w:r>
        <w:rPr/>
        <w:t> </w:t>
      </w:r>
      <w:r>
        <w:rPr>
          <w:rFonts w:ascii="Times New Roman" w:hAnsi="Times New Roman" w:cs="Times New Roman" w:eastAsia="Times New Roman" w:hint="default"/>
        </w:rPr>
        <w:t>91440101MA59BAM87E</w:t>
      </w:r>
      <w:r>
        <w:rPr/>
        <w:t>，住所为广州市越秀区先烈中路</w:t>
      </w:r>
      <w:r>
        <w:rPr>
          <w:rFonts w:ascii="Times New Roman" w:hAnsi="Times New Roman" w:cs="Times New Roman" w:eastAsia="Times New Roman" w:hint="default"/>
        </w:rPr>
        <w:t>100</w:t>
      </w:r>
      <w:r>
        <w:rPr/>
        <w:t>号大院</w:t>
      </w:r>
      <w:r>
        <w:rPr>
          <w:rFonts w:ascii="Times New Roman" w:hAnsi="Times New Roman" w:cs="Times New Roman" w:eastAsia="Times New Roman" w:hint="default"/>
        </w:rPr>
        <w:t>23</w:t>
      </w:r>
      <w:r>
        <w:rPr/>
        <w:t>栋之一自编</w:t>
      </w:r>
      <w:r>
        <w:rPr>
          <w:rFonts w:ascii="Times New Roman" w:hAnsi="Times New Roman" w:cs="Times New Roman" w:eastAsia="Times New Roman" w:hint="default"/>
        </w:rPr>
        <w:t>302</w:t>
      </w:r>
      <w:r>
        <w:rPr/>
        <w:t>、</w:t>
      </w:r>
      <w:r>
        <w:rPr>
          <w:rFonts w:ascii="Times New Roman" w:hAnsi="Times New Roman" w:cs="Times New Roman" w:eastAsia="Times New Roman" w:hint="default"/>
        </w:rPr>
        <w:t>304</w:t>
      </w:r>
      <w:r>
        <w:rPr/>
        <w:t>、</w:t>
      </w:r>
      <w:r>
        <w:rPr>
          <w:rFonts w:ascii="Times New Roman" w:hAnsi="Times New Roman" w:cs="Times New Roman" w:eastAsia="Times New Roman" w:hint="default"/>
        </w:rPr>
        <w:t>306</w:t>
      </w:r>
      <w:r>
        <w:rPr/>
        <w:t>、</w:t>
      </w:r>
      <w:r>
        <w:rPr>
          <w:rFonts w:ascii="Times New Roman" w:hAnsi="Times New Roman" w:cs="Times New Roman" w:eastAsia="Times New Roman" w:hint="default"/>
        </w:rPr>
        <w:t>308</w:t>
      </w:r>
      <w:r>
        <w:rPr/>
        <w:t>房（仅限办公用途）， 企业类型为其他有限责任公司，经营范围为计算机零配件零售</w:t>
      </w:r>
      <w:r>
        <w:rPr>
          <w:rFonts w:ascii="Times New Roman" w:hAnsi="Times New Roman" w:cs="Times New Roman" w:eastAsia="Times New Roman" w:hint="default"/>
        </w:rPr>
        <w:t>;</w:t>
      </w:r>
      <w:r>
        <w:rPr/>
        <w:t>计算机零售</w:t>
      </w:r>
      <w:r>
        <w:rPr>
          <w:rFonts w:ascii="Times New Roman" w:hAnsi="Times New Roman" w:cs="Times New Roman" w:eastAsia="Times New Roman" w:hint="default"/>
        </w:rPr>
        <w:t>;</w:t>
      </w:r>
      <w:r>
        <w:rPr/>
        <w:t>软件零售</w:t>
      </w:r>
      <w:r>
        <w:rPr>
          <w:rFonts w:ascii="Times New Roman" w:hAnsi="Times New Roman" w:cs="Times New Roman" w:eastAsia="Times New Roman" w:hint="default"/>
        </w:rPr>
        <w:t>;</w:t>
      </w:r>
      <w:r>
        <w:rPr/>
        <w:t>软件开发</w:t>
      </w:r>
      <w:r>
        <w:rPr>
          <w:rFonts w:ascii="Times New Roman" w:hAnsi="Times New Roman" w:cs="Times New Roman" w:eastAsia="Times New Roman" w:hint="default"/>
        </w:rPr>
        <w:t>;</w:t>
      </w:r>
      <w:r>
        <w:rPr/>
        <w:t>信息系统集成服务</w:t>
      </w:r>
      <w:r>
        <w:rPr>
          <w:rFonts w:ascii="Times New Roman" w:hAnsi="Times New Roman" w:cs="Times New Roman" w:eastAsia="Times New Roman" w:hint="default"/>
        </w:rPr>
        <w:t>;</w:t>
      </w:r>
      <w:r>
        <w:rPr/>
        <w:t>信息技术</w:t>
      </w:r>
      <w:r>
        <w:rPr>
          <w:spacing w:val="-69"/>
        </w:rPr>
        <w:t> </w:t>
      </w:r>
      <w:r>
        <w:rPr>
          <w:spacing w:val="-69"/>
        </w:rPr>
      </w:r>
      <w:r>
        <w:rPr/>
        <w:t>咨询服务。公司持有广东卫宁</w:t>
      </w:r>
      <w:r>
        <w:rPr>
          <w:rFonts w:ascii="Times New Roman" w:hAnsi="Times New Roman" w:cs="Times New Roman" w:eastAsia="Times New Roman" w:hint="default"/>
        </w:rPr>
        <w:t>51%</w:t>
      </w:r>
      <w:r>
        <w:rPr/>
        <w:t>股权。</w:t>
      </w:r>
    </w:p>
    <w:p>
      <w:pPr>
        <w:pStyle w:val="BodyText"/>
        <w:spacing w:line="240" w:lineRule="auto" w:before="13"/>
        <w:ind w:left="472" w:right="0"/>
        <w:jc w:val="left"/>
      </w:pPr>
      <w:r>
        <w:rPr>
          <w:rFonts w:ascii="Times New Roman" w:hAnsi="Times New Roman" w:cs="Times New Roman" w:eastAsia="Times New Roman" w:hint="default"/>
        </w:rPr>
        <w:t>19</w:t>
      </w:r>
      <w:r>
        <w:rPr/>
        <w:t>、四川卫宁</w:t>
      </w:r>
    </w:p>
    <w:p>
      <w:pPr>
        <w:pStyle w:val="BodyText"/>
        <w:spacing w:line="312" w:lineRule="auto" w:before="63"/>
        <w:ind w:right="0" w:firstLine="360"/>
        <w:jc w:val="left"/>
      </w:pPr>
      <w:r>
        <w:rPr/>
        <w:t>四</w:t>
      </w:r>
      <w:r>
        <w:rPr>
          <w:spacing w:val="-59"/>
        </w:rPr>
        <w:t> </w:t>
      </w:r>
      <w:r>
        <w:rPr/>
        <w:t>川</w:t>
      </w:r>
      <w:r>
        <w:rPr>
          <w:spacing w:val="-59"/>
        </w:rPr>
        <w:t> </w:t>
      </w:r>
      <w:r>
        <w:rPr/>
        <w:t>卫</w:t>
      </w:r>
      <w:r>
        <w:rPr>
          <w:spacing w:val="-59"/>
        </w:rPr>
        <w:t> </w:t>
      </w:r>
      <w:r>
        <w:rPr/>
        <w:t>宁</w:t>
      </w:r>
      <w:r>
        <w:rPr>
          <w:spacing w:val="-59"/>
        </w:rPr>
        <w:t> </w:t>
      </w:r>
      <w:r>
        <w:rPr/>
        <w:t>成</w:t>
      </w:r>
      <w:r>
        <w:rPr>
          <w:spacing w:val="-59"/>
        </w:rPr>
        <w:t> </w:t>
      </w:r>
      <w:r>
        <w:rPr/>
        <w:t>立</w:t>
      </w:r>
      <w:r>
        <w:rPr>
          <w:spacing w:val="-59"/>
        </w:rPr>
        <w:t> </w:t>
      </w:r>
      <w:r>
        <w:rPr/>
        <w:t>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w:t>
      </w:r>
      <w:r>
        <w:rPr>
          <w:spacing w:val="-59"/>
        </w:rPr>
        <w:t> </w:t>
      </w:r>
      <w:r>
        <w:rPr/>
        <w:t>，</w:t>
      </w:r>
      <w:r>
        <w:rPr>
          <w:spacing w:val="-59"/>
        </w:rPr>
        <w:t> </w:t>
      </w:r>
      <w:r>
        <w:rPr/>
        <w:t>注</w:t>
      </w:r>
      <w:r>
        <w:rPr>
          <w:spacing w:val="-59"/>
        </w:rPr>
        <w:t> </w:t>
      </w:r>
      <w:r>
        <w:rPr/>
        <w:t>册</w:t>
      </w:r>
      <w:r>
        <w:rPr>
          <w:spacing w:val="-59"/>
        </w:rPr>
        <w:t> </w:t>
      </w:r>
      <w:r>
        <w:rPr/>
        <w:t>资</w:t>
      </w:r>
      <w:r>
        <w:rPr>
          <w:spacing w:val="-59"/>
        </w:rPr>
        <w:t> </w:t>
      </w:r>
      <w:r>
        <w:rPr/>
        <w:t>本</w:t>
      </w:r>
      <w:r>
        <w:rPr>
          <w:spacing w:val="-59"/>
        </w:rPr>
        <w:t> </w:t>
      </w:r>
      <w:r>
        <w:rPr/>
        <w:t>人</w:t>
      </w:r>
      <w:r>
        <w:rPr>
          <w:spacing w:val="-59"/>
        </w:rPr>
        <w:t> </w:t>
      </w:r>
      <w:r>
        <w:rPr/>
        <w:t>民</w:t>
      </w:r>
      <w:r>
        <w:rPr>
          <w:spacing w:val="-59"/>
        </w:rPr>
        <w:t> </w:t>
      </w:r>
      <w:r>
        <w:rPr/>
        <w:t>币</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8"/>
        </w:rPr>
        <w:t> </w:t>
      </w:r>
      <w:r>
        <w:rPr/>
        <w:t>万</w:t>
      </w:r>
      <w:r>
        <w:rPr>
          <w:spacing w:val="-59"/>
        </w:rPr>
        <w:t> </w:t>
      </w:r>
      <w:r>
        <w:rPr/>
        <w:t>元</w:t>
      </w:r>
      <w:r>
        <w:rPr>
          <w:spacing w:val="-59"/>
        </w:rPr>
        <w:t> </w:t>
      </w:r>
      <w:r>
        <w:rPr/>
        <w:t>，</w:t>
      </w:r>
      <w:r>
        <w:rPr>
          <w:spacing w:val="-59"/>
        </w:rPr>
        <w:t> </w:t>
      </w:r>
      <w:r>
        <w:rPr/>
        <w:t>法</w:t>
      </w:r>
      <w:r>
        <w:rPr>
          <w:spacing w:val="-59"/>
        </w:rPr>
        <w:t> </w:t>
      </w:r>
      <w:r>
        <w:rPr/>
        <w:t>定</w:t>
      </w:r>
      <w:r>
        <w:rPr>
          <w:spacing w:val="-59"/>
        </w:rPr>
        <w:t> </w:t>
      </w:r>
      <w:r>
        <w:rPr/>
        <w:t>代</w:t>
      </w:r>
      <w:r>
        <w:rPr>
          <w:spacing w:val="-59"/>
        </w:rPr>
        <w:t> </w:t>
      </w:r>
      <w:r>
        <w:rPr/>
        <w:t>表</w:t>
      </w:r>
      <w:r>
        <w:rPr>
          <w:spacing w:val="-59"/>
        </w:rPr>
        <w:t> </w:t>
      </w:r>
      <w:r>
        <w:rPr/>
        <w:t>人</w:t>
      </w:r>
      <w:r>
        <w:rPr>
          <w:spacing w:val="-59"/>
        </w:rPr>
        <w:t> </w:t>
      </w:r>
      <w:r>
        <w:rPr/>
        <w:t>沈</w:t>
      </w:r>
      <w:r>
        <w:rPr>
          <w:spacing w:val="-59"/>
        </w:rPr>
        <w:t> </w:t>
      </w:r>
      <w:r>
        <w:rPr/>
        <w:t>宇</w:t>
      </w:r>
      <w:r>
        <w:rPr>
          <w:spacing w:val="-59"/>
        </w:rPr>
        <w:t> </w:t>
      </w:r>
      <w:r>
        <w:rPr/>
        <w:t>青</w:t>
      </w:r>
      <w:r>
        <w:rPr>
          <w:spacing w:val="-59"/>
        </w:rPr>
        <w:t> </w:t>
      </w:r>
      <w:r>
        <w:rPr/>
        <w:t>，</w:t>
      </w:r>
      <w:r>
        <w:rPr>
          <w:spacing w:val="-59"/>
        </w:rPr>
        <w:t> </w:t>
      </w:r>
      <w:r>
        <w:rPr/>
        <w:t>统</w:t>
      </w:r>
      <w:r>
        <w:rPr>
          <w:spacing w:val="-59"/>
        </w:rPr>
        <w:t> </w:t>
      </w:r>
      <w:r>
        <w:rPr/>
        <w:t>一</w:t>
      </w:r>
      <w:r>
        <w:rPr>
          <w:spacing w:val="-59"/>
        </w:rPr>
        <w:t> </w:t>
      </w:r>
      <w:r>
        <w:rPr/>
        <w:t>社</w:t>
      </w:r>
      <w:r>
        <w:rPr>
          <w:spacing w:val="-59"/>
        </w:rPr>
        <w:t> </w:t>
      </w:r>
      <w:r>
        <w:rPr/>
        <w:t>会</w:t>
      </w:r>
      <w:r>
        <w:rPr>
          <w:spacing w:val="-59"/>
        </w:rPr>
        <w:t> </w:t>
      </w:r>
      <w:r>
        <w:rPr/>
        <w:t>信</w:t>
      </w:r>
      <w:r>
        <w:rPr>
          <w:spacing w:val="-59"/>
        </w:rPr>
        <w:t> </w:t>
      </w:r>
      <w:r>
        <w:rPr/>
        <w:t>用</w:t>
      </w:r>
      <w:r>
        <w:rPr>
          <w:spacing w:val="-59"/>
        </w:rPr>
        <w:t> </w:t>
      </w:r>
      <w:r>
        <w:rPr/>
        <w:t>代</w:t>
      </w:r>
      <w:r>
        <w:rPr>
          <w:spacing w:val="-59"/>
        </w:rPr>
        <w:t> </w:t>
      </w:r>
      <w:r>
        <w:rPr/>
        <w:t>码</w:t>
      </w:r>
      <w:r>
        <w:rPr>
          <w:spacing w:val="-57"/>
        </w:rPr>
        <w:t> </w:t>
      </w:r>
      <w:r>
        <w:rPr/>
        <w:t>为</w:t>
      </w:r>
      <w:r>
        <w:rPr/>
        <w:t> </w:t>
      </w:r>
      <w:r>
        <w:rPr>
          <w:rFonts w:ascii="Times New Roman" w:hAnsi="Times New Roman" w:cs="Times New Roman" w:eastAsia="Times New Roman" w:hint="default"/>
        </w:rPr>
        <w:t>91510100MA61TFRT7D</w:t>
      </w:r>
      <w:r>
        <w:rPr/>
        <w:t>，住所为成都高新区府城大道西段</w:t>
      </w:r>
      <w:r>
        <w:rPr>
          <w:rFonts w:ascii="Times New Roman" w:hAnsi="Times New Roman" w:cs="Times New Roman" w:eastAsia="Times New Roman" w:hint="default"/>
        </w:rPr>
        <w:t>399</w:t>
      </w:r>
      <w:r>
        <w:rPr/>
        <w:t>号</w:t>
      </w:r>
      <w:r>
        <w:rPr>
          <w:rFonts w:ascii="Times New Roman" w:hAnsi="Times New Roman" w:cs="Times New Roman" w:eastAsia="Times New Roman" w:hint="default"/>
        </w:rPr>
        <w:t>10</w:t>
      </w:r>
      <w:r>
        <w:rPr/>
        <w:t>栋</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3</w:t>
      </w:r>
      <w:r>
        <w:rPr/>
        <w:t>号，企业类型为其他有限责任公司，经营范围为</w:t>
      </w:r>
      <w:r>
        <w:rPr>
          <w:spacing w:val="-56"/>
        </w:rPr>
        <w:t> </w:t>
      </w:r>
      <w:r>
        <w:rPr>
          <w:spacing w:val="-56"/>
        </w:rPr>
      </w:r>
      <w:r>
        <w:rPr>
          <w:spacing w:val="-2"/>
        </w:rPr>
        <w:t>开发、设计、租赁、销售计算机软硬件；销售计算机及辅助设备；计算机网络信息系统集成并提供技术开发、技术转让、技</w:t>
      </w:r>
      <w:r>
        <w:rPr>
          <w:spacing w:val="-62"/>
        </w:rPr>
        <w:t> </w:t>
      </w:r>
      <w:r>
        <w:rPr>
          <w:spacing w:val="-62"/>
        </w:rPr>
      </w:r>
      <w:r>
        <w:rPr>
          <w:spacing w:val="-2"/>
        </w:rPr>
        <w:t>术咨询、技术服务；开发、销售电子产品并提供技术转让；健康咨询（不含医疗卫生活动）；销售医疗器械（仅限一二类无</w:t>
      </w:r>
      <w:r>
        <w:rPr>
          <w:spacing w:val="-62"/>
        </w:rPr>
        <w:t> </w:t>
      </w:r>
      <w:r>
        <w:rPr>
          <w:spacing w:val="-62"/>
        </w:rPr>
      </w:r>
      <w:r>
        <w:rPr>
          <w:spacing w:val="-2"/>
        </w:rPr>
        <w:t>需许可的项目）、安防产品（国家有专项规定的除外）、电子产品、办公设备及耗材；网络工程、安防工程、建筑智能化工</w:t>
      </w:r>
      <w:r>
        <w:rPr>
          <w:spacing w:val="-63"/>
        </w:rPr>
        <w:t> </w:t>
      </w:r>
      <w:r>
        <w:rPr>
          <w:spacing w:val="-63"/>
        </w:rPr>
      </w:r>
      <w:r>
        <w:rPr>
          <w:spacing w:val="-4"/>
        </w:rPr>
        <w:t>程设计及施工（工程类凭许可证经营）；互联网信息技术服务；商务咨询（不含投资咨询）；网上贸易代理；医疗器械租赁；</w:t>
      </w:r>
      <w:r>
        <w:rPr>
          <w:spacing w:val="-44"/>
        </w:rPr>
        <w:t> </w:t>
      </w:r>
      <w:r>
        <w:rPr>
          <w:spacing w:val="-44"/>
        </w:rPr>
      </w:r>
      <w:r>
        <w:rPr/>
        <w:t>数据处理及存储服务。公司持有四川卫宁</w:t>
      </w:r>
      <w:r>
        <w:rPr>
          <w:rFonts w:ascii="Times New Roman" w:hAnsi="Times New Roman" w:cs="Times New Roman" w:eastAsia="Times New Roman" w:hint="default"/>
        </w:rPr>
        <w:t>51%</w:t>
      </w:r>
      <w:r>
        <w:rPr/>
        <w:t>股权。</w:t>
      </w:r>
    </w:p>
    <w:p>
      <w:pPr>
        <w:pStyle w:val="BodyText"/>
        <w:spacing w:line="300" w:lineRule="auto" w:before="3"/>
        <w:ind w:left="472" w:right="1034"/>
        <w:jc w:val="left"/>
      </w:pPr>
      <w:r>
        <w:rPr>
          <w:rFonts w:ascii="Times New Roman" w:hAnsi="Times New Roman" w:cs="Times New Roman" w:eastAsia="Times New Roman" w:hint="default"/>
        </w:rPr>
        <w:t>20</w:t>
      </w:r>
      <w:r>
        <w:rPr/>
        <w:t>、宁波卫宁 </w:t>
      </w:r>
      <w:r>
        <w:rPr>
          <w:spacing w:val="-4"/>
        </w:rPr>
        <w:t>宁波卫宁成立于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21</w:t>
      </w:r>
      <w:r>
        <w:rPr>
          <w:spacing w:val="-4"/>
        </w:rPr>
        <w:t>日，注册资本人民币</w:t>
      </w:r>
      <w:r>
        <w:rPr>
          <w:rFonts w:ascii="Times New Roman" w:hAnsi="Times New Roman" w:cs="Times New Roman" w:eastAsia="Times New Roman" w:hint="default"/>
          <w:spacing w:val="-4"/>
        </w:rPr>
        <w:t>1,000</w:t>
      </w:r>
      <w:r>
        <w:rPr>
          <w:spacing w:val="-4"/>
        </w:rPr>
        <w:t>万元，法定代表人孙嘉明，统一社会信用代码为</w:t>
      </w:r>
      <w:r>
        <w:rPr>
          <w:rFonts w:ascii="Times New Roman" w:hAnsi="Times New Roman" w:cs="Times New Roman" w:eastAsia="Times New Roman" w:hint="default"/>
          <w:spacing w:val="-4"/>
        </w:rPr>
        <w:t>330215000113881</w:t>
      </w:r>
      <w:r>
        <w:rPr>
          <w:spacing w:val="-4"/>
        </w:rPr>
        <w:t>，</w:t>
      </w:r>
    </w:p>
    <w:p>
      <w:pPr>
        <w:pStyle w:val="BodyText"/>
        <w:spacing w:line="300" w:lineRule="auto" w:before="13"/>
        <w:ind w:right="1124"/>
        <w:jc w:val="left"/>
      </w:pPr>
      <w:r>
        <w:rPr/>
        <w:t>住所为宁波高新区扬帆路</w:t>
      </w:r>
      <w:r>
        <w:rPr>
          <w:rFonts w:ascii="Times New Roman" w:hAnsi="Times New Roman" w:cs="Times New Roman" w:eastAsia="Times New Roman" w:hint="default"/>
        </w:rPr>
        <w:t>999</w:t>
      </w:r>
      <w:r>
        <w:rPr/>
        <w:t>弄</w:t>
      </w:r>
      <w:r>
        <w:rPr>
          <w:rFonts w:ascii="Times New Roman" w:hAnsi="Times New Roman" w:cs="Times New Roman" w:eastAsia="Times New Roman" w:hint="default"/>
        </w:rPr>
        <w:t>5</w:t>
      </w:r>
      <w:r>
        <w:rPr/>
        <w:t>号</w:t>
      </w:r>
      <w:r>
        <w:rPr>
          <w:rFonts w:ascii="Times New Roman" w:hAnsi="Times New Roman" w:cs="Times New Roman" w:eastAsia="Times New Roman" w:hint="default"/>
        </w:rPr>
        <w:t>430</w:t>
      </w:r>
      <w:r>
        <w:rPr/>
        <w:t>室，企业类型为其他有限责任公司，经营范围为计算机软件的开发、设计、制作、销</w:t>
      </w:r>
      <w:r>
        <w:rPr>
          <w:spacing w:val="-86"/>
        </w:rPr>
        <w:t> </w:t>
      </w:r>
      <w:r>
        <w:rPr>
          <w:spacing w:val="-86"/>
        </w:rPr>
      </w:r>
      <w:r>
        <w:rPr/>
        <w:t>售，计算机及辅助设备的销售；计算机网络信息系统集成的维护及技术咨询、技术服务。公司持有宁波卫宁</w:t>
      </w:r>
      <w:r>
        <w:rPr>
          <w:rFonts w:ascii="Times New Roman" w:hAnsi="Times New Roman" w:cs="Times New Roman" w:eastAsia="Times New Roman" w:hint="default"/>
        </w:rPr>
        <w:t>51%</w:t>
      </w:r>
      <w:r>
        <w:rPr/>
        <w:t>股权。</w:t>
      </w:r>
    </w:p>
    <w:p>
      <w:pPr>
        <w:pStyle w:val="BodyText"/>
        <w:spacing w:line="240" w:lineRule="auto" w:before="13"/>
        <w:ind w:left="472" w:right="0"/>
        <w:jc w:val="left"/>
      </w:pPr>
      <w:r>
        <w:rPr>
          <w:rFonts w:ascii="Times New Roman" w:hAnsi="Times New Roman" w:cs="Times New Roman" w:eastAsia="Times New Roman" w:hint="default"/>
        </w:rPr>
        <w:t>21</w:t>
      </w:r>
      <w:r>
        <w:rPr/>
        <w:t>、陕西卫宁</w:t>
      </w:r>
    </w:p>
    <w:p>
      <w:pPr>
        <w:pStyle w:val="BodyText"/>
        <w:spacing w:line="309" w:lineRule="auto" w:before="63"/>
        <w:ind w:right="1129" w:firstLine="360"/>
        <w:jc w:val="both"/>
      </w:pPr>
      <w:r>
        <w:rPr/>
        <w:t>陕</w:t>
      </w:r>
      <w:r>
        <w:rPr>
          <w:spacing w:val="-54"/>
        </w:rPr>
        <w:t> </w:t>
      </w:r>
      <w:r>
        <w:rPr/>
        <w:t>西</w:t>
      </w:r>
      <w:r>
        <w:rPr>
          <w:spacing w:val="-54"/>
        </w:rPr>
        <w:t> </w:t>
      </w:r>
      <w:r>
        <w:rPr/>
        <w:t>卫</w:t>
      </w:r>
      <w:r>
        <w:rPr>
          <w:spacing w:val="-52"/>
        </w:rPr>
        <w:t> </w:t>
      </w:r>
      <w:r>
        <w:rPr/>
        <w:t>宁</w:t>
      </w:r>
      <w:r>
        <w:rPr>
          <w:spacing w:val="-54"/>
        </w:rPr>
        <w:t> </w:t>
      </w:r>
      <w:r>
        <w:rPr/>
        <w:t>成</w:t>
      </w:r>
      <w:r>
        <w:rPr>
          <w:spacing w:val="-54"/>
        </w:rPr>
        <w:t> </w:t>
      </w:r>
      <w:r>
        <w:rPr/>
        <w:t>立</w:t>
      </w:r>
      <w:r>
        <w:rPr>
          <w:spacing w:val="-54"/>
        </w:rPr>
        <w:t> </w:t>
      </w:r>
      <w:r>
        <w:rPr/>
        <w:t>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日</w:t>
      </w:r>
      <w:r>
        <w:rPr>
          <w:spacing w:val="-54"/>
        </w:rPr>
        <w:t> </w:t>
      </w:r>
      <w:r>
        <w:rPr/>
        <w:t>，</w:t>
      </w:r>
      <w:r>
        <w:rPr>
          <w:spacing w:val="-54"/>
        </w:rPr>
        <w:t> </w:t>
      </w:r>
      <w:r>
        <w:rPr/>
        <w:t>注</w:t>
      </w:r>
      <w:r>
        <w:rPr>
          <w:spacing w:val="-52"/>
        </w:rPr>
        <w:t> </w:t>
      </w:r>
      <w:r>
        <w:rPr/>
        <w:t>册</w:t>
      </w:r>
      <w:r>
        <w:rPr>
          <w:spacing w:val="-54"/>
        </w:rPr>
        <w:t> </w:t>
      </w:r>
      <w:r>
        <w:rPr/>
        <w:t>资</w:t>
      </w:r>
      <w:r>
        <w:rPr>
          <w:spacing w:val="-54"/>
        </w:rPr>
        <w:t> </w:t>
      </w:r>
      <w:r>
        <w:rPr/>
        <w:t>本</w:t>
      </w:r>
      <w:r>
        <w:rPr>
          <w:spacing w:val="-54"/>
        </w:rPr>
        <w:t> </w:t>
      </w:r>
      <w:r>
        <w:rPr/>
        <w:t>人</w:t>
      </w:r>
      <w:r>
        <w:rPr>
          <w:spacing w:val="-54"/>
        </w:rPr>
        <w:t> </w:t>
      </w:r>
      <w:r>
        <w:rPr/>
        <w:t>民</w:t>
      </w:r>
      <w:r>
        <w:rPr>
          <w:spacing w:val="-54"/>
        </w:rPr>
        <w:t> </w:t>
      </w:r>
      <w:r>
        <w:rPr/>
        <w:t>币</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1"/>
        </w:rPr>
        <w:t> </w:t>
      </w:r>
      <w:r>
        <w:rPr/>
        <w:t>万</w:t>
      </w:r>
      <w:r>
        <w:rPr>
          <w:spacing w:val="-54"/>
        </w:rPr>
        <w:t> </w:t>
      </w:r>
      <w:r>
        <w:rPr/>
        <w:t>元</w:t>
      </w:r>
      <w:r>
        <w:rPr>
          <w:spacing w:val="-54"/>
        </w:rPr>
        <w:t> </w:t>
      </w:r>
      <w:r>
        <w:rPr/>
        <w:t>，</w:t>
      </w:r>
      <w:r>
        <w:rPr>
          <w:spacing w:val="-54"/>
        </w:rPr>
        <w:t> </w:t>
      </w:r>
      <w:r>
        <w:rPr/>
        <w:t>法</w:t>
      </w:r>
      <w:r>
        <w:rPr>
          <w:spacing w:val="-54"/>
        </w:rPr>
        <w:t> </w:t>
      </w:r>
      <w:r>
        <w:rPr/>
        <w:t>定</w:t>
      </w:r>
      <w:r>
        <w:rPr>
          <w:spacing w:val="-52"/>
        </w:rPr>
        <w:t> </w:t>
      </w:r>
      <w:r>
        <w:rPr/>
        <w:t>代</w:t>
      </w:r>
      <w:r>
        <w:rPr>
          <w:spacing w:val="-54"/>
        </w:rPr>
        <w:t> </w:t>
      </w:r>
      <w:r>
        <w:rPr/>
        <w:t>表</w:t>
      </w:r>
      <w:r>
        <w:rPr>
          <w:spacing w:val="-54"/>
        </w:rPr>
        <w:t> </w:t>
      </w:r>
      <w:r>
        <w:rPr/>
        <w:t>人</w:t>
      </w:r>
      <w:r>
        <w:rPr>
          <w:spacing w:val="-54"/>
        </w:rPr>
        <w:t> </w:t>
      </w:r>
      <w:r>
        <w:rPr/>
        <w:t>倪</w:t>
      </w:r>
      <w:r>
        <w:rPr>
          <w:spacing w:val="-54"/>
        </w:rPr>
        <w:t> </w:t>
      </w:r>
      <w:r>
        <w:rPr/>
        <w:t>杰</w:t>
      </w:r>
      <w:r>
        <w:rPr>
          <w:spacing w:val="-54"/>
        </w:rPr>
        <w:t> </w:t>
      </w:r>
      <w:r>
        <w:rPr/>
        <w:t>，</w:t>
      </w:r>
      <w:r>
        <w:rPr>
          <w:spacing w:val="-52"/>
        </w:rPr>
        <w:t> </w:t>
      </w:r>
      <w:r>
        <w:rPr/>
        <w:t>统</w:t>
      </w:r>
      <w:r>
        <w:rPr>
          <w:spacing w:val="-54"/>
        </w:rPr>
        <w:t> </w:t>
      </w:r>
      <w:r>
        <w:rPr/>
        <w:t>一</w:t>
      </w:r>
      <w:r>
        <w:rPr>
          <w:spacing w:val="-54"/>
        </w:rPr>
        <w:t> </w:t>
      </w:r>
      <w:r>
        <w:rPr/>
        <w:t>社</w:t>
      </w:r>
      <w:r>
        <w:rPr>
          <w:spacing w:val="-54"/>
        </w:rPr>
        <w:t> </w:t>
      </w:r>
      <w:r>
        <w:rPr/>
        <w:t>会</w:t>
      </w:r>
      <w:r>
        <w:rPr>
          <w:spacing w:val="-54"/>
        </w:rPr>
        <w:t> </w:t>
      </w:r>
      <w:r>
        <w:rPr/>
        <w:t>信</w:t>
      </w:r>
      <w:r>
        <w:rPr>
          <w:spacing w:val="-54"/>
        </w:rPr>
        <w:t> </w:t>
      </w:r>
      <w:r>
        <w:rPr/>
        <w:t>息</w:t>
      </w:r>
      <w:r>
        <w:rPr>
          <w:spacing w:val="-52"/>
        </w:rPr>
        <w:t> </w:t>
      </w:r>
      <w:r>
        <w:rPr/>
        <w:t>代</w:t>
      </w:r>
      <w:r>
        <w:rPr>
          <w:spacing w:val="-54"/>
        </w:rPr>
        <w:t> </w:t>
      </w:r>
      <w:r>
        <w:rPr/>
        <w:t>码</w:t>
      </w:r>
      <w:r>
        <w:rPr>
          <w:spacing w:val="-54"/>
        </w:rPr>
        <w:t> </w:t>
      </w:r>
      <w:r>
        <w:rPr/>
        <w:t>为</w:t>
      </w:r>
      <w:r>
        <w:rPr/>
        <w:t> </w:t>
      </w:r>
      <w:r>
        <w:rPr>
          <w:rFonts w:ascii="Times New Roman" w:hAnsi="Times New Roman" w:cs="Times New Roman" w:eastAsia="Times New Roman" w:hint="default"/>
          <w:spacing w:val="-1"/>
        </w:rPr>
        <w:t>91610131MA6WM7E56Y</w:t>
      </w:r>
      <w:r>
        <w:rPr>
          <w:spacing w:val="-1"/>
        </w:rPr>
        <w:t>，住所为陕西省西安市高新区丈八街办丈八四路</w:t>
      </w:r>
      <w:r>
        <w:rPr>
          <w:rFonts w:ascii="Times New Roman" w:hAnsi="Times New Roman" w:cs="Times New Roman" w:eastAsia="Times New Roman" w:hint="default"/>
          <w:spacing w:val="-1"/>
        </w:rPr>
        <w:t>20</w:t>
      </w:r>
      <w:r>
        <w:rPr>
          <w:spacing w:val="-1"/>
        </w:rPr>
        <w:t>号神州数码产业园</w:t>
      </w:r>
      <w:r>
        <w:rPr>
          <w:rFonts w:ascii="Times New Roman" w:hAnsi="Times New Roman" w:cs="Times New Roman" w:eastAsia="Times New Roman" w:hint="default"/>
          <w:spacing w:val="-1"/>
        </w:rPr>
        <w:t>4</w:t>
      </w:r>
      <w:r>
        <w:rPr>
          <w:spacing w:val="-1"/>
        </w:rPr>
        <w:t>栋</w:t>
      </w:r>
      <w:r>
        <w:rPr>
          <w:rFonts w:ascii="Times New Roman" w:hAnsi="Times New Roman" w:cs="Times New Roman" w:eastAsia="Times New Roman" w:hint="default"/>
          <w:spacing w:val="-1"/>
        </w:rPr>
        <w:t>7</w:t>
      </w:r>
      <w:r>
        <w:rPr>
          <w:spacing w:val="-1"/>
        </w:rPr>
        <w:t>层，企业类型为有限责任</w:t>
      </w:r>
      <w:r>
        <w:rPr>
          <w:spacing w:val="-77"/>
        </w:rPr>
        <w:t> </w:t>
      </w:r>
      <w:r>
        <w:rPr>
          <w:spacing w:val="-77"/>
        </w:rPr>
      </w:r>
      <w:r>
        <w:rPr>
          <w:spacing w:val="-2"/>
        </w:rPr>
        <w:t>公司（自然人投资或控股），经营范围为信息科技、计算机科技领域内的技术开发、技术咨询、技术转让、技术服务；计算</w:t>
      </w:r>
      <w:r>
        <w:rPr>
          <w:spacing w:val="-62"/>
        </w:rPr>
        <w:t> </w:t>
      </w:r>
      <w:r>
        <w:rPr>
          <w:spacing w:val="-62"/>
        </w:rPr>
      </w:r>
      <w:r>
        <w:rPr>
          <w:spacing w:val="-2"/>
        </w:rPr>
        <w:t>机系统集成；网络工程的施工；计算机软件的开发；计算机及软硬件、电子产品、通讯产品、办公用品的销售；货物与技术</w:t>
      </w:r>
      <w:r>
        <w:rPr>
          <w:spacing w:val="-62"/>
        </w:rPr>
        <w:t> </w:t>
      </w:r>
      <w:r>
        <w:rPr>
          <w:spacing w:val="-62"/>
        </w:rPr>
      </w:r>
      <w:r>
        <w:rPr/>
        <w:t>的进出口经营（国家限制、禁止和须经审批进出口的货物和技术除外）。公司持有陕西卫宁</w:t>
      </w:r>
      <w:r>
        <w:rPr>
          <w:rFonts w:ascii="Times New Roman" w:hAnsi="Times New Roman" w:cs="Times New Roman" w:eastAsia="Times New Roman" w:hint="default"/>
        </w:rPr>
        <w:t>51%</w:t>
      </w:r>
      <w:r>
        <w:rPr/>
        <w:t>股权。</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left="472" w:right="0"/>
        <w:jc w:val="left"/>
        <w:rPr>
          <w:b w:val="0"/>
          <w:bCs w:val="0"/>
        </w:rPr>
      </w:pPr>
      <w:r>
        <w:rPr/>
        <w:t>（一）公司所处的行业发展趋势、政策背景及市场竞争形势</w:t>
      </w:r>
      <w:r>
        <w:rPr>
          <w:b w:val="0"/>
          <w:bCs w:val="0"/>
        </w:rPr>
      </w:r>
    </w:p>
    <w:p>
      <w:pPr>
        <w:pStyle w:val="BodyText"/>
        <w:spacing w:line="240" w:lineRule="auto" w:before="76"/>
        <w:ind w:left="472" w:right="0"/>
        <w:jc w:val="left"/>
      </w:pPr>
      <w:r>
        <w:rPr/>
        <w:t>详见本报告“第三节</w:t>
      </w:r>
      <w:r>
        <w:rPr>
          <w:spacing w:val="1"/>
        </w:rPr>
        <w:t> </w:t>
      </w:r>
      <w:r>
        <w:rPr/>
        <w:t>公司业务概况”中“一、报告期内公司从事的主要业务”。</w:t>
      </w:r>
    </w:p>
    <w:p>
      <w:pPr>
        <w:pStyle w:val="Heading4"/>
        <w:spacing w:line="240" w:lineRule="auto" w:before="76"/>
        <w:ind w:left="472" w:right="0"/>
        <w:jc w:val="left"/>
        <w:rPr>
          <w:b w:val="0"/>
          <w:bCs w:val="0"/>
        </w:rPr>
      </w:pPr>
      <w:r>
        <w:rPr/>
        <w:t>（二）公司既定的发展战略及</w:t>
      </w:r>
      <w:r>
        <w:rPr>
          <w:rFonts w:ascii="Times New Roman" w:hAnsi="Times New Roman" w:cs="Times New Roman" w:eastAsia="Times New Roman" w:hint="default"/>
        </w:rPr>
        <w:t>2020</w:t>
      </w:r>
      <w:r>
        <w:rPr/>
        <w:t>年经营规划</w:t>
      </w:r>
      <w:r>
        <w:rPr>
          <w:b w:val="0"/>
          <w:bCs w:val="0"/>
        </w:rPr>
      </w:r>
    </w:p>
    <w:p>
      <w:pPr>
        <w:pStyle w:val="BodyText"/>
        <w:spacing w:line="300" w:lineRule="auto" w:before="63"/>
        <w:ind w:left="472" w:right="0"/>
        <w:jc w:val="left"/>
      </w:pPr>
      <w:r>
        <w:rPr>
          <w:rFonts w:ascii="Times New Roman" w:hAnsi="Times New Roman" w:cs="Times New Roman" w:eastAsia="Times New Roman" w:hint="default"/>
        </w:rPr>
        <w:t>1</w:t>
      </w:r>
      <w:r>
        <w:rPr/>
        <w:t>、公司既定的发展战略 </w:t>
      </w:r>
      <w:r>
        <w:rPr>
          <w:spacing w:val="-1"/>
        </w:rPr>
        <w:t>以做大做强</w:t>
      </w:r>
      <w:r>
        <w:rPr>
          <w:rFonts w:ascii="Times New Roman" w:hAnsi="Times New Roman" w:cs="Times New Roman" w:eastAsia="Times New Roman" w:hint="default"/>
          <w:spacing w:val="-1"/>
        </w:rPr>
        <w:t>HIT</w:t>
      </w:r>
      <w:r>
        <w:rPr>
          <w:spacing w:val="-1"/>
        </w:rPr>
        <w:t>为基础，积极布局和转型医疗健康服务业发展，建设</w:t>
      </w:r>
      <w:r>
        <w:rPr>
          <w:rFonts w:ascii="Times New Roman" w:hAnsi="Times New Roman" w:cs="Times New Roman" w:eastAsia="Times New Roman" w:hint="default"/>
          <w:spacing w:val="-1"/>
        </w:rPr>
        <w:t>4+1</w:t>
      </w:r>
      <w:r>
        <w:rPr>
          <w:spacing w:val="-1"/>
        </w:rPr>
        <w:t>云服务体系（云医、云药、云险、云康</w:t>
      </w:r>
      <w:r>
        <w:rPr>
          <w:rFonts w:ascii="Times New Roman" w:hAnsi="Times New Roman" w:cs="Times New Roman" w:eastAsia="Times New Roman" w:hint="default"/>
          <w:spacing w:val="-1"/>
        </w:rPr>
        <w:t>+</w:t>
      </w:r>
      <w:r>
        <w:rPr>
          <w:spacing w:val="-1"/>
        </w:rPr>
        <w:t>创新服</w:t>
      </w:r>
    </w:p>
    <w:p>
      <w:pPr>
        <w:pStyle w:val="BodyText"/>
        <w:spacing w:line="300" w:lineRule="auto" w:before="13"/>
        <w:ind w:right="1112"/>
        <w:jc w:val="left"/>
      </w:pPr>
      <w:r>
        <w:rPr/>
        <w:t>务平台），形成区域为重点，整合为依托，线上线下一体化为标志，集互联网</w:t>
      </w:r>
      <w:r>
        <w:rPr>
          <w:rFonts w:ascii="Times New Roman" w:hAnsi="Times New Roman" w:cs="Times New Roman" w:eastAsia="Times New Roman" w:hint="default"/>
        </w:rPr>
        <w:t>+</w:t>
      </w:r>
      <w:r>
        <w:rPr/>
        <w:t>（医疗、药品、保险）为特征的医疗健康服 务新模式，实现公司由软件服务向医疗健康服务的发展转变。</w:t>
      </w:r>
    </w:p>
    <w:p>
      <w:pPr>
        <w:spacing w:after="0" w:line="300" w:lineRule="auto"/>
        <w:jc w:val="left"/>
        <w:sectPr>
          <w:footerReference w:type="default" r:id="rId14"/>
          <w:pgSz w:w="11910" w:h="16840"/>
          <w:pgMar w:footer="978" w:header="746" w:top="1060" w:bottom="1160" w:left="1020" w:right="0"/>
          <w:pgNumType w:start="3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年经营规划</w:t>
      </w:r>
    </w:p>
    <w:p>
      <w:pPr>
        <w:pStyle w:val="BodyText"/>
        <w:spacing w:line="316" w:lineRule="auto" w:before="63"/>
        <w:ind w:right="1130" w:firstLine="360"/>
        <w:jc w:val="both"/>
      </w:pPr>
      <w:r>
        <w:rPr>
          <w:spacing w:val="-2"/>
        </w:rPr>
        <w:t>（重要提示：该经营目标不构成公司对投资者的业绩承诺，投资者应对此保持足够的风险意识，并且应当理解经营目标</w:t>
      </w:r>
      <w:r>
        <w:rPr/>
        <w:t> 与业绩承诺之间的差异。）</w:t>
      </w:r>
    </w:p>
    <w:p>
      <w:pPr>
        <w:pStyle w:val="BodyText"/>
        <w:spacing w:line="312" w:lineRule="auto" w:before="19"/>
        <w:ind w:right="1130" w:firstLine="360"/>
        <w:jc w:val="both"/>
      </w:pPr>
      <w:r>
        <w:rPr>
          <w:rFonts w:ascii="Times New Roman" w:hAnsi="Times New Roman" w:cs="Times New Roman" w:eastAsia="Times New Roman" w:hint="default"/>
        </w:rPr>
        <w:t>2020</w:t>
      </w:r>
      <w:r>
        <w:rPr/>
        <w:t>年，公司继续以双轮驱动及</w:t>
      </w:r>
      <w:r>
        <w:rPr>
          <w:rFonts w:ascii="Times New Roman" w:hAnsi="Times New Roman" w:cs="Times New Roman" w:eastAsia="Times New Roman" w:hint="default"/>
        </w:rPr>
        <w:t>“4+1”</w:t>
      </w:r>
      <w:r>
        <w:rPr/>
        <w:t>战略规划为指导，夯实基础，提升能力，促进技术与项目的充分融合，实现产品 </w:t>
      </w:r>
      <w:r>
        <w:rPr>
          <w:spacing w:val="-2"/>
        </w:rPr>
        <w:t>的转型升级，增强传统业务的核心竞争力，进一步拓展行业应用的深度和广度，保证公司产品的竞争优势；完善现有营销服</w:t>
      </w:r>
      <w:r>
        <w:rPr>
          <w:spacing w:val="-64"/>
        </w:rPr>
        <w:t> </w:t>
      </w:r>
      <w:r>
        <w:rPr>
          <w:spacing w:val="-64"/>
        </w:rPr>
      </w:r>
      <w:r>
        <w:rPr>
          <w:spacing w:val="-2"/>
        </w:rPr>
        <w:t>务体系，严控项目管理，提升服务意识；继续完善公司治理结构，加强内部控制建设，充分利用现有信息化平台，提高流程</w:t>
      </w:r>
      <w:r>
        <w:rPr>
          <w:spacing w:val="-64"/>
        </w:rPr>
        <w:t> </w:t>
      </w:r>
      <w:r>
        <w:rPr>
          <w:spacing w:val="-64"/>
        </w:rPr>
      </w:r>
      <w:r>
        <w:rPr/>
        <w:t>执行的规范性、有效性、系统性。</w:t>
      </w:r>
    </w:p>
    <w:p>
      <w:pPr>
        <w:pStyle w:val="Heading4"/>
        <w:spacing w:line="240" w:lineRule="auto" w:before="22"/>
        <w:ind w:left="472" w:right="0"/>
        <w:jc w:val="left"/>
        <w:rPr>
          <w:b w:val="0"/>
          <w:bCs w:val="0"/>
        </w:rPr>
      </w:pPr>
      <w:r>
        <w:rPr/>
        <w:t>（三）公司可能面临的风险</w:t>
      </w:r>
      <w:r>
        <w:rPr>
          <w:b w:val="0"/>
          <w:bCs w:val="0"/>
        </w:rPr>
      </w:r>
    </w:p>
    <w:p>
      <w:pPr>
        <w:pStyle w:val="BodyText"/>
        <w:spacing w:line="300" w:lineRule="auto" w:before="76"/>
        <w:ind w:left="472" w:right="0"/>
        <w:jc w:val="left"/>
      </w:pPr>
      <w:r>
        <w:rPr>
          <w:rFonts w:ascii="Times New Roman" w:hAnsi="Times New Roman" w:cs="Times New Roman" w:eastAsia="Times New Roman" w:hint="default"/>
        </w:rPr>
        <w:t>1</w:t>
      </w:r>
      <w:r>
        <w:rPr/>
        <w:t>、技术与产品开发风险 </w:t>
      </w:r>
      <w:r>
        <w:rPr>
          <w:spacing w:val="-2"/>
        </w:rPr>
        <w:t>软件产品和技术不断加速的更新换代决定了产品和技术的开发创新是一个持续、繁杂的系统性工程，其间涉及的不确定</w:t>
      </w:r>
    </w:p>
    <w:p>
      <w:pPr>
        <w:pStyle w:val="BodyText"/>
        <w:spacing w:line="316" w:lineRule="auto" w:before="31"/>
        <w:ind w:right="0"/>
        <w:jc w:val="left"/>
      </w:pPr>
      <w:r>
        <w:rPr>
          <w:spacing w:val="-2"/>
        </w:rPr>
        <w:t>因素较多，公司如不能准确把握技术发展趋势和市场需求变化情况，从而导致技术和产品开发推广决策出现失误，将可能导</w:t>
      </w:r>
      <w:r>
        <w:rPr>
          <w:spacing w:val="-63"/>
        </w:rPr>
        <w:t> </w:t>
      </w:r>
      <w:r>
        <w:rPr>
          <w:spacing w:val="-63"/>
        </w:rPr>
      </w:r>
      <w:r>
        <w:rPr/>
        <w:t>致公司丧失技术和市场优势，使公司面临技术与产品开发的风险。</w:t>
      </w:r>
    </w:p>
    <w:p>
      <w:pPr>
        <w:pStyle w:val="BodyText"/>
        <w:spacing w:line="316" w:lineRule="auto" w:before="19"/>
        <w:ind w:right="1034" w:firstLine="360"/>
        <w:jc w:val="left"/>
      </w:pPr>
      <w:r>
        <w:rPr/>
        <w:t>应对措施：以国家政策和行业客户需求为导向，深入解读国家规划布局的发展方向，切合实际的结合行业客户的需求， </w:t>
      </w:r>
      <w:r>
        <w:rPr>
          <w:spacing w:val="-2"/>
        </w:rPr>
        <w:t>提供最优解决方案和产品，走在市场的前端，同时完善市场调研、研发项目立项、核心技术研究、产品发布、市场推广、客</w:t>
      </w:r>
      <w:r>
        <w:rPr>
          <w:spacing w:val="-62"/>
        </w:rPr>
        <w:t> </w:t>
      </w:r>
      <w:r>
        <w:rPr>
          <w:spacing w:val="-62"/>
        </w:rPr>
      </w:r>
      <w:r>
        <w:rPr>
          <w:spacing w:val="-2"/>
        </w:rPr>
        <w:t>户营销、售后服务等环节的闭环管理，以降低技术研发风险。对于已形成产业化的产品进行深度开发，加快其升级换代，保</w:t>
      </w:r>
      <w:r>
        <w:rPr>
          <w:spacing w:val="-62"/>
        </w:rPr>
        <w:t> </w:t>
      </w:r>
      <w:r>
        <w:rPr>
          <w:spacing w:val="-62"/>
        </w:rPr>
      </w:r>
      <w:r>
        <w:rPr/>
        <w:t>持技术优势。</w:t>
      </w:r>
    </w:p>
    <w:p>
      <w:pPr>
        <w:pStyle w:val="BodyText"/>
        <w:spacing w:line="300" w:lineRule="auto" w:before="19"/>
        <w:ind w:left="472" w:right="0"/>
        <w:jc w:val="left"/>
      </w:pPr>
      <w:r>
        <w:rPr>
          <w:rFonts w:ascii="Times New Roman" w:hAnsi="Times New Roman" w:cs="Times New Roman" w:eastAsia="Times New Roman" w:hint="default"/>
        </w:rPr>
        <w:t>2</w:t>
      </w:r>
      <w:r>
        <w:rPr/>
        <w:t>、行业竞争进一步加剧的风险 </w:t>
      </w:r>
      <w:r>
        <w:rPr>
          <w:spacing w:val="-2"/>
        </w:rPr>
        <w:t>医疗信息化行业处于快速发展阶段，国内外市场参与者不断增加，竞争也将越来越激烈，鉴于行业广阔的发展前景和国</w:t>
      </w:r>
    </w:p>
    <w:p>
      <w:pPr>
        <w:pStyle w:val="BodyText"/>
        <w:spacing w:line="316" w:lineRule="auto" w:before="31"/>
        <w:ind w:right="0"/>
        <w:jc w:val="left"/>
      </w:pPr>
      <w:r>
        <w:rPr>
          <w:spacing w:val="-2"/>
        </w:rPr>
        <w:t>内资本市场的进一步开放，缺乏竞争力和核心优势的企业将会被市场淘汰。如果公司不能紧跟行业发展方向，提高公司的竞</w:t>
      </w:r>
      <w:r>
        <w:rPr>
          <w:spacing w:val="-63"/>
        </w:rPr>
        <w:t> </w:t>
      </w:r>
      <w:r>
        <w:rPr>
          <w:spacing w:val="-63"/>
        </w:rPr>
      </w:r>
      <w:r>
        <w:rPr/>
        <w:t>争力和核心优势，将无法适应激烈的行业竞争。</w:t>
      </w:r>
    </w:p>
    <w:p>
      <w:pPr>
        <w:pStyle w:val="BodyText"/>
        <w:spacing w:line="316" w:lineRule="auto" w:before="19"/>
        <w:ind w:right="1130" w:firstLine="360"/>
        <w:jc w:val="both"/>
      </w:pPr>
      <w:r>
        <w:rPr>
          <w:spacing w:val="-2"/>
        </w:rPr>
        <w:t>应对措施：公司需采取更加积极的经营管理措施，加大研发投入，密切跟踪行业发展趋势和前沿创新技术，并积极关注</w:t>
      </w:r>
      <w:r>
        <w:rPr/>
        <w:t> </w:t>
      </w:r>
      <w:r>
        <w:rPr>
          <w:spacing w:val="-2"/>
        </w:rPr>
        <w:t>行业竞争所带来的整合机遇，从而维持并加强公司在用户数量、用户粘性及技术方面的核心竞争优势，促进公司持续健康发</w:t>
      </w:r>
      <w:r>
        <w:rPr>
          <w:spacing w:val="-63"/>
        </w:rPr>
        <w:t> </w:t>
      </w:r>
      <w:r>
        <w:rPr>
          <w:spacing w:val="-63"/>
        </w:rPr>
      </w:r>
      <w:r>
        <w:rPr/>
        <w:t>展。</w:t>
      </w:r>
    </w:p>
    <w:p>
      <w:pPr>
        <w:pStyle w:val="BodyText"/>
        <w:spacing w:line="300" w:lineRule="auto" w:before="19"/>
        <w:ind w:left="472" w:right="0"/>
        <w:jc w:val="left"/>
      </w:pPr>
      <w:r>
        <w:rPr>
          <w:rFonts w:ascii="Times New Roman" w:hAnsi="Times New Roman" w:cs="Times New Roman" w:eastAsia="Times New Roman" w:hint="default"/>
        </w:rPr>
        <w:t>3</w:t>
      </w:r>
      <w:r>
        <w:rPr/>
        <w:t>、公司规模扩张带来的管理风险 </w:t>
      </w:r>
      <w:r>
        <w:rPr>
          <w:spacing w:val="-2"/>
        </w:rPr>
        <w:t>公司自上市以来，持续快速发展，借助资本市场带来的良好效应，公司资产、业务、机构和人员都得到进一步扩张，加</w:t>
      </w:r>
    </w:p>
    <w:p>
      <w:pPr>
        <w:pStyle w:val="BodyText"/>
        <w:spacing w:line="316" w:lineRule="auto" w:before="31"/>
        <w:ind w:right="1130"/>
        <w:jc w:val="both"/>
      </w:pPr>
      <w:r>
        <w:rPr>
          <w:spacing w:val="-2"/>
        </w:rPr>
        <w:t>上并购脚步的加快及涉及大健康新领域，未来公司在机制建立、战略规划、组织设计、运营管理、资金管理和内部控制等方</w:t>
      </w:r>
      <w:r>
        <w:rPr>
          <w:spacing w:val="-64"/>
        </w:rPr>
        <w:t> </w:t>
      </w:r>
      <w:r>
        <w:rPr>
          <w:spacing w:val="-64"/>
        </w:rPr>
      </w:r>
      <w:r>
        <w:rPr>
          <w:spacing w:val="-2"/>
        </w:rPr>
        <w:t>面的管理水平将面临更大的挑战。公司若不能及时提高管理能力和水平，做好企业内部治理，储备经营和管理人才，公司将</w:t>
      </w:r>
      <w:r>
        <w:rPr>
          <w:spacing w:val="-64"/>
        </w:rPr>
        <w:t> </w:t>
      </w:r>
      <w:r>
        <w:rPr>
          <w:spacing w:val="-64"/>
        </w:rPr>
      </w:r>
      <w:r>
        <w:rPr/>
        <w:t>面临一定的管理风险。</w:t>
      </w:r>
    </w:p>
    <w:p>
      <w:pPr>
        <w:pStyle w:val="BodyText"/>
        <w:spacing w:line="316" w:lineRule="auto" w:before="19"/>
        <w:ind w:right="1130" w:firstLine="360"/>
        <w:jc w:val="both"/>
      </w:pPr>
      <w:r>
        <w:rPr>
          <w:spacing w:val="-2"/>
        </w:rPr>
        <w:t>应对措施：公司将完善自身的管理体系和提升管理能力，建立规范的法人治理结构以及经营管理制度，不断创新管理机</w:t>
      </w:r>
      <w:r>
        <w:rPr/>
        <w:t> </w:t>
      </w:r>
      <w:r>
        <w:rPr>
          <w:spacing w:val="-2"/>
        </w:rPr>
        <w:t>制，改变管理思维，经营单位独立核算，做好绩效考核，形成公司特有的、且适合公司的经营管理经验，应对公司扩张带来</w:t>
      </w:r>
      <w:r>
        <w:rPr>
          <w:spacing w:val="-64"/>
        </w:rPr>
        <w:t> </w:t>
      </w:r>
      <w:r>
        <w:rPr>
          <w:spacing w:val="-64"/>
        </w:rPr>
      </w:r>
      <w:r>
        <w:rPr/>
        <w:t>的管理风险。</w:t>
      </w:r>
    </w:p>
    <w:p>
      <w:pPr>
        <w:pStyle w:val="BodyText"/>
        <w:spacing w:line="300" w:lineRule="auto" w:before="19"/>
        <w:ind w:left="472" w:right="0"/>
        <w:jc w:val="left"/>
      </w:pPr>
      <w:r>
        <w:rPr>
          <w:rFonts w:ascii="Times New Roman" w:hAnsi="Times New Roman" w:cs="Times New Roman" w:eastAsia="Times New Roman" w:hint="default"/>
        </w:rPr>
        <w:t>4</w:t>
      </w:r>
      <w:r>
        <w:rPr/>
        <w:t>、人才流失风险 </w:t>
      </w:r>
      <w:r>
        <w:rPr>
          <w:spacing w:val="-2"/>
        </w:rPr>
        <w:t>软件行业属于智力密集集行业，面临人员流动大、知识结构更新快等人力资源管理方面的问题。公司作为软件企业，产</w:t>
      </w:r>
    </w:p>
    <w:p>
      <w:pPr>
        <w:pStyle w:val="BodyText"/>
        <w:spacing w:line="316" w:lineRule="auto" w:before="31"/>
        <w:ind w:right="0"/>
        <w:jc w:val="left"/>
      </w:pPr>
      <w:r>
        <w:rPr>
          <w:spacing w:val="-2"/>
        </w:rPr>
        <w:t>品研发和技术创新依赖于优秀的研发人员，如果出现核心人员流失、人才结构失衡的情况，这将使公司的持续创新能力和市</w:t>
      </w:r>
      <w:r>
        <w:rPr>
          <w:spacing w:val="-63"/>
        </w:rPr>
        <w:t> </w:t>
      </w:r>
      <w:r>
        <w:rPr>
          <w:spacing w:val="-63"/>
        </w:rPr>
      </w:r>
      <w:r>
        <w:rPr/>
        <w:t>场竞争力受到影响，公司的经营将会受到较大的不利影响。</w:t>
      </w:r>
    </w:p>
    <w:p>
      <w:pPr>
        <w:pStyle w:val="BodyText"/>
        <w:spacing w:line="316" w:lineRule="auto" w:before="19"/>
        <w:ind w:right="1130" w:firstLine="360"/>
        <w:jc w:val="both"/>
      </w:pPr>
      <w:r>
        <w:rPr>
          <w:spacing w:val="-2"/>
        </w:rPr>
        <w:t>应对措施：公司将通过建立完善有效的绩效考核机制，采用多种方式，包括不限于基本薪酬、绩效奖励、股权激励等手</w:t>
      </w:r>
      <w:r>
        <w:rPr/>
        <w:t> 段，并加强企业文化建设，以吸引和留住人才。</w:t>
      </w:r>
    </w:p>
    <w:p>
      <w:pPr>
        <w:pStyle w:val="BodyText"/>
        <w:spacing w:line="300" w:lineRule="auto" w:before="19"/>
        <w:ind w:left="472" w:right="1034"/>
        <w:jc w:val="left"/>
      </w:pPr>
      <w:r>
        <w:rPr>
          <w:rFonts w:ascii="Times New Roman" w:hAnsi="Times New Roman" w:cs="Times New Roman" w:eastAsia="Times New Roman" w:hint="default"/>
        </w:rPr>
        <w:t>5</w:t>
      </w:r>
      <w:r>
        <w:rPr/>
        <w:t>、收款及经营业绩的季节性波动风险 由于公司客户以国内的公立医院、卫生管理部门等机构为主，其对信息产品的采购一般遵守较为严格的预算管理制度，</w:t>
      </w:r>
    </w:p>
    <w:p>
      <w:pPr>
        <w:pStyle w:val="BodyText"/>
        <w:spacing w:line="314" w:lineRule="auto" w:before="31"/>
        <w:ind w:right="1039"/>
        <w:jc w:val="left"/>
      </w:pPr>
      <w:r>
        <w:rPr>
          <w:spacing w:val="-4"/>
        </w:rPr>
        <w:t>通常在每年上半年制定投资计划，需要通过预算、审批、招标、合同签订等流程，许多项目还需要纳入财政预算、政府采购，</w:t>
      </w:r>
      <w:r>
        <w:rPr>
          <w:spacing w:val="-40"/>
        </w:rPr>
        <w:t> </w:t>
      </w:r>
      <w:r>
        <w:rPr>
          <w:spacing w:val="-40"/>
        </w:rPr>
      </w:r>
      <w:r>
        <w:rPr>
          <w:spacing w:val="-2"/>
        </w:rPr>
        <w:t>周期相对较长。公司客户年度资本开支主要集中在下半年尤其是第四季度，对公司的项目验收和付款也集中在下半年。由于</w:t>
      </w:r>
      <w:r>
        <w:rPr>
          <w:spacing w:val="-63"/>
        </w:rPr>
        <w:t> </w:t>
      </w:r>
      <w:r>
        <w:rPr>
          <w:spacing w:val="-63"/>
        </w:rPr>
      </w:r>
      <w:r>
        <w:rPr>
          <w:spacing w:val="-2"/>
        </w:rPr>
        <w:t>受上述因素的影响，导致公司营业收入、净利润、经营性现金流量呈不均衡的季节性分布：最近三年，公司上半年收款一般</w:t>
      </w:r>
      <w:r>
        <w:rPr>
          <w:spacing w:val="-63"/>
        </w:rPr>
        <w:t> </w:t>
      </w:r>
      <w:r>
        <w:rPr>
          <w:spacing w:val="-63"/>
        </w:rPr>
      </w:r>
      <w:r>
        <w:rPr/>
        <w:t>只占全年的</w:t>
      </w:r>
      <w:r>
        <w:rPr>
          <w:rFonts w:ascii="Times New Roman" w:hAnsi="Times New Roman" w:cs="Times New Roman" w:eastAsia="Times New Roman" w:hint="default"/>
        </w:rPr>
        <w:t>20%-30%</w:t>
      </w:r>
      <w:r>
        <w:rPr/>
        <w:t>，而第四季度能达到全年的</w:t>
      </w:r>
      <w:r>
        <w:rPr>
          <w:rFonts w:ascii="Times New Roman" w:hAnsi="Times New Roman" w:cs="Times New Roman" w:eastAsia="Times New Roman" w:hint="default"/>
        </w:rPr>
        <w:t>50%</w:t>
      </w:r>
      <w:r>
        <w:rPr/>
        <w:t>以上；公司的收入和利润存在一定的季节性，也有一定的波动性，软件 及技术服务收入、扣非净利润在上、下半年分别占比平均约为</w:t>
      </w:r>
      <w:r>
        <w:rPr>
          <w:rFonts w:ascii="Times New Roman" w:hAnsi="Times New Roman" w:cs="Times New Roman" w:eastAsia="Times New Roman" w:hint="default"/>
        </w:rPr>
        <w:t>35%</w:t>
      </w:r>
      <w:r>
        <w:rPr/>
        <w:t>、</w:t>
      </w:r>
      <w:r>
        <w:rPr>
          <w:rFonts w:ascii="Times New Roman" w:hAnsi="Times New Roman" w:cs="Times New Roman" w:eastAsia="Times New Roman" w:hint="default"/>
        </w:rPr>
        <w:t>65%</w:t>
      </w:r>
      <w:r>
        <w:rPr/>
        <w:t>。因此，投资者不宜以公司季度或者半年度业绩作</w:t>
      </w:r>
    </w:p>
    <w:p>
      <w:pPr>
        <w:spacing w:after="0" w:line="314"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472" w:right="0" w:hanging="360"/>
        <w:jc w:val="left"/>
      </w:pPr>
      <w:r>
        <w:rPr/>
        <w:t>为投资判断的主要依据。 </w:t>
      </w:r>
      <w:r>
        <w:rPr>
          <w:spacing w:val="-2"/>
        </w:rPr>
        <w:t>应对措施：公司将加大市场工作力度，及时了解、掌握和引导客户的投资计划，在不违反相关规定的前提下尽早介入项</w:t>
      </w:r>
    </w:p>
    <w:p>
      <w:pPr>
        <w:pStyle w:val="BodyText"/>
        <w:spacing w:line="316" w:lineRule="auto" w:before="19"/>
        <w:ind w:right="1039"/>
        <w:jc w:val="both"/>
      </w:pPr>
      <w:r>
        <w:rPr>
          <w:spacing w:val="-4"/>
        </w:rPr>
        <w:t>目前期规划工作，同时合理调配人力资源，使得项目实施尽量能够均衡开展，减少因自身因素造成的项目实施时间集中问题；</w:t>
      </w:r>
      <w:r>
        <w:rPr>
          <w:spacing w:val="-40"/>
        </w:rPr>
        <w:t> </w:t>
      </w:r>
      <w:r>
        <w:rPr>
          <w:spacing w:val="-40"/>
        </w:rPr>
      </w:r>
      <w:r>
        <w:rPr/>
        <w:t>同时，加大收款考核力度，与客户保持及时有效沟通，减少因人为因素造成的收款时间集中问题。</w:t>
      </w:r>
    </w:p>
    <w:p>
      <w:pPr>
        <w:pStyle w:val="BodyText"/>
        <w:spacing w:line="300" w:lineRule="auto" w:before="19"/>
        <w:ind w:left="472" w:right="0"/>
        <w:jc w:val="left"/>
      </w:pPr>
      <w:r>
        <w:rPr>
          <w:rFonts w:ascii="Times New Roman" w:hAnsi="Times New Roman" w:cs="Times New Roman" w:eastAsia="Times New Roman" w:hint="default"/>
        </w:rPr>
        <w:t>6</w:t>
      </w:r>
      <w:r>
        <w:rPr/>
        <w:t>、商誉减值风险 </w:t>
      </w:r>
      <w:r>
        <w:rPr>
          <w:spacing w:val="-2"/>
        </w:rPr>
        <w:t>公司在进行资产收购的过程中，根据《企业会计准则》要求，非同一控制下的企业合并，合并成本大于合并中取得的被</w:t>
      </w:r>
    </w:p>
    <w:p>
      <w:pPr>
        <w:pStyle w:val="BodyText"/>
        <w:spacing w:line="316" w:lineRule="auto" w:before="31"/>
        <w:ind w:right="1130"/>
        <w:jc w:val="both"/>
      </w:pPr>
      <w:r>
        <w:rPr>
          <w:spacing w:val="-2"/>
        </w:rPr>
        <w:t>购买方可辨认净资产公允价值份额的差额，确认为商誉，商誉不做摊销处理，但需在未来年度每年年终进行减值测试。如果</w:t>
      </w:r>
      <w:r>
        <w:rPr>
          <w:spacing w:val="-64"/>
        </w:rPr>
        <w:t> </w:t>
      </w:r>
      <w:r>
        <w:rPr>
          <w:spacing w:val="-64"/>
        </w:rPr>
      </w:r>
      <w:r>
        <w:rPr>
          <w:spacing w:val="-2"/>
        </w:rPr>
        <w:t>未来被收购资产所处行业不景气、自身业务下降或者其他因素导致未来经营状况和盈利能力未达预期，则上市公司存在商誉</w:t>
      </w:r>
      <w:r>
        <w:rPr>
          <w:spacing w:val="-64"/>
        </w:rPr>
        <w:t> </w:t>
      </w:r>
      <w:r>
        <w:rPr>
          <w:spacing w:val="-64"/>
        </w:rPr>
      </w:r>
      <w:r>
        <w:rPr>
          <w:spacing w:val="-2"/>
        </w:rPr>
        <w:t>减值的风险，从而对上市公司当期损益造成不利影响，若一旦集中计提大额的商誉减值，将对上市公司盈利水平产生较大的</w:t>
      </w:r>
      <w:r>
        <w:rPr>
          <w:spacing w:val="-63"/>
        </w:rPr>
        <w:t> </w:t>
      </w:r>
      <w:r>
        <w:rPr>
          <w:spacing w:val="-63"/>
        </w:rPr>
      </w:r>
      <w:r>
        <w:rPr/>
        <w:t>不利影响。</w:t>
      </w:r>
    </w:p>
    <w:p>
      <w:pPr>
        <w:pStyle w:val="BodyText"/>
        <w:spacing w:line="316" w:lineRule="auto" w:before="19"/>
        <w:ind w:right="0" w:firstLine="360"/>
        <w:jc w:val="left"/>
      </w:pPr>
      <w:r>
        <w:rPr>
          <w:spacing w:val="-4"/>
        </w:rPr>
        <w:t>应对措施：公司通过建立相应的内控管理制度，每年对商誉进行减值测试，同时加强和被收购资产在市场、人员、技术、</w:t>
      </w:r>
      <w:r>
        <w:rPr/>
        <w:t> 管理等方面的整合，保持被收购资产的持续竞争力，将因企业合并形成的商誉对上市公司未来业绩的影响降到最低程度。</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5"/>
                <w:sz w:val="18"/>
                <w:szCs w:val="18"/>
              </w:rPr>
              <w:t>介绍公司未来发展战略、创新业务进展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情况等。</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5"/>
                <w:sz w:val="18"/>
                <w:szCs w:val="18"/>
              </w:rPr>
              <w:t>介绍公司未来发展战略、创新业务进展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情况等。</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年度业绩快报、未来发 展战略、创新业务进展情况等。</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33"/>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年度业绩快报、未来发 展战略、创新业务进展情况等。</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年度业绩快报、未来发 展战略、创新业务进展情况等。</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33"/>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年度业绩快报、未来发 展战略、创新业务进展情况等。</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年度业绩快报、未来发 展战略、创新业务进展情况等。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年度业绩网上说明会。</w:t>
            </w:r>
          </w:p>
        </w:tc>
      </w:tr>
      <w:tr>
        <w:trPr>
          <w:trHeight w:val="10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bl>
    <w:p>
      <w:pPr>
        <w:spacing w:after="0" w:line="309" w:lineRule="auto"/>
        <w:jc w:val="both"/>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年上海辖区上市公司集体接待日 活动。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年度报告、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年半年度报告、第三季 </w:t>
            </w:r>
            <w:r>
              <w:rPr>
                <w:rFonts w:ascii="宋体" w:hAnsi="宋体" w:cs="宋体" w:eastAsia="宋体" w:hint="default"/>
                <w:spacing w:val="-5"/>
                <w:sz w:val="18"/>
                <w:szCs w:val="18"/>
              </w:rPr>
              <w:t>度报告、未来发展战略、创新业务进展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年半年度报告、第三季 </w:t>
            </w:r>
            <w:r>
              <w:rPr>
                <w:rFonts w:ascii="宋体" w:hAnsi="宋体" w:cs="宋体" w:eastAsia="宋体" w:hint="default"/>
                <w:spacing w:val="-5"/>
                <w:sz w:val="18"/>
                <w:szCs w:val="18"/>
              </w:rPr>
              <w:t>度报告、未来发展战略、创新业务进展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情况等。</w:t>
            </w:r>
          </w:p>
        </w:tc>
      </w:tr>
      <w:tr>
        <w:trPr>
          <w:trHeight w:val="102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年半年度报告、第三季 </w:t>
            </w:r>
            <w:r>
              <w:rPr>
                <w:rFonts w:ascii="宋体" w:hAnsi="宋体" w:cs="宋体" w:eastAsia="宋体" w:hint="default"/>
                <w:spacing w:val="-5"/>
                <w:sz w:val="18"/>
                <w:szCs w:val="18"/>
              </w:rPr>
              <w:t>度报告、未来发展战略、创新业务进展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情况等。</w:t>
            </w:r>
          </w:p>
        </w:tc>
      </w:tr>
    </w:tbl>
    <w:p>
      <w:pPr>
        <w:spacing w:after="0" w:line="309" w:lineRule="auto"/>
        <w:jc w:val="both"/>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年半年度报告、第三季 </w:t>
            </w:r>
            <w:r>
              <w:rPr>
                <w:rFonts w:ascii="宋体" w:hAnsi="宋体" w:cs="宋体" w:eastAsia="宋体" w:hint="default"/>
                <w:spacing w:val="-5"/>
                <w:sz w:val="18"/>
                <w:szCs w:val="18"/>
              </w:rPr>
              <w:t>度报告、未来发展战略、创新业务进展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情况等。</w:t>
            </w:r>
          </w:p>
        </w:tc>
      </w:tr>
      <w:tr>
        <w:trPr>
          <w:trHeight w:val="362" w:hRule="exact"/>
        </w:trPr>
        <w:tc>
          <w:tcPr>
            <w:tcW w:w="2178"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年半年度报告、第三季</w:t>
            </w:r>
          </w:p>
        </w:tc>
      </w:tr>
      <w:tr>
        <w:trPr>
          <w:trHeight w:val="312" w:hRule="exact"/>
        </w:trPr>
        <w:tc>
          <w:tcPr>
            <w:tcW w:w="2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度报告、未来发展战略、创新业务进展</w:t>
            </w:r>
          </w:p>
        </w:tc>
      </w:tr>
      <w:tr>
        <w:trPr>
          <w:trHeight w:val="352" w:hRule="exact"/>
        </w:trPr>
        <w:tc>
          <w:tcPr>
            <w:tcW w:w="2178"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情况等。</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400"/>
        <w:jc w:val="center"/>
        <w:rPr>
          <w:b w:val="0"/>
          <w:bCs w:val="0"/>
        </w:rPr>
      </w:pPr>
      <w:bookmarkStart w:name="第五节重要事项" w:id="58"/>
      <w:bookmarkEnd w:id="58"/>
      <w:r>
        <w:rPr>
          <w:b w:val="0"/>
          <w:bCs w:val="0"/>
        </w:rPr>
      </w:r>
      <w:bookmarkStart w:name="_bookmark4" w:id="59"/>
      <w:bookmarkEnd w:id="59"/>
      <w:r>
        <w:rPr>
          <w:b w:val="0"/>
          <w:bCs w:val="0"/>
        </w:rPr>
      </w:r>
      <w:r>
        <w:rPr/>
        <w:t>第五节重要事项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40" w:lineRule="auto" w:before="117"/>
        <w:ind w:left="472" w:right="112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公司严格按照《公司章程》等有关利润分配政策和审议程序执行利润分配方案，分红标准和分红比例明确清晰，相关的</w:t>
      </w:r>
    </w:p>
    <w:p>
      <w:pPr>
        <w:pStyle w:val="BodyText"/>
        <w:spacing w:line="316" w:lineRule="auto" w:before="1"/>
        <w:ind w:right="1130"/>
        <w:jc w:val="both"/>
      </w:pPr>
      <w:r>
        <w:rPr>
          <w:spacing w:val="-2"/>
        </w:rPr>
        <w:t>决策程序和机制完备。在分配预案拟定和决策时，独立董事尽职履责发表了独立意见。公司以公告形式向全体股东发出股东</w:t>
      </w:r>
      <w:r>
        <w:rPr>
          <w:spacing w:val="-63"/>
        </w:rPr>
        <w:t> </w:t>
      </w:r>
      <w:r>
        <w:rPr>
          <w:spacing w:val="-63"/>
        </w:rPr>
      </w:r>
      <w:r>
        <w:rPr>
          <w:spacing w:val="-2"/>
        </w:rPr>
        <w:t>大会通知，并提供网络投票方式，中小股东有充分表达意见和诉求的机会，股东大会审议通过后，公司在规定时间内实施了</w:t>
      </w:r>
      <w:r>
        <w:rPr>
          <w:spacing w:val="-64"/>
        </w:rPr>
        <w:t> </w:t>
      </w:r>
      <w:r>
        <w:rPr>
          <w:spacing w:val="-64"/>
        </w:rPr>
      </w:r>
      <w:r>
        <w:rPr/>
        <w:t>权益分派，充分维护了中小股东的合法权益。</w:t>
      </w:r>
    </w:p>
    <w:p>
      <w:pPr>
        <w:pStyle w:val="BodyText"/>
        <w:spacing w:line="304" w:lineRule="auto" w:before="19"/>
        <w:ind w:right="0"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日，公司</w:t>
      </w:r>
      <w:r>
        <w:rPr>
          <w:rFonts w:ascii="Times New Roman" w:hAnsi="Times New Roman" w:cs="Times New Roman" w:eastAsia="Times New Roman" w:hint="default"/>
          <w:spacing w:val="-2"/>
        </w:rPr>
        <w:t>2018</w:t>
      </w:r>
      <w:r>
        <w:rPr>
          <w:spacing w:val="-2"/>
        </w:rPr>
        <w:t>年度股东大会审议通过了《关于公司</w:t>
      </w:r>
      <w:r>
        <w:rPr>
          <w:rFonts w:ascii="Times New Roman" w:hAnsi="Times New Roman" w:cs="Times New Roman" w:eastAsia="Times New Roman" w:hint="default"/>
          <w:spacing w:val="-2"/>
        </w:rPr>
        <w:t>2018</w:t>
      </w:r>
      <w:r>
        <w:rPr>
          <w:spacing w:val="-2"/>
        </w:rPr>
        <w:t>年度利润分配方案的议案》，以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日总股</w:t>
      </w:r>
      <w:r>
        <w:rPr/>
        <w:t> </w:t>
      </w:r>
      <w:r>
        <w:rPr>
          <w:spacing w:val="-1"/>
        </w:rPr>
        <w:t>本</w:t>
      </w:r>
      <w:r>
        <w:rPr>
          <w:rFonts w:ascii="Times New Roman" w:hAnsi="Times New Roman" w:cs="Times New Roman" w:eastAsia="Times New Roman" w:hint="default"/>
          <w:spacing w:val="-1"/>
        </w:rPr>
        <w:t>1,622,918,356</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0.20</w:t>
      </w:r>
      <w:r>
        <w:rPr>
          <w:spacing w:val="-1"/>
        </w:rPr>
        <w:t>元（含税），共派发现金股利人民币</w:t>
      </w:r>
      <w:r>
        <w:rPr>
          <w:rFonts w:ascii="Times New Roman" w:hAnsi="Times New Roman" w:cs="Times New Roman" w:eastAsia="Times New Roman" w:hint="default"/>
          <w:spacing w:val="-1"/>
        </w:rPr>
        <w:t>32,458,367.12</w:t>
      </w:r>
      <w:r>
        <w:rPr>
          <w:spacing w:val="-1"/>
        </w:rPr>
        <w:t>元。</w:t>
      </w:r>
      <w:r>
        <w:rPr>
          <w:spacing w:val="-68"/>
        </w:rPr>
        <w:t> </w:t>
      </w:r>
      <w:r>
        <w:rPr>
          <w:spacing w:val="-2"/>
        </w:rPr>
        <w:t>在利润分配预案披露至实施期间，公司股本总额若因新增股份上市、股权激励授予行权、可转债转股、股份回购等事项发生</w:t>
      </w:r>
      <w:r>
        <w:rPr>
          <w:spacing w:val="-64"/>
        </w:rPr>
        <w:t> </w:t>
      </w:r>
      <w:r>
        <w:rPr>
          <w:spacing w:val="-64"/>
        </w:rPr>
      </w:r>
      <w:r>
        <w:rPr>
          <w:spacing w:val="-4"/>
        </w:rPr>
        <w:t>变化，将按照现金分红总额不变的原则对分配比例进行相应调整。调整后的利润分配方案为：以公司现有总股本</w:t>
      </w:r>
      <w:r>
        <w:rPr>
          <w:rFonts w:ascii="Times New Roman" w:hAnsi="Times New Roman" w:cs="Times New Roman" w:eastAsia="Times New Roman" w:hint="default"/>
          <w:spacing w:val="-4"/>
        </w:rPr>
        <w:t>1,624,491,733</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0.199806</w:t>
      </w:r>
      <w:r>
        <w:rPr/>
        <w:t>元（含税）。本次利润分配方案已于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日实施完毕。</w:t>
      </w:r>
    </w:p>
    <w:p>
      <w:pPr>
        <w:pStyle w:val="BodyText"/>
        <w:spacing w:line="300" w:lineRule="auto" w:before="9"/>
        <w:ind w:right="1130" w:firstLine="36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日，公司第四届董事会第二十二次会议审议通过了《关于公司</w:t>
      </w:r>
      <w:r>
        <w:rPr>
          <w:rFonts w:ascii="Times New Roman" w:hAnsi="Times New Roman" w:cs="Times New Roman" w:eastAsia="Times New Roman" w:hint="default"/>
          <w:spacing w:val="-2"/>
        </w:rPr>
        <w:t>2019</w:t>
      </w:r>
      <w:r>
        <w:rPr>
          <w:spacing w:val="-2"/>
        </w:rPr>
        <w:t>年度利润分配预案的议案》，以实施权益</w:t>
      </w:r>
      <w:r>
        <w:rPr/>
        <w:t> </w:t>
      </w:r>
      <w:r>
        <w:rPr>
          <w:spacing w:val="-1"/>
        </w:rPr>
        <w:t>分派股权登记日的总股本为基数，向全体股东每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0.25</w:t>
      </w:r>
      <w:r>
        <w:rPr>
          <w:spacing w:val="-1"/>
        </w:rPr>
        <w:t>元（含税），同时以资本公积金向全体股东每</w:t>
      </w:r>
      <w:r>
        <w:rPr>
          <w:spacing w:val="-73"/>
        </w:rPr>
        <w:t> </w:t>
      </w:r>
      <w:r>
        <w:rPr>
          <w:spacing w:val="-73"/>
        </w:rPr>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股。在利润分配预案披露日至实施权益分派股权登记日期间，公司股本总额若因新增股份上市、股权激励授予行</w:t>
      </w:r>
      <w:r>
        <w:rPr>
          <w:spacing w:val="-85"/>
        </w:rPr>
        <w:t> </w:t>
      </w:r>
      <w:r>
        <w:rPr>
          <w:spacing w:val="-85"/>
        </w:rPr>
      </w:r>
      <w:r>
        <w:rPr/>
        <w:t>权、可转债转股、股份回购等事项发生变化，公司将维持每股分配比例不变，相应调整分配总额。该事项尚需经公司</w:t>
      </w:r>
      <w:r>
        <w:rPr>
          <w:rFonts w:ascii="Times New Roman" w:hAnsi="Times New Roman" w:cs="Times New Roman" w:eastAsia="Times New Roman" w:hint="default"/>
        </w:rPr>
        <w:t>2019</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年度股东大会批准后实施。</w:t>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71"/>
        <w:ind w:right="0"/>
        <w:jc w:val="left"/>
      </w:pPr>
      <w:r>
        <w:rPr/>
        <w:t>公司报告期利润分配预案及资本公积金转增股本预案与公司章程和分红管理办法等的相关规定一致</w:t>
      </w:r>
    </w:p>
    <w:p>
      <w:pPr>
        <w:pStyle w:val="BodyText"/>
        <w:spacing w:line="348" w:lineRule="auto" w:before="117"/>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w:t>
            </w:r>
          </w:p>
        </w:tc>
      </w:tr>
      <w:tr>
        <w:trPr>
          <w:trHeight w:val="400"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1,641,315,746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r>
        <w:rPr/>
        <w:pict>
          <v:shape style="position:absolute;margin-left:236.639999pt;margin-top:92.500023pt;width:298.4pt;height:19.7pt;mso-position-horizontal-relative:page;mso-position-vertical-relative:page;z-index:-1272808" type="#_x0000_t202" filled="false" stroked="false">
            <v:textbox inset="0,0,0,0">
              <w:txbxContent>
                <w:p>
                  <w:pPr>
                    <w:pStyle w:val="BodyText"/>
                    <w:spacing w:line="240" w:lineRule="auto" w:before="52"/>
                    <w:ind w:left="0" w:right="0"/>
                    <w:jc w:val="left"/>
                  </w:pPr>
                  <w:r>
                    <w:rPr/>
                    <w:t>）</w:t>
                  </w:r>
                </w:p>
              </w:txbxContent>
            </v:textbox>
            <w10:wrap type="none"/>
          </v:shape>
        </w:pic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397" w:lineRule="exact"/>
        <w:ind w:left="383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92.3pt;height:19.850pt;mso-position-horizontal-relative:char;mso-position-vertical-relative:line" coordorigin="0,0" coordsize="5846,397">
            <v:group style="position:absolute;left:0;top:0;width:5846;height:397" coordorigin="0,0" coordsize="5846,397">
              <v:shape style="position:absolute;left:0;top:0;width:5846;height:397" coordorigin="0,0" coordsize="5846,397" path="m0,0l5846,0,5846,397,0,397,0,0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141"/>
        <w:jc w:val="right"/>
      </w:pPr>
      <w:r>
        <w:rPr/>
        <w:pict>
          <v:shape style="position:absolute;margin-left:56.459999pt;margin-top:-194.978302pt;width:479.15pt;height:306.2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宋体" w:hAnsi="宋体" w:cs="宋体" w:eastAsia="宋体" w:hint="default"/>
                            <w:sz w:val="9"/>
                            <w:szCs w:val="9"/>
                          </w:rPr>
                        </w:pPr>
                        <w:r>
                          <w:rPr>
                            <w:rFonts w:ascii="Times New Roman" w:hAnsi="Times New Roman" w:cs="Times New Roman" w:eastAsia="Times New Roman" w:hint="default"/>
                            <w:sz w:val="18"/>
                            <w:szCs w:val="18"/>
                          </w:rPr>
                          <w:t>41,032,893.65</w:t>
                        </w:r>
                        <w:r>
                          <w:rPr>
                            <w:rFonts w:ascii="Times New Roman" w:hAnsi="Times New Roman" w:cs="Times New Roman" w:eastAsia="Times New Roman" w:hint="default"/>
                            <w:spacing w:val="-7"/>
                            <w:sz w:val="18"/>
                            <w:szCs w:val="18"/>
                          </w:rPr>
                          <w:t> </w:t>
                        </w:r>
                        <w:r>
                          <w:rPr>
                            <w:rFonts w:ascii="宋体" w:hAnsi="宋体" w:cs="宋体" w:eastAsia="宋体" w:hint="default"/>
                            <w:color w:val="FF0000"/>
                            <w:position w:val="9"/>
                            <w:sz w:val="9"/>
                            <w:szCs w:val="9"/>
                          </w:rPr>
                          <w:t>注</w:t>
                        </w:r>
                        <w:r>
                          <w:rPr>
                            <w:rFonts w:ascii="宋体" w:hAnsi="宋体" w:cs="宋体" w:eastAsia="宋体" w:hint="default"/>
                            <w:sz w:val="9"/>
                            <w:szCs w:val="9"/>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884,268,783.14</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8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经容诚会计师事务所（特殊普通合伙）审计，公司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年年初未分配利润为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959,024,092.67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年度公司实现归属</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于母公司股东的净利润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398,420,733.04</w:t>
                        </w:r>
                        <w:r>
                          <w:rPr>
                            <w:rFonts w:ascii="Times New Roman" w:hAnsi="Times New Roman" w:cs="Times New Roman" w:eastAsia="Times New Roman" w:hint="default"/>
                            <w:spacing w:val="-5"/>
                            <w:sz w:val="18"/>
                            <w:szCs w:val="18"/>
                          </w:rPr>
                          <w:t> </w:t>
                        </w:r>
                        <w:r>
                          <w:rPr>
                            <w:rFonts w:ascii="宋体" w:hAnsi="宋体" w:cs="宋体" w:eastAsia="宋体" w:hint="default"/>
                            <w:spacing w:val="-15"/>
                            <w:sz w:val="18"/>
                            <w:szCs w:val="18"/>
                          </w:rPr>
                          <w:t>元，按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年度母公司实现净利润的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37,350,575.60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日，公司合并报表可供分配利润为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1,338,202,473.95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元，母公司可供分配利润为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884,268,783.14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根据《公司法》和《公司章程》等有关规定，结合公司实际情况，公司拟定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年度利润分配预案为：以实施权益分派</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2"/>
                            <w:sz w:val="18"/>
                            <w:szCs w:val="18"/>
                          </w:rPr>
                          <w:t>股权登记</w:t>
                        </w:r>
                        <w:r>
                          <w:rPr>
                            <w:rFonts w:ascii="宋体" w:hAnsi="宋体" w:cs="宋体" w:eastAsia="宋体" w:hint="default"/>
                            <w:sz w:val="18"/>
                            <w:szCs w:val="18"/>
                          </w:rPr>
                          <w:t>日</w:t>
                        </w:r>
                        <w:r>
                          <w:rPr>
                            <w:rFonts w:ascii="宋体" w:hAnsi="宋体" w:cs="宋体" w:eastAsia="宋体" w:hint="default"/>
                            <w:spacing w:val="2"/>
                            <w:sz w:val="18"/>
                            <w:szCs w:val="18"/>
                          </w:rPr>
                          <w:t>的总股本为基数，</w:t>
                        </w:r>
                        <w:r>
                          <w:rPr>
                            <w:rFonts w:ascii="宋体" w:hAnsi="宋体" w:cs="宋体" w:eastAsia="宋体" w:hint="default"/>
                            <w:sz w:val="18"/>
                            <w:szCs w:val="18"/>
                          </w:rPr>
                          <w:t>向</w:t>
                        </w:r>
                        <w:r>
                          <w:rPr>
                            <w:rFonts w:ascii="宋体" w:hAnsi="宋体" w:cs="宋体" w:eastAsia="宋体" w:hint="default"/>
                            <w:spacing w:val="2"/>
                            <w:sz w:val="18"/>
                            <w:szCs w:val="18"/>
                          </w:rPr>
                          <w:t>全体股东</w:t>
                        </w:r>
                        <w:r>
                          <w:rPr>
                            <w:rFonts w:ascii="宋体" w:hAnsi="宋体" w:cs="宋体" w:eastAsia="宋体" w:hint="default"/>
                            <w:sz w:val="18"/>
                            <w:szCs w:val="18"/>
                          </w:rPr>
                          <w:t>每</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股派发现</w:t>
                        </w:r>
                        <w:r>
                          <w:rPr>
                            <w:rFonts w:ascii="宋体" w:hAnsi="宋体" w:cs="宋体" w:eastAsia="宋体" w:hint="default"/>
                            <w:sz w:val="18"/>
                            <w:szCs w:val="18"/>
                          </w:rPr>
                          <w:t>金</w:t>
                        </w:r>
                        <w:r>
                          <w:rPr>
                            <w:rFonts w:ascii="宋体" w:hAnsi="宋体" w:cs="宋体" w:eastAsia="宋体" w:hint="default"/>
                            <w:spacing w:val="2"/>
                            <w:sz w:val="18"/>
                            <w:szCs w:val="18"/>
                          </w:rPr>
                          <w:t>股利人民</w:t>
                        </w:r>
                        <w:r>
                          <w:rPr>
                            <w:rFonts w:ascii="宋体" w:hAnsi="宋体" w:cs="宋体" w:eastAsia="宋体" w:hint="default"/>
                            <w:sz w:val="18"/>
                            <w:szCs w:val="18"/>
                          </w:rPr>
                          <w:t>币</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元（含</w:t>
                        </w:r>
                        <w:r>
                          <w:rPr>
                            <w:rFonts w:ascii="宋体" w:hAnsi="宋体" w:cs="宋体" w:eastAsia="宋体" w:hint="default"/>
                            <w:sz w:val="18"/>
                            <w:szCs w:val="18"/>
                          </w:rPr>
                          <w:t>税</w:t>
                        </w:r>
                        <w:r>
                          <w:rPr>
                            <w:rFonts w:ascii="宋体" w:hAnsi="宋体" w:cs="宋体" w:eastAsia="宋体" w:hint="default"/>
                            <w:spacing w:val="-87"/>
                            <w:sz w:val="18"/>
                            <w:szCs w:val="18"/>
                          </w:rPr>
                          <w:t>）</w:t>
                        </w:r>
                        <w:r>
                          <w:rPr>
                            <w:rFonts w:ascii="宋体" w:hAnsi="宋体" w:cs="宋体" w:eastAsia="宋体" w:hint="default"/>
                            <w:spacing w:val="2"/>
                            <w:sz w:val="18"/>
                            <w:szCs w:val="18"/>
                          </w:rPr>
                          <w:t>，同时以</w:t>
                        </w:r>
                        <w:r>
                          <w:rPr>
                            <w:rFonts w:ascii="宋体" w:hAnsi="宋体" w:cs="宋体" w:eastAsia="宋体" w:hint="default"/>
                            <w:sz w:val="18"/>
                            <w:szCs w:val="18"/>
                          </w:rPr>
                          <w:t>资</w:t>
                        </w:r>
                        <w:r>
                          <w:rPr>
                            <w:rFonts w:ascii="宋体" w:hAnsi="宋体" w:cs="宋体" w:eastAsia="宋体" w:hint="default"/>
                            <w:spacing w:val="2"/>
                            <w:sz w:val="18"/>
                            <w:szCs w:val="18"/>
                          </w:rPr>
                          <w:t>本公积金向全体股</w:t>
                        </w:r>
                        <w:r>
                          <w:rPr>
                            <w:rFonts w:ascii="宋体" w:hAnsi="宋体" w:cs="宋体" w:eastAsia="宋体" w:hint="default"/>
                            <w:sz w:val="18"/>
                            <w:szCs w:val="18"/>
                          </w:rPr>
                          <w:t>东每</w:t>
                        </w:r>
                      </w:p>
                      <w:p>
                        <w:pPr>
                          <w:pStyle w:val="TableParagraph"/>
                          <w:spacing w:line="309"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股转增</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股。在利润分配预案披露日至实施权益分派股权登记日期间，公司股本总额若因新增股份上市、股权激励授予 </w:t>
                        </w:r>
                        <w:r>
                          <w:rPr>
                            <w:rFonts w:ascii="宋体" w:hAnsi="宋体" w:cs="宋体" w:eastAsia="宋体" w:hint="default"/>
                            <w:spacing w:val="-1"/>
                            <w:sz w:val="18"/>
                            <w:szCs w:val="18"/>
                          </w:rPr>
                          <w:t>行权、可转债转股、股份回购等事项发生变化，公司将维持每股分配比例不变，相应调整分配总额。本次利润分配预案已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日召开的第四届董事会第二十二次会议审议通过，但尚需经公司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年度股东大会审议批准后实施。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00" w:lineRule="auto"/>
        <w:ind w:right="0" w:firstLine="360"/>
        <w:jc w:val="left"/>
      </w:pPr>
      <w:r>
        <w:rPr/>
        <w:t>注：本表所涉及的股本基数及现金分配金额是为以本报告披露日公司总股本 </w:t>
      </w:r>
      <w:r>
        <w:rPr>
          <w:rFonts w:ascii="Times New Roman" w:hAnsi="Times New Roman" w:cs="Times New Roman" w:eastAsia="Times New Roman" w:hint="default"/>
        </w:rPr>
        <w:t>1,641,315,746</w:t>
      </w:r>
      <w:r>
        <w:rPr>
          <w:rFonts w:ascii="Times New Roman" w:hAnsi="Times New Roman" w:cs="Times New Roman" w:eastAsia="Times New Roman" w:hint="default"/>
          <w:spacing w:val="-16"/>
        </w:rPr>
        <w:t> </w:t>
      </w:r>
      <w:r>
        <w:rPr/>
        <w:t>股所测算的数据。公司最终 实施利润分配的分配总额，将以利润分配方案实施时股权登记日的股本为基数计算。</w:t>
      </w:r>
    </w:p>
    <w:p>
      <w:pPr>
        <w:pStyle w:val="BodyText"/>
        <w:spacing w:line="240" w:lineRule="auto" w:before="72"/>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w:t>
      </w:r>
      <w:r>
        <w:rPr>
          <w:spacing w:val="-89"/>
        </w:rPr>
        <w:t>）</w:t>
      </w:r>
      <w:r>
        <w:rPr/>
        <w:t>、资本公积金转增股本方案（预案）情况</w:t>
      </w:r>
    </w:p>
    <w:p>
      <w:pPr>
        <w:pStyle w:val="BodyText"/>
        <w:spacing w:line="240" w:lineRule="auto" w:before="101"/>
        <w:ind w:left="47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年度利润分配方案</w:t>
      </w:r>
    </w:p>
    <w:p>
      <w:pPr>
        <w:pStyle w:val="BodyText"/>
        <w:spacing w:line="300" w:lineRule="auto" w:before="63"/>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w:t>
      </w:r>
      <w:r>
        <w:rPr>
          <w:rFonts w:ascii="Times New Roman" w:hAnsi="Times New Roman" w:cs="Times New Roman" w:eastAsia="Times New Roman" w:hint="default"/>
          <w:spacing w:val="-2"/>
        </w:rPr>
        <w:t>2017</w:t>
      </w:r>
      <w:r>
        <w:rPr>
          <w:spacing w:val="-2"/>
        </w:rPr>
        <w:t>年度股东大会审议通过了《关于公司</w:t>
      </w:r>
      <w:r>
        <w:rPr>
          <w:rFonts w:ascii="Times New Roman" w:hAnsi="Times New Roman" w:cs="Times New Roman" w:eastAsia="Times New Roman" w:hint="default"/>
          <w:spacing w:val="-2"/>
        </w:rPr>
        <w:t>2017</w:t>
      </w:r>
      <w:r>
        <w:rPr>
          <w:spacing w:val="-2"/>
        </w:rPr>
        <w:t>年度利润分配方案的议案》：以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日总股</w:t>
      </w:r>
      <w:r>
        <w:rPr/>
        <w:t> </w:t>
      </w:r>
      <w:r>
        <w:rPr>
          <w:spacing w:val="-1"/>
        </w:rPr>
        <w:t>本</w:t>
      </w:r>
      <w:r>
        <w:rPr>
          <w:rFonts w:ascii="Times New Roman" w:hAnsi="Times New Roman" w:cs="Times New Roman" w:eastAsia="Times New Roman" w:hint="default"/>
          <w:spacing w:val="-1"/>
        </w:rPr>
        <w:t>1,615,876,796</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0.15</w:t>
      </w:r>
      <w:r>
        <w:rPr>
          <w:spacing w:val="-1"/>
        </w:rPr>
        <w:t>元（含税），共派发现金股利人民币</w:t>
      </w:r>
      <w:r>
        <w:rPr>
          <w:rFonts w:ascii="Times New Roman" w:hAnsi="Times New Roman" w:cs="Times New Roman" w:eastAsia="Times New Roman" w:hint="default"/>
          <w:spacing w:val="-1"/>
        </w:rPr>
        <w:t>24,238,151.94</w:t>
      </w:r>
      <w:r>
        <w:rPr>
          <w:spacing w:val="-1"/>
        </w:rPr>
        <w:t>元。</w:t>
      </w:r>
      <w:r>
        <w:rPr>
          <w:spacing w:val="-68"/>
        </w:rPr>
        <w:t> </w:t>
      </w:r>
      <w:r>
        <w:rPr/>
        <w:t>本次利润分配方案已于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日实施完毕。</w:t>
      </w:r>
    </w:p>
    <w:p>
      <w:pPr>
        <w:pStyle w:val="BodyText"/>
        <w:spacing w:line="240" w:lineRule="auto" w:before="13"/>
        <w:ind w:left="47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年度利润分配方案</w:t>
      </w:r>
    </w:p>
    <w:p>
      <w:pPr>
        <w:pStyle w:val="BodyText"/>
        <w:spacing w:line="304" w:lineRule="auto" w:before="63"/>
        <w:ind w:right="0"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日，公司</w:t>
      </w:r>
      <w:r>
        <w:rPr>
          <w:rFonts w:ascii="Times New Roman" w:hAnsi="Times New Roman" w:cs="Times New Roman" w:eastAsia="Times New Roman" w:hint="default"/>
          <w:spacing w:val="-2"/>
        </w:rPr>
        <w:t>2018</w:t>
      </w:r>
      <w:r>
        <w:rPr>
          <w:spacing w:val="-2"/>
        </w:rPr>
        <w:t>年度股东大会审议通过了《关于公司</w:t>
      </w:r>
      <w:r>
        <w:rPr>
          <w:rFonts w:ascii="Times New Roman" w:hAnsi="Times New Roman" w:cs="Times New Roman" w:eastAsia="Times New Roman" w:hint="default"/>
          <w:spacing w:val="-2"/>
        </w:rPr>
        <w:t>2018</w:t>
      </w:r>
      <w:r>
        <w:rPr>
          <w:spacing w:val="-2"/>
        </w:rPr>
        <w:t>年度利润分配方案的议案》：以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日总股</w:t>
      </w:r>
      <w:r>
        <w:rPr/>
        <w:t> </w:t>
      </w:r>
      <w:r>
        <w:rPr>
          <w:spacing w:val="-1"/>
        </w:rPr>
        <w:t>本</w:t>
      </w:r>
      <w:r>
        <w:rPr>
          <w:rFonts w:ascii="Times New Roman" w:hAnsi="Times New Roman" w:cs="Times New Roman" w:eastAsia="Times New Roman" w:hint="default"/>
          <w:spacing w:val="-1"/>
        </w:rPr>
        <w:t>1,622,918,356</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0.20</w:t>
      </w:r>
      <w:r>
        <w:rPr>
          <w:spacing w:val="-1"/>
        </w:rPr>
        <w:t>元（含税），共派发现金股利人民币</w:t>
      </w:r>
      <w:r>
        <w:rPr>
          <w:rFonts w:ascii="Times New Roman" w:hAnsi="Times New Roman" w:cs="Times New Roman" w:eastAsia="Times New Roman" w:hint="default"/>
          <w:spacing w:val="-1"/>
        </w:rPr>
        <w:t>32,458,367.12</w:t>
      </w:r>
      <w:r>
        <w:rPr>
          <w:spacing w:val="-1"/>
        </w:rPr>
        <w:t>元。</w:t>
      </w:r>
      <w:r>
        <w:rPr>
          <w:spacing w:val="-68"/>
        </w:rPr>
        <w:t> </w:t>
      </w:r>
      <w:r>
        <w:rPr>
          <w:spacing w:val="-2"/>
        </w:rPr>
        <w:t>在利润分配预案披露至实施期间，公司股本总额若因新增股份上市、股权激励授予行权、可转债转股、股份回购等事项发生</w:t>
      </w:r>
      <w:r>
        <w:rPr>
          <w:spacing w:val="-64"/>
        </w:rPr>
        <w:t> </w:t>
      </w:r>
      <w:r>
        <w:rPr>
          <w:spacing w:val="-64"/>
        </w:rPr>
      </w:r>
      <w:r>
        <w:rPr>
          <w:spacing w:val="-4"/>
        </w:rPr>
        <w:t>变化，将按照现金分红总额不变的原则对分配比例进行相应调整。调整后的利润分配方案为：以公司现有总股本</w:t>
      </w:r>
      <w:r>
        <w:rPr>
          <w:rFonts w:ascii="Times New Roman" w:hAnsi="Times New Roman" w:cs="Times New Roman" w:eastAsia="Times New Roman" w:hint="default"/>
          <w:spacing w:val="-4"/>
        </w:rPr>
        <w:t>1,624,491,733</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0.199806</w:t>
      </w:r>
      <w:r>
        <w:rPr/>
        <w:t>元（含税）。本次利润分配方案已于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日实施完毕。</w:t>
      </w:r>
    </w:p>
    <w:p>
      <w:pPr>
        <w:pStyle w:val="BodyText"/>
        <w:spacing w:line="240" w:lineRule="auto" w:before="9"/>
        <w:ind w:left="472"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年度利润分配预案</w:t>
      </w:r>
    </w:p>
    <w:p>
      <w:pPr>
        <w:pStyle w:val="BodyText"/>
        <w:spacing w:line="300" w:lineRule="auto" w:before="63"/>
        <w:ind w:right="1130" w:firstLine="36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日，公司第四届董事会第二十二次会议审议通过了《关于公司</w:t>
      </w:r>
      <w:r>
        <w:rPr>
          <w:rFonts w:ascii="Times New Roman" w:hAnsi="Times New Roman" w:cs="Times New Roman" w:eastAsia="Times New Roman" w:hint="default"/>
          <w:spacing w:val="-2"/>
        </w:rPr>
        <w:t>2019</w:t>
      </w:r>
      <w:r>
        <w:rPr>
          <w:spacing w:val="-2"/>
        </w:rPr>
        <w:t>年度利润分配预案的议案》，以实施权益</w:t>
      </w:r>
      <w:r>
        <w:rPr/>
        <w:t> </w:t>
      </w:r>
      <w:r>
        <w:rPr>
          <w:spacing w:val="-1"/>
        </w:rPr>
        <w:t>分派股权登记日的总股本为基数，向全体股东每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0.25</w:t>
      </w:r>
      <w:r>
        <w:rPr>
          <w:spacing w:val="-1"/>
        </w:rPr>
        <w:t>元（含税），同时以资本公积金向全体股东每</w:t>
      </w:r>
      <w:r>
        <w:rPr>
          <w:spacing w:val="-73"/>
        </w:rPr>
        <w:t> </w:t>
      </w:r>
      <w:r>
        <w:rPr>
          <w:spacing w:val="-73"/>
        </w:rPr>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股。在利润分配预案披露日至实施权益分派股权登记日期间，公司股本总额若因新增股份上市、股权激励授予行</w:t>
      </w:r>
      <w:r>
        <w:rPr>
          <w:spacing w:val="-85"/>
        </w:rPr>
        <w:t> </w:t>
      </w:r>
      <w:r>
        <w:rPr>
          <w:spacing w:val="-85"/>
        </w:rPr>
      </w:r>
      <w:r>
        <w:rPr/>
        <w:t>权、可转债转股、股份回购等事项发生变化，公司将维持每股分配比例不变，相应调整分配总额。该事项尚需经公司</w:t>
      </w:r>
      <w:r>
        <w:rPr>
          <w:rFonts w:ascii="Times New Roman" w:hAnsi="Times New Roman" w:cs="Times New Roman" w:eastAsia="Times New Roman" w:hint="default"/>
        </w:rPr>
        <w:t>2019</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年度股东大会批准后实施。</w:t>
      </w:r>
    </w:p>
    <w:p>
      <w:pPr>
        <w:pStyle w:val="BodyText"/>
        <w:spacing w:line="240" w:lineRule="auto" w:before="72"/>
        <w:ind w:right="0"/>
        <w:jc w:val="left"/>
      </w:pPr>
      <w:r>
        <w:rPr/>
        <w:t>公司近三年（包括本报告期）普通股现金分红情况表</w:t>
      </w:r>
    </w:p>
    <w:p>
      <w:pPr>
        <w:pStyle w:val="BodyText"/>
        <w:spacing w:line="240" w:lineRule="auto" w:before="117"/>
        <w:ind w:left="0" w:right="1132"/>
        <w:jc w:val="right"/>
      </w:pPr>
      <w:r>
        <w:rPr/>
        <w:t>单位：元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27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5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3"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3" w:right="51" w:hanging="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2" w:right="52"/>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3" w:right="141" w:hanging="272"/>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51" w:hanging="3"/>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41,032,893.65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398,420,733.04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41,032,893.65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32,458,367.12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303,305,204.12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32,458,367.12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10.70%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24,238,151.94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229,039,873.76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24,238,151.94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10.58%</w:t>
            </w:r>
          </w:p>
        </w:tc>
      </w:tr>
    </w:tbl>
    <w:p>
      <w:pPr>
        <w:pStyle w:val="BodyText"/>
        <w:spacing w:line="240" w:lineRule="auto" w:before="50"/>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pict>
          <v:shape style="position:absolute;margin-left:305.158997pt;margin-top:93.41172pt;width:62.1pt;height:298.55pt;mso-position-horizontal-relative:page;mso-position-vertical-relative:paragraph;z-index:-12727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r>
        <w:rPr/>
        <w:pict>
          <v:group style="position:absolute;margin-left:311.200012pt;margin-top:93.41172pt;width:56.05pt;height:298.650pt;mso-position-horizontal-relative:page;mso-position-vertical-relative:paragraph;z-index:-1272736" coordorigin="6224,1868" coordsize="1121,5973">
            <v:shape style="position:absolute;left:6224;top:1868;width:1121;height:5973" coordorigin="6224,1868" coordsize="1121,5973" path="m6224,1868l7345,1868,7345,7841,6224,7841,6224,1868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97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3" w:right="9"/>
              <w:jc w:val="both"/>
              <w:rPr>
                <w:rFonts w:ascii="宋体" w:hAnsi="宋体" w:cs="宋体" w:eastAsia="宋体" w:hint="default"/>
                <w:sz w:val="18"/>
                <w:szCs w:val="18"/>
              </w:rPr>
            </w:pPr>
            <w:r>
              <w:rPr>
                <w:rFonts w:ascii="宋体" w:hAnsi="宋体" w:cs="宋体" w:eastAsia="宋体" w:hint="default"/>
                <w:sz w:val="18"/>
                <w:szCs w:val="18"/>
              </w:rPr>
              <w:t>周炜、王英、 刘宁、孙凯、 张士英、陈建 国、贾按师、 凌</w:t>
            </w:r>
            <w:r>
              <w:rPr>
                <w:rFonts w:ascii="宋体" w:hAnsi="宋体" w:cs="宋体" w:eastAsia="宋体" w:hint="default"/>
                <w:spacing w:val="-47"/>
                <w:sz w:val="18"/>
                <w:szCs w:val="18"/>
              </w:rPr>
              <w:t> </w:t>
            </w:r>
            <w:r>
              <w:rPr>
                <w:rFonts w:ascii="宋体" w:hAnsi="宋体" w:cs="宋体" w:eastAsia="宋体" w:hint="default"/>
                <w:sz w:val="18"/>
                <w:szCs w:val="18"/>
              </w:rPr>
              <w:t>红</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胡</w:t>
            </w:r>
            <w:r>
              <w:rPr>
                <w:rFonts w:ascii="宋体" w:hAnsi="宋体" w:cs="宋体" w:eastAsia="宋体" w:hint="default"/>
                <w:spacing w:val="-50"/>
                <w:sz w:val="18"/>
                <w:szCs w:val="18"/>
              </w:rPr>
              <w:t> </w:t>
            </w:r>
            <w:r>
              <w:rPr>
                <w:rFonts w:ascii="宋体" w:hAnsi="宋体" w:cs="宋体" w:eastAsia="宋体" w:hint="default"/>
                <w:sz w:val="18"/>
                <w:szCs w:val="18"/>
              </w:rPr>
              <w:t>美</w:t>
            </w:r>
            <w:r>
              <w:rPr>
                <w:rFonts w:ascii="宋体" w:hAnsi="宋体" w:cs="宋体" w:eastAsia="宋体" w:hint="default"/>
                <w:sz w:val="18"/>
                <w:szCs w:val="18"/>
              </w:rPr>
              <w:t> 珍、范钧、曾 刚琴、韩伟、 黄</w:t>
            </w:r>
            <w:r>
              <w:rPr>
                <w:rFonts w:ascii="宋体" w:hAnsi="宋体" w:cs="宋体" w:eastAsia="宋体" w:hint="default"/>
                <w:spacing w:val="-47"/>
                <w:sz w:val="18"/>
                <w:szCs w:val="18"/>
              </w:rPr>
              <w:t> </w:t>
            </w:r>
            <w:r>
              <w:rPr>
                <w:rFonts w:ascii="宋体" w:hAnsi="宋体" w:cs="宋体" w:eastAsia="宋体" w:hint="default"/>
                <w:sz w:val="18"/>
                <w:szCs w:val="18"/>
              </w:rPr>
              <w:t>晓</w:t>
            </w:r>
            <w:r>
              <w:rPr>
                <w:rFonts w:ascii="宋体" w:hAnsi="宋体" w:cs="宋体" w:eastAsia="宋体" w:hint="default"/>
                <w:spacing w:val="-50"/>
                <w:sz w:val="18"/>
                <w:szCs w:val="18"/>
              </w:rPr>
              <w:t> </w:t>
            </w:r>
            <w:r>
              <w:rPr>
                <w:rFonts w:ascii="宋体" w:hAnsi="宋体" w:cs="宋体" w:eastAsia="宋体" w:hint="default"/>
                <w:sz w:val="18"/>
                <w:szCs w:val="18"/>
              </w:rPr>
              <w:t>怡</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靳</w:t>
            </w:r>
            <w:r>
              <w:rPr>
                <w:rFonts w:ascii="宋体" w:hAnsi="宋体" w:cs="宋体" w:eastAsia="宋体" w:hint="default"/>
                <w:sz w:val="18"/>
                <w:szCs w:val="18"/>
              </w:rPr>
              <w:t> 茂、周洪、付 春林、付晖、 黄克华、孙超 仁、邓荣华、 陈军华、熊海 浪、艾国光、 汪国亮、阚家 平、李继东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、关于同业 竞争、关联交 易、资金占用 方面的承诺；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、其他承诺</w:t>
            </w:r>
          </w:p>
          <w:p>
            <w:pPr>
              <w:pStyle w:val="TableParagraph"/>
              <w:spacing w:line="300" w:lineRule="auto" w:before="1"/>
              <w:ind w:left="24"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、股份限售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（一）避免同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r>
              <w:rPr>
                <w:rFonts w:ascii="宋体" w:hAnsi="宋体" w:cs="宋体" w:eastAsia="宋体" w:hint="default"/>
                <w:spacing w:val="-47"/>
                <w:sz w:val="18"/>
                <w:szCs w:val="18"/>
              </w:rPr>
              <w:t> </w:t>
            </w:r>
            <w:r>
              <w:rPr>
                <w:rFonts w:ascii="宋体" w:hAnsi="宋体" w:cs="宋体" w:eastAsia="宋体" w:hint="default"/>
                <w:sz w:val="18"/>
                <w:szCs w:val="18"/>
              </w:rPr>
              <w:t>竞</w:t>
            </w:r>
            <w:r>
              <w:rPr>
                <w:rFonts w:ascii="宋体" w:hAnsi="宋体" w:cs="宋体" w:eastAsia="宋体" w:hint="default"/>
                <w:spacing w:val="-50"/>
                <w:sz w:val="18"/>
                <w:szCs w:val="18"/>
              </w:rPr>
              <w:t> </w:t>
            </w:r>
            <w:r>
              <w:rPr>
                <w:rFonts w:ascii="宋体" w:hAnsi="宋体" w:cs="宋体" w:eastAsia="宋体" w:hint="default"/>
                <w:sz w:val="18"/>
                <w:szCs w:val="18"/>
              </w:rPr>
              <w:t>争</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、发行人</w:t>
            </w:r>
            <w:r>
              <w:rPr>
                <w:rFonts w:ascii="宋体" w:hAnsi="宋体" w:cs="宋体" w:eastAsia="宋体" w:hint="default"/>
                <w:sz w:val="18"/>
                <w:szCs w:val="18"/>
              </w:rPr>
              <w:t> </w:t>
            </w:r>
            <w:r>
              <w:rPr>
                <w:rFonts w:ascii="宋体" w:hAnsi="宋体" w:cs="宋体" w:eastAsia="宋体" w:hint="default"/>
                <w:spacing w:val="-2"/>
                <w:sz w:val="18"/>
                <w:szCs w:val="18"/>
              </w:rPr>
              <w:t>控股股东、实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pacing w:val="-50"/>
                <w:sz w:val="18"/>
                <w:szCs w:val="18"/>
              </w:rPr>
              <w:t> </w:t>
            </w:r>
            <w:r>
              <w:rPr>
                <w:rFonts w:ascii="宋体" w:hAnsi="宋体" w:cs="宋体" w:eastAsia="宋体" w:hint="default"/>
                <w:sz w:val="18"/>
                <w:szCs w:val="18"/>
              </w:rPr>
              <w:t>制</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周</w:t>
            </w:r>
            <w:r>
              <w:rPr>
                <w:rFonts w:ascii="宋体" w:hAnsi="宋体" w:cs="宋体" w:eastAsia="宋体" w:hint="default"/>
                <w:sz w:val="18"/>
                <w:szCs w:val="18"/>
              </w:rPr>
              <w:t> </w:t>
            </w:r>
            <w:r>
              <w:rPr>
                <w:rFonts w:ascii="宋体" w:hAnsi="宋体" w:cs="宋体" w:eastAsia="宋体" w:hint="default"/>
                <w:spacing w:val="-2"/>
                <w:sz w:val="18"/>
                <w:szCs w:val="18"/>
              </w:rPr>
              <w:t>炜、王英夫妇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w:t>
            </w:r>
            <w:r>
              <w:rPr>
                <w:rFonts w:ascii="宋体" w:hAnsi="宋体" w:cs="宋体" w:eastAsia="宋体" w:hint="default"/>
                <w:spacing w:val="-47"/>
                <w:sz w:val="18"/>
                <w:szCs w:val="18"/>
              </w:rPr>
              <w:t> </w:t>
            </w: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宋体" w:hAnsi="宋体" w:cs="宋体" w:eastAsia="宋体" w:hint="default"/>
                <w:sz w:val="18"/>
                <w:szCs w:val="18"/>
              </w:rPr>
              <w:t>避</w:t>
            </w:r>
            <w:r>
              <w:rPr>
                <w:rFonts w:ascii="宋体" w:hAnsi="宋体" w:cs="宋体" w:eastAsia="宋体" w:hint="default"/>
                <w:spacing w:val="-47"/>
                <w:sz w:val="18"/>
                <w:szCs w:val="18"/>
              </w:rPr>
              <w:t> </w:t>
            </w:r>
            <w:r>
              <w:rPr>
                <w:rFonts w:ascii="宋体" w:hAnsi="宋体" w:cs="宋体" w:eastAsia="宋体" w:hint="default"/>
                <w:sz w:val="18"/>
                <w:szCs w:val="18"/>
              </w:rPr>
              <w:t>免</w:t>
            </w:r>
            <w:r>
              <w:rPr>
                <w:rFonts w:ascii="宋体" w:hAnsi="宋体" w:cs="宋体" w:eastAsia="宋体" w:hint="default"/>
                <w:spacing w:val="-47"/>
                <w:sz w:val="18"/>
                <w:szCs w:val="18"/>
              </w:rPr>
              <w:t> </w:t>
            </w:r>
            <w:r>
              <w:rPr>
                <w:rFonts w:ascii="宋体" w:hAnsi="宋体" w:cs="宋体" w:eastAsia="宋体" w:hint="default"/>
                <w:sz w:val="18"/>
                <w:szCs w:val="18"/>
              </w:rPr>
              <w:t>同</w:t>
            </w:r>
            <w:r>
              <w:rPr>
                <w:rFonts w:ascii="宋体" w:hAnsi="宋体" w:cs="宋体" w:eastAsia="宋体" w:hint="default"/>
                <w:sz w:val="18"/>
                <w:szCs w:val="18"/>
              </w:rPr>
              <w:t> 业</w:t>
            </w:r>
            <w:r>
              <w:rPr>
                <w:rFonts w:ascii="宋体" w:hAnsi="宋体" w:cs="宋体" w:eastAsia="宋体" w:hint="default"/>
                <w:spacing w:val="-47"/>
                <w:sz w:val="18"/>
                <w:szCs w:val="18"/>
              </w:rPr>
              <w:t> </w:t>
            </w:r>
            <w:r>
              <w:rPr>
                <w:rFonts w:ascii="宋体" w:hAnsi="宋体" w:cs="宋体" w:eastAsia="宋体" w:hint="default"/>
                <w:sz w:val="18"/>
                <w:szCs w:val="18"/>
              </w:rPr>
              <w:t>竞</w:t>
            </w:r>
            <w:r>
              <w:rPr>
                <w:rFonts w:ascii="宋体" w:hAnsi="宋体" w:cs="宋体" w:eastAsia="宋体" w:hint="default"/>
                <w:spacing w:val="-50"/>
                <w:sz w:val="18"/>
                <w:szCs w:val="18"/>
              </w:rPr>
              <w:t> </w:t>
            </w:r>
            <w:r>
              <w:rPr>
                <w:rFonts w:ascii="宋体" w:hAnsi="宋体" w:cs="宋体" w:eastAsia="宋体" w:hint="default"/>
                <w:sz w:val="18"/>
                <w:szCs w:val="18"/>
              </w:rPr>
              <w:t>争</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承</w:t>
            </w:r>
            <w:r>
              <w:rPr>
                <w:rFonts w:ascii="宋体" w:hAnsi="宋体" w:cs="宋体" w:eastAsia="宋体" w:hint="default"/>
                <w:sz w:val="18"/>
                <w:szCs w:val="18"/>
              </w:rPr>
              <w:t> 诺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6</w:t>
            </w:r>
          </w:p>
          <w:p>
            <w:pPr>
              <w:pStyle w:val="TableParagraph"/>
              <w:spacing w:line="312" w:lineRule="auto"/>
              <w:ind w:left="23" w:right="1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w:t>
            </w:r>
            <w:r>
              <w:rPr>
                <w:rFonts w:ascii="宋体" w:hAnsi="宋体" w:cs="宋体" w:eastAsia="宋体" w:hint="default"/>
                <w:sz w:val="18"/>
                <w:szCs w:val="18"/>
              </w:rPr>
              <w:t> 司控股股东、 实</w:t>
            </w:r>
            <w:r>
              <w:rPr>
                <w:rFonts w:ascii="宋体" w:hAnsi="宋体" w:cs="宋体" w:eastAsia="宋体" w:hint="default"/>
                <w:spacing w:val="-47"/>
                <w:sz w:val="18"/>
                <w:szCs w:val="18"/>
              </w:rPr>
              <w:t> </w:t>
            </w:r>
            <w:r>
              <w:rPr>
                <w:rFonts w:ascii="宋体" w:hAnsi="宋体" w:cs="宋体" w:eastAsia="宋体" w:hint="default"/>
                <w:sz w:val="18"/>
                <w:szCs w:val="18"/>
              </w:rPr>
              <w:t>际</w:t>
            </w:r>
            <w:r>
              <w:rPr>
                <w:rFonts w:ascii="宋体" w:hAnsi="宋体" w:cs="宋体" w:eastAsia="宋体" w:hint="default"/>
                <w:spacing w:val="-50"/>
                <w:sz w:val="18"/>
                <w:szCs w:val="18"/>
              </w:rPr>
              <w:t> </w:t>
            </w:r>
            <w:r>
              <w:rPr>
                <w:rFonts w:ascii="宋体" w:hAnsi="宋体" w:cs="宋体" w:eastAsia="宋体" w:hint="default"/>
                <w:sz w:val="18"/>
                <w:szCs w:val="18"/>
              </w:rPr>
              <w:t>控</w:t>
            </w:r>
            <w:r>
              <w:rPr>
                <w:rFonts w:ascii="宋体" w:hAnsi="宋体" w:cs="宋体" w:eastAsia="宋体" w:hint="default"/>
                <w:spacing w:val="-47"/>
                <w:sz w:val="18"/>
                <w:szCs w:val="18"/>
              </w:rPr>
              <w:t> </w:t>
            </w:r>
            <w:r>
              <w:rPr>
                <w:rFonts w:ascii="宋体" w:hAnsi="宋体" w:cs="宋体" w:eastAsia="宋体" w:hint="default"/>
                <w:sz w:val="18"/>
                <w:szCs w:val="18"/>
              </w:rPr>
              <w:t>制</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z w:val="18"/>
                <w:szCs w:val="18"/>
              </w:rPr>
              <w:t> 周炜、王英夫 妇</w:t>
            </w:r>
            <w:r>
              <w:rPr>
                <w:rFonts w:ascii="宋体" w:hAnsi="宋体" w:cs="宋体" w:eastAsia="宋体" w:hint="default"/>
                <w:spacing w:val="-47"/>
                <w:sz w:val="18"/>
                <w:szCs w:val="18"/>
              </w:rPr>
              <w:t> </w:t>
            </w:r>
            <w:r>
              <w:rPr>
                <w:rFonts w:ascii="宋体" w:hAnsi="宋体" w:cs="宋体" w:eastAsia="宋体" w:hint="default"/>
                <w:sz w:val="18"/>
                <w:szCs w:val="18"/>
              </w:rPr>
              <w:t>向</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出</w:t>
            </w:r>
            <w:r>
              <w:rPr>
                <w:rFonts w:ascii="宋体" w:hAnsi="宋体" w:cs="宋体" w:eastAsia="宋体" w:hint="default"/>
                <w:sz w:val="18"/>
                <w:szCs w:val="18"/>
              </w:rPr>
              <w:t> 具</w:t>
            </w:r>
            <w:r>
              <w:rPr>
                <w:rFonts w:ascii="宋体" w:hAnsi="宋体" w:cs="宋体" w:eastAsia="宋体" w:hint="default"/>
                <w:spacing w:val="-47"/>
                <w:sz w:val="18"/>
                <w:szCs w:val="18"/>
              </w:rPr>
              <w:t> </w:t>
            </w:r>
            <w:r>
              <w:rPr>
                <w:rFonts w:ascii="宋体" w:hAnsi="宋体" w:cs="宋体" w:eastAsia="宋体" w:hint="default"/>
                <w:sz w:val="18"/>
                <w:szCs w:val="18"/>
              </w:rPr>
              <w:t>了</w:t>
            </w:r>
            <w:r>
              <w:rPr>
                <w:rFonts w:ascii="宋体" w:hAnsi="宋体" w:cs="宋体" w:eastAsia="宋体" w:hint="default"/>
                <w:spacing w:val="-50"/>
                <w:sz w:val="18"/>
                <w:szCs w:val="18"/>
              </w:rPr>
              <w:t> </w:t>
            </w:r>
            <w:r>
              <w:rPr>
                <w:rFonts w:ascii="宋体" w:hAnsi="宋体" w:cs="宋体" w:eastAsia="宋体" w:hint="default"/>
                <w:sz w:val="18"/>
                <w:szCs w:val="18"/>
              </w:rPr>
              <w:t>避</w:t>
            </w:r>
            <w:r>
              <w:rPr>
                <w:rFonts w:ascii="宋体" w:hAnsi="宋体" w:cs="宋体" w:eastAsia="宋体" w:hint="default"/>
                <w:spacing w:val="-47"/>
                <w:sz w:val="18"/>
                <w:szCs w:val="18"/>
              </w:rPr>
              <w:t> </w:t>
            </w:r>
            <w:r>
              <w:rPr>
                <w:rFonts w:ascii="宋体" w:hAnsi="宋体" w:cs="宋体" w:eastAsia="宋体" w:hint="default"/>
                <w:sz w:val="18"/>
                <w:szCs w:val="18"/>
              </w:rPr>
              <w:t>免</w:t>
            </w:r>
            <w:r>
              <w:rPr>
                <w:rFonts w:ascii="宋体" w:hAnsi="宋体" w:cs="宋体" w:eastAsia="宋体" w:hint="default"/>
                <w:spacing w:val="-47"/>
                <w:sz w:val="18"/>
                <w:szCs w:val="18"/>
              </w:rPr>
              <w:t> </w:t>
            </w:r>
            <w:r>
              <w:rPr>
                <w:rFonts w:ascii="宋体" w:hAnsi="宋体" w:cs="宋体" w:eastAsia="宋体" w:hint="default"/>
                <w:sz w:val="18"/>
                <w:szCs w:val="18"/>
              </w:rPr>
              <w:t>同</w:t>
            </w:r>
            <w:r>
              <w:rPr>
                <w:rFonts w:ascii="宋体" w:hAnsi="宋体" w:cs="宋体" w:eastAsia="宋体" w:hint="default"/>
                <w:sz w:val="18"/>
                <w:szCs w:val="18"/>
              </w:rPr>
              <w:t> 业竞争的《承 </w:t>
            </w:r>
            <w:r>
              <w:rPr>
                <w:rFonts w:ascii="宋体" w:hAnsi="宋体" w:cs="宋体" w:eastAsia="宋体" w:hint="default"/>
                <w:spacing w:val="-15"/>
                <w:sz w:val="18"/>
                <w:szCs w:val="18"/>
              </w:rPr>
              <w:t>诺函》。</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股超过</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的 其</w:t>
            </w:r>
            <w:r>
              <w:rPr>
                <w:rFonts w:ascii="宋体" w:hAnsi="宋体" w:cs="宋体" w:eastAsia="宋体" w:hint="default"/>
                <w:spacing w:val="-47"/>
                <w:sz w:val="18"/>
                <w:szCs w:val="18"/>
              </w:rPr>
              <w:t> </w:t>
            </w:r>
            <w:r>
              <w:rPr>
                <w:rFonts w:ascii="宋体" w:hAnsi="宋体" w:cs="宋体" w:eastAsia="宋体" w:hint="default"/>
                <w:sz w:val="18"/>
                <w:szCs w:val="18"/>
              </w:rPr>
              <w:t>他</w:t>
            </w:r>
            <w:r>
              <w:rPr>
                <w:rFonts w:ascii="宋体" w:hAnsi="宋体" w:cs="宋体" w:eastAsia="宋体" w:hint="default"/>
                <w:spacing w:val="-50"/>
                <w:sz w:val="18"/>
                <w:szCs w:val="18"/>
              </w:rPr>
              <w:t> </w:t>
            </w:r>
            <w:r>
              <w:rPr>
                <w:rFonts w:ascii="宋体" w:hAnsi="宋体" w:cs="宋体" w:eastAsia="宋体" w:hint="default"/>
                <w:sz w:val="18"/>
                <w:szCs w:val="18"/>
              </w:rPr>
              <w:t>主</w:t>
            </w:r>
            <w:r>
              <w:rPr>
                <w:rFonts w:ascii="宋体" w:hAnsi="宋体" w:cs="宋体" w:eastAsia="宋体" w:hint="default"/>
                <w:spacing w:val="-47"/>
                <w:sz w:val="18"/>
                <w:szCs w:val="18"/>
              </w:rPr>
              <w:t> </w:t>
            </w:r>
            <w:r>
              <w:rPr>
                <w:rFonts w:ascii="宋体" w:hAnsi="宋体" w:cs="宋体" w:eastAsia="宋体" w:hint="default"/>
                <w:sz w:val="18"/>
                <w:szCs w:val="18"/>
              </w:rPr>
              <w:t>要</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
              <w:jc w:val="both"/>
              <w:rPr>
                <w:rFonts w:ascii="宋体" w:hAnsi="宋体" w:cs="宋体" w:eastAsia="宋体" w:hint="default"/>
                <w:sz w:val="18"/>
                <w:szCs w:val="18"/>
              </w:rPr>
            </w:pPr>
            <w:r>
              <w:rPr>
                <w:rFonts w:ascii="宋体" w:hAnsi="宋体" w:cs="宋体" w:eastAsia="宋体" w:hint="default"/>
                <w:spacing w:val="-3"/>
                <w:sz w:val="18"/>
                <w:szCs w:val="18"/>
              </w:rPr>
              <w:t>一）避免同业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竞争的承诺： </w:t>
            </w:r>
            <w:r>
              <w:rPr>
                <w:rFonts w:ascii="宋体" w:hAnsi="宋体" w:cs="宋体" w:eastAsia="宋体" w:hint="default"/>
                <w:spacing w:val="7"/>
                <w:sz w:val="18"/>
                <w:szCs w:val="18"/>
              </w:rPr>
              <w:t>长期</w:t>
            </w:r>
            <w:r>
              <w:rPr>
                <w:rFonts w:ascii="宋体" w:hAnsi="宋体" w:cs="宋体" w:eastAsia="宋体" w:hint="default"/>
                <w:spacing w:val="-73"/>
                <w:sz w:val="18"/>
                <w:szCs w:val="18"/>
              </w:rPr>
              <w:t> </w:t>
            </w:r>
            <w:r>
              <w:rPr>
                <w:rFonts w:ascii="宋体" w:hAnsi="宋体" w:cs="宋体" w:eastAsia="宋体" w:hint="default"/>
                <w:spacing w:val="-13"/>
                <w:sz w:val="18"/>
                <w:szCs w:val="18"/>
              </w:rPr>
              <w:t>。（二）</w:t>
            </w:r>
            <w:r>
              <w:rPr>
                <w:rFonts w:ascii="宋体" w:hAnsi="宋体" w:cs="宋体" w:eastAsia="宋体" w:hint="default"/>
                <w:sz w:val="18"/>
                <w:szCs w:val="18"/>
              </w:rPr>
              <w:t> 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r>
              <w:rPr>
                <w:rFonts w:ascii="宋体" w:hAnsi="宋体" w:cs="宋体" w:eastAsia="宋体" w:hint="default"/>
                <w:spacing w:val="-3"/>
                <w:sz w:val="18"/>
                <w:szCs w:val="18"/>
              </w:rPr>
              <w:t>股东、实际控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50"/>
                <w:sz w:val="18"/>
                <w:szCs w:val="18"/>
              </w:rPr>
              <w:t> </w:t>
            </w:r>
            <w:r>
              <w:rPr>
                <w:rFonts w:ascii="宋体" w:hAnsi="宋体" w:cs="宋体" w:eastAsia="宋体" w:hint="default"/>
                <w:sz w:val="18"/>
                <w:szCs w:val="18"/>
              </w:rPr>
              <w:t>关</w:t>
            </w:r>
            <w:r>
              <w:rPr>
                <w:rFonts w:ascii="宋体" w:hAnsi="宋体" w:cs="宋体" w:eastAsia="宋体" w:hint="default"/>
                <w:spacing w:val="-47"/>
                <w:sz w:val="18"/>
                <w:szCs w:val="18"/>
              </w:rPr>
              <w:t> </w:t>
            </w: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宋体" w:hAnsi="宋体" w:cs="宋体" w:eastAsia="宋体" w:hint="default"/>
                <w:spacing w:val="-50"/>
                <w:sz w:val="18"/>
                <w:szCs w:val="18"/>
              </w:rPr>
              <w:t> </w:t>
            </w:r>
            <w:r>
              <w:rPr>
                <w:rFonts w:ascii="宋体" w:hAnsi="宋体" w:cs="宋体" w:eastAsia="宋体" w:hint="default"/>
                <w:sz w:val="18"/>
                <w:szCs w:val="18"/>
              </w:rPr>
              <w:t>对</w:t>
            </w:r>
            <w:r>
              <w:rPr>
                <w:rFonts w:ascii="宋体" w:hAnsi="宋体" w:cs="宋体" w:eastAsia="宋体" w:hint="default"/>
                <w:spacing w:val="-50"/>
                <w:sz w:val="18"/>
                <w:szCs w:val="18"/>
              </w:rPr>
              <w:t> </w:t>
            </w:r>
            <w:r>
              <w:rPr>
                <w:rFonts w:ascii="宋体" w:hAnsi="宋体" w:cs="宋体" w:eastAsia="宋体" w:hint="default"/>
                <w:sz w:val="18"/>
                <w:szCs w:val="18"/>
              </w:rPr>
              <w:t>外</w:t>
            </w:r>
            <w:r>
              <w:rPr>
                <w:rFonts w:ascii="宋体" w:hAnsi="宋体" w:cs="宋体" w:eastAsia="宋体" w:hint="default"/>
                <w:spacing w:val="-47"/>
                <w:sz w:val="18"/>
                <w:szCs w:val="18"/>
              </w:rPr>
              <w:t> </w:t>
            </w:r>
            <w:r>
              <w:rPr>
                <w:rFonts w:ascii="宋体" w:hAnsi="宋体" w:cs="宋体" w:eastAsia="宋体" w:hint="default"/>
                <w:sz w:val="18"/>
                <w:szCs w:val="18"/>
              </w:rPr>
              <w:t>担</w:t>
            </w:r>
            <w:r>
              <w:rPr>
                <w:rFonts w:ascii="宋体" w:hAnsi="宋体" w:cs="宋体" w:eastAsia="宋体" w:hint="default"/>
                <w:spacing w:val="-50"/>
                <w:sz w:val="18"/>
                <w:szCs w:val="18"/>
              </w:rPr>
              <w:t> </w:t>
            </w:r>
            <w:r>
              <w:rPr>
                <w:rFonts w:ascii="宋体" w:hAnsi="宋体" w:cs="宋体" w:eastAsia="宋体" w:hint="default"/>
                <w:sz w:val="18"/>
                <w:szCs w:val="18"/>
              </w:rPr>
              <w:t>保</w:t>
            </w:r>
            <w:r>
              <w:rPr>
                <w:rFonts w:ascii="宋体" w:hAnsi="宋体" w:cs="宋体" w:eastAsia="宋体" w:hint="default"/>
                <w:sz w:val="18"/>
                <w:szCs w:val="18"/>
              </w:rPr>
              <w:t> 和</w:t>
            </w:r>
            <w:r>
              <w:rPr>
                <w:rFonts w:ascii="宋体" w:hAnsi="宋体" w:cs="宋体" w:eastAsia="宋体" w:hint="default"/>
                <w:spacing w:val="-50"/>
                <w:sz w:val="18"/>
                <w:szCs w:val="18"/>
              </w:rPr>
              <w:t> </w:t>
            </w:r>
            <w:r>
              <w:rPr>
                <w:rFonts w:ascii="宋体" w:hAnsi="宋体" w:cs="宋体" w:eastAsia="宋体" w:hint="default"/>
                <w:sz w:val="18"/>
                <w:szCs w:val="18"/>
              </w:rPr>
              <w:t>资</w:t>
            </w:r>
            <w:r>
              <w:rPr>
                <w:rFonts w:ascii="宋体" w:hAnsi="宋体" w:cs="宋体" w:eastAsia="宋体" w:hint="default"/>
                <w:spacing w:val="-50"/>
                <w:sz w:val="18"/>
                <w:szCs w:val="18"/>
              </w:rPr>
              <w:t> </w:t>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宋体" w:hAnsi="宋体" w:cs="宋体" w:eastAsia="宋体" w:hint="default"/>
                <w:sz w:val="18"/>
                <w:szCs w:val="18"/>
              </w:rPr>
              <w:t>往</w:t>
            </w:r>
            <w:r>
              <w:rPr>
                <w:rFonts w:ascii="宋体" w:hAnsi="宋体" w:cs="宋体" w:eastAsia="宋体" w:hint="default"/>
                <w:spacing w:val="-50"/>
                <w:sz w:val="18"/>
                <w:szCs w:val="18"/>
              </w:rPr>
              <w:t> </w:t>
            </w:r>
            <w:r>
              <w:rPr>
                <w:rFonts w:ascii="宋体" w:hAnsi="宋体" w:cs="宋体" w:eastAsia="宋体" w:hint="default"/>
                <w:sz w:val="18"/>
                <w:szCs w:val="18"/>
              </w:rPr>
              <w:t>来</w:t>
            </w:r>
            <w:r>
              <w:rPr>
                <w:rFonts w:ascii="宋体" w:hAnsi="宋体" w:cs="宋体" w:eastAsia="宋体" w:hint="default"/>
                <w:sz w:val="18"/>
                <w:szCs w:val="18"/>
              </w:rPr>
              <w:t> 的</w:t>
            </w:r>
            <w:r>
              <w:rPr>
                <w:rFonts w:ascii="宋体" w:hAnsi="宋体" w:cs="宋体" w:eastAsia="宋体" w:hint="default"/>
                <w:spacing w:val="-50"/>
                <w:sz w:val="18"/>
                <w:szCs w:val="18"/>
              </w:rPr>
              <w:t> </w:t>
            </w:r>
            <w:r>
              <w:rPr>
                <w:rFonts w:ascii="宋体" w:hAnsi="宋体" w:cs="宋体" w:eastAsia="宋体" w:hint="default"/>
                <w:sz w:val="18"/>
                <w:szCs w:val="18"/>
              </w:rPr>
              <w:t>承</w:t>
            </w:r>
            <w:r>
              <w:rPr>
                <w:rFonts w:ascii="宋体" w:hAnsi="宋体" w:cs="宋体" w:eastAsia="宋体" w:hint="default"/>
                <w:spacing w:val="-50"/>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长</w:t>
            </w:r>
            <w:r>
              <w:rPr>
                <w:rFonts w:ascii="宋体" w:hAnsi="宋体" w:cs="宋体" w:eastAsia="宋体" w:hint="default"/>
                <w:sz w:val="18"/>
                <w:szCs w:val="18"/>
              </w:rPr>
              <w:t> </w:t>
            </w:r>
            <w:r>
              <w:rPr>
                <w:rFonts w:ascii="宋体" w:hAnsi="宋体" w:cs="宋体" w:eastAsia="宋体" w:hint="default"/>
                <w:spacing w:val="-7"/>
                <w:sz w:val="18"/>
                <w:szCs w:val="18"/>
              </w:rPr>
              <w:t>期。（三）</w:t>
            </w:r>
            <w:r>
              <w:rPr>
                <w:rFonts w:ascii="宋体" w:hAnsi="宋体" w:cs="宋体" w:eastAsia="宋体" w:hint="default"/>
                <w:spacing w:val="-74"/>
                <w:sz w:val="18"/>
                <w:szCs w:val="18"/>
              </w:rPr>
              <w:t> </w:t>
            </w:r>
            <w:r>
              <w:rPr>
                <w:rFonts w:ascii="宋体" w:hAnsi="宋体" w:cs="宋体" w:eastAsia="宋体" w:hint="default"/>
                <w:sz w:val="18"/>
                <w:szCs w:val="18"/>
              </w:rPr>
              <w:t>首</w:t>
            </w:r>
            <w:r>
              <w:rPr>
                <w:rFonts w:ascii="宋体" w:hAnsi="宋体" w:cs="宋体" w:eastAsia="宋体" w:hint="default"/>
                <w:sz w:val="18"/>
                <w:szCs w:val="18"/>
              </w:rPr>
              <w:t> 次</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开</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z w:val="18"/>
                <w:szCs w:val="18"/>
              </w:rPr>
              <w:t> 前</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东</w:t>
            </w:r>
            <w:r>
              <w:rPr>
                <w:rFonts w:ascii="宋体" w:hAnsi="宋体" w:cs="宋体" w:eastAsia="宋体" w:hint="default"/>
                <w:spacing w:val="-47"/>
                <w:sz w:val="18"/>
                <w:szCs w:val="18"/>
              </w:rPr>
              <w:t> </w:t>
            </w:r>
            <w:r>
              <w:rPr>
                <w:rFonts w:ascii="宋体" w:hAnsi="宋体" w:cs="宋体" w:eastAsia="宋体" w:hint="default"/>
                <w:sz w:val="18"/>
                <w:szCs w:val="18"/>
              </w:rPr>
              <w:t>所</w:t>
            </w:r>
            <w:r>
              <w:rPr>
                <w:rFonts w:ascii="宋体" w:hAnsi="宋体" w:cs="宋体" w:eastAsia="宋体" w:hint="default"/>
                <w:spacing w:val="-50"/>
                <w:sz w:val="18"/>
                <w:szCs w:val="18"/>
              </w:rPr>
              <w:t> </w:t>
            </w:r>
            <w:r>
              <w:rPr>
                <w:rFonts w:ascii="宋体" w:hAnsi="宋体" w:cs="宋体" w:eastAsia="宋体" w:hint="default"/>
                <w:sz w:val="18"/>
                <w:szCs w:val="18"/>
              </w:rPr>
              <w:t>持</w:t>
            </w:r>
            <w:r>
              <w:rPr>
                <w:rFonts w:ascii="宋体" w:hAnsi="宋体" w:cs="宋体" w:eastAsia="宋体" w:hint="default"/>
                <w:sz w:val="18"/>
                <w:szCs w:val="18"/>
              </w:rPr>
              <w:t> 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pacing w:val="-50"/>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流</w:t>
            </w:r>
            <w:r>
              <w:rPr>
                <w:rFonts w:ascii="宋体" w:hAnsi="宋体" w:cs="宋体" w:eastAsia="宋体" w:hint="default"/>
                <w:spacing w:val="-50"/>
                <w:sz w:val="18"/>
                <w:szCs w:val="18"/>
              </w:rPr>
              <w:t> </w:t>
            </w:r>
            <w:r>
              <w:rPr>
                <w:rFonts w:ascii="宋体" w:hAnsi="宋体" w:cs="宋体" w:eastAsia="宋体" w:hint="default"/>
                <w:sz w:val="18"/>
                <w:szCs w:val="18"/>
              </w:rPr>
              <w:t>通</w:t>
            </w:r>
            <w:r>
              <w:rPr>
                <w:rFonts w:ascii="宋体" w:hAnsi="宋体" w:cs="宋体" w:eastAsia="宋体" w:hint="default"/>
                <w:sz w:val="18"/>
                <w:szCs w:val="18"/>
              </w:rPr>
              <w:t> 限</w:t>
            </w:r>
            <w:r>
              <w:rPr>
                <w:rFonts w:ascii="宋体" w:hAnsi="宋体" w:cs="宋体" w:eastAsia="宋体" w:hint="default"/>
                <w:spacing w:val="-50"/>
                <w:sz w:val="18"/>
                <w:szCs w:val="18"/>
              </w:rPr>
              <w:t> </w:t>
            </w:r>
            <w:r>
              <w:rPr>
                <w:rFonts w:ascii="宋体" w:hAnsi="宋体" w:cs="宋体" w:eastAsia="宋体" w:hint="default"/>
                <w:sz w:val="18"/>
                <w:szCs w:val="18"/>
              </w:rPr>
              <w:t>制</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z w:val="18"/>
                <w:szCs w:val="18"/>
              </w:rPr>
              <w:t>自</w:t>
            </w:r>
            <w:r>
              <w:rPr>
                <w:rFonts w:ascii="宋体" w:hAnsi="宋体" w:cs="宋体" w:eastAsia="宋体" w:hint="default"/>
                <w:spacing w:val="-50"/>
                <w:sz w:val="18"/>
                <w:szCs w:val="18"/>
              </w:rPr>
              <w:t> </w:t>
            </w:r>
            <w:r>
              <w:rPr>
                <w:rFonts w:ascii="宋体" w:hAnsi="宋体" w:cs="宋体" w:eastAsia="宋体" w:hint="default"/>
                <w:sz w:val="18"/>
                <w:szCs w:val="18"/>
              </w:rPr>
              <w:t>愿</w:t>
            </w:r>
            <w:r>
              <w:rPr>
                <w:rFonts w:ascii="宋体" w:hAnsi="宋体" w:cs="宋体" w:eastAsia="宋体" w:hint="default"/>
                <w:sz w:val="18"/>
                <w:szCs w:val="18"/>
              </w:rPr>
              <w:t> 锁</w:t>
            </w:r>
            <w:r>
              <w:rPr>
                <w:rFonts w:ascii="宋体" w:hAnsi="宋体" w:cs="宋体" w:eastAsia="宋体" w:hint="default"/>
                <w:spacing w:val="-50"/>
                <w:sz w:val="18"/>
                <w:szCs w:val="18"/>
              </w:rPr>
              <w:t> </w:t>
            </w:r>
            <w:r>
              <w:rPr>
                <w:rFonts w:ascii="宋体" w:hAnsi="宋体" w:cs="宋体" w:eastAsia="宋体" w:hint="default"/>
                <w:sz w:val="18"/>
                <w:szCs w:val="18"/>
              </w:rPr>
              <w:t>定</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份</w:t>
            </w:r>
            <w:r>
              <w:rPr>
                <w:rFonts w:ascii="宋体" w:hAnsi="宋体" w:cs="宋体" w:eastAsia="宋体" w:hint="default"/>
                <w:spacing w:val="-50"/>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pacing w:val="9"/>
                <w:sz w:val="18"/>
                <w:szCs w:val="18"/>
              </w:rPr>
              <w:t>承诺：</w:t>
            </w:r>
            <w:r>
              <w:rPr>
                <w:rFonts w:ascii="宋体" w:hAnsi="宋体" w:cs="宋体" w:eastAsia="宋体" w:hint="default"/>
                <w:spacing w:val="-73"/>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、本</w:t>
            </w:r>
            <w:r>
              <w:rPr>
                <w:rFonts w:ascii="宋体" w:hAnsi="宋体" w:cs="宋体" w:eastAsia="宋体" w:hint="default"/>
                <w:sz w:val="18"/>
                <w:szCs w:val="18"/>
              </w:rPr>
              <w:t> 公</w:t>
            </w:r>
            <w:r>
              <w:rPr>
                <w:rFonts w:ascii="宋体" w:hAnsi="宋体" w:cs="宋体" w:eastAsia="宋体" w:hint="default"/>
                <w:spacing w:val="-50"/>
                <w:sz w:val="18"/>
                <w:szCs w:val="18"/>
              </w:rPr>
              <w:t> </w:t>
            </w: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宋体" w:hAnsi="宋体" w:cs="宋体" w:eastAsia="宋体" w:hint="default"/>
                <w:sz w:val="18"/>
                <w:szCs w:val="18"/>
              </w:rPr>
              <w:t>控</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r>
              <w:rPr>
                <w:rFonts w:ascii="宋体" w:hAnsi="宋体" w:cs="宋体" w:eastAsia="宋体" w:hint="default"/>
                <w:spacing w:val="-3"/>
                <w:sz w:val="18"/>
                <w:szCs w:val="18"/>
              </w:rPr>
              <w:t>东周炜、王英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夫</w:t>
            </w:r>
            <w:r>
              <w:rPr>
                <w:rFonts w:ascii="宋体" w:hAnsi="宋体" w:cs="宋体" w:eastAsia="宋体" w:hint="default"/>
                <w:spacing w:val="-50"/>
                <w:sz w:val="18"/>
                <w:szCs w:val="18"/>
              </w:rPr>
              <w:t> </w:t>
            </w:r>
            <w:r>
              <w:rPr>
                <w:rFonts w:ascii="宋体" w:hAnsi="宋体" w:cs="宋体" w:eastAsia="宋体" w:hint="default"/>
                <w:sz w:val="18"/>
                <w:szCs w:val="18"/>
              </w:rPr>
              <w:t>妇</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东</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6"/>
              <w:jc w:val="both"/>
              <w:rPr>
                <w:rFonts w:ascii="宋体" w:hAnsi="宋体" w:cs="宋体" w:eastAsia="宋体" w:hint="default"/>
                <w:sz w:val="18"/>
                <w:szCs w:val="18"/>
              </w:rPr>
            </w:pPr>
            <w:r>
              <w:rPr>
                <w:rFonts w:ascii="宋体" w:hAnsi="宋体" w:cs="宋体" w:eastAsia="宋体" w:hint="default"/>
                <w:sz w:val="18"/>
                <w:szCs w:val="18"/>
              </w:rPr>
              <w:t>截</w:t>
            </w:r>
            <w:r>
              <w:rPr>
                <w:rFonts w:ascii="宋体" w:hAnsi="宋体" w:cs="宋体" w:eastAsia="宋体" w:hint="default"/>
                <w:spacing w:val="-52"/>
                <w:sz w:val="18"/>
                <w:szCs w:val="18"/>
              </w:rPr>
              <w:t> </w:t>
            </w: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宋体" w:hAnsi="宋体" w:cs="宋体" w:eastAsia="宋体" w:hint="default"/>
                <w:sz w:val="18"/>
                <w:szCs w:val="18"/>
              </w:rPr>
              <w:t>本</w:t>
            </w:r>
            <w:r>
              <w:rPr>
                <w:rFonts w:ascii="宋体" w:hAnsi="宋体" w:cs="宋体" w:eastAsia="宋体" w:hint="default"/>
                <w:spacing w:val="-52"/>
                <w:sz w:val="18"/>
                <w:szCs w:val="18"/>
              </w:rPr>
              <w:t> </w:t>
            </w:r>
            <w:r>
              <w:rPr>
                <w:rFonts w:ascii="宋体" w:hAnsi="宋体" w:cs="宋体" w:eastAsia="宋体" w:hint="default"/>
                <w:sz w:val="18"/>
                <w:szCs w:val="18"/>
              </w:rPr>
              <w:t>报</w:t>
            </w:r>
            <w:r>
              <w:rPr>
                <w:rFonts w:ascii="宋体" w:hAnsi="宋体" w:cs="宋体" w:eastAsia="宋体" w:hint="default"/>
                <w:spacing w:val="-5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5"/>
                <w:sz w:val="18"/>
                <w:szCs w:val="18"/>
              </w:rPr>
              <w:t>期末，上述承</w:t>
            </w:r>
            <w:r>
              <w:rPr>
                <w:rFonts w:ascii="宋体" w:hAnsi="宋体" w:cs="宋体" w:eastAsia="宋体" w:hint="default"/>
                <w:sz w:val="18"/>
                <w:szCs w:val="18"/>
              </w:rPr>
              <w:t> 诺</w:t>
            </w:r>
            <w:r>
              <w:rPr>
                <w:rFonts w:ascii="宋体" w:hAnsi="宋体" w:cs="宋体" w:eastAsia="宋体" w:hint="default"/>
                <w:spacing w:val="-52"/>
                <w:sz w:val="18"/>
                <w:szCs w:val="18"/>
              </w:rPr>
              <w:t> </w:t>
            </w:r>
            <w:r>
              <w:rPr>
                <w:rFonts w:ascii="宋体" w:hAnsi="宋体" w:cs="宋体" w:eastAsia="宋体" w:hint="default"/>
                <w:sz w:val="18"/>
                <w:szCs w:val="18"/>
              </w:rPr>
              <w:t>人</w:t>
            </w:r>
            <w:r>
              <w:rPr>
                <w:rFonts w:ascii="宋体" w:hAnsi="宋体" w:cs="宋体" w:eastAsia="宋体" w:hint="default"/>
                <w:spacing w:val="-54"/>
                <w:sz w:val="18"/>
                <w:szCs w:val="18"/>
              </w:rPr>
              <w:t> </w:t>
            </w:r>
            <w:r>
              <w:rPr>
                <w:rFonts w:ascii="宋体" w:hAnsi="宋体" w:cs="宋体" w:eastAsia="宋体" w:hint="default"/>
                <w:sz w:val="18"/>
                <w:szCs w:val="18"/>
              </w:rPr>
              <w:t>严</w:t>
            </w:r>
            <w:r>
              <w:rPr>
                <w:rFonts w:ascii="宋体" w:hAnsi="宋体" w:cs="宋体" w:eastAsia="宋体" w:hint="default"/>
                <w:spacing w:val="-52"/>
                <w:sz w:val="18"/>
                <w:szCs w:val="18"/>
              </w:rPr>
              <w:t> </w:t>
            </w:r>
            <w:r>
              <w:rPr>
                <w:rFonts w:ascii="宋体" w:hAnsi="宋体" w:cs="宋体" w:eastAsia="宋体" w:hint="default"/>
                <w:sz w:val="18"/>
                <w:szCs w:val="18"/>
              </w:rPr>
              <w:t>格</w:t>
            </w:r>
            <w:r>
              <w:rPr>
                <w:rFonts w:ascii="宋体" w:hAnsi="宋体" w:cs="宋体" w:eastAsia="宋体" w:hint="default"/>
                <w:spacing w:val="-52"/>
                <w:sz w:val="18"/>
                <w:szCs w:val="18"/>
              </w:rPr>
              <w:t> </w:t>
            </w:r>
            <w:r>
              <w:rPr>
                <w:rFonts w:ascii="宋体" w:hAnsi="宋体" w:cs="宋体" w:eastAsia="宋体" w:hint="default"/>
                <w:sz w:val="18"/>
                <w:szCs w:val="18"/>
              </w:rPr>
              <w:t>信</w:t>
            </w:r>
            <w:r>
              <w:rPr>
                <w:rFonts w:ascii="宋体" w:hAnsi="宋体" w:cs="宋体" w:eastAsia="宋体" w:hint="default"/>
                <w:sz w:val="18"/>
                <w:szCs w:val="18"/>
              </w:rPr>
              <w:t> </w:t>
            </w:r>
            <w:r>
              <w:rPr>
                <w:rFonts w:ascii="宋体" w:hAnsi="宋体" w:cs="宋体" w:eastAsia="宋体" w:hint="default"/>
                <w:spacing w:val="-5"/>
                <w:sz w:val="18"/>
                <w:szCs w:val="18"/>
              </w:rPr>
              <w:t>守承诺，未发</w:t>
            </w:r>
            <w:r>
              <w:rPr>
                <w:rFonts w:ascii="宋体" w:hAnsi="宋体" w:cs="宋体" w:eastAsia="宋体" w:hint="default"/>
                <w:sz w:val="18"/>
                <w:szCs w:val="18"/>
              </w:rPr>
              <w:t> 现</w:t>
            </w:r>
            <w:r>
              <w:rPr>
                <w:rFonts w:ascii="宋体" w:hAnsi="宋体" w:cs="宋体" w:eastAsia="宋体" w:hint="default"/>
                <w:spacing w:val="-52"/>
                <w:sz w:val="18"/>
                <w:szCs w:val="18"/>
              </w:rPr>
              <w:t> </w:t>
            </w:r>
            <w:r>
              <w:rPr>
                <w:rFonts w:ascii="宋体" w:hAnsi="宋体" w:cs="宋体" w:eastAsia="宋体" w:hint="default"/>
                <w:sz w:val="18"/>
                <w:szCs w:val="18"/>
              </w:rPr>
              <w:t>违</w:t>
            </w:r>
            <w:r>
              <w:rPr>
                <w:rFonts w:ascii="宋体" w:hAnsi="宋体" w:cs="宋体" w:eastAsia="宋体" w:hint="default"/>
                <w:spacing w:val="-54"/>
                <w:sz w:val="18"/>
                <w:szCs w:val="18"/>
              </w:rPr>
              <w:t> </w:t>
            </w:r>
            <w:r>
              <w:rPr>
                <w:rFonts w:ascii="宋体" w:hAnsi="宋体" w:cs="宋体" w:eastAsia="宋体" w:hint="default"/>
                <w:sz w:val="18"/>
                <w:szCs w:val="18"/>
              </w:rPr>
              <w:t>反</w:t>
            </w:r>
            <w:r>
              <w:rPr>
                <w:rFonts w:ascii="宋体" w:hAnsi="宋体" w:cs="宋体" w:eastAsia="宋体" w:hint="default"/>
                <w:spacing w:val="-52"/>
                <w:sz w:val="18"/>
                <w:szCs w:val="18"/>
              </w:rPr>
              <w:t> </w:t>
            </w:r>
            <w:r>
              <w:rPr>
                <w:rFonts w:ascii="宋体" w:hAnsi="宋体" w:cs="宋体" w:eastAsia="宋体" w:hint="default"/>
                <w:sz w:val="18"/>
                <w:szCs w:val="18"/>
              </w:rPr>
              <w:t>上</w:t>
            </w:r>
            <w:r>
              <w:rPr>
                <w:rFonts w:ascii="宋体" w:hAnsi="宋体" w:cs="宋体" w:eastAsia="宋体" w:hint="default"/>
                <w:spacing w:val="-52"/>
                <w:sz w:val="18"/>
                <w:szCs w:val="18"/>
              </w:rPr>
              <w:t> </w:t>
            </w:r>
            <w:r>
              <w:rPr>
                <w:rFonts w:ascii="宋体" w:hAnsi="宋体" w:cs="宋体" w:eastAsia="宋体" w:hint="default"/>
                <w:sz w:val="18"/>
                <w:szCs w:val="18"/>
              </w:rPr>
              <w:t>述</w:t>
            </w:r>
            <w:r>
              <w:rPr>
                <w:rFonts w:ascii="宋体" w:hAnsi="宋体" w:cs="宋体" w:eastAsia="宋体" w:hint="default"/>
                <w:sz w:val="18"/>
                <w:szCs w:val="18"/>
              </w:rPr>
              <w:t> 承诺的情况。</w:t>
            </w:r>
          </w:p>
        </w:tc>
      </w:tr>
    </w:tbl>
    <w:p>
      <w:pPr>
        <w:spacing w:after="0" w:line="316" w:lineRule="auto"/>
        <w:jc w:val="both"/>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47"/>
                <w:sz w:val="18"/>
                <w:szCs w:val="18"/>
              </w:rPr>
              <w:t> </w:t>
            </w:r>
            <w:r>
              <w:rPr>
                <w:rFonts w:ascii="宋体" w:hAnsi="宋体" w:cs="宋体" w:eastAsia="宋体" w:hint="default"/>
                <w:sz w:val="18"/>
                <w:szCs w:val="18"/>
              </w:rPr>
              <w:t>关</w:t>
            </w:r>
            <w:r>
              <w:rPr>
                <w:rFonts w:ascii="宋体" w:hAnsi="宋体" w:cs="宋体" w:eastAsia="宋体" w:hint="default"/>
                <w:spacing w:val="-50"/>
                <w:sz w:val="18"/>
                <w:szCs w:val="18"/>
              </w:rPr>
              <w:t> </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避</w:t>
            </w:r>
            <w:r>
              <w:rPr>
                <w:rFonts w:ascii="宋体" w:hAnsi="宋体" w:cs="宋体" w:eastAsia="宋体" w:hint="default"/>
                <w:spacing w:val="-47"/>
                <w:sz w:val="18"/>
                <w:szCs w:val="18"/>
              </w:rPr>
              <w:t> </w:t>
            </w:r>
            <w:r>
              <w:rPr>
                <w:rFonts w:ascii="宋体" w:hAnsi="宋体" w:cs="宋体" w:eastAsia="宋体" w:hint="default"/>
                <w:sz w:val="18"/>
                <w:szCs w:val="18"/>
              </w:rPr>
              <w:t>免</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刘</w:t>
            </w:r>
            <w:r>
              <w:rPr>
                <w:rFonts w:ascii="宋体" w:hAnsi="宋体" w:cs="宋体" w:eastAsia="宋体" w:hint="default"/>
                <w:spacing w:val="-50"/>
                <w:sz w:val="18"/>
                <w:szCs w:val="18"/>
              </w:rPr>
              <w:t> </w:t>
            </w:r>
            <w:r>
              <w:rPr>
                <w:rFonts w:ascii="宋体" w:hAnsi="宋体" w:cs="宋体" w:eastAsia="宋体" w:hint="default"/>
                <w:sz w:val="18"/>
                <w:szCs w:val="18"/>
              </w:rPr>
              <w:t>宁</w:t>
            </w:r>
            <w:r>
              <w:rPr>
                <w:rFonts w:ascii="宋体" w:hAnsi="宋体" w:cs="宋体" w:eastAsia="宋体" w:hint="default"/>
                <w:spacing w:val="-50"/>
                <w:sz w:val="18"/>
                <w:szCs w:val="18"/>
              </w:rPr>
              <w:t> </w:t>
            </w:r>
            <w:r>
              <w:rPr>
                <w:rFonts w:ascii="宋体" w:hAnsi="宋体" w:cs="宋体" w:eastAsia="宋体" w:hint="default"/>
                <w:sz w:val="18"/>
                <w:szCs w:val="18"/>
              </w:rPr>
              <w:t>三</w:t>
            </w:r>
            <w:r>
              <w:rPr>
                <w:rFonts w:ascii="宋体" w:hAnsi="宋体" w:cs="宋体" w:eastAsia="宋体" w:hint="default"/>
                <w:spacing w:val="-47"/>
                <w:sz w:val="18"/>
                <w:szCs w:val="18"/>
              </w:rPr>
              <w:t> </w:t>
            </w:r>
            <w:r>
              <w:rPr>
                <w:rFonts w:ascii="宋体" w:hAnsi="宋体" w:cs="宋体" w:eastAsia="宋体" w:hint="default"/>
                <w:sz w:val="18"/>
                <w:szCs w:val="18"/>
              </w:rPr>
              <w:t>十</w:t>
            </w:r>
            <w:r>
              <w:rPr>
                <w:rFonts w:ascii="宋体" w:hAnsi="宋体" w:cs="宋体" w:eastAsia="宋体" w:hint="default"/>
                <w:spacing w:val="-50"/>
                <w:sz w:val="18"/>
                <w:szCs w:val="18"/>
              </w:rPr>
              <w:t> </w:t>
            </w:r>
            <w:r>
              <w:rPr>
                <w:rFonts w:ascii="宋体" w:hAnsi="宋体" w:cs="宋体" w:eastAsia="宋体" w:hint="default"/>
                <w:sz w:val="18"/>
                <w:szCs w:val="18"/>
              </w:rPr>
              <w:t>六</w:t>
            </w: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7"/>
                <w:sz w:val="18"/>
                <w:szCs w:val="18"/>
              </w:rPr>
              <w:t> </w:t>
            </w:r>
            <w:r>
              <w:rPr>
                <w:rFonts w:ascii="宋体" w:hAnsi="宋体" w:cs="宋体" w:eastAsia="宋体" w:hint="default"/>
                <w:sz w:val="18"/>
                <w:szCs w:val="18"/>
              </w:rPr>
              <w:t>业</w:t>
            </w:r>
            <w:r>
              <w:rPr>
                <w:rFonts w:ascii="宋体" w:hAnsi="宋体" w:cs="宋体" w:eastAsia="宋体" w:hint="default"/>
                <w:spacing w:val="-50"/>
                <w:sz w:val="18"/>
                <w:szCs w:val="18"/>
              </w:rPr>
              <w:t> </w:t>
            </w:r>
            <w:r>
              <w:rPr>
                <w:rFonts w:ascii="宋体" w:hAnsi="宋体" w:cs="宋体" w:eastAsia="宋体" w:hint="default"/>
                <w:sz w:val="18"/>
                <w:szCs w:val="18"/>
              </w:rPr>
              <w:t>竞</w:t>
            </w:r>
            <w:r>
              <w:rPr>
                <w:rFonts w:ascii="宋体" w:hAnsi="宋体" w:cs="宋体" w:eastAsia="宋体" w:hint="default"/>
                <w:spacing w:val="-47"/>
                <w:sz w:val="18"/>
                <w:szCs w:val="18"/>
              </w:rPr>
              <w:t> </w:t>
            </w:r>
            <w:r>
              <w:rPr>
                <w:rFonts w:ascii="宋体" w:hAnsi="宋体" w:cs="宋体" w:eastAsia="宋体" w:hint="default"/>
                <w:sz w:val="18"/>
                <w:szCs w:val="18"/>
              </w:rPr>
              <w:t>争</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9"/>
                <w:sz w:val="18"/>
                <w:szCs w:val="18"/>
              </w:rPr>
              <w:t>个月；</w:t>
            </w:r>
            <w:r>
              <w:rPr>
                <w:rFonts w:ascii="宋体" w:hAnsi="宋体" w:cs="宋体" w:eastAsia="宋体" w:hint="default"/>
                <w:spacing w:val="-72"/>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东</w:t>
            </w:r>
            <w:r>
              <w:rPr>
                <w:rFonts w:ascii="宋体" w:hAnsi="宋体" w:cs="宋体" w:eastAsia="宋体" w:hint="default"/>
                <w:spacing w:val="-47"/>
                <w:sz w:val="18"/>
                <w:szCs w:val="18"/>
              </w:rPr>
              <w:t> </w:t>
            </w:r>
            <w:r>
              <w:rPr>
                <w:rFonts w:ascii="宋体" w:hAnsi="宋体" w:cs="宋体" w:eastAsia="宋体" w:hint="default"/>
                <w:sz w:val="18"/>
                <w:szCs w:val="18"/>
              </w:rPr>
              <w:t>十</w:t>
            </w:r>
            <w:r>
              <w:rPr>
                <w:rFonts w:ascii="宋体" w:hAnsi="宋体" w:cs="宋体" w:eastAsia="宋体" w:hint="default"/>
                <w:spacing w:val="-50"/>
                <w:sz w:val="18"/>
                <w:szCs w:val="18"/>
              </w:rPr>
              <w:t> </w:t>
            </w:r>
            <w:r>
              <w:rPr>
                <w:rFonts w:ascii="宋体" w:hAnsi="宋体" w:cs="宋体" w:eastAsia="宋体" w:hint="default"/>
                <w:sz w:val="18"/>
                <w:szCs w:val="18"/>
              </w:rPr>
              <w:t>二</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日，本公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pacing w:val="9"/>
                <w:sz w:val="18"/>
                <w:szCs w:val="18"/>
              </w:rPr>
              <w:t>个月；</w:t>
            </w:r>
            <w:r>
              <w:rPr>
                <w:rFonts w:ascii="宋体" w:hAnsi="宋体" w:cs="宋体" w:eastAsia="宋体" w:hint="default"/>
                <w:spacing w:val="-72"/>
                <w:sz w:val="18"/>
                <w:szCs w:val="18"/>
              </w:rPr>
              <w:t> </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、同</w:t>
            </w: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超</w:t>
            </w:r>
            <w:r>
              <w:rPr>
                <w:rFonts w:ascii="宋体" w:hAnsi="宋体" w:cs="宋体" w:eastAsia="宋体" w:hint="default"/>
                <w:spacing w:val="-47"/>
                <w:sz w:val="18"/>
                <w:szCs w:val="18"/>
              </w:rPr>
              <w:t> </w:t>
            </w:r>
            <w:r>
              <w:rPr>
                <w:rFonts w:ascii="宋体" w:hAnsi="宋体" w:cs="宋体" w:eastAsia="宋体" w:hint="default"/>
                <w:sz w:val="18"/>
                <w:szCs w:val="18"/>
              </w:rPr>
              <w:t>过</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pacing w:val="-3"/>
                <w:sz w:val="18"/>
                <w:szCs w:val="18"/>
              </w:rPr>
              <w:t>时，担任公司</w:t>
            </w: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2"/>
                <w:sz w:val="18"/>
                <w:szCs w:val="18"/>
              </w:rPr>
              <w:t> </w:t>
            </w:r>
            <w:r>
              <w:rPr>
                <w:rFonts w:ascii="宋体" w:hAnsi="宋体" w:cs="宋体" w:eastAsia="宋体" w:hint="default"/>
                <w:sz w:val="18"/>
                <w:szCs w:val="18"/>
              </w:rPr>
              <w:t>主</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董事、监事、</w:t>
            </w: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要股东刘宁、</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pacing w:val="-50"/>
                <w:sz w:val="18"/>
                <w:szCs w:val="18"/>
              </w:rPr>
              <w:t> </w:t>
            </w:r>
            <w:r>
              <w:rPr>
                <w:rFonts w:ascii="宋体" w:hAnsi="宋体" w:cs="宋体" w:eastAsia="宋体" w:hint="default"/>
                <w:sz w:val="18"/>
                <w:szCs w:val="18"/>
              </w:rPr>
              <w:t>级</w:t>
            </w:r>
            <w:r>
              <w:rPr>
                <w:rFonts w:ascii="宋体" w:hAnsi="宋体" w:cs="宋体" w:eastAsia="宋体" w:hint="default"/>
                <w:spacing w:val="-50"/>
                <w:sz w:val="18"/>
                <w:szCs w:val="18"/>
              </w:rPr>
              <w:t> </w:t>
            </w:r>
            <w:r>
              <w:rPr>
                <w:rFonts w:ascii="宋体" w:hAnsi="宋体" w:cs="宋体" w:eastAsia="宋体" w:hint="default"/>
                <w:sz w:val="18"/>
                <w:szCs w:val="18"/>
              </w:rPr>
              <w:t>管</w:t>
            </w:r>
            <w:r>
              <w:rPr>
                <w:rFonts w:ascii="宋体" w:hAnsi="宋体" w:cs="宋体" w:eastAsia="宋体" w:hint="default"/>
                <w:spacing w:val="-47"/>
                <w:sz w:val="18"/>
                <w:szCs w:val="18"/>
              </w:rPr>
              <w:t> </w:t>
            </w:r>
            <w:r>
              <w:rPr>
                <w:rFonts w:ascii="宋体" w:hAnsi="宋体" w:cs="宋体" w:eastAsia="宋体" w:hint="default"/>
                <w:sz w:val="18"/>
                <w:szCs w:val="18"/>
              </w:rPr>
              <w:t>理</w:t>
            </w:r>
            <w:r>
              <w:rPr>
                <w:rFonts w:ascii="宋体" w:hAnsi="宋体" w:cs="宋体" w:eastAsia="宋体" w:hint="default"/>
                <w:spacing w:val="-50"/>
                <w:sz w:val="18"/>
                <w:szCs w:val="18"/>
              </w:rPr>
              <w:t> </w:t>
            </w:r>
            <w:r>
              <w:rPr>
                <w:rFonts w:ascii="宋体" w:hAnsi="宋体" w:cs="宋体" w:eastAsia="宋体" w:hint="default"/>
                <w:sz w:val="18"/>
                <w:szCs w:val="18"/>
              </w:rPr>
              <w:t>人</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孙</w:t>
            </w:r>
            <w:r>
              <w:rPr>
                <w:rFonts w:ascii="宋体" w:hAnsi="宋体" w:cs="宋体" w:eastAsia="宋体" w:hint="default"/>
                <w:spacing w:val="-47"/>
                <w:sz w:val="18"/>
                <w:szCs w:val="18"/>
              </w:rPr>
              <w:t> </w:t>
            </w:r>
            <w:r>
              <w:rPr>
                <w:rFonts w:ascii="宋体" w:hAnsi="宋体" w:cs="宋体" w:eastAsia="宋体" w:hint="default"/>
                <w:sz w:val="18"/>
                <w:szCs w:val="18"/>
              </w:rPr>
              <w:t>凯</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张</w:t>
            </w:r>
            <w:r>
              <w:rPr>
                <w:rFonts w:ascii="宋体" w:hAnsi="宋体" w:cs="宋体" w:eastAsia="宋体" w:hint="default"/>
                <w:spacing w:val="-47"/>
                <w:sz w:val="18"/>
                <w:szCs w:val="18"/>
              </w:rPr>
              <w:t> </w:t>
            </w:r>
            <w:r>
              <w:rPr>
                <w:rFonts w:ascii="宋体" w:hAnsi="宋体" w:cs="宋体" w:eastAsia="宋体" w:hint="default"/>
                <w:sz w:val="18"/>
                <w:szCs w:val="18"/>
              </w:rPr>
              <w:t>士</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员的周炜、刘</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英、陈建国、</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宁、孙凯、靳</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贾</w:t>
            </w:r>
            <w:r>
              <w:rPr>
                <w:rFonts w:ascii="宋体" w:hAnsi="宋体" w:cs="宋体" w:eastAsia="宋体" w:hint="default"/>
                <w:spacing w:val="-47"/>
                <w:sz w:val="18"/>
                <w:szCs w:val="18"/>
              </w:rPr>
              <w:t> </w:t>
            </w:r>
            <w:r>
              <w:rPr>
                <w:rFonts w:ascii="宋体" w:hAnsi="宋体" w:cs="宋体" w:eastAsia="宋体" w:hint="default"/>
                <w:sz w:val="18"/>
                <w:szCs w:val="18"/>
              </w:rPr>
              <w:t>按</w:t>
            </w:r>
            <w:r>
              <w:rPr>
                <w:rFonts w:ascii="宋体" w:hAnsi="宋体" w:cs="宋体" w:eastAsia="宋体" w:hint="default"/>
                <w:spacing w:val="-50"/>
                <w:sz w:val="18"/>
                <w:szCs w:val="18"/>
              </w:rPr>
              <w:t> </w:t>
            </w:r>
            <w:r>
              <w:rPr>
                <w:rFonts w:ascii="宋体" w:hAnsi="宋体" w:cs="宋体" w:eastAsia="宋体" w:hint="default"/>
                <w:sz w:val="18"/>
                <w:szCs w:val="18"/>
              </w:rPr>
              <w:t>师</w:t>
            </w:r>
            <w:r>
              <w:rPr>
                <w:rFonts w:ascii="宋体" w:hAnsi="宋体" w:cs="宋体" w:eastAsia="宋体" w:hint="default"/>
                <w:spacing w:val="-47"/>
                <w:sz w:val="18"/>
                <w:szCs w:val="18"/>
              </w:rPr>
              <w:t> </w:t>
            </w:r>
            <w:r>
              <w:rPr>
                <w:rFonts w:ascii="宋体" w:hAnsi="宋体" w:cs="宋体" w:eastAsia="宋体" w:hint="default"/>
                <w:sz w:val="18"/>
                <w:szCs w:val="18"/>
              </w:rPr>
              <w:t>均</w:t>
            </w:r>
            <w:r>
              <w:rPr>
                <w:rFonts w:ascii="宋体" w:hAnsi="宋体" w:cs="宋体" w:eastAsia="宋体" w:hint="default"/>
                <w:spacing w:val="-47"/>
                <w:sz w:val="18"/>
                <w:szCs w:val="18"/>
              </w:rPr>
              <w:t> </w:t>
            </w:r>
            <w:r>
              <w:rPr>
                <w:rFonts w:ascii="宋体" w:hAnsi="宋体" w:cs="宋体" w:eastAsia="宋体" w:hint="default"/>
                <w:sz w:val="18"/>
                <w:szCs w:val="18"/>
              </w:rPr>
              <w:t>分</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茂、张士英、</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别</w:t>
            </w:r>
            <w:r>
              <w:rPr>
                <w:rFonts w:ascii="宋体" w:hAnsi="宋体" w:cs="宋体" w:eastAsia="宋体" w:hint="default"/>
                <w:spacing w:val="-47"/>
                <w:sz w:val="18"/>
                <w:szCs w:val="18"/>
              </w:rPr>
              <w:t> </w:t>
            </w:r>
            <w:r>
              <w:rPr>
                <w:rFonts w:ascii="宋体" w:hAnsi="宋体" w:cs="宋体" w:eastAsia="宋体" w:hint="default"/>
                <w:sz w:val="18"/>
                <w:szCs w:val="18"/>
              </w:rPr>
              <w:t>向</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黄</w:t>
            </w:r>
            <w:r>
              <w:rPr>
                <w:rFonts w:ascii="宋体" w:hAnsi="宋体" w:cs="宋体" w:eastAsia="宋体" w:hint="default"/>
                <w:spacing w:val="-50"/>
                <w:sz w:val="18"/>
                <w:szCs w:val="18"/>
              </w:rPr>
              <w:t> </w:t>
            </w:r>
            <w:r>
              <w:rPr>
                <w:rFonts w:ascii="宋体" w:hAnsi="宋体" w:cs="宋体" w:eastAsia="宋体" w:hint="default"/>
                <w:sz w:val="18"/>
                <w:szCs w:val="18"/>
              </w:rPr>
              <w:t>克</w:t>
            </w:r>
            <w:r>
              <w:rPr>
                <w:rFonts w:ascii="宋体" w:hAnsi="宋体" w:cs="宋体" w:eastAsia="宋体" w:hint="default"/>
                <w:spacing w:val="-50"/>
                <w:sz w:val="18"/>
                <w:szCs w:val="18"/>
              </w:rPr>
              <w:t> </w:t>
            </w:r>
            <w:r>
              <w:rPr>
                <w:rFonts w:ascii="宋体" w:hAnsi="宋体" w:cs="宋体" w:eastAsia="宋体" w:hint="default"/>
                <w:sz w:val="18"/>
                <w:szCs w:val="18"/>
              </w:rPr>
              <w:t>华</w:t>
            </w:r>
            <w:r>
              <w:rPr>
                <w:rFonts w:ascii="宋体" w:hAnsi="宋体" w:cs="宋体" w:eastAsia="宋体" w:hint="default"/>
                <w:spacing w:val="-47"/>
                <w:sz w:val="18"/>
                <w:szCs w:val="18"/>
              </w:rPr>
              <w:t> </w:t>
            </w:r>
            <w:r>
              <w:rPr>
                <w:rFonts w:ascii="宋体" w:hAnsi="宋体" w:cs="宋体" w:eastAsia="宋体" w:hint="default"/>
                <w:sz w:val="18"/>
                <w:szCs w:val="18"/>
              </w:rPr>
              <w:t>还</w:t>
            </w:r>
            <w:r>
              <w:rPr>
                <w:rFonts w:ascii="宋体" w:hAnsi="宋体" w:cs="宋体" w:eastAsia="宋体" w:hint="default"/>
                <w:spacing w:val="-50"/>
                <w:sz w:val="18"/>
                <w:szCs w:val="18"/>
              </w:rPr>
              <w:t> </w:t>
            </w:r>
            <w:r>
              <w:rPr>
                <w:rFonts w:ascii="宋体" w:hAnsi="宋体" w:cs="宋体" w:eastAsia="宋体" w:hint="default"/>
                <w:sz w:val="18"/>
                <w:szCs w:val="18"/>
              </w:rPr>
              <w:t>承</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pacing w:val="-47"/>
                <w:sz w:val="18"/>
                <w:szCs w:val="18"/>
              </w:rPr>
              <w:t> </w:t>
            </w:r>
            <w:r>
              <w:rPr>
                <w:rFonts w:ascii="宋体" w:hAnsi="宋体" w:cs="宋体" w:eastAsia="宋体" w:hint="default"/>
                <w:sz w:val="18"/>
                <w:szCs w:val="18"/>
              </w:rPr>
              <w:t>了</w:t>
            </w:r>
            <w:r>
              <w:rPr>
                <w:rFonts w:ascii="宋体" w:hAnsi="宋体" w:cs="宋体" w:eastAsia="宋体" w:hint="default"/>
                <w:spacing w:val="-50"/>
                <w:sz w:val="18"/>
                <w:szCs w:val="18"/>
              </w:rPr>
              <w:t> </w:t>
            </w:r>
            <w:r>
              <w:rPr>
                <w:rFonts w:ascii="宋体" w:hAnsi="宋体" w:cs="宋体" w:eastAsia="宋体" w:hint="default"/>
                <w:sz w:val="18"/>
                <w:szCs w:val="18"/>
              </w:rPr>
              <w:t>避</w:t>
            </w:r>
            <w:r>
              <w:rPr>
                <w:rFonts w:ascii="宋体" w:hAnsi="宋体" w:cs="宋体" w:eastAsia="宋体" w:hint="default"/>
                <w:spacing w:val="-47"/>
                <w:sz w:val="18"/>
                <w:szCs w:val="18"/>
              </w:rPr>
              <w:t> </w:t>
            </w:r>
            <w:r>
              <w:rPr>
                <w:rFonts w:ascii="宋体" w:hAnsi="宋体" w:cs="宋体" w:eastAsia="宋体" w:hint="default"/>
                <w:sz w:val="18"/>
                <w:szCs w:val="18"/>
              </w:rPr>
              <w:t>免</w:t>
            </w:r>
            <w:r>
              <w:rPr>
                <w:rFonts w:ascii="宋体" w:hAnsi="宋体" w:cs="宋体" w:eastAsia="宋体" w:hint="default"/>
                <w:spacing w:val="-47"/>
                <w:sz w:val="18"/>
                <w:szCs w:val="18"/>
              </w:rPr>
              <w:t> </w:t>
            </w:r>
            <w:r>
              <w:rPr>
                <w:rFonts w:ascii="宋体" w:hAnsi="宋体" w:cs="宋体" w:eastAsia="宋体" w:hint="default"/>
                <w:sz w:val="18"/>
                <w:szCs w:val="18"/>
              </w:rPr>
              <w:t>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诺：除前述锁</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定期外，在其</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50"/>
                <w:sz w:val="18"/>
                <w:szCs w:val="18"/>
              </w:rPr>
              <w:t> </w:t>
            </w:r>
            <w:r>
              <w:rPr>
                <w:rFonts w:ascii="宋体" w:hAnsi="宋体" w:cs="宋体" w:eastAsia="宋体" w:hint="default"/>
                <w:sz w:val="18"/>
                <w:szCs w:val="18"/>
              </w:rPr>
              <w:t>职</w:t>
            </w:r>
            <w:r>
              <w:rPr>
                <w:rFonts w:ascii="宋体" w:hAnsi="宋体" w:cs="宋体" w:eastAsia="宋体" w:hint="default"/>
                <w:spacing w:val="-50"/>
                <w:sz w:val="18"/>
                <w:szCs w:val="18"/>
              </w:rPr>
              <w:t> </w:t>
            </w:r>
            <w:r>
              <w:rPr>
                <w:rFonts w:ascii="宋体" w:hAnsi="宋体" w:cs="宋体" w:eastAsia="宋体" w:hint="default"/>
                <w:sz w:val="18"/>
                <w:szCs w:val="18"/>
              </w:rPr>
              <w:t>期</w:t>
            </w:r>
            <w:r>
              <w:rPr>
                <w:rFonts w:ascii="宋体" w:hAnsi="宋体" w:cs="宋体" w:eastAsia="宋体" w:hint="default"/>
                <w:spacing w:val="-47"/>
                <w:sz w:val="18"/>
                <w:szCs w:val="18"/>
              </w:rPr>
              <w:t> </w:t>
            </w:r>
            <w:r>
              <w:rPr>
                <w:rFonts w:ascii="宋体" w:hAnsi="宋体" w:cs="宋体" w:eastAsia="宋体" w:hint="default"/>
                <w:sz w:val="18"/>
                <w:szCs w:val="18"/>
              </w:rPr>
              <w:t>间</w:t>
            </w:r>
            <w:r>
              <w:rPr>
                <w:rFonts w:ascii="宋体" w:hAnsi="宋体" w:cs="宋体" w:eastAsia="宋体" w:hint="default"/>
                <w:spacing w:val="-50"/>
                <w:sz w:val="18"/>
                <w:szCs w:val="18"/>
              </w:rPr>
              <w:t> </w:t>
            </w:r>
            <w:r>
              <w:rPr>
                <w:rFonts w:ascii="宋体" w:hAnsi="宋体" w:cs="宋体" w:eastAsia="宋体" w:hint="default"/>
                <w:sz w:val="18"/>
                <w:szCs w:val="18"/>
              </w:rPr>
              <w:t>每</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转</w:t>
            </w:r>
            <w:r>
              <w:rPr>
                <w:rFonts w:ascii="宋体" w:hAnsi="宋体" w:cs="宋体" w:eastAsia="宋体" w:hint="default"/>
                <w:spacing w:val="-50"/>
                <w:sz w:val="18"/>
                <w:szCs w:val="18"/>
              </w:rPr>
              <w:t> </w:t>
            </w:r>
            <w:r>
              <w:rPr>
                <w:rFonts w:ascii="宋体" w:hAnsi="宋体" w:cs="宋体" w:eastAsia="宋体" w:hint="default"/>
                <w:sz w:val="18"/>
                <w:szCs w:val="18"/>
              </w:rPr>
              <w:t>让</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50"/>
                <w:sz w:val="18"/>
                <w:szCs w:val="18"/>
              </w:rPr>
              <w:t> </w:t>
            </w:r>
            <w:r>
              <w:rPr>
                <w:rFonts w:ascii="宋体" w:hAnsi="宋体" w:cs="宋体" w:eastAsia="宋体" w:hint="default"/>
                <w:sz w:val="18"/>
                <w:szCs w:val="18"/>
              </w:rPr>
              <w:t>不</w:t>
            </w:r>
            <w:r>
              <w:rPr>
                <w:rFonts w:ascii="宋体" w:hAnsi="宋体" w:cs="宋体" w:eastAsia="宋体" w:hint="default"/>
                <w:spacing w:val="-50"/>
                <w:sz w:val="18"/>
                <w:szCs w:val="18"/>
              </w:rPr>
              <w:t> </w:t>
            </w:r>
            <w:r>
              <w:rPr>
                <w:rFonts w:ascii="宋体" w:hAnsi="宋体" w:cs="宋体" w:eastAsia="宋体" w:hint="default"/>
                <w:sz w:val="18"/>
                <w:szCs w:val="18"/>
              </w:rPr>
              <w:t>超</w:t>
            </w:r>
            <w:r>
              <w:rPr>
                <w:rFonts w:ascii="宋体" w:hAnsi="宋体" w:cs="宋体" w:eastAsia="宋体" w:hint="default"/>
                <w:spacing w:val="-47"/>
                <w:sz w:val="18"/>
                <w:szCs w:val="18"/>
              </w:rPr>
              <w:t> </w:t>
            </w:r>
            <w:r>
              <w:rPr>
                <w:rFonts w:ascii="宋体" w:hAnsi="宋体" w:cs="宋体" w:eastAsia="宋体" w:hint="default"/>
                <w:sz w:val="18"/>
                <w:szCs w:val="18"/>
              </w:rPr>
              <w:t>过</w:t>
            </w:r>
            <w:r>
              <w:rPr>
                <w:rFonts w:ascii="宋体" w:hAnsi="宋体" w:cs="宋体" w:eastAsia="宋体" w:hint="default"/>
                <w:spacing w:val="-50"/>
                <w:sz w:val="18"/>
                <w:szCs w:val="18"/>
              </w:rPr>
              <w:t> </w:t>
            </w:r>
            <w:r>
              <w:rPr>
                <w:rFonts w:ascii="宋体" w:hAnsi="宋体" w:cs="宋体" w:eastAsia="宋体" w:hint="default"/>
                <w:sz w:val="18"/>
                <w:szCs w:val="18"/>
              </w:rPr>
              <w:t>其</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pacing w:val="-50"/>
                <w:sz w:val="18"/>
                <w:szCs w:val="18"/>
              </w:rPr>
              <w:t> </w:t>
            </w:r>
            <w:r>
              <w:rPr>
                <w:rFonts w:ascii="宋体" w:hAnsi="宋体" w:cs="宋体" w:eastAsia="宋体" w:hint="default"/>
                <w:sz w:val="18"/>
                <w:szCs w:val="18"/>
              </w:rPr>
              <w:t>关</w:t>
            </w:r>
            <w:r>
              <w:rPr>
                <w:rFonts w:ascii="宋体" w:hAnsi="宋体" w:cs="宋体" w:eastAsia="宋体" w:hint="default"/>
                <w:spacing w:val="-47"/>
                <w:sz w:val="18"/>
                <w:szCs w:val="18"/>
              </w:rPr>
              <w:t> </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50"/>
                <w:sz w:val="18"/>
                <w:szCs w:val="18"/>
              </w:rPr>
              <w:t> </w:t>
            </w:r>
            <w:r>
              <w:rPr>
                <w:rFonts w:ascii="宋体" w:hAnsi="宋体" w:cs="宋体" w:eastAsia="宋体" w:hint="default"/>
                <w:sz w:val="18"/>
                <w:szCs w:val="18"/>
              </w:rPr>
              <w:t>持</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对</w:t>
            </w:r>
            <w:r>
              <w:rPr>
                <w:rFonts w:ascii="宋体" w:hAnsi="宋体" w:cs="宋体" w:eastAsia="宋体" w:hint="default"/>
                <w:spacing w:val="-50"/>
                <w:sz w:val="18"/>
                <w:szCs w:val="18"/>
              </w:rPr>
              <w:t> </w:t>
            </w:r>
            <w:r>
              <w:rPr>
                <w:rFonts w:ascii="宋体" w:hAnsi="宋体" w:cs="宋体" w:eastAsia="宋体" w:hint="default"/>
                <w:sz w:val="18"/>
                <w:szCs w:val="18"/>
              </w:rPr>
              <w:t>外</w:t>
            </w:r>
            <w:r>
              <w:rPr>
                <w:rFonts w:ascii="宋体" w:hAnsi="宋体" w:cs="宋体" w:eastAsia="宋体" w:hint="default"/>
                <w:spacing w:val="-47"/>
                <w:sz w:val="18"/>
                <w:szCs w:val="18"/>
              </w:rPr>
              <w:t> </w:t>
            </w:r>
            <w:r>
              <w:rPr>
                <w:rFonts w:ascii="宋体" w:hAnsi="宋体" w:cs="宋体" w:eastAsia="宋体" w:hint="default"/>
                <w:sz w:val="18"/>
                <w:szCs w:val="18"/>
              </w:rPr>
              <w:t>担</w:t>
            </w:r>
            <w:r>
              <w:rPr>
                <w:rFonts w:ascii="宋体" w:hAnsi="宋体" w:cs="宋体" w:eastAsia="宋体" w:hint="default"/>
                <w:spacing w:val="-47"/>
                <w:sz w:val="18"/>
                <w:szCs w:val="18"/>
              </w:rPr>
              <w:t> </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宋体" w:hAnsi="宋体" w:cs="宋体" w:eastAsia="宋体" w:hint="default"/>
                <w:sz w:val="18"/>
                <w:szCs w:val="18"/>
              </w:rPr>
              <w:t>总</w:t>
            </w:r>
            <w:r>
              <w:rPr>
                <w:rFonts w:ascii="宋体" w:hAnsi="宋体" w:cs="宋体" w:eastAsia="宋体" w:hint="default"/>
                <w:spacing w:val="-50"/>
                <w:sz w:val="18"/>
                <w:szCs w:val="18"/>
              </w:rPr>
              <w:t> </w:t>
            </w:r>
            <w:r>
              <w:rPr>
                <w:rFonts w:ascii="宋体" w:hAnsi="宋体" w:cs="宋体" w:eastAsia="宋体" w:hint="default"/>
                <w:sz w:val="18"/>
                <w:szCs w:val="18"/>
              </w:rPr>
              <w:t>数</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z w:val="18"/>
                <w:szCs w:val="18"/>
              </w:rPr>
              <w:t>资</w:t>
            </w:r>
            <w:r>
              <w:rPr>
                <w:rFonts w:ascii="宋体" w:hAnsi="宋体" w:cs="宋体" w:eastAsia="宋体" w:hint="default"/>
                <w:spacing w:val="-50"/>
                <w:sz w:val="18"/>
                <w:szCs w:val="18"/>
              </w:rPr>
              <w:t> </w:t>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宋体" w:hAnsi="宋体" w:cs="宋体" w:eastAsia="宋体" w:hint="default"/>
                <w:sz w:val="18"/>
                <w:szCs w:val="18"/>
              </w:rPr>
              <w:t>往</w:t>
            </w:r>
            <w:r>
              <w:rPr>
                <w:rFonts w:ascii="宋体" w:hAnsi="宋体" w:cs="宋体" w:eastAsia="宋体" w:hint="default"/>
                <w:spacing w:val="-47"/>
                <w:sz w:val="18"/>
                <w:szCs w:val="18"/>
              </w:rPr>
              <w:t> </w:t>
            </w:r>
            <w:r>
              <w:rPr>
                <w:rFonts w:ascii="宋体" w:hAnsi="宋体" w:cs="宋体" w:eastAsia="宋体" w:hint="default"/>
                <w:sz w:val="18"/>
                <w:szCs w:val="18"/>
              </w:rPr>
              <w:t>来</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百</w:t>
            </w:r>
            <w:r>
              <w:rPr>
                <w:rFonts w:ascii="宋体" w:hAnsi="宋体" w:cs="宋体" w:eastAsia="宋体" w:hint="default"/>
                <w:spacing w:val="-50"/>
                <w:sz w:val="18"/>
                <w:szCs w:val="18"/>
              </w:rPr>
              <w:t> </w:t>
            </w:r>
            <w:r>
              <w:rPr>
                <w:rFonts w:ascii="宋体" w:hAnsi="宋体" w:cs="宋体" w:eastAsia="宋体" w:hint="default"/>
                <w:sz w:val="18"/>
                <w:szCs w:val="18"/>
              </w:rPr>
              <w:t>分</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二</w:t>
            </w: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2009</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十五，离职后</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pacing w:val="-3"/>
                <w:sz w:val="18"/>
                <w:szCs w:val="18"/>
              </w:rPr>
              <w:t>六个月内，不</w:t>
            </w: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50"/>
                <w:sz w:val="18"/>
                <w:szCs w:val="18"/>
              </w:rPr>
              <w:t> </w:t>
            </w:r>
            <w:r>
              <w:rPr>
                <w:rFonts w:ascii="宋体" w:hAnsi="宋体" w:cs="宋体" w:eastAsia="宋体" w:hint="default"/>
                <w:sz w:val="18"/>
                <w:szCs w:val="18"/>
              </w:rPr>
              <w:t>让</w:t>
            </w:r>
            <w:r>
              <w:rPr>
                <w:rFonts w:ascii="宋体" w:hAnsi="宋体" w:cs="宋体" w:eastAsia="宋体" w:hint="default"/>
                <w:spacing w:val="-50"/>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所</w:t>
            </w:r>
            <w:r>
              <w:rPr>
                <w:rFonts w:ascii="宋体" w:hAnsi="宋体" w:cs="宋体" w:eastAsia="宋体" w:hint="default"/>
                <w:spacing w:val="-50"/>
                <w:sz w:val="18"/>
                <w:szCs w:val="18"/>
              </w:rPr>
              <w:t> </w:t>
            </w:r>
            <w:r>
              <w:rPr>
                <w:rFonts w:ascii="宋体" w:hAnsi="宋体" w:cs="宋体" w:eastAsia="宋体" w:hint="default"/>
                <w:sz w:val="18"/>
                <w:szCs w:val="18"/>
              </w:rPr>
              <w:t>持</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制人周炜、王</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股份。在首次</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英</w:t>
            </w:r>
            <w:r>
              <w:rPr>
                <w:rFonts w:ascii="宋体" w:hAnsi="宋体" w:cs="宋体" w:eastAsia="宋体" w:hint="default"/>
                <w:spacing w:val="-47"/>
                <w:sz w:val="18"/>
                <w:szCs w:val="18"/>
              </w:rPr>
              <w:t> </w:t>
            </w:r>
            <w:r>
              <w:rPr>
                <w:rFonts w:ascii="宋体" w:hAnsi="宋体" w:cs="宋体" w:eastAsia="宋体" w:hint="default"/>
                <w:sz w:val="18"/>
                <w:szCs w:val="18"/>
              </w:rPr>
              <w:t>夫</w:t>
            </w:r>
            <w:r>
              <w:rPr>
                <w:rFonts w:ascii="宋体" w:hAnsi="宋体" w:cs="宋体" w:eastAsia="宋体" w:hint="default"/>
                <w:spacing w:val="-50"/>
                <w:sz w:val="18"/>
                <w:szCs w:val="18"/>
              </w:rPr>
              <w:t> </w:t>
            </w:r>
            <w:r>
              <w:rPr>
                <w:rFonts w:ascii="宋体" w:hAnsi="宋体" w:cs="宋体" w:eastAsia="宋体" w:hint="default"/>
                <w:sz w:val="18"/>
                <w:szCs w:val="18"/>
              </w:rPr>
              <w:t>妇</w:t>
            </w:r>
            <w:r>
              <w:rPr>
                <w:rFonts w:ascii="宋体" w:hAnsi="宋体" w:cs="宋体" w:eastAsia="宋体" w:hint="default"/>
                <w:spacing w:val="-47"/>
                <w:sz w:val="18"/>
                <w:szCs w:val="18"/>
              </w:rPr>
              <w:t> </w:t>
            </w:r>
            <w:r>
              <w:rPr>
                <w:rFonts w:ascii="宋体" w:hAnsi="宋体" w:cs="宋体" w:eastAsia="宋体" w:hint="default"/>
                <w:sz w:val="18"/>
                <w:szCs w:val="18"/>
              </w:rPr>
              <w:t>就</w:t>
            </w:r>
            <w:r>
              <w:rPr>
                <w:rFonts w:ascii="宋体" w:hAnsi="宋体" w:cs="宋体" w:eastAsia="宋体" w:hint="default"/>
                <w:spacing w:val="-47"/>
                <w:sz w:val="18"/>
                <w:szCs w:val="18"/>
              </w:rPr>
              <w:t> </w:t>
            </w:r>
            <w:r>
              <w:rPr>
                <w:rFonts w:ascii="宋体" w:hAnsi="宋体" w:cs="宋体" w:eastAsia="宋体" w:hint="default"/>
                <w:sz w:val="18"/>
                <w:szCs w:val="18"/>
              </w:rPr>
              <w:t>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开</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宋体" w:hAnsi="宋体" w:cs="宋体" w:eastAsia="宋体" w:hint="default"/>
                <w:sz w:val="18"/>
                <w:szCs w:val="18"/>
              </w:rPr>
              <w:t>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50"/>
                <w:sz w:val="18"/>
                <w:szCs w:val="18"/>
              </w:rPr>
              <w:t> </w:t>
            </w:r>
            <w:r>
              <w:rPr>
                <w:rFonts w:ascii="宋体" w:hAnsi="宋体" w:cs="宋体" w:eastAsia="宋体" w:hint="default"/>
                <w:sz w:val="18"/>
                <w:szCs w:val="18"/>
              </w:rPr>
              <w:t>上</w:t>
            </w:r>
            <w:r>
              <w:rPr>
                <w:rFonts w:ascii="宋体" w:hAnsi="宋体" w:cs="宋体" w:eastAsia="宋体" w:hint="default"/>
                <w:spacing w:val="-50"/>
                <w:sz w:val="18"/>
                <w:szCs w:val="18"/>
              </w:rPr>
              <w:t> </w:t>
            </w:r>
            <w:r>
              <w:rPr>
                <w:rFonts w:ascii="宋体" w:hAnsi="宋体" w:cs="宋体" w:eastAsia="宋体" w:hint="default"/>
                <w:sz w:val="18"/>
                <w:szCs w:val="18"/>
              </w:rPr>
              <w:t>市</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w:t>
            </w:r>
            <w:r>
              <w:rPr>
                <w:rFonts w:ascii="宋体" w:hAnsi="宋体" w:cs="宋体" w:eastAsia="宋体" w:hint="default"/>
                <w:spacing w:val="-47"/>
                <w:sz w:val="18"/>
                <w:szCs w:val="18"/>
              </w:rPr>
              <w:t> </w:t>
            </w:r>
            <w:r>
              <w:rPr>
                <w:rFonts w:ascii="宋体" w:hAnsi="宋体" w:cs="宋体" w:eastAsia="宋体" w:hint="default"/>
                <w:sz w:val="18"/>
                <w:szCs w:val="18"/>
              </w:rPr>
              <w:t>保</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z w:val="18"/>
                <w:szCs w:val="18"/>
              </w:rPr>
              <w:t>资</w:t>
            </w:r>
            <w:r>
              <w:rPr>
                <w:rFonts w:ascii="宋体" w:hAnsi="宋体" w:cs="宋体" w:eastAsia="宋体" w:hint="default"/>
                <w:spacing w:val="-47"/>
                <w:sz w:val="18"/>
                <w:szCs w:val="18"/>
              </w:rPr>
              <w:t> </w:t>
            </w:r>
            <w:r>
              <w:rPr>
                <w:rFonts w:ascii="宋体" w:hAnsi="宋体" w:cs="宋体" w:eastAsia="宋体" w:hint="default"/>
                <w:sz w:val="18"/>
                <w:szCs w:val="18"/>
              </w:rPr>
              <w:t>金</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0"/>
                <w:sz w:val="18"/>
                <w:szCs w:val="18"/>
              </w:rPr>
              <w:t> </w:t>
            </w:r>
            <w:r>
              <w:rPr>
                <w:rFonts w:ascii="宋体" w:hAnsi="宋体" w:cs="宋体" w:eastAsia="宋体" w:hint="default"/>
                <w:sz w:val="18"/>
                <w:szCs w:val="18"/>
              </w:rPr>
              <w:t>六</w:t>
            </w:r>
            <w:r>
              <w:rPr>
                <w:rFonts w:ascii="宋体" w:hAnsi="宋体" w:cs="宋体" w:eastAsia="宋体" w:hint="default"/>
                <w:spacing w:val="-50"/>
                <w:sz w:val="18"/>
                <w:szCs w:val="18"/>
              </w:rPr>
              <w:t> </w:t>
            </w:r>
            <w:r>
              <w:rPr>
                <w:rFonts w:ascii="宋体" w:hAnsi="宋体" w:cs="宋体" w:eastAsia="宋体" w:hint="default"/>
                <w:sz w:val="18"/>
                <w:szCs w:val="18"/>
              </w:rPr>
              <w:t>个</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内</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往来作出《关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申报离职的，</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严</w:t>
            </w:r>
            <w:r>
              <w:rPr>
                <w:rFonts w:ascii="宋体" w:hAnsi="宋体" w:cs="宋体" w:eastAsia="宋体" w:hint="default"/>
                <w:spacing w:val="-50"/>
                <w:sz w:val="18"/>
                <w:szCs w:val="18"/>
              </w:rPr>
              <w:t> </w:t>
            </w:r>
            <w:r>
              <w:rPr>
                <w:rFonts w:ascii="宋体" w:hAnsi="宋体" w:cs="宋体" w:eastAsia="宋体" w:hint="default"/>
                <w:sz w:val="18"/>
                <w:szCs w:val="18"/>
              </w:rPr>
              <w:t>格</w:t>
            </w:r>
            <w:r>
              <w:rPr>
                <w:rFonts w:ascii="宋体" w:hAnsi="宋体" w:cs="宋体" w:eastAsia="宋体" w:hint="default"/>
                <w:spacing w:val="-47"/>
                <w:sz w:val="18"/>
                <w:szCs w:val="18"/>
              </w:rPr>
              <w:t> </w:t>
            </w:r>
            <w:r>
              <w:rPr>
                <w:rFonts w:ascii="宋体" w:hAnsi="宋体" w:cs="宋体" w:eastAsia="宋体" w:hint="default"/>
                <w:sz w:val="18"/>
                <w:szCs w:val="18"/>
              </w:rPr>
              <w:t>执</w:t>
            </w:r>
            <w:r>
              <w:rPr>
                <w:rFonts w:ascii="宋体" w:hAnsi="宋体" w:cs="宋体" w:eastAsia="宋体" w:hint="default"/>
                <w:spacing w:val="-47"/>
                <w:sz w:val="18"/>
                <w:szCs w:val="18"/>
              </w:rPr>
              <w:t> </w:t>
            </w:r>
            <w:r>
              <w:rPr>
                <w:rFonts w:ascii="宋体" w:hAnsi="宋体" w:cs="宋体" w:eastAsia="宋体" w:hint="default"/>
                <w:sz w:val="18"/>
                <w:szCs w:val="18"/>
              </w:rPr>
              <w:t>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0"/>
                <w:sz w:val="18"/>
                <w:szCs w:val="18"/>
              </w:rPr>
              <w:t> </w:t>
            </w:r>
            <w:r>
              <w:rPr>
                <w:rFonts w:ascii="宋体" w:hAnsi="宋体" w:cs="宋体" w:eastAsia="宋体" w:hint="default"/>
                <w:sz w:val="18"/>
                <w:szCs w:val="18"/>
              </w:rPr>
              <w:t>申</w:t>
            </w:r>
            <w:r>
              <w:rPr>
                <w:rFonts w:ascii="宋体" w:hAnsi="宋体" w:cs="宋体" w:eastAsia="宋体" w:hint="default"/>
                <w:spacing w:val="-50"/>
                <w:sz w:val="18"/>
                <w:szCs w:val="18"/>
              </w:rPr>
              <w:t> </w:t>
            </w:r>
            <w:r>
              <w:rPr>
                <w:rFonts w:ascii="宋体" w:hAnsi="宋体" w:cs="宋体" w:eastAsia="宋体" w:hint="default"/>
                <w:sz w:val="18"/>
                <w:szCs w:val="18"/>
              </w:rPr>
              <w:t>报</w:t>
            </w:r>
            <w:r>
              <w:rPr>
                <w:rFonts w:ascii="宋体" w:hAnsi="宋体" w:cs="宋体" w:eastAsia="宋体" w:hint="default"/>
                <w:spacing w:val="-47"/>
                <w:sz w:val="18"/>
                <w:szCs w:val="18"/>
              </w:rPr>
              <w:t> </w:t>
            </w:r>
            <w:r>
              <w:rPr>
                <w:rFonts w:ascii="宋体" w:hAnsi="宋体" w:cs="宋体" w:eastAsia="宋体" w:hint="default"/>
                <w:sz w:val="18"/>
                <w:szCs w:val="18"/>
              </w:rPr>
              <w:t>离</w:t>
            </w:r>
            <w:r>
              <w:rPr>
                <w:rFonts w:ascii="宋体" w:hAnsi="宋体" w:cs="宋体" w:eastAsia="宋体" w:hint="default"/>
                <w:spacing w:val="-50"/>
                <w:sz w:val="18"/>
                <w:szCs w:val="18"/>
              </w:rPr>
              <w:t> </w:t>
            </w:r>
            <w:r>
              <w:rPr>
                <w:rFonts w:ascii="宋体" w:hAnsi="宋体" w:cs="宋体" w:eastAsia="宋体" w:hint="default"/>
                <w:sz w:val="18"/>
                <w:szCs w:val="18"/>
              </w:rPr>
              <w:t>职</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7"/>
                <w:sz w:val="18"/>
                <w:szCs w:val="18"/>
              </w:rPr>
              <w:t> </w:t>
            </w:r>
            <w:r>
              <w:rPr>
                <w:rFonts w:ascii="宋体" w:hAnsi="宋体" w:cs="宋体" w:eastAsia="宋体" w:hint="default"/>
                <w:sz w:val="18"/>
                <w:szCs w:val="18"/>
              </w:rPr>
              <w:t>国</w:t>
            </w:r>
            <w:r>
              <w:rPr>
                <w:rFonts w:ascii="宋体" w:hAnsi="宋体" w:cs="宋体" w:eastAsia="宋体" w:hint="default"/>
                <w:spacing w:val="-50"/>
                <w:sz w:val="18"/>
                <w:szCs w:val="18"/>
              </w:rPr>
              <w:t> </w:t>
            </w:r>
            <w:r>
              <w:rPr>
                <w:rFonts w:ascii="宋体" w:hAnsi="宋体" w:cs="宋体" w:eastAsia="宋体" w:hint="default"/>
                <w:sz w:val="18"/>
                <w:szCs w:val="18"/>
              </w:rPr>
              <w:t>证</w:t>
            </w:r>
            <w:r>
              <w:rPr>
                <w:rFonts w:ascii="宋体" w:hAnsi="宋体" w:cs="宋体" w:eastAsia="宋体" w:hint="default"/>
                <w:spacing w:val="-47"/>
                <w:sz w:val="18"/>
                <w:szCs w:val="18"/>
              </w:rPr>
              <w:t> </w:t>
            </w:r>
            <w:r>
              <w:rPr>
                <w:rFonts w:ascii="宋体" w:hAnsi="宋体" w:cs="宋体" w:eastAsia="宋体" w:hint="default"/>
                <w:sz w:val="18"/>
                <w:szCs w:val="18"/>
              </w:rPr>
              <w:t>监</w:t>
            </w:r>
            <w:r>
              <w:rPr>
                <w:rFonts w:ascii="宋体" w:hAnsi="宋体" w:cs="宋体" w:eastAsia="宋体" w:hint="default"/>
                <w:spacing w:val="-47"/>
                <w:sz w:val="18"/>
                <w:szCs w:val="18"/>
              </w:rPr>
              <w:t> </w:t>
            </w:r>
            <w:r>
              <w:rPr>
                <w:rFonts w:ascii="宋体" w:hAnsi="宋体" w:cs="宋体" w:eastAsia="宋体" w:hint="default"/>
                <w:sz w:val="18"/>
                <w:szCs w:val="18"/>
              </w:rPr>
              <w:t>会</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起</w:t>
            </w:r>
            <w:r>
              <w:rPr>
                <w:rFonts w:ascii="宋体" w:hAnsi="宋体" w:cs="宋体" w:eastAsia="宋体" w:hint="default"/>
                <w:spacing w:val="-47"/>
                <w:sz w:val="18"/>
                <w:szCs w:val="18"/>
              </w:rPr>
              <w:t> </w:t>
            </w:r>
            <w:r>
              <w:rPr>
                <w:rFonts w:ascii="宋体" w:hAnsi="宋体" w:cs="宋体" w:eastAsia="宋体" w:hint="default"/>
                <w:sz w:val="18"/>
                <w:szCs w:val="18"/>
              </w:rPr>
              <w:t>十</w:t>
            </w:r>
            <w:r>
              <w:rPr>
                <w:rFonts w:ascii="宋体" w:hAnsi="宋体" w:cs="宋体" w:eastAsia="宋体" w:hint="default"/>
                <w:spacing w:val="-50"/>
                <w:sz w:val="18"/>
                <w:szCs w:val="18"/>
              </w:rPr>
              <w:t> </w:t>
            </w:r>
            <w:r>
              <w:rPr>
                <w:rFonts w:ascii="宋体" w:hAnsi="宋体" w:cs="宋体" w:eastAsia="宋体" w:hint="default"/>
                <w:sz w:val="18"/>
                <w:szCs w:val="18"/>
              </w:rPr>
              <w:t>八</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 证 监</w:t>
            </w:r>
            <w:r>
              <w:rPr>
                <w:rFonts w:ascii="宋体" w:hAnsi="宋体" w:cs="宋体" w:eastAsia="宋体" w:hint="default"/>
                <w:spacing w:val="79"/>
                <w:sz w:val="18"/>
                <w:szCs w:val="18"/>
              </w:rPr>
              <w:t> </w:t>
            </w:r>
            <w:r>
              <w:rPr>
                <w:rFonts w:ascii="宋体" w:hAnsi="宋体" w:cs="宋体" w:eastAsia="宋体" w:hint="default"/>
                <w:sz w:val="18"/>
                <w:szCs w:val="18"/>
              </w:rPr>
              <w:t>发</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个</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内</w:t>
            </w:r>
            <w:r>
              <w:rPr>
                <w:rFonts w:ascii="宋体" w:hAnsi="宋体" w:cs="宋体" w:eastAsia="宋体" w:hint="default"/>
                <w:spacing w:val="-47"/>
                <w:sz w:val="18"/>
                <w:szCs w:val="18"/>
              </w:rPr>
              <w:t> </w:t>
            </w:r>
            <w:r>
              <w:rPr>
                <w:rFonts w:ascii="宋体" w:hAnsi="宋体" w:cs="宋体" w:eastAsia="宋体" w:hint="default"/>
                <w:sz w:val="18"/>
                <w:szCs w:val="18"/>
              </w:rPr>
              <w:t>不</w:t>
            </w:r>
            <w:r>
              <w:rPr>
                <w:rFonts w:ascii="宋体" w:hAnsi="宋体" w:cs="宋体" w:eastAsia="宋体" w:hint="default"/>
                <w:spacing w:val="-50"/>
                <w:sz w:val="18"/>
                <w:szCs w:val="18"/>
              </w:rPr>
              <w:t> </w:t>
            </w:r>
            <w:r>
              <w:rPr>
                <w:rFonts w:ascii="宋体" w:hAnsi="宋体" w:cs="宋体" w:eastAsia="宋体" w:hint="default"/>
                <w:sz w:val="18"/>
                <w:szCs w:val="18"/>
              </w:rPr>
              <w:t>得</w:t>
            </w: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2003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56</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50"/>
                <w:sz w:val="18"/>
                <w:szCs w:val="18"/>
              </w:rPr>
              <w:t> </w:t>
            </w:r>
            <w:r>
              <w:rPr>
                <w:rFonts w:ascii="宋体" w:hAnsi="宋体" w:cs="宋体" w:eastAsia="宋体" w:hint="default"/>
                <w:sz w:val="18"/>
                <w:szCs w:val="18"/>
              </w:rPr>
              <w:t>让</w:t>
            </w:r>
            <w:r>
              <w:rPr>
                <w:rFonts w:ascii="宋体" w:hAnsi="宋体" w:cs="宋体" w:eastAsia="宋体" w:hint="default"/>
                <w:spacing w:val="-50"/>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直</w:t>
            </w:r>
            <w:r>
              <w:rPr>
                <w:rFonts w:ascii="宋体" w:hAnsi="宋体" w:cs="宋体" w:eastAsia="宋体" w:hint="default"/>
                <w:spacing w:val="-50"/>
                <w:sz w:val="18"/>
                <w:szCs w:val="18"/>
              </w:rPr>
              <w:t> </w:t>
            </w:r>
            <w:r>
              <w:rPr>
                <w:rFonts w:ascii="宋体" w:hAnsi="宋体" w:cs="宋体" w:eastAsia="宋体" w:hint="default"/>
                <w:sz w:val="18"/>
                <w:szCs w:val="18"/>
              </w:rPr>
              <w:t>接</w:t>
            </w: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号】文有关规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司</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 的 承</w:t>
            </w:r>
            <w:r>
              <w:rPr>
                <w:rFonts w:ascii="宋体" w:hAnsi="宋体" w:cs="宋体" w:eastAsia="宋体" w:hint="default"/>
                <w:spacing w:val="79"/>
                <w:sz w:val="18"/>
                <w:szCs w:val="18"/>
              </w:rPr>
              <w:t> </w:t>
            </w:r>
            <w:r>
              <w:rPr>
                <w:rFonts w:ascii="宋体" w:hAnsi="宋体" w:cs="宋体" w:eastAsia="宋体" w:hint="default"/>
                <w:sz w:val="18"/>
                <w:szCs w:val="18"/>
              </w:rPr>
              <w:t>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股份；在首次</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5"/>
                <w:sz w:val="18"/>
                <w:szCs w:val="18"/>
              </w:rPr>
              <w:t>）</w:t>
            </w:r>
            <w:r>
              <w:rPr>
                <w:rFonts w:ascii="宋体" w:hAnsi="宋体" w:cs="宋体" w:eastAsia="宋体" w:hint="default"/>
                <w:sz w:val="18"/>
                <w:szCs w:val="18"/>
              </w:rPr>
              <w:t>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开</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开</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50"/>
                <w:sz w:val="18"/>
                <w:szCs w:val="18"/>
              </w:rPr>
              <w:t> </w:t>
            </w:r>
            <w:r>
              <w:rPr>
                <w:rFonts w:ascii="宋体" w:hAnsi="宋体" w:cs="宋体" w:eastAsia="宋体" w:hint="default"/>
                <w:sz w:val="18"/>
                <w:szCs w:val="18"/>
              </w:rPr>
              <w:t>上</w:t>
            </w:r>
            <w:r>
              <w:rPr>
                <w:rFonts w:ascii="宋体" w:hAnsi="宋体" w:cs="宋体" w:eastAsia="宋体" w:hint="default"/>
                <w:spacing w:val="-50"/>
                <w:sz w:val="18"/>
                <w:szCs w:val="18"/>
              </w:rPr>
              <w:t> </w:t>
            </w:r>
            <w:r>
              <w:rPr>
                <w:rFonts w:ascii="宋体" w:hAnsi="宋体" w:cs="宋体" w:eastAsia="宋体" w:hint="default"/>
                <w:sz w:val="18"/>
                <w:szCs w:val="18"/>
              </w:rPr>
              <w:t>市</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东</w:t>
            </w:r>
            <w:r>
              <w:rPr>
                <w:rFonts w:ascii="宋体" w:hAnsi="宋体" w:cs="宋体" w:eastAsia="宋体" w:hint="default"/>
                <w:spacing w:val="-47"/>
                <w:sz w:val="18"/>
                <w:szCs w:val="18"/>
              </w:rPr>
              <w:t> </w:t>
            </w:r>
            <w:r>
              <w:rPr>
                <w:rFonts w:ascii="宋体" w:hAnsi="宋体" w:cs="宋体" w:eastAsia="宋体" w:hint="default"/>
                <w:sz w:val="18"/>
                <w:szCs w:val="18"/>
              </w:rPr>
              <w:t>所</w:t>
            </w:r>
            <w:r>
              <w:rPr>
                <w:rFonts w:ascii="宋体" w:hAnsi="宋体" w:cs="宋体" w:eastAsia="宋体" w:hint="default"/>
                <w:spacing w:val="-47"/>
                <w:sz w:val="18"/>
                <w:szCs w:val="18"/>
              </w:rPr>
              <w:t> </w:t>
            </w:r>
            <w:r>
              <w:rPr>
                <w:rFonts w:ascii="宋体" w:hAnsi="宋体" w:cs="宋体" w:eastAsia="宋体" w:hint="default"/>
                <w:sz w:val="18"/>
                <w:szCs w:val="18"/>
              </w:rPr>
              <w:t>持</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0"/>
                <w:sz w:val="18"/>
                <w:szCs w:val="18"/>
              </w:rPr>
              <w:t> </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宋体" w:hAnsi="宋体" w:cs="宋体" w:eastAsia="宋体" w:hint="default"/>
                <w:sz w:val="18"/>
                <w:szCs w:val="18"/>
              </w:rPr>
              <w:t>七</w:t>
            </w:r>
            <w:r>
              <w:rPr>
                <w:rFonts w:ascii="宋体" w:hAnsi="宋体" w:cs="宋体" w:eastAsia="宋体" w:hint="default"/>
                <w:spacing w:val="-47"/>
                <w:sz w:val="18"/>
                <w:szCs w:val="18"/>
              </w:rPr>
              <w:t> </w:t>
            </w:r>
            <w:r>
              <w:rPr>
                <w:rFonts w:ascii="宋体" w:hAnsi="宋体" w:cs="宋体" w:eastAsia="宋体" w:hint="default"/>
                <w:sz w:val="18"/>
                <w:szCs w:val="18"/>
              </w:rPr>
              <w:t>个</w:t>
            </w:r>
            <w:r>
              <w:rPr>
                <w:rFonts w:ascii="宋体" w:hAnsi="宋体" w:cs="宋体" w:eastAsia="宋体" w:hint="default"/>
                <w:spacing w:val="-50"/>
                <w:sz w:val="18"/>
                <w:szCs w:val="18"/>
              </w:rPr>
              <w:t> </w:t>
            </w:r>
            <w:r>
              <w:rPr>
                <w:rFonts w:ascii="宋体" w:hAnsi="宋体" w:cs="宋体" w:eastAsia="宋体" w:hint="default"/>
                <w:sz w:val="18"/>
                <w:szCs w:val="18"/>
              </w:rPr>
              <w:t>月</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份</w:t>
            </w:r>
            <w:r>
              <w:rPr>
                <w:rFonts w:ascii="宋体" w:hAnsi="宋体" w:cs="宋体" w:eastAsia="宋体" w:hint="default"/>
                <w:spacing w:val="-50"/>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流</w:t>
            </w:r>
            <w:r>
              <w:rPr>
                <w:rFonts w:ascii="宋体" w:hAnsi="宋体" w:cs="宋体" w:eastAsia="宋体" w:hint="default"/>
                <w:spacing w:val="-47"/>
                <w:sz w:val="18"/>
                <w:szCs w:val="18"/>
              </w:rPr>
              <w:t> </w:t>
            </w:r>
            <w:r>
              <w:rPr>
                <w:rFonts w:ascii="宋体" w:hAnsi="宋体" w:cs="宋体" w:eastAsia="宋体" w:hint="default"/>
                <w:sz w:val="18"/>
                <w:szCs w:val="18"/>
              </w:rPr>
              <w:t>通</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宋体" w:hAnsi="宋体" w:cs="宋体" w:eastAsia="宋体" w:hint="default"/>
                <w:sz w:val="18"/>
                <w:szCs w:val="18"/>
              </w:rPr>
              <w:t>十</w:t>
            </w:r>
            <w:r>
              <w:rPr>
                <w:rFonts w:ascii="宋体" w:hAnsi="宋体" w:cs="宋体" w:eastAsia="宋体" w:hint="default"/>
                <w:spacing w:val="-47"/>
                <w:sz w:val="18"/>
                <w:szCs w:val="18"/>
              </w:rPr>
              <w:t> </w:t>
            </w:r>
            <w:r>
              <w:rPr>
                <w:rFonts w:ascii="宋体" w:hAnsi="宋体" w:cs="宋体" w:eastAsia="宋体" w:hint="default"/>
                <w:sz w:val="18"/>
                <w:szCs w:val="18"/>
              </w:rPr>
              <w:t>二</w:t>
            </w:r>
            <w:r>
              <w:rPr>
                <w:rFonts w:ascii="宋体" w:hAnsi="宋体" w:cs="宋体" w:eastAsia="宋体" w:hint="default"/>
                <w:spacing w:val="-50"/>
                <w:sz w:val="18"/>
                <w:szCs w:val="18"/>
              </w:rPr>
              <w:t> </w:t>
            </w:r>
            <w:r>
              <w:rPr>
                <w:rFonts w:ascii="宋体" w:hAnsi="宋体" w:cs="宋体" w:eastAsia="宋体" w:hint="default"/>
                <w:sz w:val="18"/>
                <w:szCs w:val="18"/>
              </w:rPr>
              <w:t>个</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47"/>
                <w:sz w:val="18"/>
                <w:szCs w:val="18"/>
              </w:rPr>
              <w:t> </w:t>
            </w:r>
            <w:r>
              <w:rPr>
                <w:rFonts w:ascii="宋体" w:hAnsi="宋体" w:cs="宋体" w:eastAsia="宋体" w:hint="default"/>
                <w:sz w:val="18"/>
                <w:szCs w:val="18"/>
              </w:rPr>
              <w:t>制</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z w:val="18"/>
                <w:szCs w:val="18"/>
              </w:rPr>
              <w:t>愿</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间</w:t>
            </w:r>
            <w:r>
              <w:rPr>
                <w:rFonts w:ascii="宋体" w:hAnsi="宋体" w:cs="宋体" w:eastAsia="宋体" w:hint="default"/>
                <w:spacing w:val="-47"/>
                <w:sz w:val="18"/>
                <w:szCs w:val="18"/>
              </w:rPr>
              <w:t> </w:t>
            </w:r>
            <w:r>
              <w:rPr>
                <w:rFonts w:ascii="宋体" w:hAnsi="宋体" w:cs="宋体" w:eastAsia="宋体" w:hint="default"/>
                <w:sz w:val="18"/>
                <w:szCs w:val="18"/>
              </w:rPr>
              <w:t>申</w:t>
            </w:r>
            <w:r>
              <w:rPr>
                <w:rFonts w:ascii="宋体" w:hAnsi="宋体" w:cs="宋体" w:eastAsia="宋体" w:hint="default"/>
                <w:spacing w:val="-50"/>
                <w:sz w:val="18"/>
                <w:szCs w:val="18"/>
              </w:rPr>
              <w:t> </w:t>
            </w:r>
            <w:r>
              <w:rPr>
                <w:rFonts w:ascii="宋体" w:hAnsi="宋体" w:cs="宋体" w:eastAsia="宋体" w:hint="default"/>
                <w:sz w:val="18"/>
                <w:szCs w:val="18"/>
              </w:rPr>
              <w:t>报</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离职的，自申</w:t>
            </w: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承诺</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50"/>
                <w:sz w:val="18"/>
                <w:szCs w:val="18"/>
              </w:rPr>
              <w:t> </w:t>
            </w:r>
            <w:r>
              <w:rPr>
                <w:rFonts w:ascii="宋体" w:hAnsi="宋体" w:cs="宋体" w:eastAsia="宋体" w:hint="default"/>
                <w:sz w:val="18"/>
                <w:szCs w:val="18"/>
              </w:rPr>
              <w:t>离</w:t>
            </w:r>
            <w:r>
              <w:rPr>
                <w:rFonts w:ascii="宋体" w:hAnsi="宋体" w:cs="宋体" w:eastAsia="宋体" w:hint="default"/>
                <w:spacing w:val="-50"/>
                <w:sz w:val="18"/>
                <w:szCs w:val="18"/>
              </w:rPr>
              <w:t> </w:t>
            </w:r>
            <w:r>
              <w:rPr>
                <w:rFonts w:ascii="宋体" w:hAnsi="宋体" w:cs="宋体" w:eastAsia="宋体" w:hint="default"/>
                <w:sz w:val="18"/>
                <w:szCs w:val="18"/>
              </w:rPr>
              <w:t>职</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日</w:t>
            </w: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东</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0"/>
                <w:sz w:val="18"/>
                <w:szCs w:val="18"/>
              </w:rPr>
              <w:t> </w:t>
            </w:r>
            <w:r>
              <w:rPr>
                <w:rFonts w:ascii="宋体" w:hAnsi="宋体" w:cs="宋体" w:eastAsia="宋体" w:hint="default"/>
                <w:sz w:val="18"/>
                <w:szCs w:val="18"/>
              </w:rPr>
              <w:t>十</w:t>
            </w:r>
            <w:r>
              <w:rPr>
                <w:rFonts w:ascii="宋体" w:hAnsi="宋体" w:cs="宋体" w:eastAsia="宋体" w:hint="default"/>
                <w:spacing w:val="-50"/>
                <w:sz w:val="18"/>
                <w:szCs w:val="18"/>
              </w:rPr>
              <w:t> </w:t>
            </w:r>
            <w:r>
              <w:rPr>
                <w:rFonts w:ascii="宋体" w:hAnsi="宋体" w:cs="宋体" w:eastAsia="宋体" w:hint="default"/>
                <w:sz w:val="18"/>
                <w:szCs w:val="18"/>
              </w:rPr>
              <w:t>二</w:t>
            </w:r>
            <w:r>
              <w:rPr>
                <w:rFonts w:ascii="宋体" w:hAnsi="宋体" w:cs="宋体" w:eastAsia="宋体" w:hint="default"/>
                <w:spacing w:val="-47"/>
                <w:sz w:val="18"/>
                <w:szCs w:val="18"/>
              </w:rPr>
              <w:t> </w:t>
            </w:r>
            <w:r>
              <w:rPr>
                <w:rFonts w:ascii="宋体" w:hAnsi="宋体" w:cs="宋体" w:eastAsia="宋体" w:hint="default"/>
                <w:sz w:val="18"/>
                <w:szCs w:val="18"/>
              </w:rPr>
              <w:t>个</w:t>
            </w:r>
            <w:r>
              <w:rPr>
                <w:rFonts w:ascii="宋体" w:hAnsi="宋体" w:cs="宋体" w:eastAsia="宋体" w:hint="default"/>
                <w:spacing w:val="-50"/>
                <w:sz w:val="18"/>
                <w:szCs w:val="18"/>
              </w:rPr>
              <w:t> </w:t>
            </w:r>
            <w:r>
              <w:rPr>
                <w:rFonts w:ascii="宋体" w:hAnsi="宋体" w:cs="宋体" w:eastAsia="宋体" w:hint="default"/>
                <w:sz w:val="18"/>
                <w:szCs w:val="18"/>
              </w:rPr>
              <w:t>月</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周炜、王英夫</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50"/>
                <w:sz w:val="18"/>
                <w:szCs w:val="18"/>
              </w:rPr>
              <w:t> </w:t>
            </w:r>
            <w:r>
              <w:rPr>
                <w:rFonts w:ascii="宋体" w:hAnsi="宋体" w:cs="宋体" w:eastAsia="宋体" w:hint="default"/>
                <w:sz w:val="18"/>
                <w:szCs w:val="18"/>
              </w:rPr>
              <w:t>不</w:t>
            </w:r>
            <w:r>
              <w:rPr>
                <w:rFonts w:ascii="宋体" w:hAnsi="宋体" w:cs="宋体" w:eastAsia="宋体" w:hint="default"/>
                <w:spacing w:val="-50"/>
                <w:sz w:val="18"/>
                <w:szCs w:val="18"/>
              </w:rPr>
              <w:t> </w:t>
            </w:r>
            <w:r>
              <w:rPr>
                <w:rFonts w:ascii="宋体" w:hAnsi="宋体" w:cs="宋体" w:eastAsia="宋体" w:hint="default"/>
                <w:sz w:val="18"/>
                <w:szCs w:val="18"/>
              </w:rPr>
              <w:t>得</w:t>
            </w:r>
            <w:r>
              <w:rPr>
                <w:rFonts w:ascii="宋体" w:hAnsi="宋体" w:cs="宋体" w:eastAsia="宋体" w:hint="default"/>
                <w:spacing w:val="-47"/>
                <w:sz w:val="18"/>
                <w:szCs w:val="18"/>
              </w:rPr>
              <w:t> </w:t>
            </w:r>
            <w:r>
              <w:rPr>
                <w:rFonts w:ascii="宋体" w:hAnsi="宋体" w:cs="宋体" w:eastAsia="宋体" w:hint="default"/>
                <w:sz w:val="18"/>
                <w:szCs w:val="18"/>
              </w:rPr>
              <w:t>转</w:t>
            </w:r>
            <w:r>
              <w:rPr>
                <w:rFonts w:ascii="宋体" w:hAnsi="宋体" w:cs="宋体" w:eastAsia="宋体" w:hint="default"/>
                <w:spacing w:val="-50"/>
                <w:sz w:val="18"/>
                <w:szCs w:val="18"/>
              </w:rPr>
              <w:t> </w:t>
            </w:r>
            <w:r>
              <w:rPr>
                <w:rFonts w:ascii="宋体" w:hAnsi="宋体" w:cs="宋体" w:eastAsia="宋体" w:hint="default"/>
                <w:sz w:val="18"/>
                <w:szCs w:val="18"/>
              </w:rPr>
              <w:t>让</w:t>
            </w: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妇</w:t>
            </w:r>
            <w:r>
              <w:rPr>
                <w:rFonts w:ascii="宋体" w:hAnsi="宋体" w:cs="宋体" w:eastAsia="宋体" w:hint="default"/>
                <w:spacing w:val="-47"/>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东</w:t>
            </w:r>
            <w:r>
              <w:rPr>
                <w:rFonts w:ascii="宋体" w:hAnsi="宋体" w:cs="宋体" w:eastAsia="宋体" w:hint="default"/>
                <w:spacing w:val="-47"/>
                <w:sz w:val="18"/>
                <w:szCs w:val="18"/>
              </w:rPr>
              <w:t> </w:t>
            </w:r>
            <w:r>
              <w:rPr>
                <w:rFonts w:ascii="宋体" w:hAnsi="宋体" w:cs="宋体" w:eastAsia="宋体" w:hint="default"/>
                <w:sz w:val="18"/>
                <w:szCs w:val="18"/>
              </w:rPr>
              <w:t>刘</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50"/>
                <w:sz w:val="18"/>
                <w:szCs w:val="18"/>
              </w:rPr>
              <w:t> </w:t>
            </w:r>
            <w:r>
              <w:rPr>
                <w:rFonts w:ascii="宋体" w:hAnsi="宋体" w:cs="宋体" w:eastAsia="宋体" w:hint="default"/>
                <w:sz w:val="18"/>
                <w:szCs w:val="18"/>
              </w:rPr>
              <w:t>直</w:t>
            </w:r>
            <w:r>
              <w:rPr>
                <w:rFonts w:ascii="宋体" w:hAnsi="宋体" w:cs="宋体" w:eastAsia="宋体" w:hint="default"/>
                <w:spacing w:val="-50"/>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50"/>
                <w:sz w:val="18"/>
                <w:szCs w:val="18"/>
              </w:rPr>
              <w:t> </w:t>
            </w:r>
            <w:r>
              <w:rPr>
                <w:rFonts w:ascii="宋体" w:hAnsi="宋体" w:cs="宋体" w:eastAsia="宋体" w:hint="default"/>
                <w:sz w:val="18"/>
                <w:szCs w:val="18"/>
              </w:rPr>
              <w:t>有</w:t>
            </w: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473.759003pt;margin-top:72.400024pt;width:61.2pt;height:686.65pt;mso-position-horizontal-relative:page;mso-position-vertical-relative:page;z-index:-1272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宁承诺：自发</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07"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1pt;height:686.65pt;mso-position-horizontal-relative:char;mso-position-vertical-relative:line" coordorigin="0,0" coordsize="1102,13733">
                  <v:group style="position:absolute;left:0;top:0;width:1102;height:13733" coordorigin="0,0" coordsize="1102,13733">
                    <v:shape style="position:absolute;left:0;top:0;width:1102;height:13733" coordorigin="0,0" coordsize="1102,13733" path="m0,0l1102,0,1102,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票</w:t>
            </w:r>
            <w:r>
              <w:rPr>
                <w:rFonts w:ascii="宋体" w:hAnsi="宋体" w:cs="宋体" w:eastAsia="宋体" w:hint="default"/>
                <w:spacing w:val="-47"/>
                <w:sz w:val="18"/>
                <w:szCs w:val="18"/>
              </w:rPr>
              <w:t> </w:t>
            </w:r>
            <w:r>
              <w:rPr>
                <w:rFonts w:ascii="宋体" w:hAnsi="宋体" w:cs="宋体" w:eastAsia="宋体" w:hint="default"/>
                <w:sz w:val="18"/>
                <w:szCs w:val="18"/>
              </w:rPr>
              <w:t>上</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宋体" w:hAnsi="宋体" w:cs="宋体" w:eastAsia="宋体" w:hint="default"/>
                <w:sz w:val="18"/>
                <w:szCs w:val="18"/>
              </w:rPr>
              <w:t>董</w:t>
            </w:r>
            <w:r>
              <w:rPr>
                <w:rFonts w:ascii="宋体" w:hAnsi="宋体" w:cs="宋体" w:eastAsia="宋体" w:hint="default"/>
                <w:spacing w:val="-47"/>
                <w:sz w:val="18"/>
                <w:szCs w:val="18"/>
              </w:rPr>
              <w:t> </w:t>
            </w:r>
            <w:r>
              <w:rPr>
                <w:rFonts w:ascii="宋体" w:hAnsi="宋体" w:cs="宋体" w:eastAsia="宋体" w:hint="default"/>
                <w:sz w:val="18"/>
                <w:szCs w:val="18"/>
              </w:rPr>
              <w:t>事</w:t>
            </w:r>
            <w:r>
              <w:rPr>
                <w:rFonts w:ascii="宋体" w:hAnsi="宋体" w:cs="宋体" w:eastAsia="宋体" w:hint="default"/>
                <w:spacing w:val="-50"/>
                <w:sz w:val="18"/>
                <w:szCs w:val="18"/>
              </w:rPr>
              <w:t> </w:t>
            </w:r>
            <w:r>
              <w:rPr>
                <w:rFonts w:ascii="宋体" w:hAnsi="宋体" w:cs="宋体" w:eastAsia="宋体" w:hint="default"/>
                <w:sz w:val="18"/>
                <w:szCs w:val="18"/>
              </w:rPr>
              <w:t>周</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起</w:t>
            </w:r>
            <w:r>
              <w:rPr>
                <w:rFonts w:ascii="宋体" w:hAnsi="宋体" w:cs="宋体" w:eastAsia="宋体" w:hint="default"/>
                <w:spacing w:val="-47"/>
                <w:sz w:val="18"/>
                <w:szCs w:val="18"/>
              </w:rPr>
              <w:t> </w:t>
            </w:r>
            <w:r>
              <w:rPr>
                <w:rFonts w:ascii="宋体" w:hAnsi="宋体" w:cs="宋体" w:eastAsia="宋体" w:hint="default"/>
                <w:sz w:val="18"/>
                <w:szCs w:val="18"/>
              </w:rPr>
              <w:t>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炜</w:t>
            </w:r>
            <w:r>
              <w:rPr>
                <w:rFonts w:ascii="宋体" w:hAnsi="宋体" w:cs="宋体" w:eastAsia="宋体" w:hint="default"/>
                <w:spacing w:val="-50"/>
                <w:sz w:val="18"/>
                <w:szCs w:val="18"/>
              </w:rPr>
              <w:t> </w:t>
            </w: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关</w:t>
            </w:r>
            <w:r>
              <w:rPr>
                <w:rFonts w:ascii="宋体" w:hAnsi="宋体" w:cs="宋体" w:eastAsia="宋体" w:hint="default"/>
                <w:spacing w:val="-47"/>
                <w:sz w:val="18"/>
                <w:szCs w:val="18"/>
              </w:rPr>
              <w:t> </w:t>
            </w:r>
            <w:r>
              <w:rPr>
                <w:rFonts w:ascii="宋体" w:hAnsi="宋体" w:cs="宋体" w:eastAsia="宋体" w:hint="default"/>
                <w:sz w:val="18"/>
                <w:szCs w:val="18"/>
              </w:rPr>
              <w:t>联</w:t>
            </w:r>
            <w:r>
              <w:rPr>
                <w:rFonts w:ascii="宋体" w:hAnsi="宋体" w:cs="宋体" w:eastAsia="宋体" w:hint="default"/>
                <w:spacing w:val="-50"/>
                <w:sz w:val="18"/>
                <w:szCs w:val="18"/>
              </w:rPr>
              <w:t> </w:t>
            </w:r>
            <w:r>
              <w:rPr>
                <w:rFonts w:ascii="宋体" w:hAnsi="宋体" w:cs="宋体" w:eastAsia="宋体" w:hint="default"/>
                <w:sz w:val="18"/>
                <w:szCs w:val="18"/>
              </w:rPr>
              <w:t>方</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十六个月内，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王英还承诺：</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47"/>
                <w:sz w:val="18"/>
                <w:szCs w:val="18"/>
              </w:rPr>
              <w:t> </w:t>
            </w:r>
            <w:r>
              <w:rPr>
                <w:rFonts w:ascii="宋体" w:hAnsi="宋体" w:cs="宋体" w:eastAsia="宋体" w:hint="default"/>
                <w:sz w:val="18"/>
                <w:szCs w:val="18"/>
              </w:rPr>
              <w:t>转</w:t>
            </w:r>
            <w:r>
              <w:rPr>
                <w:rFonts w:ascii="宋体" w:hAnsi="宋体" w:cs="宋体" w:eastAsia="宋体" w:hint="default"/>
                <w:spacing w:val="-50"/>
                <w:sz w:val="18"/>
                <w:szCs w:val="18"/>
              </w:rPr>
              <w:t> </w:t>
            </w:r>
            <w:r>
              <w:rPr>
                <w:rFonts w:ascii="宋体" w:hAnsi="宋体" w:cs="宋体" w:eastAsia="宋体" w:hint="default"/>
                <w:sz w:val="18"/>
                <w:szCs w:val="18"/>
              </w:rPr>
              <w:t>让</w:t>
            </w:r>
            <w:r>
              <w:rPr>
                <w:rFonts w:ascii="宋体" w:hAnsi="宋体" w:cs="宋体" w:eastAsia="宋体" w:hint="default"/>
                <w:spacing w:val="-47"/>
                <w:sz w:val="18"/>
                <w:szCs w:val="18"/>
              </w:rPr>
              <w:t> </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宋体" w:hAnsi="宋体" w:cs="宋体" w:eastAsia="宋体" w:hint="default"/>
                <w:sz w:val="18"/>
                <w:szCs w:val="18"/>
              </w:rPr>
              <w:t>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0"/>
                <w:sz w:val="18"/>
                <w:szCs w:val="18"/>
              </w:rPr>
              <w:t> </w:t>
            </w:r>
            <w:r>
              <w:rPr>
                <w:rFonts w:ascii="宋体" w:hAnsi="宋体" w:cs="宋体" w:eastAsia="宋体" w:hint="default"/>
                <w:sz w:val="18"/>
                <w:szCs w:val="18"/>
              </w:rPr>
              <w:t>周</w:t>
            </w:r>
            <w:r>
              <w:rPr>
                <w:rFonts w:ascii="宋体" w:hAnsi="宋体" w:cs="宋体" w:eastAsia="宋体" w:hint="default"/>
                <w:spacing w:val="-50"/>
                <w:sz w:val="18"/>
                <w:szCs w:val="18"/>
              </w:rPr>
              <w:t> </w:t>
            </w:r>
            <w:r>
              <w:rPr>
                <w:rFonts w:ascii="宋体" w:hAnsi="宋体" w:cs="宋体" w:eastAsia="宋体" w:hint="default"/>
                <w:sz w:val="18"/>
                <w:szCs w:val="18"/>
              </w:rPr>
              <w:t>炜</w:t>
            </w:r>
            <w:r>
              <w:rPr>
                <w:rFonts w:ascii="宋体" w:hAnsi="宋体" w:cs="宋体" w:eastAsia="宋体" w:hint="default"/>
                <w:spacing w:val="-47"/>
                <w:sz w:val="18"/>
                <w:szCs w:val="18"/>
              </w:rPr>
              <w:t> </w:t>
            </w:r>
            <w:r>
              <w:rPr>
                <w:rFonts w:ascii="宋体" w:hAnsi="宋体" w:cs="宋体" w:eastAsia="宋体" w:hint="default"/>
                <w:sz w:val="18"/>
                <w:szCs w:val="18"/>
              </w:rPr>
              <w:t>担</w:t>
            </w:r>
            <w:r>
              <w:rPr>
                <w:rFonts w:ascii="宋体" w:hAnsi="宋体" w:cs="宋体" w:eastAsia="宋体" w:hint="default"/>
                <w:spacing w:val="-50"/>
                <w:sz w:val="18"/>
                <w:szCs w:val="18"/>
              </w:rPr>
              <w:t> </w:t>
            </w:r>
            <w:r>
              <w:rPr>
                <w:rFonts w:ascii="宋体" w:hAnsi="宋体" w:cs="宋体" w:eastAsia="宋体" w:hint="default"/>
                <w:sz w:val="18"/>
                <w:szCs w:val="18"/>
              </w:rPr>
              <w:t>任</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w:t>
            </w:r>
            <w:r>
              <w:rPr>
                <w:rFonts w:ascii="宋体" w:hAnsi="宋体" w:cs="宋体" w:eastAsia="宋体" w:hint="default"/>
                <w:spacing w:val="-47"/>
                <w:sz w:val="18"/>
                <w:szCs w:val="18"/>
              </w:rPr>
              <w:t> </w:t>
            </w:r>
            <w:r>
              <w:rPr>
                <w:rFonts w:ascii="宋体" w:hAnsi="宋体" w:cs="宋体" w:eastAsia="宋体" w:hint="default"/>
                <w:sz w:val="18"/>
                <w:szCs w:val="18"/>
              </w:rPr>
              <w:t>托</w:t>
            </w:r>
            <w:r>
              <w:rPr>
                <w:rFonts w:ascii="宋体" w:hAnsi="宋体" w:cs="宋体" w:eastAsia="宋体" w:hint="default"/>
                <w:spacing w:val="-50"/>
                <w:sz w:val="18"/>
                <w:szCs w:val="18"/>
              </w:rPr>
              <w:t> </w:t>
            </w:r>
            <w:r>
              <w:rPr>
                <w:rFonts w:ascii="宋体" w:hAnsi="宋体" w:cs="宋体" w:eastAsia="宋体" w:hint="default"/>
                <w:sz w:val="18"/>
                <w:szCs w:val="18"/>
              </w:rPr>
              <w:t>他</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公司董事、监</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47"/>
                <w:sz w:val="18"/>
                <w:szCs w:val="18"/>
              </w:rPr>
              <w:t> </w:t>
            </w:r>
            <w:r>
              <w:rPr>
                <w:rFonts w:ascii="宋体" w:hAnsi="宋体" w:cs="宋体" w:eastAsia="宋体" w:hint="default"/>
                <w:sz w:val="18"/>
                <w:szCs w:val="18"/>
              </w:rPr>
              <w:t>其</w:t>
            </w:r>
            <w:r>
              <w:rPr>
                <w:rFonts w:ascii="宋体" w:hAnsi="宋体" w:cs="宋体" w:eastAsia="宋体" w:hint="default"/>
                <w:spacing w:val="-50"/>
                <w:sz w:val="18"/>
                <w:szCs w:val="18"/>
              </w:rPr>
              <w:t> </w:t>
            </w:r>
            <w:r>
              <w:rPr>
                <w:rFonts w:ascii="宋体" w:hAnsi="宋体" w:cs="宋体" w:eastAsia="宋体" w:hint="default"/>
                <w:sz w:val="18"/>
                <w:szCs w:val="18"/>
              </w:rPr>
              <w:t>直</w:t>
            </w:r>
            <w:r>
              <w:rPr>
                <w:rFonts w:ascii="宋体" w:hAnsi="宋体" w:cs="宋体" w:eastAsia="宋体" w:hint="default"/>
                <w:spacing w:val="-47"/>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50"/>
                <w:sz w:val="18"/>
                <w:szCs w:val="18"/>
              </w:rPr>
              <w:t> </w:t>
            </w:r>
            <w:r>
              <w:rPr>
                <w:rFonts w:ascii="宋体" w:hAnsi="宋体" w:cs="宋体" w:eastAsia="宋体" w:hint="default"/>
                <w:sz w:val="18"/>
                <w:szCs w:val="18"/>
              </w:rPr>
              <w:t>或</w:t>
            </w:r>
            <w:r>
              <w:rPr>
                <w:rFonts w:ascii="宋体" w:hAnsi="宋体" w:cs="宋体" w:eastAsia="宋体" w:hint="default"/>
                <w:spacing w:val="-50"/>
                <w:sz w:val="18"/>
                <w:szCs w:val="18"/>
              </w:rPr>
              <w:t> </w:t>
            </w:r>
            <w:r>
              <w:rPr>
                <w:rFonts w:ascii="宋体" w:hAnsi="宋体" w:cs="宋体" w:eastAsia="宋体" w:hint="default"/>
                <w:sz w:val="18"/>
                <w:szCs w:val="18"/>
              </w:rPr>
              <w:t>高</w:t>
            </w:r>
            <w:r>
              <w:rPr>
                <w:rFonts w:ascii="宋体" w:hAnsi="宋体" w:cs="宋体" w:eastAsia="宋体" w:hint="default"/>
                <w:spacing w:val="-47"/>
                <w:sz w:val="18"/>
                <w:szCs w:val="18"/>
              </w:rPr>
              <w:t> </w:t>
            </w:r>
            <w:r>
              <w:rPr>
                <w:rFonts w:ascii="宋体" w:hAnsi="宋体" w:cs="宋体" w:eastAsia="宋体" w:hint="default"/>
                <w:sz w:val="18"/>
                <w:szCs w:val="18"/>
              </w:rPr>
              <w:t>级</w:t>
            </w:r>
            <w:r>
              <w:rPr>
                <w:rFonts w:ascii="宋体" w:hAnsi="宋体" w:cs="宋体" w:eastAsia="宋体" w:hint="default"/>
                <w:spacing w:val="-50"/>
                <w:sz w:val="18"/>
                <w:szCs w:val="18"/>
              </w:rPr>
              <w:t> </w:t>
            </w:r>
            <w:r>
              <w:rPr>
                <w:rFonts w:ascii="宋体" w:hAnsi="宋体" w:cs="宋体" w:eastAsia="宋体" w:hint="default"/>
                <w:sz w:val="18"/>
                <w:szCs w:val="18"/>
              </w:rPr>
              <w:t>管</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w:t>
            </w:r>
            <w:r>
              <w:rPr>
                <w:rFonts w:ascii="宋体" w:hAnsi="宋体" w:cs="宋体" w:eastAsia="宋体" w:hint="default"/>
                <w:spacing w:val="-47"/>
                <w:sz w:val="18"/>
                <w:szCs w:val="18"/>
              </w:rPr>
              <w:t> </w:t>
            </w:r>
            <w:r>
              <w:rPr>
                <w:rFonts w:ascii="宋体" w:hAnsi="宋体" w:cs="宋体" w:eastAsia="宋体" w:hint="default"/>
                <w:sz w:val="18"/>
                <w:szCs w:val="18"/>
              </w:rPr>
              <w:t>间</w:t>
            </w:r>
            <w:r>
              <w:rPr>
                <w:rFonts w:ascii="宋体" w:hAnsi="宋体" w:cs="宋体" w:eastAsia="宋体" w:hint="default"/>
                <w:spacing w:val="-50"/>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47"/>
                <w:sz w:val="18"/>
                <w:szCs w:val="18"/>
              </w:rPr>
              <w:t> </w:t>
            </w:r>
            <w:r>
              <w:rPr>
                <w:rFonts w:ascii="宋体" w:hAnsi="宋体" w:cs="宋体" w:eastAsia="宋体" w:hint="default"/>
                <w:sz w:val="18"/>
                <w:szCs w:val="18"/>
              </w:rPr>
              <w:t>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50"/>
                <w:sz w:val="18"/>
                <w:szCs w:val="18"/>
              </w:rPr>
              <w:t> </w:t>
            </w:r>
            <w:r>
              <w:rPr>
                <w:rFonts w:ascii="宋体" w:hAnsi="宋体" w:cs="宋体" w:eastAsia="宋体" w:hint="default"/>
                <w:sz w:val="18"/>
                <w:szCs w:val="18"/>
              </w:rPr>
              <w:t>持</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公</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宋体" w:hAnsi="宋体" w:cs="宋体" w:eastAsia="宋体" w:hint="default"/>
                <w:sz w:val="18"/>
                <w:szCs w:val="18"/>
              </w:rPr>
              <w:t>按</w:t>
            </w:r>
            <w:r>
              <w:rPr>
                <w:rFonts w:ascii="宋体" w:hAnsi="宋体" w:cs="宋体" w:eastAsia="宋体" w:hint="default"/>
                <w:spacing w:val="-50"/>
                <w:sz w:val="18"/>
                <w:szCs w:val="18"/>
              </w:rPr>
              <w:t> </w:t>
            </w:r>
            <w:r>
              <w:rPr>
                <w:rFonts w:ascii="宋体" w:hAnsi="宋体" w:cs="宋体" w:eastAsia="宋体" w:hint="default"/>
                <w:sz w:val="18"/>
                <w:szCs w:val="18"/>
              </w:rPr>
              <w:t>照</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宋体" w:hAnsi="宋体" w:cs="宋体" w:eastAsia="宋体" w:hint="default"/>
                <w:sz w:val="18"/>
                <w:szCs w:val="18"/>
              </w:rPr>
              <w:t>已</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对公司董事、</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spacing w:val="-50"/>
                <w:sz w:val="18"/>
                <w:szCs w:val="18"/>
              </w:rPr>
              <w:t> </w:t>
            </w:r>
            <w:r>
              <w:rPr>
                <w:rFonts w:ascii="宋体" w:hAnsi="宋体" w:cs="宋体" w:eastAsia="宋体" w:hint="default"/>
                <w:sz w:val="18"/>
                <w:szCs w:val="18"/>
              </w:rPr>
              <w:t>事</w:t>
            </w:r>
            <w:r>
              <w:rPr>
                <w:rFonts w:ascii="宋体" w:hAnsi="宋体" w:cs="宋体" w:eastAsia="宋体" w:hint="default"/>
                <w:spacing w:val="-50"/>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宋体" w:hAnsi="宋体" w:cs="宋体" w:eastAsia="宋体" w:hint="default"/>
                <w:sz w:val="18"/>
                <w:szCs w:val="18"/>
              </w:rPr>
              <w:t>高</w:t>
            </w:r>
            <w:r>
              <w:rPr>
                <w:rFonts w:ascii="宋体" w:hAnsi="宋体" w:cs="宋体" w:eastAsia="宋体" w:hint="default"/>
                <w:spacing w:val="-50"/>
                <w:sz w:val="18"/>
                <w:szCs w:val="18"/>
              </w:rPr>
              <w:t> </w:t>
            </w:r>
            <w:r>
              <w:rPr>
                <w:rFonts w:ascii="宋体" w:hAnsi="宋体" w:cs="宋体" w:eastAsia="宋体" w:hint="default"/>
                <w:sz w:val="18"/>
                <w:szCs w:val="18"/>
              </w:rPr>
              <w:t>级</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回</w:t>
            </w:r>
            <w:r>
              <w:rPr>
                <w:rFonts w:ascii="宋体" w:hAnsi="宋体" w:cs="宋体" w:eastAsia="宋体" w:hint="default"/>
                <w:spacing w:val="-47"/>
                <w:sz w:val="18"/>
                <w:szCs w:val="18"/>
              </w:rPr>
              <w:t> </w:t>
            </w:r>
            <w:r>
              <w:rPr>
                <w:rFonts w:ascii="宋体" w:hAnsi="宋体" w:cs="宋体" w:eastAsia="宋体" w:hint="default"/>
                <w:sz w:val="18"/>
                <w:szCs w:val="18"/>
              </w:rPr>
              <w:t>购</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50"/>
                <w:sz w:val="18"/>
                <w:szCs w:val="18"/>
              </w:rPr>
              <w:t> </w:t>
            </w:r>
            <w:r>
              <w:rPr>
                <w:rFonts w:ascii="宋体" w:hAnsi="宋体" w:cs="宋体" w:eastAsia="宋体" w:hint="default"/>
                <w:sz w:val="18"/>
                <w:szCs w:val="18"/>
              </w:rPr>
              <w:t>理</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员</w:t>
            </w:r>
            <w:r>
              <w:rPr>
                <w:rFonts w:ascii="宋体" w:hAnsi="宋体" w:cs="宋体" w:eastAsia="宋体" w:hint="default"/>
                <w:spacing w:val="-50"/>
                <w:sz w:val="18"/>
                <w:szCs w:val="18"/>
              </w:rPr>
              <w:t> </w:t>
            </w:r>
            <w:r>
              <w:rPr>
                <w:rFonts w:ascii="宋体" w:hAnsi="宋体" w:cs="宋体" w:eastAsia="宋体" w:hint="default"/>
                <w:sz w:val="18"/>
                <w:szCs w:val="18"/>
              </w:rPr>
              <w:t>的</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直</w:t>
            </w:r>
            <w:r>
              <w:rPr>
                <w:rFonts w:ascii="宋体" w:hAnsi="宋体" w:cs="宋体" w:eastAsia="宋体" w:hint="default"/>
                <w:spacing w:val="-50"/>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宋体" w:hAnsi="宋体" w:cs="宋体" w:eastAsia="宋体" w:hint="default"/>
                <w:sz w:val="18"/>
                <w:szCs w:val="18"/>
              </w:rPr>
              <w:t>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pacing w:val="-50"/>
                <w:sz w:val="18"/>
                <w:szCs w:val="18"/>
              </w:rPr>
              <w:t> </w:t>
            </w:r>
            <w:r>
              <w:rPr>
                <w:rFonts w:ascii="宋体" w:hAnsi="宋体" w:cs="宋体" w:eastAsia="宋体" w:hint="default"/>
                <w:sz w:val="18"/>
                <w:szCs w:val="18"/>
              </w:rPr>
              <w:t>减</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50"/>
                <w:sz w:val="18"/>
                <w:szCs w:val="18"/>
              </w:rPr>
              <w:t> </w:t>
            </w:r>
            <w:r>
              <w:rPr>
                <w:rFonts w:ascii="宋体" w:hAnsi="宋体" w:cs="宋体" w:eastAsia="宋体" w:hint="default"/>
                <w:sz w:val="18"/>
                <w:szCs w:val="18"/>
              </w:rPr>
              <w:t>的</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47"/>
                <w:sz w:val="18"/>
                <w:szCs w:val="18"/>
              </w:rPr>
              <w:t> </w:t>
            </w:r>
            <w:r>
              <w:rPr>
                <w:rFonts w:ascii="宋体" w:hAnsi="宋体" w:cs="宋体" w:eastAsia="宋体" w:hint="default"/>
                <w:sz w:val="18"/>
                <w:szCs w:val="18"/>
              </w:rPr>
              <w:t>接</w:t>
            </w:r>
            <w:r>
              <w:rPr>
                <w:rFonts w:ascii="宋体" w:hAnsi="宋体" w:cs="宋体" w:eastAsia="宋体" w:hint="default"/>
                <w:spacing w:val="-50"/>
                <w:sz w:val="18"/>
                <w:szCs w:val="18"/>
              </w:rPr>
              <w:t> </w:t>
            </w:r>
            <w:r>
              <w:rPr>
                <w:rFonts w:ascii="宋体" w:hAnsi="宋体" w:cs="宋体" w:eastAsia="宋体" w:hint="default"/>
                <w:sz w:val="18"/>
                <w:szCs w:val="18"/>
              </w:rPr>
              <w:t>持</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w:t>
            </w:r>
            <w:r>
              <w:rPr>
                <w:rFonts w:ascii="宋体" w:hAnsi="宋体" w:cs="宋体" w:eastAsia="宋体" w:hint="default"/>
                <w:spacing w:val="-26"/>
                <w:sz w:val="18"/>
                <w:szCs w:val="18"/>
              </w:rPr>
              <w:t> </w:t>
            </w:r>
            <w:r>
              <w:rPr>
                <w:rFonts w:ascii="宋体" w:hAnsi="宋体" w:cs="宋体" w:eastAsia="宋体" w:hint="default"/>
                <w:sz w:val="18"/>
                <w:szCs w:val="18"/>
              </w:rPr>
              <w:t>定</w:t>
            </w:r>
            <w:r>
              <w:rPr>
                <w:rFonts w:ascii="宋体" w:hAnsi="宋体" w:cs="宋体" w:eastAsia="宋体" w:hint="default"/>
                <w:spacing w:val="-28"/>
                <w:sz w:val="18"/>
                <w:szCs w:val="18"/>
              </w:rPr>
              <w:t> </w:t>
            </w:r>
            <w:r>
              <w:rPr>
                <w:rFonts w:ascii="宋体" w:hAnsi="宋体" w:cs="宋体" w:eastAsia="宋体" w:hint="default"/>
                <w:sz w:val="18"/>
                <w:szCs w:val="18"/>
              </w:rPr>
              <w:t>执</w:t>
            </w:r>
            <w:r>
              <w:rPr>
                <w:rFonts w:ascii="宋体" w:hAnsi="宋体" w:cs="宋体" w:eastAsia="宋体" w:hint="default"/>
                <w:spacing w:val="-26"/>
                <w:sz w:val="18"/>
                <w:szCs w:val="18"/>
              </w:rPr>
              <w:t> </w:t>
            </w:r>
            <w:r>
              <w:rPr>
                <w:rFonts w:ascii="宋体" w:hAnsi="宋体" w:cs="宋体" w:eastAsia="宋体" w:hint="default"/>
                <w:sz w:val="18"/>
                <w:szCs w:val="18"/>
              </w:rPr>
              <w:t>行</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开</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（四）主要股</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票</w:t>
            </w:r>
            <w:r>
              <w:rPr>
                <w:rFonts w:ascii="宋体" w:hAnsi="宋体" w:cs="宋体" w:eastAsia="宋体" w:hint="default"/>
                <w:spacing w:val="-47"/>
                <w:sz w:val="18"/>
                <w:szCs w:val="18"/>
              </w:rPr>
              <w:t> </w:t>
            </w:r>
            <w:r>
              <w:rPr>
                <w:rFonts w:ascii="宋体" w:hAnsi="宋体" w:cs="宋体" w:eastAsia="宋体" w:hint="default"/>
                <w:sz w:val="18"/>
                <w:szCs w:val="18"/>
              </w:rPr>
              <w:t>前</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50"/>
                <w:sz w:val="18"/>
                <w:szCs w:val="18"/>
              </w:rPr>
              <w:t> </w:t>
            </w:r>
            <w:r>
              <w:rPr>
                <w:rFonts w:ascii="宋体" w:hAnsi="宋体" w:cs="宋体" w:eastAsia="宋体" w:hint="default"/>
                <w:sz w:val="18"/>
                <w:szCs w:val="18"/>
              </w:rPr>
              <w:t>关</w:t>
            </w:r>
            <w:r>
              <w:rPr>
                <w:rFonts w:ascii="宋体" w:hAnsi="宋体" w:cs="宋体" w:eastAsia="宋体" w:hint="default"/>
                <w:spacing w:val="-50"/>
                <w:sz w:val="18"/>
                <w:szCs w:val="18"/>
              </w:rPr>
              <w:t> </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承</w:t>
            </w:r>
            <w:r>
              <w:rPr>
                <w:rFonts w:ascii="宋体" w:hAnsi="宋体" w:cs="宋体" w:eastAsia="宋体" w:hint="default"/>
                <w:spacing w:val="-50"/>
                <w:sz w:val="18"/>
                <w:szCs w:val="18"/>
              </w:rPr>
              <w:t> </w:t>
            </w:r>
            <w:r>
              <w:rPr>
                <w:rFonts w:ascii="宋体" w:hAnsi="宋体" w:cs="宋体" w:eastAsia="宋体" w:hint="default"/>
                <w:sz w:val="18"/>
                <w:szCs w:val="18"/>
              </w:rPr>
              <w:t>担</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相</w:t>
            </w:r>
            <w:r>
              <w:rPr>
                <w:rFonts w:ascii="宋体" w:hAnsi="宋体" w:cs="宋体" w:eastAsia="宋体" w:hint="default"/>
                <w:spacing w:val="-50"/>
                <w:sz w:val="18"/>
                <w:szCs w:val="18"/>
              </w:rPr>
              <w:t> </w:t>
            </w:r>
            <w:r>
              <w:rPr>
                <w:rFonts w:ascii="宋体" w:hAnsi="宋体" w:cs="宋体" w:eastAsia="宋体" w:hint="default"/>
                <w:sz w:val="18"/>
                <w:szCs w:val="18"/>
              </w:rPr>
              <w:t>关</w:t>
            </w: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1"/>
                <w:sz w:val="18"/>
                <w:szCs w:val="18"/>
              </w:rPr>
              <w:t>份。</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w:t>
            </w:r>
            <w:r>
              <w:rPr>
                <w:rFonts w:ascii="宋体" w:hAnsi="宋体" w:cs="宋体" w:eastAsia="宋体" w:hint="default"/>
                <w:spacing w:val="-73"/>
                <w:sz w:val="18"/>
                <w:szCs w:val="18"/>
              </w:rPr>
              <w:t> </w:t>
            </w:r>
            <w:r>
              <w:rPr>
                <w:rFonts w:ascii="宋体" w:hAnsi="宋体" w:cs="宋体" w:eastAsia="宋体" w:hint="default"/>
                <w:spacing w:val="7"/>
                <w:sz w:val="18"/>
                <w:szCs w:val="18"/>
              </w:rPr>
              <w:t>本公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50"/>
                <w:sz w:val="18"/>
                <w:szCs w:val="18"/>
              </w:rPr>
              <w:t> </w:t>
            </w:r>
            <w:r>
              <w:rPr>
                <w:rFonts w:ascii="宋体" w:hAnsi="宋体" w:cs="宋体" w:eastAsia="宋体" w:hint="default"/>
                <w:sz w:val="18"/>
                <w:szCs w:val="18"/>
              </w:rPr>
              <w:t>收</w:t>
            </w:r>
            <w:r>
              <w:rPr>
                <w:rFonts w:ascii="宋体" w:hAnsi="宋体" w:cs="宋体" w:eastAsia="宋体" w:hint="default"/>
                <w:spacing w:val="-50"/>
                <w:sz w:val="18"/>
                <w:szCs w:val="18"/>
              </w:rPr>
              <w:t> </w:t>
            </w:r>
            <w:r>
              <w:rPr>
                <w:rFonts w:ascii="宋体" w:hAnsi="宋体" w:cs="宋体" w:eastAsia="宋体" w:hint="default"/>
                <w:sz w:val="18"/>
                <w:szCs w:val="18"/>
              </w:rPr>
              <w:t>补</w:t>
            </w:r>
            <w:r>
              <w:rPr>
                <w:rFonts w:ascii="宋体" w:hAnsi="宋体" w:cs="宋体" w:eastAsia="宋体" w:hint="default"/>
                <w:spacing w:val="-47"/>
                <w:sz w:val="18"/>
                <w:szCs w:val="18"/>
              </w:rPr>
              <w:t> </w:t>
            </w:r>
            <w:r>
              <w:rPr>
                <w:rFonts w:ascii="宋体" w:hAnsi="宋体" w:cs="宋体" w:eastAsia="宋体" w:hint="default"/>
                <w:sz w:val="18"/>
                <w:szCs w:val="18"/>
              </w:rPr>
              <w:t>缴</w:t>
            </w:r>
            <w:r>
              <w:rPr>
                <w:rFonts w:ascii="宋体" w:hAnsi="宋体" w:cs="宋体" w:eastAsia="宋体" w:hint="default"/>
                <w:spacing w:val="-50"/>
                <w:sz w:val="18"/>
                <w:szCs w:val="18"/>
              </w:rPr>
              <w:t> </w:t>
            </w:r>
            <w:r>
              <w:rPr>
                <w:rFonts w:ascii="宋体" w:hAnsi="宋体" w:cs="宋体" w:eastAsia="宋体" w:hint="default"/>
                <w:sz w:val="18"/>
                <w:szCs w:val="18"/>
              </w:rPr>
              <w:t>责</w:t>
            </w: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司股东孙凯、</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任的承诺：长</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张士英、陈建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国、贾按师、</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凌</w:t>
            </w:r>
            <w:r>
              <w:rPr>
                <w:rFonts w:ascii="宋体" w:hAnsi="宋体" w:cs="宋体" w:eastAsia="宋体" w:hint="default"/>
                <w:spacing w:val="-47"/>
                <w:sz w:val="18"/>
                <w:szCs w:val="18"/>
              </w:rPr>
              <w:t> </w:t>
            </w:r>
            <w:r>
              <w:rPr>
                <w:rFonts w:ascii="宋体" w:hAnsi="宋体" w:cs="宋体" w:eastAsia="宋体" w:hint="default"/>
                <w:sz w:val="18"/>
                <w:szCs w:val="18"/>
              </w:rPr>
              <w:t>红</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胡</w:t>
            </w:r>
            <w:r>
              <w:rPr>
                <w:rFonts w:ascii="宋体" w:hAnsi="宋体" w:cs="宋体" w:eastAsia="宋体" w:hint="default"/>
                <w:spacing w:val="-47"/>
                <w:sz w:val="18"/>
                <w:szCs w:val="18"/>
              </w:rPr>
              <w:t> </w:t>
            </w:r>
            <w:r>
              <w:rPr>
                <w:rFonts w:ascii="宋体" w:hAnsi="宋体" w:cs="宋体" w:eastAsia="宋体" w:hint="default"/>
                <w:sz w:val="18"/>
                <w:szCs w:val="18"/>
              </w:rPr>
              <w:t>美</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珍、范钧、曾</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刚琴、韩伟、</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黄</w:t>
            </w:r>
            <w:r>
              <w:rPr>
                <w:rFonts w:ascii="宋体" w:hAnsi="宋体" w:cs="宋体" w:eastAsia="宋体" w:hint="default"/>
                <w:spacing w:val="-47"/>
                <w:sz w:val="18"/>
                <w:szCs w:val="18"/>
              </w:rPr>
              <w:t> </w:t>
            </w:r>
            <w:r>
              <w:rPr>
                <w:rFonts w:ascii="宋体" w:hAnsi="宋体" w:cs="宋体" w:eastAsia="宋体" w:hint="default"/>
                <w:sz w:val="18"/>
                <w:szCs w:val="18"/>
              </w:rPr>
              <w:t>晓</w:t>
            </w:r>
            <w:r>
              <w:rPr>
                <w:rFonts w:ascii="宋体" w:hAnsi="宋体" w:cs="宋体" w:eastAsia="宋体" w:hint="default"/>
                <w:spacing w:val="-50"/>
                <w:sz w:val="18"/>
                <w:szCs w:val="18"/>
              </w:rPr>
              <w:t> </w:t>
            </w:r>
            <w:r>
              <w:rPr>
                <w:rFonts w:ascii="宋体" w:hAnsi="宋体" w:cs="宋体" w:eastAsia="宋体" w:hint="default"/>
                <w:sz w:val="18"/>
                <w:szCs w:val="18"/>
              </w:rPr>
              <w:t>怡</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茂、周洪、付</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春林、付晖、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黄克华、孙超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仁、邓荣华、</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陈军华、熊海</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浪、艾国光、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汪国亮、阚家</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平、李继东均</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承诺：自股票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7"/>
                <w:sz w:val="18"/>
                <w:szCs w:val="18"/>
              </w:rPr>
              <w:t> </w:t>
            </w:r>
            <w:r>
              <w:rPr>
                <w:rFonts w:ascii="宋体" w:hAnsi="宋体" w:cs="宋体" w:eastAsia="宋体" w:hint="default"/>
                <w:sz w:val="18"/>
                <w:szCs w:val="18"/>
              </w:rPr>
              <w:t>市</w:t>
            </w:r>
            <w:r>
              <w:rPr>
                <w:rFonts w:ascii="宋体" w:hAnsi="宋体" w:cs="宋体" w:eastAsia="宋体" w:hint="default"/>
                <w:spacing w:val="-50"/>
                <w:sz w:val="18"/>
                <w:szCs w:val="18"/>
              </w:rPr>
              <w:t> </w:t>
            </w:r>
            <w:r>
              <w:rPr>
                <w:rFonts w:ascii="宋体" w:hAnsi="宋体" w:cs="宋体" w:eastAsia="宋体" w:hint="default"/>
                <w:sz w:val="18"/>
                <w:szCs w:val="18"/>
              </w:rPr>
              <w:t>之</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起</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47"/>
                <w:sz w:val="18"/>
                <w:szCs w:val="18"/>
              </w:rPr>
              <w:t> </w:t>
            </w:r>
            <w:r>
              <w:rPr>
                <w:rFonts w:ascii="宋体" w:hAnsi="宋体" w:cs="宋体" w:eastAsia="宋体" w:hint="default"/>
                <w:sz w:val="18"/>
                <w:szCs w:val="18"/>
              </w:rPr>
              <w:t>转</w:t>
            </w:r>
            <w:r>
              <w:rPr>
                <w:rFonts w:ascii="宋体" w:hAnsi="宋体" w:cs="宋体" w:eastAsia="宋体" w:hint="default"/>
                <w:spacing w:val="-50"/>
                <w:sz w:val="18"/>
                <w:szCs w:val="18"/>
              </w:rPr>
              <w:t> </w:t>
            </w:r>
            <w:r>
              <w:rPr>
                <w:rFonts w:ascii="宋体" w:hAnsi="宋体" w:cs="宋体" w:eastAsia="宋体" w:hint="default"/>
                <w:sz w:val="18"/>
                <w:szCs w:val="18"/>
              </w:rPr>
              <w:t>让</w:t>
            </w:r>
            <w:r>
              <w:rPr>
                <w:rFonts w:ascii="宋体" w:hAnsi="宋体" w:cs="宋体" w:eastAsia="宋体" w:hint="default"/>
                <w:spacing w:val="-47"/>
                <w:sz w:val="18"/>
                <w:szCs w:val="18"/>
              </w:rPr>
              <w:t> </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宋体" w:hAnsi="宋体" w:cs="宋体" w:eastAsia="宋体" w:hint="default"/>
                <w:sz w:val="18"/>
                <w:szCs w:val="18"/>
              </w:rPr>
              <w:t>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w:t>
            </w:r>
            <w:r>
              <w:rPr>
                <w:rFonts w:ascii="宋体" w:hAnsi="宋体" w:cs="宋体" w:eastAsia="宋体" w:hint="default"/>
                <w:spacing w:val="-47"/>
                <w:sz w:val="18"/>
                <w:szCs w:val="18"/>
              </w:rPr>
              <w:t> </w:t>
            </w:r>
            <w:r>
              <w:rPr>
                <w:rFonts w:ascii="宋体" w:hAnsi="宋体" w:cs="宋体" w:eastAsia="宋体" w:hint="default"/>
                <w:sz w:val="18"/>
                <w:szCs w:val="18"/>
              </w:rPr>
              <w:t>托</w:t>
            </w:r>
            <w:r>
              <w:rPr>
                <w:rFonts w:ascii="宋体" w:hAnsi="宋体" w:cs="宋体" w:eastAsia="宋体" w:hint="default"/>
                <w:spacing w:val="-50"/>
                <w:sz w:val="18"/>
                <w:szCs w:val="18"/>
              </w:rPr>
              <w:t> </w:t>
            </w:r>
            <w:r>
              <w:rPr>
                <w:rFonts w:ascii="宋体" w:hAnsi="宋体" w:cs="宋体" w:eastAsia="宋体" w:hint="default"/>
                <w:sz w:val="18"/>
                <w:szCs w:val="18"/>
              </w:rPr>
              <w:t>他</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47"/>
                <w:sz w:val="18"/>
                <w:szCs w:val="18"/>
              </w:rPr>
              <w:t> </w:t>
            </w:r>
            <w:r>
              <w:rPr>
                <w:rFonts w:ascii="宋体" w:hAnsi="宋体" w:cs="宋体" w:eastAsia="宋体" w:hint="default"/>
                <w:sz w:val="18"/>
                <w:szCs w:val="18"/>
              </w:rPr>
              <w:t>其</w:t>
            </w:r>
            <w:r>
              <w:rPr>
                <w:rFonts w:ascii="宋体" w:hAnsi="宋体" w:cs="宋体" w:eastAsia="宋体" w:hint="default"/>
                <w:spacing w:val="-50"/>
                <w:sz w:val="18"/>
                <w:szCs w:val="18"/>
              </w:rPr>
              <w:t> </w:t>
            </w:r>
            <w:r>
              <w:rPr>
                <w:rFonts w:ascii="宋体" w:hAnsi="宋体" w:cs="宋体" w:eastAsia="宋体" w:hint="default"/>
                <w:sz w:val="18"/>
                <w:szCs w:val="18"/>
              </w:rPr>
              <w:t>直</w:t>
            </w:r>
            <w:r>
              <w:rPr>
                <w:rFonts w:ascii="宋体" w:hAnsi="宋体" w:cs="宋体" w:eastAsia="宋体" w:hint="default"/>
                <w:spacing w:val="-47"/>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w:t>
            </w:r>
            <w:r>
              <w:rPr>
                <w:rFonts w:ascii="宋体" w:hAnsi="宋体" w:cs="宋体" w:eastAsia="宋体" w:hint="default"/>
                <w:spacing w:val="-47"/>
                <w:sz w:val="18"/>
                <w:szCs w:val="18"/>
              </w:rPr>
              <w:t> </w:t>
            </w:r>
            <w:r>
              <w:rPr>
                <w:rFonts w:ascii="宋体" w:hAnsi="宋体" w:cs="宋体" w:eastAsia="宋体" w:hint="default"/>
                <w:sz w:val="18"/>
                <w:szCs w:val="18"/>
              </w:rPr>
              <w:t>间</w:t>
            </w:r>
            <w:r>
              <w:rPr>
                <w:rFonts w:ascii="宋体" w:hAnsi="宋体" w:cs="宋体" w:eastAsia="宋体" w:hint="default"/>
                <w:spacing w:val="-50"/>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47"/>
                <w:sz w:val="18"/>
                <w:szCs w:val="18"/>
              </w:rPr>
              <w:t> </w:t>
            </w:r>
            <w:r>
              <w:rPr>
                <w:rFonts w:ascii="宋体" w:hAnsi="宋体" w:cs="宋体" w:eastAsia="宋体" w:hint="default"/>
                <w:sz w:val="18"/>
                <w:szCs w:val="18"/>
              </w:rPr>
              <w:t>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宋体" w:hAnsi="宋体" w:cs="宋体" w:eastAsia="宋体" w:hint="default"/>
                <w:sz w:val="18"/>
                <w:szCs w:val="18"/>
              </w:rPr>
              <w:t>已</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72.400024pt;width:62.15pt;height:686.65pt;mso-position-horizontal-relative:page;mso-position-vertical-relative:page;z-index:-1272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7"/>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05pt;height:686.65pt;mso-position-horizontal-relative:char;mso-position-vertical-relative:line" coordorigin="0,0" coordsize="1121,13733">
                  <v:group style="position:absolute;left:0;top:0;width:1121;height:13733" coordorigin="0,0" coordsize="1121,13733">
                    <v:shape style="position:absolute;left:0;top:0;width:1121;height:13733" coordorigin="0,0" coordsize="1121,13733" path="m0,0l1121,0,1121,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回</w:t>
            </w:r>
            <w:r>
              <w:rPr>
                <w:rFonts w:ascii="宋体" w:hAnsi="宋体" w:cs="宋体" w:eastAsia="宋体" w:hint="default"/>
                <w:spacing w:val="-47"/>
                <w:sz w:val="18"/>
                <w:szCs w:val="18"/>
              </w:rPr>
              <w:t> </w:t>
            </w:r>
            <w:r>
              <w:rPr>
                <w:rFonts w:ascii="宋体" w:hAnsi="宋体" w:cs="宋体" w:eastAsia="宋体" w:hint="default"/>
                <w:sz w:val="18"/>
                <w:szCs w:val="18"/>
              </w:rPr>
              <w:t>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直</w:t>
            </w:r>
            <w:r>
              <w:rPr>
                <w:rFonts w:ascii="宋体" w:hAnsi="宋体" w:cs="宋体" w:eastAsia="宋体" w:hint="default"/>
                <w:spacing w:val="-50"/>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宋体" w:hAnsi="宋体" w:cs="宋体" w:eastAsia="宋体" w:hint="default"/>
                <w:sz w:val="18"/>
                <w:szCs w:val="18"/>
              </w:rPr>
              <w:t>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47"/>
                <w:sz w:val="18"/>
                <w:szCs w:val="18"/>
              </w:rPr>
              <w:t> </w:t>
            </w:r>
            <w:r>
              <w:rPr>
                <w:rFonts w:ascii="宋体" w:hAnsi="宋体" w:cs="宋体" w:eastAsia="宋体" w:hint="default"/>
                <w:sz w:val="18"/>
                <w:szCs w:val="18"/>
              </w:rPr>
              <w:t>接</w:t>
            </w:r>
            <w:r>
              <w:rPr>
                <w:rFonts w:ascii="宋体" w:hAnsi="宋体" w:cs="宋体" w:eastAsia="宋体" w:hint="default"/>
                <w:spacing w:val="-50"/>
                <w:sz w:val="18"/>
                <w:szCs w:val="18"/>
              </w:rPr>
              <w:t> </w:t>
            </w:r>
            <w:r>
              <w:rPr>
                <w:rFonts w:ascii="宋体" w:hAnsi="宋体" w:cs="宋体" w:eastAsia="宋体" w:hint="default"/>
                <w:sz w:val="18"/>
                <w:szCs w:val="18"/>
              </w:rPr>
              <w:t>持</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票</w:t>
            </w:r>
            <w:r>
              <w:rPr>
                <w:rFonts w:ascii="宋体" w:hAnsi="宋体" w:cs="宋体" w:eastAsia="宋体" w:hint="default"/>
                <w:spacing w:val="-47"/>
                <w:sz w:val="18"/>
                <w:szCs w:val="18"/>
              </w:rPr>
              <w:t> </w:t>
            </w:r>
            <w:r>
              <w:rPr>
                <w:rFonts w:ascii="宋体" w:hAnsi="宋体" w:cs="宋体" w:eastAsia="宋体" w:hint="default"/>
                <w:sz w:val="18"/>
                <w:szCs w:val="18"/>
              </w:rPr>
              <w:t>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3</w:t>
            </w:r>
            <w:r>
              <w:rPr>
                <w:rFonts w:ascii="宋体" w:hAnsi="宋体" w:cs="宋体" w:eastAsia="宋体" w:hint="default"/>
                <w:sz w:val="18"/>
                <w:szCs w:val="18"/>
              </w:rPr>
              <w:t>、同时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担</w:t>
            </w:r>
            <w:r>
              <w:rPr>
                <w:rFonts w:ascii="宋体" w:hAnsi="宋体" w:cs="宋体" w:eastAsia="宋体" w:hint="default"/>
                <w:spacing w:val="-47"/>
                <w:sz w:val="18"/>
                <w:szCs w:val="18"/>
              </w:rPr>
              <w:t> </w:t>
            </w:r>
            <w:r>
              <w:rPr>
                <w:rFonts w:ascii="宋体" w:hAnsi="宋体" w:cs="宋体" w:eastAsia="宋体" w:hint="default"/>
                <w:sz w:val="18"/>
                <w:szCs w:val="18"/>
              </w:rPr>
              <w:t>任</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w:t>
            </w:r>
            <w:r>
              <w:rPr>
                <w:rFonts w:ascii="宋体" w:hAnsi="宋体" w:cs="宋体" w:eastAsia="宋体" w:hint="default"/>
                <w:spacing w:val="-47"/>
                <w:sz w:val="18"/>
                <w:szCs w:val="18"/>
              </w:rPr>
              <w:t> </w:t>
            </w:r>
            <w:r>
              <w:rPr>
                <w:rFonts w:ascii="宋体" w:hAnsi="宋体" w:cs="宋体" w:eastAsia="宋体" w:hint="default"/>
                <w:sz w:val="18"/>
                <w:szCs w:val="18"/>
              </w:rPr>
              <w:t>管</w:t>
            </w:r>
            <w:r>
              <w:rPr>
                <w:rFonts w:ascii="宋体" w:hAnsi="宋体" w:cs="宋体" w:eastAsia="宋体" w:hint="default"/>
                <w:spacing w:val="-50"/>
                <w:sz w:val="18"/>
                <w:szCs w:val="18"/>
              </w:rPr>
              <w:t> </w:t>
            </w:r>
            <w:r>
              <w:rPr>
                <w:rFonts w:ascii="宋体" w:hAnsi="宋体" w:cs="宋体" w:eastAsia="宋体" w:hint="default"/>
                <w:sz w:val="18"/>
                <w:szCs w:val="18"/>
              </w:rPr>
              <w:t>理</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周</w:t>
            </w:r>
            <w:r>
              <w:rPr>
                <w:rFonts w:ascii="宋体" w:hAnsi="宋体" w:cs="宋体" w:eastAsia="宋体" w:hint="default"/>
                <w:spacing w:val="-50"/>
                <w:sz w:val="18"/>
                <w:szCs w:val="18"/>
              </w:rPr>
              <w:t> </w:t>
            </w:r>
            <w:r>
              <w:rPr>
                <w:rFonts w:ascii="宋体" w:hAnsi="宋体" w:cs="宋体" w:eastAsia="宋体" w:hint="default"/>
                <w:sz w:val="18"/>
                <w:szCs w:val="18"/>
              </w:rPr>
              <w:t>炜</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宁、孙凯、靳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茂、张士英、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黄</w:t>
            </w:r>
            <w:r>
              <w:rPr>
                <w:rFonts w:ascii="宋体" w:hAnsi="宋体" w:cs="宋体" w:eastAsia="宋体" w:hint="default"/>
                <w:spacing w:val="-47"/>
                <w:sz w:val="18"/>
                <w:szCs w:val="18"/>
              </w:rPr>
              <w:t> </w:t>
            </w:r>
            <w:r>
              <w:rPr>
                <w:rFonts w:ascii="宋体" w:hAnsi="宋体" w:cs="宋体" w:eastAsia="宋体" w:hint="default"/>
                <w:sz w:val="18"/>
                <w:szCs w:val="18"/>
              </w:rPr>
              <w:t>克</w:t>
            </w:r>
            <w:r>
              <w:rPr>
                <w:rFonts w:ascii="宋体" w:hAnsi="宋体" w:cs="宋体" w:eastAsia="宋体" w:hint="default"/>
                <w:spacing w:val="-50"/>
                <w:sz w:val="18"/>
                <w:szCs w:val="18"/>
              </w:rPr>
              <w:t> </w:t>
            </w:r>
            <w:r>
              <w:rPr>
                <w:rFonts w:ascii="宋体" w:hAnsi="宋体" w:cs="宋体" w:eastAsia="宋体" w:hint="default"/>
                <w:sz w:val="18"/>
                <w:szCs w:val="18"/>
              </w:rPr>
              <w:t>华</w:t>
            </w:r>
            <w:r>
              <w:rPr>
                <w:rFonts w:ascii="宋体" w:hAnsi="宋体" w:cs="宋体" w:eastAsia="宋体" w:hint="default"/>
                <w:spacing w:val="-47"/>
                <w:sz w:val="18"/>
                <w:szCs w:val="18"/>
              </w:rPr>
              <w:t> </w:t>
            </w:r>
            <w:r>
              <w:rPr>
                <w:rFonts w:ascii="宋体" w:hAnsi="宋体" w:cs="宋体" w:eastAsia="宋体" w:hint="default"/>
                <w:sz w:val="18"/>
                <w:szCs w:val="18"/>
              </w:rPr>
              <w:t>还</w:t>
            </w:r>
            <w:r>
              <w:rPr>
                <w:rFonts w:ascii="宋体" w:hAnsi="宋体" w:cs="宋体" w:eastAsia="宋体" w:hint="default"/>
                <w:spacing w:val="-47"/>
                <w:sz w:val="18"/>
                <w:szCs w:val="18"/>
              </w:rPr>
              <w:t> </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诺：除前述锁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定期外，在其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47"/>
                <w:sz w:val="18"/>
                <w:szCs w:val="18"/>
              </w:rPr>
              <w:t> </w:t>
            </w:r>
            <w:r>
              <w:rPr>
                <w:rFonts w:ascii="宋体" w:hAnsi="宋体" w:cs="宋体" w:eastAsia="宋体" w:hint="default"/>
                <w:sz w:val="18"/>
                <w:szCs w:val="18"/>
              </w:rPr>
              <w:t>职</w:t>
            </w:r>
            <w:r>
              <w:rPr>
                <w:rFonts w:ascii="宋体" w:hAnsi="宋体" w:cs="宋体" w:eastAsia="宋体" w:hint="default"/>
                <w:spacing w:val="-50"/>
                <w:sz w:val="18"/>
                <w:szCs w:val="18"/>
              </w:rPr>
              <w:t> </w:t>
            </w:r>
            <w:r>
              <w:rPr>
                <w:rFonts w:ascii="宋体" w:hAnsi="宋体" w:cs="宋体" w:eastAsia="宋体" w:hint="default"/>
                <w:sz w:val="18"/>
                <w:szCs w:val="18"/>
              </w:rPr>
              <w:t>期</w:t>
            </w:r>
            <w:r>
              <w:rPr>
                <w:rFonts w:ascii="宋体" w:hAnsi="宋体" w:cs="宋体" w:eastAsia="宋体" w:hint="default"/>
                <w:spacing w:val="-47"/>
                <w:sz w:val="18"/>
                <w:szCs w:val="18"/>
              </w:rPr>
              <w:t> </w:t>
            </w:r>
            <w:r>
              <w:rPr>
                <w:rFonts w:ascii="宋体" w:hAnsi="宋体" w:cs="宋体" w:eastAsia="宋体" w:hint="default"/>
                <w:sz w:val="18"/>
                <w:szCs w:val="18"/>
              </w:rPr>
              <w:t>间</w:t>
            </w:r>
            <w:r>
              <w:rPr>
                <w:rFonts w:ascii="宋体" w:hAnsi="宋体" w:cs="宋体" w:eastAsia="宋体" w:hint="default"/>
                <w:spacing w:val="-47"/>
                <w:sz w:val="18"/>
                <w:szCs w:val="18"/>
              </w:rPr>
              <w:t> </w:t>
            </w:r>
            <w:r>
              <w:rPr>
                <w:rFonts w:ascii="宋体" w:hAnsi="宋体" w:cs="宋体" w:eastAsia="宋体" w:hint="default"/>
                <w:sz w:val="18"/>
                <w:szCs w:val="18"/>
              </w:rPr>
              <w:t>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转</w:t>
            </w:r>
            <w:r>
              <w:rPr>
                <w:rFonts w:ascii="宋体" w:hAnsi="宋体" w:cs="宋体" w:eastAsia="宋体" w:hint="default"/>
                <w:spacing w:val="-50"/>
                <w:sz w:val="18"/>
                <w:szCs w:val="18"/>
              </w:rPr>
              <w:t> </w:t>
            </w:r>
            <w:r>
              <w:rPr>
                <w:rFonts w:ascii="宋体" w:hAnsi="宋体" w:cs="宋体" w:eastAsia="宋体" w:hint="default"/>
                <w:sz w:val="18"/>
                <w:szCs w:val="18"/>
              </w:rPr>
              <w:t>让</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宋体" w:hAnsi="宋体" w:cs="宋体" w:eastAsia="宋体" w:hint="default"/>
                <w:sz w:val="18"/>
                <w:szCs w:val="18"/>
              </w:rPr>
              <w:t>不</w:t>
            </w:r>
            <w:r>
              <w:rPr>
                <w:rFonts w:ascii="宋体" w:hAnsi="宋体" w:cs="宋体" w:eastAsia="宋体" w:hint="default"/>
                <w:spacing w:val="-50"/>
                <w:sz w:val="18"/>
                <w:szCs w:val="18"/>
              </w:rPr>
              <w:t> </w:t>
            </w:r>
            <w:r>
              <w:rPr>
                <w:rFonts w:ascii="宋体" w:hAnsi="宋体" w:cs="宋体" w:eastAsia="宋体" w:hint="default"/>
                <w:sz w:val="18"/>
                <w:szCs w:val="18"/>
              </w:rPr>
              <w:t>超</w:t>
            </w:r>
            <w:r>
              <w:rPr>
                <w:rFonts w:ascii="宋体" w:hAnsi="宋体" w:cs="宋体" w:eastAsia="宋体" w:hint="default"/>
                <w:spacing w:val="-47"/>
                <w:sz w:val="18"/>
                <w:szCs w:val="18"/>
              </w:rPr>
              <w:t> </w:t>
            </w:r>
            <w:r>
              <w:rPr>
                <w:rFonts w:ascii="宋体" w:hAnsi="宋体" w:cs="宋体" w:eastAsia="宋体" w:hint="default"/>
                <w:sz w:val="18"/>
                <w:szCs w:val="18"/>
              </w:rPr>
              <w:t>过</w:t>
            </w:r>
            <w:r>
              <w:rPr>
                <w:rFonts w:ascii="宋体" w:hAnsi="宋体" w:cs="宋体" w:eastAsia="宋体" w:hint="default"/>
                <w:spacing w:val="-47"/>
                <w:sz w:val="18"/>
                <w:szCs w:val="18"/>
              </w:rPr>
              <w:t> </w:t>
            </w:r>
            <w:r>
              <w:rPr>
                <w:rFonts w:ascii="宋体" w:hAnsi="宋体" w:cs="宋体" w:eastAsia="宋体" w:hint="default"/>
                <w:sz w:val="18"/>
                <w:szCs w:val="18"/>
              </w:rPr>
              <w:t>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宋体" w:hAnsi="宋体" w:cs="宋体" w:eastAsia="宋体" w:hint="default"/>
                <w:sz w:val="18"/>
                <w:szCs w:val="18"/>
              </w:rPr>
              <w:t>总</w:t>
            </w:r>
            <w:r>
              <w:rPr>
                <w:rFonts w:ascii="宋体" w:hAnsi="宋体" w:cs="宋体" w:eastAsia="宋体" w:hint="default"/>
                <w:spacing w:val="-47"/>
                <w:sz w:val="18"/>
                <w:szCs w:val="18"/>
              </w:rPr>
              <w:t> </w:t>
            </w:r>
            <w:r>
              <w:rPr>
                <w:rFonts w:ascii="宋体" w:hAnsi="宋体" w:cs="宋体" w:eastAsia="宋体" w:hint="default"/>
                <w:sz w:val="18"/>
                <w:szCs w:val="18"/>
              </w:rPr>
              <w:t>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百</w:t>
            </w:r>
            <w:r>
              <w:rPr>
                <w:rFonts w:ascii="宋体" w:hAnsi="宋体" w:cs="宋体" w:eastAsia="宋体" w:hint="default"/>
                <w:spacing w:val="-50"/>
                <w:sz w:val="18"/>
                <w:szCs w:val="18"/>
              </w:rPr>
              <w:t> </w:t>
            </w:r>
            <w:r>
              <w:rPr>
                <w:rFonts w:ascii="宋体" w:hAnsi="宋体" w:cs="宋体" w:eastAsia="宋体" w:hint="default"/>
                <w:sz w:val="18"/>
                <w:szCs w:val="18"/>
              </w:rPr>
              <w:t>分</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47"/>
                <w:sz w:val="18"/>
                <w:szCs w:val="18"/>
              </w:rPr>
              <w:t> </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十五，离职后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47"/>
                <w:sz w:val="18"/>
                <w:szCs w:val="18"/>
              </w:rPr>
              <w:t> </w:t>
            </w:r>
            <w:r>
              <w:rPr>
                <w:rFonts w:ascii="宋体" w:hAnsi="宋体" w:cs="宋体" w:eastAsia="宋体" w:hint="default"/>
                <w:sz w:val="18"/>
                <w:szCs w:val="18"/>
              </w:rPr>
              <w:t>让</w:t>
            </w:r>
            <w:r>
              <w:rPr>
                <w:rFonts w:ascii="宋体" w:hAnsi="宋体" w:cs="宋体" w:eastAsia="宋体" w:hint="default"/>
                <w:spacing w:val="-50"/>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所</w:t>
            </w:r>
            <w:r>
              <w:rPr>
                <w:rFonts w:ascii="宋体" w:hAnsi="宋体" w:cs="宋体" w:eastAsia="宋体" w:hint="default"/>
                <w:spacing w:val="-47"/>
                <w:sz w:val="18"/>
                <w:szCs w:val="18"/>
              </w:rPr>
              <w:t> </w:t>
            </w:r>
            <w:r>
              <w:rPr>
                <w:rFonts w:ascii="宋体" w:hAnsi="宋体" w:cs="宋体" w:eastAsia="宋体" w:hint="default"/>
                <w:sz w:val="18"/>
                <w:szCs w:val="18"/>
              </w:rPr>
              <w:t>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股份。在首次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开</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47"/>
                <w:sz w:val="18"/>
                <w:szCs w:val="18"/>
              </w:rPr>
              <w:t> </w:t>
            </w:r>
            <w:r>
              <w:rPr>
                <w:rFonts w:ascii="宋体" w:hAnsi="宋体" w:cs="宋体" w:eastAsia="宋体" w:hint="default"/>
                <w:sz w:val="18"/>
                <w:szCs w:val="18"/>
              </w:rPr>
              <w:t>上</w:t>
            </w:r>
            <w:r>
              <w:rPr>
                <w:rFonts w:ascii="宋体" w:hAnsi="宋体" w:cs="宋体" w:eastAsia="宋体" w:hint="default"/>
                <w:spacing w:val="-50"/>
                <w:sz w:val="18"/>
                <w:szCs w:val="18"/>
              </w:rPr>
              <w:t> </w:t>
            </w:r>
            <w:r>
              <w:rPr>
                <w:rFonts w:ascii="宋体" w:hAnsi="宋体" w:cs="宋体" w:eastAsia="宋体" w:hint="default"/>
                <w:sz w:val="18"/>
                <w:szCs w:val="18"/>
              </w:rPr>
              <w:t>市</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7"/>
                <w:sz w:val="18"/>
                <w:szCs w:val="18"/>
              </w:rPr>
              <w:t> </w:t>
            </w:r>
            <w:r>
              <w:rPr>
                <w:rFonts w:ascii="宋体" w:hAnsi="宋体" w:cs="宋体" w:eastAsia="宋体" w:hint="default"/>
                <w:sz w:val="18"/>
                <w:szCs w:val="18"/>
              </w:rPr>
              <w:t>六</w:t>
            </w:r>
            <w:r>
              <w:rPr>
                <w:rFonts w:ascii="宋体" w:hAnsi="宋体" w:cs="宋体" w:eastAsia="宋体" w:hint="default"/>
                <w:spacing w:val="-50"/>
                <w:sz w:val="18"/>
                <w:szCs w:val="18"/>
              </w:rPr>
              <w:t> </w:t>
            </w:r>
            <w:r>
              <w:rPr>
                <w:rFonts w:ascii="宋体" w:hAnsi="宋体" w:cs="宋体" w:eastAsia="宋体" w:hint="default"/>
                <w:sz w:val="18"/>
                <w:szCs w:val="18"/>
              </w:rPr>
              <w:t>个</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z w:val="18"/>
                <w:szCs w:val="18"/>
              </w:rPr>
              <w:t>申</w:t>
            </w:r>
            <w:r>
              <w:rPr>
                <w:rFonts w:ascii="宋体" w:hAnsi="宋体" w:cs="宋体" w:eastAsia="宋体" w:hint="default"/>
                <w:spacing w:val="-50"/>
                <w:sz w:val="18"/>
                <w:szCs w:val="18"/>
              </w:rPr>
              <w:t> </w:t>
            </w:r>
            <w:r>
              <w:rPr>
                <w:rFonts w:ascii="宋体" w:hAnsi="宋体" w:cs="宋体" w:eastAsia="宋体" w:hint="default"/>
                <w:sz w:val="18"/>
                <w:szCs w:val="18"/>
              </w:rPr>
              <w:t>报</w:t>
            </w:r>
            <w:r>
              <w:rPr>
                <w:rFonts w:ascii="宋体" w:hAnsi="宋体" w:cs="宋体" w:eastAsia="宋体" w:hint="default"/>
                <w:spacing w:val="-47"/>
                <w:sz w:val="18"/>
                <w:szCs w:val="18"/>
              </w:rPr>
              <w:t> </w:t>
            </w:r>
            <w:r>
              <w:rPr>
                <w:rFonts w:ascii="宋体" w:hAnsi="宋体" w:cs="宋体" w:eastAsia="宋体" w:hint="default"/>
                <w:sz w:val="18"/>
                <w:szCs w:val="18"/>
              </w:rPr>
              <w:t>离</w:t>
            </w:r>
            <w:r>
              <w:rPr>
                <w:rFonts w:ascii="宋体" w:hAnsi="宋体" w:cs="宋体" w:eastAsia="宋体" w:hint="default"/>
                <w:spacing w:val="-47"/>
                <w:sz w:val="18"/>
                <w:szCs w:val="18"/>
              </w:rPr>
              <w:t> </w:t>
            </w:r>
            <w:r>
              <w:rPr>
                <w:rFonts w:ascii="宋体" w:hAnsi="宋体" w:cs="宋体" w:eastAsia="宋体" w:hint="default"/>
                <w:sz w:val="18"/>
                <w:szCs w:val="18"/>
              </w:rPr>
              <w:t>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起</w:t>
            </w:r>
            <w:r>
              <w:rPr>
                <w:rFonts w:ascii="宋体" w:hAnsi="宋体" w:cs="宋体" w:eastAsia="宋体" w:hint="default"/>
                <w:spacing w:val="-47"/>
                <w:sz w:val="18"/>
                <w:szCs w:val="18"/>
              </w:rPr>
              <w:t> </w:t>
            </w:r>
            <w:r>
              <w:rPr>
                <w:rFonts w:ascii="宋体" w:hAnsi="宋体" w:cs="宋体" w:eastAsia="宋体" w:hint="default"/>
                <w:sz w:val="18"/>
                <w:szCs w:val="18"/>
              </w:rPr>
              <w:t>十</w:t>
            </w:r>
            <w:r>
              <w:rPr>
                <w:rFonts w:ascii="宋体" w:hAnsi="宋体" w:cs="宋体" w:eastAsia="宋体" w:hint="default"/>
                <w:spacing w:val="-47"/>
                <w:sz w:val="18"/>
                <w:szCs w:val="18"/>
              </w:rPr>
              <w:t> </w:t>
            </w:r>
            <w:r>
              <w:rPr>
                <w:rFonts w:ascii="宋体" w:hAnsi="宋体" w:cs="宋体" w:eastAsia="宋体" w:hint="default"/>
                <w:sz w:val="18"/>
                <w:szCs w:val="18"/>
              </w:rPr>
              <w:t>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内</w:t>
            </w:r>
            <w:r>
              <w:rPr>
                <w:rFonts w:ascii="宋体" w:hAnsi="宋体" w:cs="宋体" w:eastAsia="宋体" w:hint="default"/>
                <w:spacing w:val="-47"/>
                <w:sz w:val="18"/>
                <w:szCs w:val="18"/>
              </w:rPr>
              <w:t> </w:t>
            </w:r>
            <w:r>
              <w:rPr>
                <w:rFonts w:ascii="宋体" w:hAnsi="宋体" w:cs="宋体" w:eastAsia="宋体" w:hint="default"/>
                <w:sz w:val="18"/>
                <w:szCs w:val="18"/>
              </w:rPr>
              <w:t>不</w:t>
            </w:r>
            <w:r>
              <w:rPr>
                <w:rFonts w:ascii="宋体" w:hAnsi="宋体" w:cs="宋体" w:eastAsia="宋体" w:hint="default"/>
                <w:spacing w:val="-47"/>
                <w:sz w:val="18"/>
                <w:szCs w:val="18"/>
              </w:rPr>
              <w:t> </w:t>
            </w:r>
            <w:r>
              <w:rPr>
                <w:rFonts w:ascii="宋体" w:hAnsi="宋体" w:cs="宋体" w:eastAsia="宋体" w:hint="default"/>
                <w:sz w:val="18"/>
                <w:szCs w:val="18"/>
              </w:rPr>
              <w:t>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47"/>
                <w:sz w:val="18"/>
                <w:szCs w:val="18"/>
              </w:rPr>
              <w:t> </w:t>
            </w:r>
            <w:r>
              <w:rPr>
                <w:rFonts w:ascii="宋体" w:hAnsi="宋体" w:cs="宋体" w:eastAsia="宋体" w:hint="default"/>
                <w:sz w:val="18"/>
                <w:szCs w:val="18"/>
              </w:rPr>
              <w:t>让</w:t>
            </w:r>
            <w:r>
              <w:rPr>
                <w:rFonts w:ascii="宋体" w:hAnsi="宋体" w:cs="宋体" w:eastAsia="宋体" w:hint="default"/>
                <w:spacing w:val="-50"/>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直</w:t>
            </w:r>
            <w:r>
              <w:rPr>
                <w:rFonts w:ascii="宋体" w:hAnsi="宋体" w:cs="宋体" w:eastAsia="宋体" w:hint="default"/>
                <w:spacing w:val="-47"/>
                <w:sz w:val="18"/>
                <w:szCs w:val="18"/>
              </w:rPr>
              <w:t> </w:t>
            </w:r>
            <w:r>
              <w:rPr>
                <w:rFonts w:ascii="宋体" w:hAnsi="宋体" w:cs="宋体" w:eastAsia="宋体" w:hint="default"/>
                <w:sz w:val="18"/>
                <w:szCs w:val="18"/>
              </w:rPr>
              <w:t>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股份；在首次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开</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47"/>
                <w:sz w:val="18"/>
                <w:szCs w:val="18"/>
              </w:rPr>
              <w:t> </w:t>
            </w:r>
            <w:r>
              <w:rPr>
                <w:rFonts w:ascii="宋体" w:hAnsi="宋体" w:cs="宋体" w:eastAsia="宋体" w:hint="default"/>
                <w:sz w:val="18"/>
                <w:szCs w:val="18"/>
              </w:rPr>
              <w:t>上</w:t>
            </w:r>
            <w:r>
              <w:rPr>
                <w:rFonts w:ascii="宋体" w:hAnsi="宋体" w:cs="宋体" w:eastAsia="宋体" w:hint="default"/>
                <w:spacing w:val="-50"/>
                <w:sz w:val="18"/>
                <w:szCs w:val="18"/>
              </w:rPr>
              <w:t> </w:t>
            </w:r>
            <w:r>
              <w:rPr>
                <w:rFonts w:ascii="宋体" w:hAnsi="宋体" w:cs="宋体" w:eastAsia="宋体" w:hint="default"/>
                <w:sz w:val="18"/>
                <w:szCs w:val="18"/>
              </w:rPr>
              <w:t>市</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7"/>
                <w:sz w:val="18"/>
                <w:szCs w:val="18"/>
              </w:rPr>
              <w:t> </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宋体" w:hAnsi="宋体" w:cs="宋体" w:eastAsia="宋体" w:hint="default"/>
                <w:sz w:val="18"/>
                <w:szCs w:val="18"/>
              </w:rPr>
              <w:t>七</w:t>
            </w:r>
            <w:r>
              <w:rPr>
                <w:rFonts w:ascii="宋体" w:hAnsi="宋体" w:cs="宋体" w:eastAsia="宋体" w:hint="default"/>
                <w:spacing w:val="-47"/>
                <w:sz w:val="18"/>
                <w:szCs w:val="18"/>
              </w:rPr>
              <w:t> </w:t>
            </w:r>
            <w:r>
              <w:rPr>
                <w:rFonts w:ascii="宋体" w:hAnsi="宋体" w:cs="宋体" w:eastAsia="宋体" w:hint="default"/>
                <w:sz w:val="18"/>
                <w:szCs w:val="18"/>
              </w:rPr>
              <w:t>个</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宋体" w:hAnsi="宋体" w:cs="宋体" w:eastAsia="宋体" w:hint="default"/>
                <w:sz w:val="18"/>
                <w:szCs w:val="18"/>
              </w:rPr>
              <w:t>十</w:t>
            </w:r>
            <w:r>
              <w:rPr>
                <w:rFonts w:ascii="宋体" w:hAnsi="宋体" w:cs="宋体" w:eastAsia="宋体" w:hint="default"/>
                <w:spacing w:val="-47"/>
                <w:sz w:val="18"/>
                <w:szCs w:val="18"/>
              </w:rPr>
              <w:t> </w:t>
            </w:r>
            <w:r>
              <w:rPr>
                <w:rFonts w:ascii="宋体" w:hAnsi="宋体" w:cs="宋体" w:eastAsia="宋体" w:hint="default"/>
                <w:sz w:val="18"/>
                <w:szCs w:val="18"/>
              </w:rPr>
              <w:t>二</w:t>
            </w:r>
            <w:r>
              <w:rPr>
                <w:rFonts w:ascii="宋体" w:hAnsi="宋体" w:cs="宋体" w:eastAsia="宋体" w:hint="default"/>
                <w:spacing w:val="-47"/>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间</w:t>
            </w:r>
            <w:r>
              <w:rPr>
                <w:rFonts w:ascii="宋体" w:hAnsi="宋体" w:cs="宋体" w:eastAsia="宋体" w:hint="default"/>
                <w:spacing w:val="-47"/>
                <w:sz w:val="18"/>
                <w:szCs w:val="18"/>
              </w:rPr>
              <w:t> </w:t>
            </w:r>
            <w:r>
              <w:rPr>
                <w:rFonts w:ascii="宋体" w:hAnsi="宋体" w:cs="宋体" w:eastAsia="宋体" w:hint="default"/>
                <w:sz w:val="18"/>
                <w:szCs w:val="18"/>
              </w:rPr>
              <w:t>申</w:t>
            </w:r>
            <w:r>
              <w:rPr>
                <w:rFonts w:ascii="宋体" w:hAnsi="宋体" w:cs="宋体" w:eastAsia="宋体" w:hint="default"/>
                <w:spacing w:val="-47"/>
                <w:sz w:val="18"/>
                <w:szCs w:val="18"/>
              </w:rPr>
              <w:t> </w:t>
            </w:r>
            <w:r>
              <w:rPr>
                <w:rFonts w:ascii="宋体" w:hAnsi="宋体" w:cs="宋体" w:eastAsia="宋体" w:hint="default"/>
                <w:sz w:val="18"/>
                <w:szCs w:val="18"/>
              </w:rPr>
              <w:t>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8" w:header="746" w:top="1060" w:bottom="1160" w:left="1020" w:right="0"/>
          <w:pgNumType w:start="4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72.400024pt;width:62.15pt;height:686.65pt;mso-position-horizontal-relative:page;mso-position-vertical-relative:page;z-index:-1272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7"/>
                <w:sz w:val="18"/>
                <w:szCs w:val="18"/>
              </w:rPr>
              <w:t> </w:t>
            </w:r>
            <w:r>
              <w:rPr>
                <w:rFonts w:ascii="宋体" w:hAnsi="宋体" w:cs="宋体" w:eastAsia="宋体" w:hint="default"/>
                <w:sz w:val="18"/>
                <w:szCs w:val="18"/>
              </w:rPr>
              <w:t>离</w:t>
            </w:r>
            <w:r>
              <w:rPr>
                <w:rFonts w:ascii="宋体" w:hAnsi="宋体" w:cs="宋体" w:eastAsia="宋体" w:hint="default"/>
                <w:spacing w:val="-50"/>
                <w:sz w:val="18"/>
                <w:szCs w:val="18"/>
              </w:rPr>
              <w:t> </w:t>
            </w:r>
            <w:r>
              <w:rPr>
                <w:rFonts w:ascii="宋体" w:hAnsi="宋体" w:cs="宋体" w:eastAsia="宋体" w:hint="default"/>
                <w:sz w:val="18"/>
                <w:szCs w:val="18"/>
              </w:rPr>
              <w:t>职</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126"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05pt;height:686.65pt;mso-position-horizontal-relative:char;mso-position-vertical-relative:line" coordorigin="0,0" coordsize="1121,13733">
                  <v:group style="position:absolute;left:0;top:0;width:1121;height:13733" coordorigin="0,0" coordsize="1121,13733">
                    <v:shape style="position:absolute;left:0;top:0;width:1121;height:13733" coordorigin="0,0" coordsize="1121,13733" path="m0,0l1121,0,1121,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7"/>
                <w:sz w:val="18"/>
                <w:szCs w:val="18"/>
              </w:rPr>
              <w:t> </w:t>
            </w:r>
            <w:r>
              <w:rPr>
                <w:rFonts w:ascii="宋体" w:hAnsi="宋体" w:cs="宋体" w:eastAsia="宋体" w:hint="default"/>
                <w:sz w:val="18"/>
                <w:szCs w:val="18"/>
              </w:rPr>
              <w:t>十</w:t>
            </w:r>
            <w:r>
              <w:rPr>
                <w:rFonts w:ascii="宋体" w:hAnsi="宋体" w:cs="宋体" w:eastAsia="宋体" w:hint="default"/>
                <w:spacing w:val="-50"/>
                <w:sz w:val="18"/>
                <w:szCs w:val="18"/>
              </w:rPr>
              <w:t> </w:t>
            </w:r>
            <w:r>
              <w:rPr>
                <w:rFonts w:ascii="宋体" w:hAnsi="宋体" w:cs="宋体" w:eastAsia="宋体" w:hint="default"/>
                <w:sz w:val="18"/>
                <w:szCs w:val="18"/>
              </w:rPr>
              <w:t>二</w:t>
            </w:r>
            <w:r>
              <w:rPr>
                <w:rFonts w:ascii="宋体" w:hAnsi="宋体" w:cs="宋体" w:eastAsia="宋体" w:hint="default"/>
                <w:spacing w:val="-47"/>
                <w:sz w:val="18"/>
                <w:szCs w:val="18"/>
              </w:rPr>
              <w:t> </w:t>
            </w:r>
            <w:r>
              <w:rPr>
                <w:rFonts w:ascii="宋体" w:hAnsi="宋体" w:cs="宋体" w:eastAsia="宋体" w:hint="default"/>
                <w:sz w:val="18"/>
                <w:szCs w:val="18"/>
              </w:rPr>
              <w:t>个</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47"/>
                <w:sz w:val="18"/>
                <w:szCs w:val="18"/>
              </w:rPr>
              <w:t> </w:t>
            </w:r>
            <w:r>
              <w:rPr>
                <w:rFonts w:ascii="宋体" w:hAnsi="宋体" w:cs="宋体" w:eastAsia="宋体" w:hint="default"/>
                <w:sz w:val="18"/>
                <w:szCs w:val="18"/>
              </w:rPr>
              <w:t>不</w:t>
            </w:r>
            <w:r>
              <w:rPr>
                <w:rFonts w:ascii="宋体" w:hAnsi="宋体" w:cs="宋体" w:eastAsia="宋体" w:hint="default"/>
                <w:spacing w:val="-50"/>
                <w:sz w:val="18"/>
                <w:szCs w:val="18"/>
              </w:rPr>
              <w:t> </w:t>
            </w:r>
            <w:r>
              <w:rPr>
                <w:rFonts w:ascii="宋体" w:hAnsi="宋体" w:cs="宋体" w:eastAsia="宋体" w:hint="default"/>
                <w:sz w:val="18"/>
                <w:szCs w:val="18"/>
              </w:rPr>
              <w:t>得</w:t>
            </w:r>
            <w:r>
              <w:rPr>
                <w:rFonts w:ascii="宋体" w:hAnsi="宋体" w:cs="宋体" w:eastAsia="宋体" w:hint="default"/>
                <w:spacing w:val="-47"/>
                <w:sz w:val="18"/>
                <w:szCs w:val="18"/>
              </w:rPr>
              <w:t> </w:t>
            </w:r>
            <w:r>
              <w:rPr>
                <w:rFonts w:ascii="宋体" w:hAnsi="宋体" w:cs="宋体" w:eastAsia="宋体" w:hint="default"/>
                <w:sz w:val="18"/>
                <w:szCs w:val="18"/>
              </w:rPr>
              <w:t>转</w:t>
            </w:r>
            <w:r>
              <w:rPr>
                <w:rFonts w:ascii="宋体" w:hAnsi="宋体" w:cs="宋体" w:eastAsia="宋体" w:hint="default"/>
                <w:spacing w:val="-47"/>
                <w:sz w:val="18"/>
                <w:szCs w:val="18"/>
              </w:rPr>
              <w:t> </w:t>
            </w:r>
            <w:r>
              <w:rPr>
                <w:rFonts w:ascii="宋体" w:hAnsi="宋体" w:cs="宋体" w:eastAsia="宋体" w:hint="default"/>
                <w:sz w:val="18"/>
                <w:szCs w:val="18"/>
              </w:rPr>
              <w:t>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直</w:t>
            </w:r>
            <w:r>
              <w:rPr>
                <w:rFonts w:ascii="宋体" w:hAnsi="宋体" w:cs="宋体" w:eastAsia="宋体" w:hint="default"/>
                <w:spacing w:val="-50"/>
                <w:sz w:val="18"/>
                <w:szCs w:val="18"/>
              </w:rPr>
              <w:t> </w:t>
            </w:r>
            <w:r>
              <w:rPr>
                <w:rFonts w:ascii="宋体" w:hAnsi="宋体" w:cs="宋体" w:eastAsia="宋体" w:hint="default"/>
                <w:sz w:val="18"/>
                <w:szCs w:val="18"/>
              </w:rPr>
              <w:t>接</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47"/>
                <w:sz w:val="18"/>
                <w:szCs w:val="18"/>
              </w:rPr>
              <w:t> </w:t>
            </w:r>
            <w:r>
              <w:rPr>
                <w:rFonts w:ascii="宋体" w:hAnsi="宋体" w:cs="宋体" w:eastAsia="宋体" w:hint="default"/>
                <w:sz w:val="18"/>
                <w:szCs w:val="18"/>
              </w:rPr>
              <w:t>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宋体" w:hAnsi="宋体" w:cs="宋体" w:eastAsia="宋体" w:hint="default"/>
                <w:sz w:val="18"/>
                <w:szCs w:val="18"/>
              </w:rPr>
              <w:t>董</w:t>
            </w:r>
            <w:r>
              <w:rPr>
                <w:rFonts w:ascii="宋体" w:hAnsi="宋体" w:cs="宋体" w:eastAsia="宋体" w:hint="default"/>
                <w:spacing w:val="-47"/>
                <w:sz w:val="18"/>
                <w:szCs w:val="18"/>
              </w:rPr>
              <w:t> </w:t>
            </w:r>
            <w:r>
              <w:rPr>
                <w:rFonts w:ascii="宋体" w:hAnsi="宋体" w:cs="宋体" w:eastAsia="宋体" w:hint="default"/>
                <w:sz w:val="18"/>
                <w:szCs w:val="18"/>
              </w:rPr>
              <w:t>事</w:t>
            </w:r>
            <w:r>
              <w:rPr>
                <w:rFonts w:ascii="宋体" w:hAnsi="宋体" w:cs="宋体" w:eastAsia="宋体" w:hint="default"/>
                <w:spacing w:val="-47"/>
                <w:sz w:val="18"/>
                <w:szCs w:val="18"/>
              </w:rPr>
              <w:t> </w:t>
            </w:r>
            <w:r>
              <w:rPr>
                <w:rFonts w:ascii="宋体" w:hAnsi="宋体" w:cs="宋体" w:eastAsia="宋体" w:hint="default"/>
                <w:sz w:val="18"/>
                <w:szCs w:val="18"/>
              </w:rPr>
              <w:t>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炜</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50"/>
                <w:sz w:val="18"/>
                <w:szCs w:val="18"/>
              </w:rPr>
              <w:t> </w:t>
            </w:r>
            <w:r>
              <w:rPr>
                <w:rFonts w:ascii="宋体" w:hAnsi="宋体" w:cs="宋体" w:eastAsia="宋体" w:hint="default"/>
                <w:sz w:val="18"/>
                <w:szCs w:val="18"/>
              </w:rPr>
              <w:t>关</w:t>
            </w:r>
            <w:r>
              <w:rPr>
                <w:rFonts w:ascii="宋体" w:hAnsi="宋体" w:cs="宋体" w:eastAsia="宋体" w:hint="default"/>
                <w:spacing w:val="-47"/>
                <w:sz w:val="18"/>
                <w:szCs w:val="18"/>
              </w:rPr>
              <w:t> </w:t>
            </w:r>
            <w:r>
              <w:rPr>
                <w:rFonts w:ascii="宋体" w:hAnsi="宋体" w:cs="宋体" w:eastAsia="宋体" w:hint="default"/>
                <w:sz w:val="18"/>
                <w:szCs w:val="18"/>
              </w:rPr>
              <w:t>联</w:t>
            </w:r>
            <w:r>
              <w:rPr>
                <w:rFonts w:ascii="宋体" w:hAnsi="宋体" w:cs="宋体" w:eastAsia="宋体" w:hint="default"/>
                <w:spacing w:val="-47"/>
                <w:sz w:val="18"/>
                <w:szCs w:val="18"/>
              </w:rPr>
              <w:t> </w:t>
            </w:r>
            <w:r>
              <w:rPr>
                <w:rFonts w:ascii="宋体" w:hAnsi="宋体" w:cs="宋体" w:eastAsia="宋体" w:hint="default"/>
                <w:sz w:val="18"/>
                <w:szCs w:val="18"/>
              </w:rPr>
              <w:t>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王英还承诺：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宋体" w:hAnsi="宋体" w:cs="宋体" w:eastAsia="宋体" w:hint="default"/>
                <w:sz w:val="18"/>
                <w:szCs w:val="18"/>
              </w:rPr>
              <w:t>周</w:t>
            </w:r>
            <w:r>
              <w:rPr>
                <w:rFonts w:ascii="宋体" w:hAnsi="宋体" w:cs="宋体" w:eastAsia="宋体" w:hint="default"/>
                <w:spacing w:val="-50"/>
                <w:sz w:val="18"/>
                <w:szCs w:val="18"/>
              </w:rPr>
              <w:t> </w:t>
            </w:r>
            <w:r>
              <w:rPr>
                <w:rFonts w:ascii="宋体" w:hAnsi="宋体" w:cs="宋体" w:eastAsia="宋体" w:hint="default"/>
                <w:sz w:val="18"/>
                <w:szCs w:val="18"/>
              </w:rPr>
              <w:t>炜</w:t>
            </w:r>
            <w:r>
              <w:rPr>
                <w:rFonts w:ascii="宋体" w:hAnsi="宋体" w:cs="宋体" w:eastAsia="宋体" w:hint="default"/>
                <w:spacing w:val="-47"/>
                <w:sz w:val="18"/>
                <w:szCs w:val="18"/>
              </w:rPr>
              <w:t> </w:t>
            </w:r>
            <w:r>
              <w:rPr>
                <w:rFonts w:ascii="宋体" w:hAnsi="宋体" w:cs="宋体" w:eastAsia="宋体" w:hint="default"/>
                <w:sz w:val="18"/>
                <w:szCs w:val="18"/>
              </w:rPr>
              <w:t>担</w:t>
            </w:r>
            <w:r>
              <w:rPr>
                <w:rFonts w:ascii="宋体" w:hAnsi="宋体" w:cs="宋体" w:eastAsia="宋体" w:hint="default"/>
                <w:spacing w:val="-47"/>
                <w:sz w:val="18"/>
                <w:szCs w:val="18"/>
              </w:rPr>
              <w:t> </w:t>
            </w:r>
            <w:r>
              <w:rPr>
                <w:rFonts w:ascii="宋体" w:hAnsi="宋体" w:cs="宋体" w:eastAsia="宋体" w:hint="default"/>
                <w:sz w:val="18"/>
                <w:szCs w:val="18"/>
              </w:rPr>
              <w:t>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47"/>
                <w:sz w:val="18"/>
                <w:szCs w:val="18"/>
              </w:rPr>
              <w:t> </w:t>
            </w:r>
            <w:r>
              <w:rPr>
                <w:rFonts w:ascii="宋体" w:hAnsi="宋体" w:cs="宋体" w:eastAsia="宋体" w:hint="default"/>
                <w:sz w:val="18"/>
                <w:szCs w:val="18"/>
              </w:rPr>
              <w:t>或</w:t>
            </w:r>
            <w:r>
              <w:rPr>
                <w:rFonts w:ascii="宋体" w:hAnsi="宋体" w:cs="宋体" w:eastAsia="宋体" w:hint="default"/>
                <w:spacing w:val="-50"/>
                <w:sz w:val="18"/>
                <w:szCs w:val="18"/>
              </w:rPr>
              <w:t> </w:t>
            </w:r>
            <w:r>
              <w:rPr>
                <w:rFonts w:ascii="宋体" w:hAnsi="宋体" w:cs="宋体" w:eastAsia="宋体" w:hint="default"/>
                <w:sz w:val="18"/>
                <w:szCs w:val="18"/>
              </w:rPr>
              <w:t>高</w:t>
            </w:r>
            <w:r>
              <w:rPr>
                <w:rFonts w:ascii="宋体" w:hAnsi="宋体" w:cs="宋体" w:eastAsia="宋体" w:hint="default"/>
                <w:spacing w:val="-47"/>
                <w:sz w:val="18"/>
                <w:szCs w:val="18"/>
              </w:rPr>
              <w:t> </w:t>
            </w:r>
            <w:r>
              <w:rPr>
                <w:rFonts w:ascii="宋体" w:hAnsi="宋体" w:cs="宋体" w:eastAsia="宋体" w:hint="default"/>
                <w:sz w:val="18"/>
                <w:szCs w:val="18"/>
              </w:rPr>
              <w:t>级</w:t>
            </w:r>
            <w:r>
              <w:rPr>
                <w:rFonts w:ascii="宋体" w:hAnsi="宋体" w:cs="宋体" w:eastAsia="宋体" w:hint="default"/>
                <w:spacing w:val="-47"/>
                <w:sz w:val="18"/>
                <w:szCs w:val="18"/>
              </w:rPr>
              <w:t> </w:t>
            </w:r>
            <w:r>
              <w:rPr>
                <w:rFonts w:ascii="宋体" w:hAnsi="宋体" w:cs="宋体" w:eastAsia="宋体" w:hint="default"/>
                <w:sz w:val="18"/>
                <w:szCs w:val="18"/>
              </w:rPr>
              <w:t>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宋体" w:hAnsi="宋体" w:cs="宋体" w:eastAsia="宋体" w:hint="default"/>
                <w:sz w:val="18"/>
                <w:szCs w:val="18"/>
              </w:rPr>
              <w:t>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spacing w:val="-47"/>
                <w:sz w:val="18"/>
                <w:szCs w:val="18"/>
              </w:rPr>
              <w:t> </w:t>
            </w:r>
            <w:r>
              <w:rPr>
                <w:rFonts w:ascii="宋体" w:hAnsi="宋体" w:cs="宋体" w:eastAsia="宋体" w:hint="default"/>
                <w:sz w:val="18"/>
                <w:szCs w:val="18"/>
              </w:rPr>
              <w:t>事</w:t>
            </w:r>
            <w:r>
              <w:rPr>
                <w:rFonts w:ascii="宋体" w:hAnsi="宋体" w:cs="宋体" w:eastAsia="宋体" w:hint="default"/>
                <w:spacing w:val="-50"/>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宋体" w:hAnsi="宋体" w:cs="宋体" w:eastAsia="宋体" w:hint="default"/>
                <w:sz w:val="18"/>
                <w:szCs w:val="18"/>
              </w:rPr>
              <w:t>高</w:t>
            </w:r>
            <w:r>
              <w:rPr>
                <w:rFonts w:ascii="宋体" w:hAnsi="宋体" w:cs="宋体" w:eastAsia="宋体" w:hint="default"/>
                <w:spacing w:val="-47"/>
                <w:sz w:val="18"/>
                <w:szCs w:val="18"/>
              </w:rPr>
              <w:t> </w:t>
            </w:r>
            <w:r>
              <w:rPr>
                <w:rFonts w:ascii="宋体" w:hAnsi="宋体" w:cs="宋体" w:eastAsia="宋体" w:hint="default"/>
                <w:sz w:val="18"/>
                <w:szCs w:val="18"/>
              </w:rPr>
              <w:t>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47"/>
                <w:sz w:val="18"/>
                <w:szCs w:val="18"/>
              </w:rPr>
              <w:t> </w:t>
            </w:r>
            <w:r>
              <w:rPr>
                <w:rFonts w:ascii="宋体" w:hAnsi="宋体" w:cs="宋体" w:eastAsia="宋体" w:hint="default"/>
                <w:sz w:val="18"/>
                <w:szCs w:val="18"/>
              </w:rPr>
              <w:t>理</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员</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份</w:t>
            </w:r>
            <w:r>
              <w:rPr>
                <w:rFonts w:ascii="宋体" w:hAnsi="宋体" w:cs="宋体" w:eastAsia="宋体" w:hint="default"/>
                <w:spacing w:val="-50"/>
                <w:sz w:val="18"/>
                <w:szCs w:val="18"/>
              </w:rPr>
              <w:t> </w:t>
            </w:r>
            <w:r>
              <w:rPr>
                <w:rFonts w:ascii="宋体" w:hAnsi="宋体" w:cs="宋体" w:eastAsia="宋体" w:hint="default"/>
                <w:sz w:val="18"/>
                <w:szCs w:val="18"/>
              </w:rPr>
              <w:t>减</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w:t>
            </w:r>
            <w:r>
              <w:rPr>
                <w:rFonts w:ascii="宋体" w:hAnsi="宋体" w:cs="宋体" w:eastAsia="宋体" w:hint="default"/>
                <w:spacing w:val="-26"/>
                <w:sz w:val="18"/>
                <w:szCs w:val="18"/>
              </w:rPr>
              <w:t> </w:t>
            </w:r>
            <w:r>
              <w:rPr>
                <w:rFonts w:ascii="宋体" w:hAnsi="宋体" w:cs="宋体" w:eastAsia="宋体" w:hint="default"/>
                <w:sz w:val="18"/>
                <w:szCs w:val="18"/>
              </w:rPr>
              <w:t>定</w:t>
            </w:r>
            <w:r>
              <w:rPr>
                <w:rFonts w:ascii="宋体" w:hAnsi="宋体" w:cs="宋体" w:eastAsia="宋体" w:hint="default"/>
                <w:spacing w:val="-26"/>
                <w:sz w:val="18"/>
                <w:szCs w:val="18"/>
              </w:rPr>
              <w:t> </w:t>
            </w:r>
            <w:r>
              <w:rPr>
                <w:rFonts w:ascii="宋体" w:hAnsi="宋体" w:cs="宋体" w:eastAsia="宋体" w:hint="default"/>
                <w:sz w:val="18"/>
                <w:szCs w:val="18"/>
              </w:rPr>
              <w:t>执</w:t>
            </w:r>
            <w:r>
              <w:rPr>
                <w:rFonts w:ascii="宋体" w:hAnsi="宋体" w:cs="宋体" w:eastAsia="宋体" w:hint="default"/>
                <w:spacing w:val="-26"/>
                <w:sz w:val="18"/>
                <w:szCs w:val="18"/>
              </w:rPr>
              <w:t> </w:t>
            </w:r>
            <w:r>
              <w:rPr>
                <w:rFonts w:ascii="宋体" w:hAnsi="宋体" w:cs="宋体" w:eastAsia="宋体" w:hint="default"/>
                <w:sz w:val="18"/>
                <w:szCs w:val="18"/>
              </w:rPr>
              <w:t>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（四）主要股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47"/>
                <w:sz w:val="18"/>
                <w:szCs w:val="18"/>
              </w:rPr>
              <w:t> </w:t>
            </w:r>
            <w:r>
              <w:rPr>
                <w:rFonts w:ascii="宋体" w:hAnsi="宋体" w:cs="宋体" w:eastAsia="宋体" w:hint="default"/>
                <w:sz w:val="18"/>
                <w:szCs w:val="18"/>
              </w:rPr>
              <w:t>关</w:t>
            </w:r>
            <w:r>
              <w:rPr>
                <w:rFonts w:ascii="宋体" w:hAnsi="宋体" w:cs="宋体" w:eastAsia="宋体" w:hint="default"/>
                <w:spacing w:val="-50"/>
                <w:sz w:val="18"/>
                <w:szCs w:val="18"/>
              </w:rPr>
              <w:t> </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相</w:t>
            </w:r>
            <w:r>
              <w:rPr>
                <w:rFonts w:ascii="宋体" w:hAnsi="宋体" w:cs="宋体" w:eastAsia="宋体" w:hint="default"/>
                <w:spacing w:val="-47"/>
                <w:sz w:val="18"/>
                <w:szCs w:val="18"/>
              </w:rPr>
              <w:t> </w:t>
            </w:r>
            <w:r>
              <w:rPr>
                <w:rFonts w:ascii="宋体" w:hAnsi="宋体" w:cs="宋体" w:eastAsia="宋体" w:hint="default"/>
                <w:sz w:val="18"/>
                <w:szCs w:val="18"/>
              </w:rPr>
              <w:t>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47"/>
                <w:sz w:val="18"/>
                <w:szCs w:val="18"/>
              </w:rPr>
              <w:t> </w:t>
            </w:r>
            <w:r>
              <w:rPr>
                <w:rFonts w:ascii="宋体" w:hAnsi="宋体" w:cs="宋体" w:eastAsia="宋体" w:hint="default"/>
                <w:sz w:val="18"/>
                <w:szCs w:val="18"/>
              </w:rPr>
              <w:t>收</w:t>
            </w:r>
            <w:r>
              <w:rPr>
                <w:rFonts w:ascii="宋体" w:hAnsi="宋体" w:cs="宋体" w:eastAsia="宋体" w:hint="default"/>
                <w:spacing w:val="-50"/>
                <w:sz w:val="18"/>
                <w:szCs w:val="18"/>
              </w:rPr>
              <w:t> </w:t>
            </w:r>
            <w:r>
              <w:rPr>
                <w:rFonts w:ascii="宋体" w:hAnsi="宋体" w:cs="宋体" w:eastAsia="宋体" w:hint="default"/>
                <w:sz w:val="18"/>
                <w:szCs w:val="18"/>
              </w:rPr>
              <w:t>补</w:t>
            </w:r>
            <w:r>
              <w:rPr>
                <w:rFonts w:ascii="宋体" w:hAnsi="宋体" w:cs="宋体" w:eastAsia="宋体" w:hint="default"/>
                <w:spacing w:val="-47"/>
                <w:sz w:val="18"/>
                <w:szCs w:val="18"/>
              </w:rPr>
              <w:t> </w:t>
            </w:r>
            <w:r>
              <w:rPr>
                <w:rFonts w:ascii="宋体" w:hAnsi="宋体" w:cs="宋体" w:eastAsia="宋体" w:hint="default"/>
                <w:sz w:val="18"/>
                <w:szCs w:val="18"/>
              </w:rPr>
              <w:t>缴</w:t>
            </w:r>
            <w:r>
              <w:rPr>
                <w:rFonts w:ascii="宋体" w:hAnsi="宋体" w:cs="宋体" w:eastAsia="宋体" w:hint="default"/>
                <w:spacing w:val="-47"/>
                <w:sz w:val="18"/>
                <w:szCs w:val="18"/>
              </w:rPr>
              <w:t> </w:t>
            </w:r>
            <w:r>
              <w:rPr>
                <w:rFonts w:ascii="宋体" w:hAnsi="宋体" w:cs="宋体" w:eastAsia="宋体" w:hint="default"/>
                <w:sz w:val="18"/>
                <w:szCs w:val="18"/>
              </w:rPr>
              <w:t>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炜、王英和刘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pacing w:val="-50"/>
                <w:sz w:val="18"/>
                <w:szCs w:val="18"/>
              </w:rPr>
              <w:t> </w:t>
            </w: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实</w:t>
            </w:r>
            <w:r>
              <w:rPr>
                <w:rFonts w:ascii="宋体" w:hAnsi="宋体" w:cs="宋体" w:eastAsia="宋体" w:hint="default"/>
                <w:spacing w:val="-50"/>
                <w:sz w:val="18"/>
                <w:szCs w:val="18"/>
              </w:rPr>
              <w:t> </w:t>
            </w:r>
            <w:r>
              <w:rPr>
                <w:rFonts w:ascii="宋体" w:hAnsi="宋体" w:cs="宋体" w:eastAsia="宋体" w:hint="default"/>
                <w:sz w:val="18"/>
                <w:szCs w:val="18"/>
              </w:rPr>
              <w:t>际</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pacing w:val="-47"/>
                <w:sz w:val="18"/>
                <w:szCs w:val="18"/>
              </w:rPr>
              <w:t> </w:t>
            </w:r>
            <w:r>
              <w:rPr>
                <w:rFonts w:ascii="宋体" w:hAnsi="宋体" w:cs="宋体" w:eastAsia="宋体" w:hint="default"/>
                <w:sz w:val="18"/>
                <w:szCs w:val="18"/>
              </w:rPr>
              <w:t>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pacing w:val="-50"/>
                <w:sz w:val="18"/>
                <w:szCs w:val="18"/>
              </w:rPr>
              <w:t> </w:t>
            </w:r>
            <w:r>
              <w:rPr>
                <w:rFonts w:ascii="宋体" w:hAnsi="宋体" w:cs="宋体" w:eastAsia="宋体" w:hint="default"/>
                <w:sz w:val="18"/>
                <w:szCs w:val="18"/>
              </w:rPr>
              <w:t>主</w:t>
            </w:r>
            <w:r>
              <w:rPr>
                <w:rFonts w:ascii="宋体" w:hAnsi="宋体" w:cs="宋体" w:eastAsia="宋体" w:hint="default"/>
                <w:spacing w:val="-47"/>
                <w:sz w:val="18"/>
                <w:szCs w:val="18"/>
              </w:rPr>
              <w:t> </w:t>
            </w:r>
            <w:r>
              <w:rPr>
                <w:rFonts w:ascii="宋体" w:hAnsi="宋体" w:cs="宋体" w:eastAsia="宋体" w:hint="default"/>
                <w:sz w:val="18"/>
                <w:szCs w:val="18"/>
              </w:rPr>
              <w:t>要</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东，就发行人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47"/>
                <w:sz w:val="18"/>
                <w:szCs w:val="18"/>
              </w:rPr>
              <w:t> </w:t>
            </w:r>
            <w:r>
              <w:rPr>
                <w:rFonts w:ascii="宋体" w:hAnsi="宋体" w:cs="宋体" w:eastAsia="宋体" w:hint="default"/>
                <w:sz w:val="18"/>
                <w:szCs w:val="18"/>
              </w:rPr>
              <w:t>立</w:t>
            </w:r>
            <w:r>
              <w:rPr>
                <w:rFonts w:ascii="宋体" w:hAnsi="宋体" w:cs="宋体" w:eastAsia="宋体" w:hint="default"/>
                <w:spacing w:val="-50"/>
                <w:sz w:val="18"/>
                <w:szCs w:val="18"/>
              </w:rPr>
              <w:t> </w:t>
            </w: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宋体" w:hAnsi="宋体" w:cs="宋体" w:eastAsia="宋体" w:hint="default"/>
                <w:sz w:val="18"/>
                <w:szCs w:val="18"/>
              </w:rPr>
              <w:t>来</w:t>
            </w:r>
            <w:r>
              <w:rPr>
                <w:rFonts w:ascii="宋体" w:hAnsi="宋体" w:cs="宋体" w:eastAsia="宋体" w:hint="default"/>
                <w:spacing w:val="-47"/>
                <w:sz w:val="18"/>
                <w:szCs w:val="18"/>
              </w:rPr>
              <w:t> </w:t>
            </w:r>
            <w:r>
              <w:rPr>
                <w:rFonts w:ascii="宋体" w:hAnsi="宋体" w:cs="宋体" w:eastAsia="宋体" w:hint="default"/>
                <w:sz w:val="18"/>
                <w:szCs w:val="18"/>
              </w:rPr>
              <w:t>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涉</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pacing w:val="-50"/>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企</w:t>
            </w:r>
            <w:r>
              <w:rPr>
                <w:rFonts w:ascii="宋体" w:hAnsi="宋体" w:cs="宋体" w:eastAsia="宋体" w:hint="default"/>
                <w:spacing w:val="-47"/>
                <w:sz w:val="18"/>
                <w:szCs w:val="18"/>
              </w:rPr>
              <w:t> </w:t>
            </w:r>
            <w:r>
              <w:rPr>
                <w:rFonts w:ascii="宋体" w:hAnsi="宋体" w:cs="宋体" w:eastAsia="宋体" w:hint="default"/>
                <w:sz w:val="18"/>
                <w:szCs w:val="18"/>
              </w:rPr>
              <w:t>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7"/>
                <w:sz w:val="18"/>
                <w:szCs w:val="18"/>
              </w:rPr>
              <w:t> </w:t>
            </w:r>
            <w:r>
              <w:rPr>
                <w:rFonts w:ascii="宋体" w:hAnsi="宋体" w:cs="宋体" w:eastAsia="宋体" w:hint="default"/>
                <w:sz w:val="18"/>
                <w:szCs w:val="18"/>
              </w:rPr>
              <w:t>得</w:t>
            </w:r>
            <w:r>
              <w:rPr>
                <w:rFonts w:ascii="宋体" w:hAnsi="宋体" w:cs="宋体" w:eastAsia="宋体" w:hint="default"/>
                <w:spacing w:val="-50"/>
                <w:sz w:val="18"/>
                <w:szCs w:val="18"/>
              </w:rPr>
              <w:t> </w:t>
            </w:r>
            <w:r>
              <w:rPr>
                <w:rFonts w:ascii="宋体" w:hAnsi="宋体" w:cs="宋体" w:eastAsia="宋体" w:hint="default"/>
                <w:sz w:val="18"/>
                <w:szCs w:val="18"/>
              </w:rPr>
              <w:t>税</w:t>
            </w:r>
            <w:r>
              <w:rPr>
                <w:rFonts w:ascii="宋体" w:hAnsi="宋体" w:cs="宋体" w:eastAsia="宋体" w:hint="default"/>
                <w:spacing w:val="-47"/>
                <w:sz w:val="18"/>
                <w:szCs w:val="18"/>
              </w:rPr>
              <w:t> </w:t>
            </w:r>
            <w:r>
              <w:rPr>
                <w:rFonts w:ascii="宋体" w:hAnsi="宋体" w:cs="宋体" w:eastAsia="宋体" w:hint="default"/>
                <w:sz w:val="18"/>
                <w:szCs w:val="18"/>
              </w:rPr>
              <w:t>缴</w:t>
            </w:r>
            <w:r>
              <w:rPr>
                <w:rFonts w:ascii="宋体" w:hAnsi="宋体" w:cs="宋体" w:eastAsia="宋体" w:hint="default"/>
                <w:spacing w:val="-47"/>
                <w:sz w:val="18"/>
                <w:szCs w:val="18"/>
              </w:rPr>
              <w:t> </w:t>
            </w:r>
            <w:r>
              <w:rPr>
                <w:rFonts w:ascii="宋体" w:hAnsi="宋体" w:cs="宋体" w:eastAsia="宋体" w:hint="default"/>
                <w:sz w:val="18"/>
                <w:szCs w:val="18"/>
              </w:rPr>
              <w:t>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事项，出具了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pacing w:val="14"/>
                <w:sz w:val="18"/>
                <w:szCs w:val="18"/>
              </w:rPr>
              <w:t>承</w:t>
            </w:r>
            <w:r>
              <w:rPr>
                <w:rFonts w:ascii="宋体" w:hAnsi="宋体" w:cs="宋体" w:eastAsia="宋体" w:hint="default"/>
                <w:spacing w:val="16"/>
                <w:sz w:val="18"/>
                <w:szCs w:val="18"/>
              </w:rPr>
              <w:t>诺</w:t>
            </w:r>
            <w:r>
              <w:rPr>
                <w:rFonts w:ascii="宋体" w:hAnsi="宋体" w:cs="宋体" w:eastAsia="宋体" w:hint="default"/>
                <w:spacing w:val="14"/>
                <w:sz w:val="18"/>
                <w:szCs w:val="18"/>
              </w:rPr>
              <w:t>书</w:t>
            </w:r>
            <w:r>
              <w:rPr>
                <w:rFonts w:ascii="宋体" w:hAnsi="宋体" w:cs="宋体" w:eastAsia="宋体" w:hint="default"/>
                <w:spacing w:val="-7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50"/>
                <w:sz w:val="18"/>
                <w:szCs w:val="18"/>
              </w:rPr>
              <w:t> </w:t>
            </w:r>
            <w:r>
              <w:rPr>
                <w:rFonts w:ascii="宋体" w:hAnsi="宋体" w:cs="宋体" w:eastAsia="宋体" w:hint="default"/>
                <w:sz w:val="18"/>
                <w:szCs w:val="18"/>
              </w:rPr>
              <w:t>如</w:t>
            </w:r>
            <w:r>
              <w:rPr>
                <w:rFonts w:ascii="宋体" w:hAnsi="宋体" w:cs="宋体" w:eastAsia="宋体" w:hint="default"/>
                <w:spacing w:val="-47"/>
                <w:sz w:val="18"/>
                <w:szCs w:val="18"/>
              </w:rPr>
              <w:t> </w:t>
            </w:r>
            <w:r>
              <w:rPr>
                <w:rFonts w:ascii="宋体" w:hAnsi="宋体" w:cs="宋体" w:eastAsia="宋体" w:hint="default"/>
                <w:sz w:val="18"/>
                <w:szCs w:val="18"/>
              </w:rPr>
              <w:t>果</w:t>
            </w:r>
            <w:r>
              <w:rPr>
                <w:rFonts w:ascii="宋体" w:hAnsi="宋体" w:cs="宋体" w:eastAsia="宋体" w:hint="default"/>
                <w:spacing w:val="-47"/>
                <w:sz w:val="18"/>
                <w:szCs w:val="18"/>
              </w:rPr>
              <w:t> </w:t>
            </w:r>
            <w:r>
              <w:rPr>
                <w:rFonts w:ascii="宋体" w:hAnsi="宋体" w:cs="宋体" w:eastAsia="宋体" w:hint="default"/>
                <w:sz w:val="18"/>
                <w:szCs w:val="18"/>
              </w:rPr>
              <w:t>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47"/>
                <w:sz w:val="18"/>
                <w:szCs w:val="18"/>
              </w:rPr>
              <w:t> </w:t>
            </w:r>
            <w:r>
              <w:rPr>
                <w:rFonts w:ascii="宋体" w:hAnsi="宋体" w:cs="宋体" w:eastAsia="宋体" w:hint="default"/>
                <w:sz w:val="18"/>
                <w:szCs w:val="18"/>
              </w:rPr>
              <w:t>机</w:t>
            </w:r>
            <w:r>
              <w:rPr>
                <w:rFonts w:ascii="宋体" w:hAnsi="宋体" w:cs="宋体" w:eastAsia="宋体" w:hint="default"/>
                <w:spacing w:val="-50"/>
                <w:sz w:val="18"/>
                <w:szCs w:val="18"/>
              </w:rPr>
              <w:t> </w:t>
            </w:r>
            <w:r>
              <w:rPr>
                <w:rFonts w:ascii="宋体" w:hAnsi="宋体" w:cs="宋体" w:eastAsia="宋体" w:hint="default"/>
                <w:sz w:val="18"/>
                <w:szCs w:val="18"/>
              </w:rPr>
              <w:t>关</w:t>
            </w:r>
            <w:r>
              <w:rPr>
                <w:rFonts w:ascii="宋体" w:hAnsi="宋体" w:cs="宋体" w:eastAsia="宋体" w:hint="default"/>
                <w:spacing w:val="-47"/>
                <w:sz w:val="18"/>
                <w:szCs w:val="18"/>
              </w:rPr>
              <w:t> </w:t>
            </w:r>
            <w:r>
              <w:rPr>
                <w:rFonts w:ascii="宋体" w:hAnsi="宋体" w:cs="宋体" w:eastAsia="宋体" w:hint="default"/>
                <w:sz w:val="18"/>
                <w:szCs w:val="18"/>
              </w:rPr>
              <w:t>认</w:t>
            </w:r>
            <w:r>
              <w:rPr>
                <w:rFonts w:ascii="宋体" w:hAnsi="宋体" w:cs="宋体" w:eastAsia="宋体" w:hint="default"/>
                <w:spacing w:val="-47"/>
                <w:sz w:val="18"/>
                <w:szCs w:val="18"/>
              </w:rPr>
              <w:t> </w:t>
            </w:r>
            <w:r>
              <w:rPr>
                <w:rFonts w:ascii="宋体" w:hAnsi="宋体" w:cs="宋体" w:eastAsia="宋体" w:hint="default"/>
                <w:sz w:val="18"/>
                <w:szCs w:val="18"/>
              </w:rPr>
              <w:t>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需</w:t>
            </w:r>
            <w:r>
              <w:rPr>
                <w:rFonts w:ascii="宋体" w:hAnsi="宋体" w:cs="宋体" w:eastAsia="宋体" w:hint="default"/>
                <w:spacing w:val="-47"/>
                <w:sz w:val="18"/>
                <w:szCs w:val="18"/>
              </w:rPr>
              <w:t> </w:t>
            </w:r>
            <w:r>
              <w:rPr>
                <w:rFonts w:ascii="宋体" w:hAnsi="宋体" w:cs="宋体" w:eastAsia="宋体" w:hint="default"/>
                <w:sz w:val="18"/>
                <w:szCs w:val="18"/>
              </w:rPr>
              <w:t>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64"/>
                <w:sz w:val="18"/>
                <w:szCs w:val="18"/>
              </w:rPr>
              <w:t> </w:t>
            </w:r>
            <w:r>
              <w:rPr>
                <w:rFonts w:ascii="宋体" w:hAnsi="宋体" w:cs="宋体" w:eastAsia="宋体" w:hint="default"/>
                <w:sz w:val="18"/>
                <w:szCs w:val="18"/>
              </w:rPr>
              <w:t>交</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至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47"/>
                <w:sz w:val="18"/>
                <w:szCs w:val="18"/>
              </w:rPr>
              <w:t> </w:t>
            </w:r>
            <w:r>
              <w:rPr>
                <w:rFonts w:ascii="宋体" w:hAnsi="宋体" w:cs="宋体" w:eastAsia="宋体" w:hint="default"/>
                <w:sz w:val="18"/>
                <w:szCs w:val="18"/>
              </w:rPr>
              <w:t>享</w:t>
            </w:r>
            <w:r>
              <w:rPr>
                <w:rFonts w:ascii="宋体" w:hAnsi="宋体" w:cs="宋体" w:eastAsia="宋体" w:hint="default"/>
                <w:spacing w:val="-50"/>
                <w:sz w:val="18"/>
                <w:szCs w:val="18"/>
              </w:rPr>
              <w:t> </w:t>
            </w:r>
            <w:r>
              <w:rPr>
                <w:rFonts w:ascii="宋体" w:hAnsi="宋体" w:cs="宋体" w:eastAsia="宋体" w:hint="default"/>
                <w:sz w:val="18"/>
                <w:szCs w:val="18"/>
              </w:rPr>
              <w:t>受</w:t>
            </w:r>
            <w:r>
              <w:rPr>
                <w:rFonts w:ascii="宋体" w:hAnsi="宋体" w:cs="宋体" w:eastAsia="宋体" w:hint="default"/>
                <w:spacing w:val="-47"/>
                <w:sz w:val="18"/>
                <w:szCs w:val="18"/>
              </w:rPr>
              <w:t> </w:t>
            </w:r>
            <w:r>
              <w:rPr>
                <w:rFonts w:ascii="宋体" w:hAnsi="宋体" w:cs="宋体" w:eastAsia="宋体" w:hint="default"/>
                <w:sz w:val="18"/>
                <w:szCs w:val="18"/>
              </w:rPr>
              <w:t>减</w:t>
            </w:r>
            <w:r>
              <w:rPr>
                <w:rFonts w:ascii="宋体" w:hAnsi="宋体" w:cs="宋体" w:eastAsia="宋体" w:hint="default"/>
                <w:spacing w:val="-47"/>
                <w:sz w:val="18"/>
                <w:szCs w:val="18"/>
              </w:rPr>
              <w:t> </w:t>
            </w:r>
            <w:r>
              <w:rPr>
                <w:rFonts w:ascii="宋体" w:hAnsi="宋体" w:cs="宋体" w:eastAsia="宋体" w:hint="default"/>
                <w:sz w:val="18"/>
                <w:szCs w:val="18"/>
              </w:rPr>
              <w:t>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企</w:t>
            </w:r>
            <w:r>
              <w:rPr>
                <w:rFonts w:ascii="宋体" w:hAnsi="宋体" w:cs="宋体" w:eastAsia="宋体" w:hint="default"/>
                <w:spacing w:val="-50"/>
                <w:sz w:val="18"/>
                <w:szCs w:val="18"/>
              </w:rPr>
              <w:t> </w:t>
            </w:r>
            <w:r>
              <w:rPr>
                <w:rFonts w:ascii="宋体" w:hAnsi="宋体" w:cs="宋体" w:eastAsia="宋体" w:hint="default"/>
                <w:sz w:val="18"/>
                <w:szCs w:val="18"/>
              </w:rPr>
              <w:t>业</w:t>
            </w:r>
            <w:r>
              <w:rPr>
                <w:rFonts w:ascii="宋体" w:hAnsi="宋体" w:cs="宋体" w:eastAsia="宋体" w:hint="default"/>
                <w:spacing w:val="-47"/>
                <w:sz w:val="18"/>
                <w:szCs w:val="18"/>
              </w:rPr>
              <w:t> </w:t>
            </w:r>
            <w:r>
              <w:rPr>
                <w:rFonts w:ascii="宋体" w:hAnsi="宋体" w:cs="宋体" w:eastAsia="宋体" w:hint="default"/>
                <w:sz w:val="18"/>
                <w:szCs w:val="18"/>
              </w:rPr>
              <w:t>所</w:t>
            </w:r>
            <w:r>
              <w:rPr>
                <w:rFonts w:ascii="宋体" w:hAnsi="宋体" w:cs="宋体" w:eastAsia="宋体" w:hint="default"/>
                <w:spacing w:val="-47"/>
                <w:sz w:val="18"/>
                <w:szCs w:val="18"/>
              </w:rPr>
              <w:t> </w:t>
            </w:r>
            <w:r>
              <w:rPr>
                <w:rFonts w:ascii="宋体" w:hAnsi="宋体" w:cs="宋体" w:eastAsia="宋体" w:hint="default"/>
                <w:sz w:val="18"/>
                <w:szCs w:val="18"/>
              </w:rPr>
              <w:t>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税税款，则该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47"/>
                <w:sz w:val="18"/>
                <w:szCs w:val="18"/>
              </w:rPr>
              <w:t> </w:t>
            </w:r>
            <w:r>
              <w:rPr>
                <w:rFonts w:ascii="宋体" w:hAnsi="宋体" w:cs="宋体" w:eastAsia="宋体" w:hint="default"/>
                <w:sz w:val="18"/>
                <w:szCs w:val="18"/>
              </w:rPr>
              <w:t>需</w:t>
            </w:r>
            <w:r>
              <w:rPr>
                <w:rFonts w:ascii="宋体" w:hAnsi="宋体" w:cs="宋体" w:eastAsia="宋体" w:hint="default"/>
                <w:spacing w:val="-50"/>
                <w:sz w:val="18"/>
                <w:szCs w:val="18"/>
              </w:rPr>
              <w:t> </w:t>
            </w:r>
            <w:r>
              <w:rPr>
                <w:rFonts w:ascii="宋体" w:hAnsi="宋体" w:cs="宋体" w:eastAsia="宋体" w:hint="default"/>
                <w:sz w:val="18"/>
                <w:szCs w:val="18"/>
              </w:rPr>
              <w:t>要</w:t>
            </w:r>
            <w:r>
              <w:rPr>
                <w:rFonts w:ascii="宋体" w:hAnsi="宋体" w:cs="宋体" w:eastAsia="宋体" w:hint="default"/>
                <w:spacing w:val="-47"/>
                <w:sz w:val="18"/>
                <w:szCs w:val="18"/>
              </w:rPr>
              <w:t> </w:t>
            </w:r>
            <w:r>
              <w:rPr>
                <w:rFonts w:ascii="宋体" w:hAnsi="宋体" w:cs="宋体" w:eastAsia="宋体" w:hint="default"/>
                <w:sz w:val="18"/>
                <w:szCs w:val="18"/>
              </w:rPr>
              <w:t>补</w:t>
            </w:r>
            <w:r>
              <w:rPr>
                <w:rFonts w:ascii="宋体" w:hAnsi="宋体" w:cs="宋体" w:eastAsia="宋体" w:hint="default"/>
                <w:spacing w:val="-47"/>
                <w:sz w:val="18"/>
                <w:szCs w:val="18"/>
              </w:rPr>
              <w:t> </w:t>
            </w:r>
            <w:r>
              <w:rPr>
                <w:rFonts w:ascii="宋体" w:hAnsi="宋体" w:cs="宋体" w:eastAsia="宋体" w:hint="default"/>
                <w:sz w:val="18"/>
                <w:szCs w:val="18"/>
              </w:rPr>
              <w:t>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税</w:t>
            </w:r>
            <w:r>
              <w:rPr>
                <w:rFonts w:ascii="宋体" w:hAnsi="宋体" w:cs="宋体" w:eastAsia="宋体" w:hint="default"/>
                <w:spacing w:val="-50"/>
                <w:sz w:val="18"/>
                <w:szCs w:val="18"/>
              </w:rPr>
              <w:t> </w:t>
            </w: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宋体" w:hAnsi="宋体" w:cs="宋体" w:eastAsia="宋体" w:hint="default"/>
                <w:sz w:val="18"/>
                <w:szCs w:val="18"/>
              </w:rPr>
              <w:t>将</w:t>
            </w:r>
            <w:r>
              <w:rPr>
                <w:rFonts w:ascii="宋体" w:hAnsi="宋体" w:cs="宋体" w:eastAsia="宋体" w:hint="default"/>
                <w:spacing w:val="-47"/>
                <w:sz w:val="18"/>
                <w:szCs w:val="18"/>
              </w:rPr>
              <w:t> </w:t>
            </w:r>
            <w:r>
              <w:rPr>
                <w:rFonts w:ascii="宋体" w:hAnsi="宋体" w:cs="宋体" w:eastAsia="宋体" w:hint="default"/>
                <w:sz w:val="18"/>
                <w:szCs w:val="18"/>
              </w:rPr>
              <w:t>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承诺人周炜、</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刘宁、王英按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w:t>
            </w:r>
            <w:r>
              <w:rPr>
                <w:rFonts w:ascii="宋体" w:hAnsi="宋体" w:cs="宋体" w:eastAsia="宋体" w:hint="default"/>
                <w:spacing w:val="-47"/>
                <w:sz w:val="18"/>
                <w:szCs w:val="18"/>
              </w:rPr>
              <w:t> </w:t>
            </w:r>
            <w:r>
              <w:rPr>
                <w:rFonts w:ascii="宋体" w:hAnsi="宋体" w:cs="宋体" w:eastAsia="宋体" w:hint="default"/>
                <w:sz w:val="18"/>
                <w:szCs w:val="18"/>
              </w:rPr>
              <w:t>其</w:t>
            </w:r>
            <w:r>
              <w:rPr>
                <w:rFonts w:ascii="宋体" w:hAnsi="宋体" w:cs="宋体" w:eastAsia="宋体" w:hint="default"/>
                <w:spacing w:val="-50"/>
                <w:sz w:val="18"/>
                <w:szCs w:val="18"/>
              </w:rPr>
              <w:t> </w:t>
            </w:r>
            <w:r>
              <w:rPr>
                <w:rFonts w:ascii="宋体" w:hAnsi="宋体" w:cs="宋体" w:eastAsia="宋体" w:hint="default"/>
                <w:sz w:val="18"/>
                <w:szCs w:val="18"/>
              </w:rPr>
              <w:t>持</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7"/>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人</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47"/>
                <w:sz w:val="18"/>
                <w:szCs w:val="18"/>
              </w:rPr>
              <w:t> </w:t>
            </w:r>
            <w:r>
              <w:rPr>
                <w:rFonts w:ascii="宋体" w:hAnsi="宋体" w:cs="宋体" w:eastAsia="宋体" w:hint="default"/>
                <w:sz w:val="18"/>
                <w:szCs w:val="18"/>
              </w:rPr>
              <w:t>比</w:t>
            </w:r>
            <w:r>
              <w:rPr>
                <w:rFonts w:ascii="宋体" w:hAnsi="宋体" w:cs="宋体" w:eastAsia="宋体" w:hint="default"/>
                <w:spacing w:val="-50"/>
                <w:sz w:val="18"/>
                <w:szCs w:val="18"/>
              </w:rPr>
              <w:t> </w:t>
            </w:r>
            <w:r>
              <w:rPr>
                <w:rFonts w:ascii="宋体" w:hAnsi="宋体" w:cs="宋体" w:eastAsia="宋体" w:hint="default"/>
                <w:sz w:val="18"/>
                <w:szCs w:val="18"/>
              </w:rPr>
              <w:t>例</w:t>
            </w:r>
            <w:r>
              <w:rPr>
                <w:rFonts w:ascii="宋体" w:hAnsi="宋体" w:cs="宋体" w:eastAsia="宋体" w:hint="default"/>
                <w:spacing w:val="-47"/>
                <w:sz w:val="18"/>
                <w:szCs w:val="18"/>
              </w:rPr>
              <w:t> </w:t>
            </w:r>
            <w:r>
              <w:rPr>
                <w:rFonts w:ascii="宋体" w:hAnsi="宋体" w:cs="宋体" w:eastAsia="宋体" w:hint="default"/>
                <w:sz w:val="18"/>
                <w:szCs w:val="18"/>
              </w:rPr>
              <w:t>共</w:t>
            </w:r>
            <w:r>
              <w:rPr>
                <w:rFonts w:ascii="宋体" w:hAnsi="宋体" w:cs="宋体" w:eastAsia="宋体" w:hint="default"/>
                <w:spacing w:val="-47"/>
                <w:sz w:val="18"/>
                <w:szCs w:val="18"/>
              </w:rPr>
              <w:t> </w:t>
            </w:r>
            <w:r>
              <w:rPr>
                <w:rFonts w:ascii="宋体" w:hAnsi="宋体" w:cs="宋体" w:eastAsia="宋体" w:hint="default"/>
                <w:sz w:val="18"/>
                <w:szCs w:val="18"/>
              </w:rPr>
              <w:t>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股</w:t>
            </w:r>
            <w:r>
              <w:rPr>
                <w:rFonts w:ascii="宋体" w:hAnsi="宋体" w:cs="宋体" w:eastAsia="宋体" w:hint="default"/>
                <w:spacing w:val="-57"/>
                <w:sz w:val="18"/>
                <w:szCs w:val="18"/>
              </w:rPr>
              <w:t> </w:t>
            </w:r>
            <w:r>
              <w:rPr>
                <w:rFonts w:ascii="宋体" w:hAnsi="宋体" w:cs="宋体" w:eastAsia="宋体" w:hint="default"/>
                <w:sz w:val="18"/>
                <w:szCs w:val="18"/>
              </w:rPr>
              <w:t>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7"/>
                <w:sz w:val="18"/>
                <w:szCs w:val="18"/>
              </w:rPr>
              <w:t> </w:t>
            </w:r>
            <w:r>
              <w:rPr>
                <w:rFonts w:ascii="宋体" w:hAnsi="宋体" w:cs="宋体" w:eastAsia="宋体" w:hint="default"/>
                <w:sz w:val="18"/>
                <w:szCs w:val="18"/>
              </w:rPr>
              <w:t>权</w:t>
            </w:r>
            <w:r>
              <w:rPr>
                <w:rFonts w:ascii="宋体" w:hAnsi="宋体" w:cs="宋体" w:eastAsia="宋体" w:hint="default"/>
                <w:spacing w:val="-50"/>
                <w:sz w:val="18"/>
                <w:szCs w:val="18"/>
              </w:rPr>
              <w:t> </w:t>
            </w:r>
            <w:r>
              <w:rPr>
                <w:rFonts w:ascii="宋体" w:hAnsi="宋体" w:cs="宋体" w:eastAsia="宋体" w:hint="default"/>
                <w:sz w:val="18"/>
                <w:szCs w:val="18"/>
              </w:rPr>
              <w:t>与</w:t>
            </w:r>
            <w:r>
              <w:rPr>
                <w:rFonts w:ascii="宋体" w:hAnsi="宋体" w:cs="宋体" w:eastAsia="宋体" w:hint="default"/>
                <w:spacing w:val="-47"/>
                <w:sz w:val="18"/>
                <w:szCs w:val="18"/>
              </w:rPr>
              <w:t> </w:t>
            </w:r>
            <w:r>
              <w:rPr>
                <w:rFonts w:ascii="宋体" w:hAnsi="宋体" w:cs="宋体" w:eastAsia="宋体" w:hint="default"/>
                <w:sz w:val="18"/>
                <w:szCs w:val="18"/>
              </w:rPr>
              <w:t>限</w:t>
            </w:r>
            <w:r>
              <w:rPr>
                <w:rFonts w:ascii="宋体" w:hAnsi="宋体" w:cs="宋体" w:eastAsia="宋体" w:hint="default"/>
                <w:spacing w:val="-47"/>
                <w:sz w:val="18"/>
                <w:szCs w:val="18"/>
              </w:rPr>
              <w:t> </w:t>
            </w:r>
            <w:r>
              <w:rPr>
                <w:rFonts w:ascii="宋体" w:hAnsi="宋体" w:cs="宋体" w:eastAsia="宋体" w:hint="default"/>
                <w:sz w:val="18"/>
                <w:szCs w:val="18"/>
              </w:rPr>
              <w:t>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票</w:t>
            </w:r>
            <w:r>
              <w:rPr>
                <w:rFonts w:ascii="宋体" w:hAnsi="宋体" w:cs="宋体" w:eastAsia="宋体" w:hint="default"/>
                <w:spacing w:val="-47"/>
                <w:sz w:val="18"/>
                <w:szCs w:val="18"/>
              </w:rPr>
              <w:t> </w:t>
            </w:r>
            <w:r>
              <w:rPr>
                <w:rFonts w:ascii="宋体" w:hAnsi="宋体" w:cs="宋体" w:eastAsia="宋体" w:hint="default"/>
                <w:sz w:val="18"/>
                <w:szCs w:val="18"/>
              </w:rPr>
              <w:t>激</w:t>
            </w:r>
            <w:r>
              <w:rPr>
                <w:rFonts w:ascii="宋体" w:hAnsi="宋体" w:cs="宋体" w:eastAsia="宋体" w:hint="default"/>
                <w:spacing w:val="-47"/>
                <w:sz w:val="18"/>
                <w:szCs w:val="18"/>
              </w:rPr>
              <w:t> </w:t>
            </w:r>
            <w:r>
              <w:rPr>
                <w:rFonts w:ascii="宋体" w:hAnsi="宋体" w:cs="宋体" w:eastAsia="宋体" w:hint="default"/>
                <w:sz w:val="18"/>
                <w:szCs w:val="18"/>
              </w:rPr>
              <w:t>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计划承诺：公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z w:val="18"/>
                <w:szCs w:val="18"/>
              </w:rPr>
              <w:t>卫</w:t>
            </w:r>
            <w:r>
              <w:rPr>
                <w:rFonts w:ascii="宋体" w:hAnsi="宋体" w:cs="宋体" w:eastAsia="宋体" w:hint="default"/>
                <w:spacing w:val="-47"/>
                <w:sz w:val="18"/>
                <w:szCs w:val="18"/>
              </w:rPr>
              <w:t> </w:t>
            </w:r>
            <w:r>
              <w:rPr>
                <w:rFonts w:ascii="宋体" w:hAnsi="宋体" w:cs="宋体" w:eastAsia="宋体" w:hint="default"/>
                <w:sz w:val="18"/>
                <w:szCs w:val="18"/>
              </w:rPr>
              <w:t>宁</w:t>
            </w:r>
            <w:r>
              <w:rPr>
                <w:rFonts w:ascii="宋体" w:hAnsi="宋体" w:cs="宋体" w:eastAsia="宋体" w:hint="default"/>
                <w:spacing w:val="-50"/>
                <w:sz w:val="18"/>
                <w:szCs w:val="18"/>
              </w:rPr>
              <w:t> </w:t>
            </w:r>
            <w:r>
              <w:rPr>
                <w:rFonts w:ascii="宋体" w:hAnsi="宋体" w:cs="宋体" w:eastAsia="宋体" w:hint="default"/>
                <w:sz w:val="18"/>
                <w:szCs w:val="18"/>
              </w:rPr>
              <w:t>健</w:t>
            </w:r>
            <w:r>
              <w:rPr>
                <w:rFonts w:ascii="宋体" w:hAnsi="宋体" w:cs="宋体" w:eastAsia="宋体" w:hint="default"/>
                <w:spacing w:val="-47"/>
                <w:sz w:val="18"/>
                <w:szCs w:val="18"/>
              </w:rPr>
              <w:t> </w:t>
            </w:r>
            <w:r>
              <w:rPr>
                <w:rFonts w:ascii="宋体" w:hAnsi="宋体" w:cs="宋体" w:eastAsia="宋体" w:hint="default"/>
                <w:sz w:val="18"/>
                <w:szCs w:val="18"/>
              </w:rPr>
              <w:t>康</w:t>
            </w:r>
            <w:r>
              <w:rPr>
                <w:rFonts w:ascii="宋体" w:hAnsi="宋体" w:cs="宋体" w:eastAsia="宋体" w:hint="default"/>
                <w:spacing w:val="-50"/>
                <w:sz w:val="18"/>
                <w:szCs w:val="18"/>
              </w:rPr>
              <w:t> </w:t>
            </w:r>
            <w:r>
              <w:rPr>
                <w:rFonts w:ascii="宋体" w:hAnsi="宋体" w:cs="宋体" w:eastAsia="宋体" w:hint="default"/>
                <w:sz w:val="18"/>
                <w:szCs w:val="18"/>
              </w:rPr>
              <w:t>科</w:t>
            </w:r>
            <w:r>
              <w:rPr>
                <w:rFonts w:ascii="宋体" w:hAnsi="宋体" w:cs="宋体" w:eastAsia="宋体" w:hint="default"/>
                <w:sz w:val="18"/>
                <w:szCs w:val="18"/>
              </w:rPr>
              <w:t> 技</w:t>
            </w:r>
            <w:r>
              <w:rPr>
                <w:rFonts w:ascii="宋体" w:hAnsi="宋体" w:cs="宋体" w:eastAsia="宋体" w:hint="default"/>
                <w:spacing w:val="-47"/>
                <w:sz w:val="18"/>
                <w:szCs w:val="18"/>
              </w:rPr>
              <w:t> </w:t>
            </w:r>
            <w:r>
              <w:rPr>
                <w:rFonts w:ascii="宋体" w:hAnsi="宋体" w:cs="宋体" w:eastAsia="宋体" w:hint="default"/>
                <w:sz w:val="18"/>
                <w:szCs w:val="18"/>
              </w:rPr>
              <w:t>集</w:t>
            </w:r>
            <w:r>
              <w:rPr>
                <w:rFonts w:ascii="宋体" w:hAnsi="宋体" w:cs="宋体" w:eastAsia="宋体" w:hint="default"/>
                <w:spacing w:val="-50"/>
                <w:sz w:val="18"/>
                <w:szCs w:val="18"/>
              </w:rPr>
              <w:t> </w:t>
            </w:r>
            <w:r>
              <w:rPr>
                <w:rFonts w:ascii="宋体" w:hAnsi="宋体" w:cs="宋体" w:eastAsia="宋体" w:hint="default"/>
                <w:sz w:val="18"/>
                <w:szCs w:val="18"/>
              </w:rPr>
              <w:t>团</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承</w:t>
            </w:r>
            <w:r>
              <w:rPr>
                <w:rFonts w:ascii="宋体" w:hAnsi="宋体" w:cs="宋体" w:eastAsia="宋体" w:hint="default"/>
                <w:spacing w:val="-50"/>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不</w:t>
            </w:r>
            <w:r>
              <w:rPr>
                <w:rFonts w:ascii="宋体" w:hAnsi="宋体" w:cs="宋体" w:eastAsia="宋体" w:hint="default"/>
                <w:spacing w:val="-47"/>
                <w:sz w:val="18"/>
                <w:szCs w:val="18"/>
              </w:rPr>
              <w:t> </w:t>
            </w:r>
            <w:r>
              <w:rPr>
                <w:rFonts w:ascii="宋体" w:hAnsi="宋体" w:cs="宋体" w:eastAsia="宋体" w:hint="default"/>
                <w:sz w:val="18"/>
                <w:szCs w:val="18"/>
              </w:rPr>
              <w:t>为</w:t>
            </w:r>
            <w:r>
              <w:rPr>
                <w:rFonts w:ascii="宋体" w:hAnsi="宋体" w:cs="宋体" w:eastAsia="宋体" w:hint="default"/>
                <w:sz w:val="18"/>
                <w:szCs w:val="18"/>
              </w:rPr>
              <w:t> 激</w:t>
            </w:r>
            <w:r>
              <w:rPr>
                <w:rFonts w:ascii="宋体" w:hAnsi="宋体" w:cs="宋体" w:eastAsia="宋体" w:hint="default"/>
                <w:spacing w:val="-47"/>
                <w:sz w:val="18"/>
                <w:szCs w:val="18"/>
              </w:rPr>
              <w:t> </w:t>
            </w:r>
            <w:r>
              <w:rPr>
                <w:rFonts w:ascii="宋体" w:hAnsi="宋体" w:cs="宋体" w:eastAsia="宋体" w:hint="default"/>
                <w:sz w:val="18"/>
                <w:szCs w:val="18"/>
              </w:rPr>
              <w:t>励</w:t>
            </w:r>
            <w:r>
              <w:rPr>
                <w:rFonts w:ascii="宋体" w:hAnsi="宋体" w:cs="宋体" w:eastAsia="宋体" w:hint="default"/>
                <w:spacing w:val="-50"/>
                <w:sz w:val="18"/>
                <w:szCs w:val="18"/>
              </w:rPr>
              <w:t> </w:t>
            </w: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宋体" w:hAnsi="宋体" w:cs="宋体" w:eastAsia="宋体" w:hint="default"/>
                <w:sz w:val="18"/>
                <w:szCs w:val="18"/>
              </w:rPr>
              <w:t>象</w:t>
            </w:r>
            <w:r>
              <w:rPr>
                <w:rFonts w:ascii="宋体" w:hAnsi="宋体" w:cs="宋体" w:eastAsia="宋体" w:hint="default"/>
                <w:spacing w:val="-47"/>
                <w:sz w:val="18"/>
                <w:szCs w:val="18"/>
              </w:rPr>
              <w:t> </w:t>
            </w:r>
            <w:r>
              <w:rPr>
                <w:rFonts w:ascii="宋体" w:hAnsi="宋体" w:cs="宋体" w:eastAsia="宋体" w:hint="default"/>
                <w:sz w:val="18"/>
                <w:szCs w:val="18"/>
              </w:rPr>
              <w:t>依</w:t>
            </w:r>
            <w:r>
              <w:rPr>
                <w:rFonts w:ascii="宋体" w:hAnsi="宋体" w:cs="宋体" w:eastAsia="宋体" w:hint="default"/>
                <w:sz w:val="18"/>
                <w:szCs w:val="18"/>
              </w:rPr>
              <w:t> 本</w:t>
            </w:r>
            <w:r>
              <w:rPr>
                <w:rFonts w:ascii="宋体" w:hAnsi="宋体" w:cs="宋体" w:eastAsia="宋体" w:hint="default"/>
                <w:spacing w:val="-47"/>
                <w:sz w:val="18"/>
                <w:szCs w:val="18"/>
              </w:rPr>
              <w:t> </w:t>
            </w:r>
            <w:r>
              <w:rPr>
                <w:rFonts w:ascii="宋体" w:hAnsi="宋体" w:cs="宋体" w:eastAsia="宋体" w:hint="default"/>
                <w:sz w:val="18"/>
                <w:szCs w:val="18"/>
              </w:rPr>
              <w:t>激</w:t>
            </w:r>
            <w:r>
              <w:rPr>
                <w:rFonts w:ascii="宋体" w:hAnsi="宋体" w:cs="宋体" w:eastAsia="宋体" w:hint="default"/>
                <w:spacing w:val="-50"/>
                <w:sz w:val="18"/>
                <w:szCs w:val="18"/>
              </w:rPr>
              <w:t> </w:t>
            </w:r>
            <w:r>
              <w:rPr>
                <w:rFonts w:ascii="宋体" w:hAnsi="宋体" w:cs="宋体" w:eastAsia="宋体" w:hint="default"/>
                <w:sz w:val="18"/>
                <w:szCs w:val="18"/>
              </w:rPr>
              <w:t>励</w:t>
            </w:r>
            <w:r>
              <w:rPr>
                <w:rFonts w:ascii="宋体" w:hAnsi="宋体" w:cs="宋体" w:eastAsia="宋体" w:hint="default"/>
                <w:spacing w:val="-47"/>
                <w:sz w:val="18"/>
                <w:szCs w:val="18"/>
              </w:rPr>
              <w:t> </w:t>
            </w:r>
            <w:r>
              <w:rPr>
                <w:rFonts w:ascii="宋体" w:hAnsi="宋体" w:cs="宋体" w:eastAsia="宋体" w:hint="default"/>
                <w:sz w:val="18"/>
                <w:szCs w:val="18"/>
              </w:rPr>
              <w:t>计</w:t>
            </w:r>
            <w:r>
              <w:rPr>
                <w:rFonts w:ascii="宋体" w:hAnsi="宋体" w:cs="宋体" w:eastAsia="宋体" w:hint="default"/>
                <w:spacing w:val="-47"/>
                <w:sz w:val="18"/>
                <w:szCs w:val="18"/>
              </w:rPr>
              <w:t> </w:t>
            </w:r>
            <w:r>
              <w:rPr>
                <w:rFonts w:ascii="宋体" w:hAnsi="宋体" w:cs="宋体" w:eastAsia="宋体" w:hint="default"/>
                <w:sz w:val="18"/>
                <w:szCs w:val="18"/>
              </w:rPr>
              <w:t>划</w:t>
            </w:r>
            <w:r>
              <w:rPr>
                <w:rFonts w:ascii="宋体" w:hAnsi="宋体" w:cs="宋体" w:eastAsia="宋体" w:hint="default"/>
                <w:sz w:val="18"/>
                <w:szCs w:val="18"/>
              </w:rPr>
              <w:t> 获</w:t>
            </w:r>
            <w:r>
              <w:rPr>
                <w:rFonts w:ascii="宋体" w:hAnsi="宋体" w:cs="宋体" w:eastAsia="宋体" w:hint="default"/>
                <w:spacing w:val="-47"/>
                <w:sz w:val="18"/>
                <w:szCs w:val="18"/>
              </w:rPr>
              <w:t> </w:t>
            </w:r>
            <w:r>
              <w:rPr>
                <w:rFonts w:ascii="宋体" w:hAnsi="宋体" w:cs="宋体" w:eastAsia="宋体" w:hint="default"/>
                <w:sz w:val="18"/>
                <w:szCs w:val="18"/>
              </w:rPr>
              <w:t>取</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关</w:t>
            </w:r>
            <w:r>
              <w:rPr>
                <w:rFonts w:ascii="宋体" w:hAnsi="宋体" w:cs="宋体" w:eastAsia="宋体" w:hint="default"/>
                <w:spacing w:val="-47"/>
                <w:sz w:val="18"/>
                <w:szCs w:val="18"/>
              </w:rPr>
              <w:t> </w:t>
            </w:r>
            <w:r>
              <w:rPr>
                <w:rFonts w:ascii="宋体" w:hAnsi="宋体" w:cs="宋体" w:eastAsia="宋体" w:hint="default"/>
                <w:sz w:val="18"/>
                <w:szCs w:val="18"/>
              </w:rPr>
              <w:t>权</w:t>
            </w:r>
            <w:r>
              <w:rPr>
                <w:rFonts w:ascii="宋体" w:hAnsi="宋体" w:cs="宋体" w:eastAsia="宋体" w:hint="default"/>
                <w:sz w:val="18"/>
                <w:szCs w:val="18"/>
              </w:rPr>
              <w:t> 益</w:t>
            </w:r>
            <w:r>
              <w:rPr>
                <w:rFonts w:ascii="宋体" w:hAnsi="宋体" w:cs="宋体" w:eastAsia="宋体" w:hint="default"/>
                <w:spacing w:val="-47"/>
                <w:sz w:val="18"/>
                <w:szCs w:val="18"/>
              </w:rPr>
              <w:t> </w:t>
            </w:r>
            <w:r>
              <w:rPr>
                <w:rFonts w:ascii="宋体" w:hAnsi="宋体" w:cs="宋体" w:eastAsia="宋体" w:hint="default"/>
                <w:sz w:val="18"/>
                <w:szCs w:val="18"/>
              </w:rPr>
              <w:t>提</w:t>
            </w:r>
            <w:r>
              <w:rPr>
                <w:rFonts w:ascii="宋体" w:hAnsi="宋体" w:cs="宋体" w:eastAsia="宋体" w:hint="default"/>
                <w:spacing w:val="-50"/>
                <w:sz w:val="18"/>
                <w:szCs w:val="18"/>
              </w:rPr>
              <w:t> </w:t>
            </w:r>
            <w:r>
              <w:rPr>
                <w:rFonts w:ascii="宋体" w:hAnsi="宋体" w:cs="宋体" w:eastAsia="宋体" w:hint="default"/>
                <w:sz w:val="18"/>
                <w:szCs w:val="18"/>
              </w:rPr>
              <w:t>供</w:t>
            </w:r>
            <w:r>
              <w:rPr>
                <w:rFonts w:ascii="宋体" w:hAnsi="宋体" w:cs="宋体" w:eastAsia="宋体" w:hint="default"/>
                <w:spacing w:val="-47"/>
                <w:sz w:val="18"/>
                <w:szCs w:val="18"/>
              </w:rPr>
              <w:t> </w:t>
            </w:r>
            <w:r>
              <w:rPr>
                <w:rFonts w:ascii="宋体" w:hAnsi="宋体" w:cs="宋体" w:eastAsia="宋体" w:hint="default"/>
                <w:sz w:val="18"/>
                <w:szCs w:val="18"/>
              </w:rPr>
              <w:t>贷</w:t>
            </w:r>
            <w:r>
              <w:rPr>
                <w:rFonts w:ascii="宋体" w:hAnsi="宋体" w:cs="宋体" w:eastAsia="宋体" w:hint="default"/>
                <w:spacing w:val="-47"/>
                <w:sz w:val="18"/>
                <w:szCs w:val="18"/>
              </w:rPr>
              <w:t> </w:t>
            </w:r>
            <w:r>
              <w:rPr>
                <w:rFonts w:ascii="宋体" w:hAnsi="宋体" w:cs="宋体" w:eastAsia="宋体" w:hint="default"/>
                <w:sz w:val="18"/>
                <w:szCs w:val="18"/>
              </w:rPr>
              <w:t>款</w:t>
            </w:r>
            <w:r>
              <w:rPr>
                <w:rFonts w:ascii="宋体" w:hAnsi="宋体" w:cs="宋体" w:eastAsia="宋体" w:hint="default"/>
                <w:sz w:val="18"/>
                <w:szCs w:val="18"/>
              </w:rPr>
              <w:t> 以</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pacing w:val="-50"/>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他</w:t>
            </w:r>
            <w:r>
              <w:rPr>
                <w:rFonts w:ascii="宋体" w:hAnsi="宋体" w:cs="宋体" w:eastAsia="宋体" w:hint="default"/>
                <w:spacing w:val="-47"/>
                <w:sz w:val="18"/>
                <w:szCs w:val="18"/>
              </w:rPr>
              <w:t> </w:t>
            </w:r>
            <w:r>
              <w:rPr>
                <w:rFonts w:ascii="宋体" w:hAnsi="宋体" w:cs="宋体" w:eastAsia="宋体" w:hint="default"/>
                <w:sz w:val="18"/>
                <w:szCs w:val="18"/>
              </w:rPr>
              <w:t>任</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16"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宋体" w:hAnsi="宋体" w:cs="宋体" w:eastAsia="宋体" w:hint="default"/>
                <w:sz w:val="18"/>
                <w:szCs w:val="18"/>
              </w:rPr>
              <w:t>本</w:t>
            </w:r>
            <w:r>
              <w:rPr>
                <w:rFonts w:ascii="宋体" w:hAnsi="宋体" w:cs="宋体" w:eastAsia="宋体" w:hint="default"/>
                <w:spacing w:val="-47"/>
                <w:sz w:val="18"/>
                <w:szCs w:val="18"/>
              </w:rPr>
              <w:t> </w:t>
            </w:r>
            <w:r>
              <w:rPr>
                <w:rFonts w:ascii="宋体" w:hAnsi="宋体" w:cs="宋体" w:eastAsia="宋体" w:hint="default"/>
                <w:sz w:val="18"/>
                <w:szCs w:val="18"/>
              </w:rPr>
              <w:t>次</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z w:val="18"/>
                <w:szCs w:val="18"/>
              </w:rPr>
              <w:t> 权</w:t>
            </w:r>
            <w:r>
              <w:rPr>
                <w:rFonts w:ascii="宋体" w:hAnsi="宋体" w:cs="宋体" w:eastAsia="宋体" w:hint="default"/>
                <w:spacing w:val="-50"/>
                <w:sz w:val="18"/>
                <w:szCs w:val="18"/>
              </w:rPr>
              <w:t> </w:t>
            </w:r>
            <w:r>
              <w:rPr>
                <w:rFonts w:ascii="宋体" w:hAnsi="宋体" w:cs="宋体" w:eastAsia="宋体" w:hint="default"/>
                <w:sz w:val="18"/>
                <w:szCs w:val="18"/>
              </w:rPr>
              <w:t>激</w:t>
            </w:r>
            <w:r>
              <w:rPr>
                <w:rFonts w:ascii="宋体" w:hAnsi="宋体" w:cs="宋体" w:eastAsia="宋体" w:hint="default"/>
                <w:spacing w:val="-50"/>
                <w:sz w:val="18"/>
                <w:szCs w:val="18"/>
              </w:rPr>
              <w:t> </w:t>
            </w:r>
            <w:r>
              <w:rPr>
                <w:rFonts w:ascii="宋体" w:hAnsi="宋体" w:cs="宋体" w:eastAsia="宋体" w:hint="default"/>
                <w:sz w:val="18"/>
                <w:szCs w:val="18"/>
              </w:rPr>
              <w:t>励</w:t>
            </w:r>
            <w:r>
              <w:rPr>
                <w:rFonts w:ascii="宋体" w:hAnsi="宋体" w:cs="宋体" w:eastAsia="宋体" w:hint="default"/>
                <w:spacing w:val="-47"/>
                <w:sz w:val="18"/>
                <w:szCs w:val="18"/>
              </w:rPr>
              <w:t> </w:t>
            </w:r>
            <w:r>
              <w:rPr>
                <w:rFonts w:ascii="宋体" w:hAnsi="宋体" w:cs="宋体" w:eastAsia="宋体" w:hint="default"/>
                <w:sz w:val="18"/>
                <w:szCs w:val="18"/>
              </w:rPr>
              <w:t>计</w:t>
            </w:r>
            <w:r>
              <w:rPr>
                <w:rFonts w:ascii="宋体" w:hAnsi="宋体" w:cs="宋体" w:eastAsia="宋体" w:hint="default"/>
                <w:spacing w:val="-50"/>
                <w:sz w:val="18"/>
                <w:szCs w:val="18"/>
              </w:rPr>
              <w:t> </w:t>
            </w:r>
            <w:r>
              <w:rPr>
                <w:rFonts w:ascii="宋体" w:hAnsi="宋体" w:cs="宋体" w:eastAsia="宋体" w:hint="default"/>
                <w:sz w:val="18"/>
                <w:szCs w:val="18"/>
              </w:rPr>
              <w:t>划</w:t>
            </w:r>
            <w:r>
              <w:rPr>
                <w:rFonts w:ascii="宋体" w:hAnsi="宋体" w:cs="宋体" w:eastAsia="宋体" w:hint="default"/>
                <w:sz w:val="18"/>
                <w:szCs w:val="18"/>
              </w:rPr>
              <w:t> 终</w:t>
            </w:r>
            <w:r>
              <w:rPr>
                <w:rFonts w:ascii="宋体" w:hAnsi="宋体" w:cs="宋体" w:eastAsia="宋体" w:hint="default"/>
                <w:spacing w:val="-50"/>
                <w:sz w:val="18"/>
                <w:szCs w:val="18"/>
              </w:rPr>
              <w:t> </w:t>
            </w:r>
            <w:r>
              <w:rPr>
                <w:rFonts w:ascii="宋体" w:hAnsi="宋体" w:cs="宋体" w:eastAsia="宋体" w:hint="default"/>
                <w:sz w:val="18"/>
                <w:szCs w:val="18"/>
              </w:rPr>
              <w:t>止</w:t>
            </w:r>
            <w:r>
              <w:rPr>
                <w:rFonts w:ascii="宋体" w:hAnsi="宋体" w:cs="宋体" w:eastAsia="宋体" w:hint="default"/>
                <w:spacing w:val="-50"/>
                <w:sz w:val="18"/>
                <w:szCs w:val="18"/>
              </w:rPr>
              <w:t> </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效</w:t>
            </w:r>
            <w:r>
              <w:rPr>
                <w:rFonts w:ascii="宋体" w:hAnsi="宋体" w:cs="宋体" w:eastAsia="宋体" w:hint="default"/>
                <w:sz w:val="18"/>
                <w:szCs w:val="18"/>
              </w:rPr>
              <w:t> 期结束。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
              <w:jc w:val="both"/>
              <w:rPr>
                <w:rFonts w:ascii="宋体" w:hAnsi="宋体" w:cs="宋体" w:eastAsia="宋体" w:hint="default"/>
                <w:sz w:val="18"/>
                <w:szCs w:val="18"/>
              </w:rPr>
            </w:pPr>
            <w:r>
              <w:rPr>
                <w:rFonts w:ascii="宋体" w:hAnsi="宋体" w:cs="宋体" w:eastAsia="宋体" w:hint="default"/>
                <w:sz w:val="18"/>
                <w:szCs w:val="18"/>
              </w:rPr>
              <w:t>截</w:t>
            </w:r>
            <w:r>
              <w:rPr>
                <w:rFonts w:ascii="宋体" w:hAnsi="宋体" w:cs="宋体" w:eastAsia="宋体" w:hint="default"/>
                <w:spacing w:val="-52"/>
                <w:sz w:val="18"/>
                <w:szCs w:val="18"/>
              </w:rPr>
              <w:t> </w:t>
            </w: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宋体" w:hAnsi="宋体" w:cs="宋体" w:eastAsia="宋体" w:hint="default"/>
                <w:sz w:val="18"/>
                <w:szCs w:val="18"/>
              </w:rPr>
              <w:t>本</w:t>
            </w:r>
            <w:r>
              <w:rPr>
                <w:rFonts w:ascii="宋体" w:hAnsi="宋体" w:cs="宋体" w:eastAsia="宋体" w:hint="default"/>
                <w:spacing w:val="-52"/>
                <w:sz w:val="18"/>
                <w:szCs w:val="18"/>
              </w:rPr>
              <w:t> </w:t>
            </w:r>
            <w:r>
              <w:rPr>
                <w:rFonts w:ascii="宋体" w:hAnsi="宋体" w:cs="宋体" w:eastAsia="宋体" w:hint="default"/>
                <w:sz w:val="18"/>
                <w:szCs w:val="18"/>
              </w:rPr>
              <w:t>报</w:t>
            </w:r>
            <w:r>
              <w:rPr>
                <w:rFonts w:ascii="宋体" w:hAnsi="宋体" w:cs="宋体" w:eastAsia="宋体" w:hint="default"/>
                <w:spacing w:val="-5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5"/>
                <w:sz w:val="18"/>
                <w:szCs w:val="18"/>
              </w:rPr>
              <w:t>期末，上述承</w:t>
            </w:r>
            <w:r>
              <w:rPr>
                <w:rFonts w:ascii="宋体" w:hAnsi="宋体" w:cs="宋体" w:eastAsia="宋体" w:hint="default"/>
                <w:sz w:val="18"/>
                <w:szCs w:val="18"/>
              </w:rPr>
              <w:t> 诺</w:t>
            </w:r>
            <w:r>
              <w:rPr>
                <w:rFonts w:ascii="宋体" w:hAnsi="宋体" w:cs="宋体" w:eastAsia="宋体" w:hint="default"/>
                <w:spacing w:val="-52"/>
                <w:sz w:val="18"/>
                <w:szCs w:val="18"/>
              </w:rPr>
              <w:t> </w:t>
            </w:r>
            <w:r>
              <w:rPr>
                <w:rFonts w:ascii="宋体" w:hAnsi="宋体" w:cs="宋体" w:eastAsia="宋体" w:hint="default"/>
                <w:sz w:val="18"/>
                <w:szCs w:val="18"/>
              </w:rPr>
              <w:t>人</w:t>
            </w:r>
            <w:r>
              <w:rPr>
                <w:rFonts w:ascii="宋体" w:hAnsi="宋体" w:cs="宋体" w:eastAsia="宋体" w:hint="default"/>
                <w:spacing w:val="-54"/>
                <w:sz w:val="18"/>
                <w:szCs w:val="18"/>
              </w:rPr>
              <w:t> </w:t>
            </w:r>
            <w:r>
              <w:rPr>
                <w:rFonts w:ascii="宋体" w:hAnsi="宋体" w:cs="宋体" w:eastAsia="宋体" w:hint="default"/>
                <w:sz w:val="18"/>
                <w:szCs w:val="18"/>
              </w:rPr>
              <w:t>严</w:t>
            </w:r>
            <w:r>
              <w:rPr>
                <w:rFonts w:ascii="宋体" w:hAnsi="宋体" w:cs="宋体" w:eastAsia="宋体" w:hint="default"/>
                <w:spacing w:val="-52"/>
                <w:sz w:val="18"/>
                <w:szCs w:val="18"/>
              </w:rPr>
              <w:t> </w:t>
            </w:r>
            <w:r>
              <w:rPr>
                <w:rFonts w:ascii="宋体" w:hAnsi="宋体" w:cs="宋体" w:eastAsia="宋体" w:hint="default"/>
                <w:sz w:val="18"/>
                <w:szCs w:val="18"/>
              </w:rPr>
              <w:t>格</w:t>
            </w:r>
            <w:r>
              <w:rPr>
                <w:rFonts w:ascii="宋体" w:hAnsi="宋体" w:cs="宋体" w:eastAsia="宋体" w:hint="default"/>
                <w:spacing w:val="-52"/>
                <w:sz w:val="18"/>
                <w:szCs w:val="18"/>
              </w:rPr>
              <w:t> </w:t>
            </w:r>
            <w:r>
              <w:rPr>
                <w:rFonts w:ascii="宋体" w:hAnsi="宋体" w:cs="宋体" w:eastAsia="宋体" w:hint="default"/>
                <w:sz w:val="18"/>
                <w:szCs w:val="18"/>
              </w:rPr>
              <w:t>信</w:t>
            </w:r>
            <w:r>
              <w:rPr>
                <w:rFonts w:ascii="宋体" w:hAnsi="宋体" w:cs="宋体" w:eastAsia="宋体" w:hint="default"/>
                <w:sz w:val="18"/>
                <w:szCs w:val="18"/>
              </w:rPr>
              <w:t> </w:t>
            </w:r>
            <w:r>
              <w:rPr>
                <w:rFonts w:ascii="宋体" w:hAnsi="宋体" w:cs="宋体" w:eastAsia="宋体" w:hint="default"/>
                <w:spacing w:val="-5"/>
                <w:sz w:val="18"/>
                <w:szCs w:val="18"/>
              </w:rPr>
              <w:t>守承诺，未发</w:t>
            </w:r>
            <w:r>
              <w:rPr>
                <w:rFonts w:ascii="宋体" w:hAnsi="宋体" w:cs="宋体" w:eastAsia="宋体" w:hint="default"/>
                <w:sz w:val="18"/>
                <w:szCs w:val="18"/>
              </w:rPr>
              <w:t> 现</w:t>
            </w:r>
            <w:r>
              <w:rPr>
                <w:rFonts w:ascii="宋体" w:hAnsi="宋体" w:cs="宋体" w:eastAsia="宋体" w:hint="default"/>
                <w:spacing w:val="-52"/>
                <w:sz w:val="18"/>
                <w:szCs w:val="18"/>
              </w:rPr>
              <w:t> </w:t>
            </w:r>
            <w:r>
              <w:rPr>
                <w:rFonts w:ascii="宋体" w:hAnsi="宋体" w:cs="宋体" w:eastAsia="宋体" w:hint="default"/>
                <w:sz w:val="18"/>
                <w:szCs w:val="18"/>
              </w:rPr>
              <w:t>违</w:t>
            </w:r>
            <w:r>
              <w:rPr>
                <w:rFonts w:ascii="宋体" w:hAnsi="宋体" w:cs="宋体" w:eastAsia="宋体" w:hint="default"/>
                <w:spacing w:val="-54"/>
                <w:sz w:val="18"/>
                <w:szCs w:val="18"/>
              </w:rPr>
              <w:t> </w:t>
            </w:r>
            <w:r>
              <w:rPr>
                <w:rFonts w:ascii="宋体" w:hAnsi="宋体" w:cs="宋体" w:eastAsia="宋体" w:hint="default"/>
                <w:sz w:val="18"/>
                <w:szCs w:val="18"/>
              </w:rPr>
              <w:t>反</w:t>
            </w:r>
            <w:r>
              <w:rPr>
                <w:rFonts w:ascii="宋体" w:hAnsi="宋体" w:cs="宋体" w:eastAsia="宋体" w:hint="default"/>
                <w:spacing w:val="-52"/>
                <w:sz w:val="18"/>
                <w:szCs w:val="18"/>
              </w:rPr>
              <w:t> </w:t>
            </w:r>
            <w:r>
              <w:rPr>
                <w:rFonts w:ascii="宋体" w:hAnsi="宋体" w:cs="宋体" w:eastAsia="宋体" w:hint="default"/>
                <w:sz w:val="18"/>
                <w:szCs w:val="18"/>
              </w:rPr>
              <w:t>上</w:t>
            </w:r>
            <w:r>
              <w:rPr>
                <w:rFonts w:ascii="宋体" w:hAnsi="宋体" w:cs="宋体" w:eastAsia="宋体" w:hint="default"/>
                <w:spacing w:val="-52"/>
                <w:sz w:val="18"/>
                <w:szCs w:val="18"/>
              </w:rPr>
              <w:t> </w:t>
            </w:r>
            <w:r>
              <w:rPr>
                <w:rFonts w:ascii="宋体" w:hAnsi="宋体" w:cs="宋体" w:eastAsia="宋体" w:hint="default"/>
                <w:sz w:val="18"/>
                <w:szCs w:val="18"/>
              </w:rPr>
              <w:t>述</w:t>
            </w:r>
            <w:r>
              <w:rPr>
                <w:rFonts w:ascii="宋体" w:hAnsi="宋体" w:cs="宋体" w:eastAsia="宋体" w:hint="default"/>
                <w:sz w:val="18"/>
                <w:szCs w:val="18"/>
              </w:rPr>
              <w:t> 承诺的情况。</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w:t>
            </w:r>
            <w:r>
              <w:rPr>
                <w:rFonts w:ascii="宋体" w:hAnsi="宋体" w:cs="宋体" w:eastAsia="宋体" w:hint="default"/>
                <w:spacing w:val="-47"/>
                <w:sz w:val="18"/>
                <w:szCs w:val="18"/>
              </w:rPr>
              <w:t> </w:t>
            </w:r>
            <w:r>
              <w:rPr>
                <w:rFonts w:ascii="宋体" w:hAnsi="宋体" w:cs="宋体" w:eastAsia="宋体" w:hint="default"/>
                <w:sz w:val="18"/>
                <w:szCs w:val="18"/>
              </w:rPr>
              <w:t>形</w:t>
            </w:r>
            <w:r>
              <w:rPr>
                <w:rFonts w:ascii="宋体" w:hAnsi="宋体" w:cs="宋体" w:eastAsia="宋体" w:hint="default"/>
                <w:spacing w:val="-50"/>
                <w:sz w:val="18"/>
                <w:szCs w:val="18"/>
              </w:rPr>
              <w:t> </w:t>
            </w:r>
            <w:r>
              <w:rPr>
                <w:rFonts w:ascii="宋体" w:hAnsi="宋体" w:cs="宋体" w:eastAsia="宋体" w:hint="default"/>
                <w:sz w:val="18"/>
                <w:szCs w:val="18"/>
              </w:rPr>
              <w:t>式</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务资助，包括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宋体" w:hAnsi="宋体" w:cs="宋体" w:eastAsia="宋体" w:hint="default"/>
                <w:sz w:val="18"/>
                <w:szCs w:val="18"/>
              </w:rPr>
              <w:t>其</w:t>
            </w:r>
            <w:r>
              <w:rPr>
                <w:rFonts w:ascii="宋体" w:hAnsi="宋体" w:cs="宋体" w:eastAsia="宋体" w:hint="default"/>
                <w:spacing w:val="-50"/>
                <w:sz w:val="18"/>
                <w:szCs w:val="18"/>
              </w:rPr>
              <w:t> </w:t>
            </w:r>
            <w:r>
              <w:rPr>
                <w:rFonts w:ascii="宋体" w:hAnsi="宋体" w:cs="宋体" w:eastAsia="宋体" w:hint="default"/>
                <w:sz w:val="18"/>
                <w:szCs w:val="18"/>
              </w:rPr>
              <w:t>贷</w:t>
            </w:r>
            <w:r>
              <w:rPr>
                <w:rFonts w:ascii="宋体" w:hAnsi="宋体" w:cs="宋体" w:eastAsia="宋体" w:hint="default"/>
                <w:spacing w:val="-47"/>
                <w:sz w:val="18"/>
                <w:szCs w:val="18"/>
              </w:rPr>
              <w:t> </w:t>
            </w: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宋体" w:hAnsi="宋体" w:cs="宋体" w:eastAsia="宋体" w:hint="default"/>
                <w:sz w:val="18"/>
                <w:szCs w:val="18"/>
              </w:rPr>
              <w:t>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供担保。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股</w:t>
            </w:r>
            <w:r>
              <w:rPr>
                <w:rFonts w:ascii="宋体" w:hAnsi="宋体" w:cs="宋体" w:eastAsia="宋体" w:hint="default"/>
                <w:spacing w:val="-57"/>
                <w:sz w:val="18"/>
                <w:szCs w:val="18"/>
              </w:rPr>
              <w:t> </w:t>
            </w:r>
            <w:r>
              <w:rPr>
                <w:rFonts w:ascii="宋体" w:hAnsi="宋体" w:cs="宋体" w:eastAsia="宋体" w:hint="default"/>
                <w:sz w:val="18"/>
                <w:szCs w:val="18"/>
              </w:rPr>
              <w:t>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7"/>
                <w:sz w:val="18"/>
                <w:szCs w:val="18"/>
              </w:rPr>
              <w:t> </w:t>
            </w:r>
            <w:r>
              <w:rPr>
                <w:rFonts w:ascii="宋体" w:hAnsi="宋体" w:cs="宋体" w:eastAsia="宋体" w:hint="default"/>
                <w:sz w:val="18"/>
                <w:szCs w:val="18"/>
              </w:rPr>
              <w:t>权</w:t>
            </w:r>
            <w:r>
              <w:rPr>
                <w:rFonts w:ascii="宋体" w:hAnsi="宋体" w:cs="宋体" w:eastAsia="宋体" w:hint="default"/>
                <w:spacing w:val="-50"/>
                <w:sz w:val="18"/>
                <w:szCs w:val="18"/>
              </w:rPr>
              <w:t> </w:t>
            </w:r>
            <w:r>
              <w:rPr>
                <w:rFonts w:ascii="宋体" w:hAnsi="宋体" w:cs="宋体" w:eastAsia="宋体" w:hint="default"/>
                <w:sz w:val="18"/>
                <w:szCs w:val="18"/>
              </w:rPr>
              <w:t>与</w:t>
            </w:r>
            <w:r>
              <w:rPr>
                <w:rFonts w:ascii="宋体" w:hAnsi="宋体" w:cs="宋体" w:eastAsia="宋体" w:hint="default"/>
                <w:spacing w:val="-47"/>
                <w:sz w:val="18"/>
                <w:szCs w:val="18"/>
              </w:rPr>
              <w:t> </w:t>
            </w:r>
            <w:r>
              <w:rPr>
                <w:rFonts w:ascii="宋体" w:hAnsi="宋体" w:cs="宋体" w:eastAsia="宋体" w:hint="default"/>
                <w:sz w:val="18"/>
                <w:szCs w:val="18"/>
              </w:rPr>
              <w:t>限</w:t>
            </w:r>
            <w:r>
              <w:rPr>
                <w:rFonts w:ascii="宋体" w:hAnsi="宋体" w:cs="宋体" w:eastAsia="宋体" w:hint="default"/>
                <w:spacing w:val="-47"/>
                <w:sz w:val="18"/>
                <w:szCs w:val="18"/>
              </w:rPr>
              <w:t> </w:t>
            </w:r>
            <w:r>
              <w:rPr>
                <w:rFonts w:ascii="宋体" w:hAnsi="宋体" w:cs="宋体" w:eastAsia="宋体" w:hint="default"/>
                <w:sz w:val="18"/>
                <w:szCs w:val="18"/>
              </w:rPr>
              <w:t>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票</w:t>
            </w:r>
            <w:r>
              <w:rPr>
                <w:rFonts w:ascii="宋体" w:hAnsi="宋体" w:cs="宋体" w:eastAsia="宋体" w:hint="default"/>
                <w:spacing w:val="-47"/>
                <w:sz w:val="18"/>
                <w:szCs w:val="18"/>
              </w:rPr>
              <w:t> </w:t>
            </w:r>
            <w:r>
              <w:rPr>
                <w:rFonts w:ascii="宋体" w:hAnsi="宋体" w:cs="宋体" w:eastAsia="宋体" w:hint="default"/>
                <w:sz w:val="18"/>
                <w:szCs w:val="18"/>
              </w:rPr>
              <w:t>激</w:t>
            </w:r>
            <w:r>
              <w:rPr>
                <w:rFonts w:ascii="宋体" w:hAnsi="宋体" w:cs="宋体" w:eastAsia="宋体" w:hint="default"/>
                <w:spacing w:val="-47"/>
                <w:sz w:val="18"/>
                <w:szCs w:val="18"/>
              </w:rPr>
              <w:t> </w:t>
            </w:r>
            <w:r>
              <w:rPr>
                <w:rFonts w:ascii="宋体" w:hAnsi="宋体" w:cs="宋体" w:eastAsia="宋体" w:hint="default"/>
                <w:sz w:val="18"/>
                <w:szCs w:val="18"/>
              </w:rPr>
              <w:t>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计划承诺：公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88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z w:val="18"/>
                <w:szCs w:val="18"/>
              </w:rPr>
              <w:t>卫</w:t>
            </w:r>
            <w:r>
              <w:rPr>
                <w:rFonts w:ascii="宋体" w:hAnsi="宋体" w:cs="宋体" w:eastAsia="宋体" w:hint="default"/>
                <w:spacing w:val="-47"/>
                <w:sz w:val="18"/>
                <w:szCs w:val="18"/>
              </w:rPr>
              <w:t> </w:t>
            </w:r>
            <w:r>
              <w:rPr>
                <w:rFonts w:ascii="宋体" w:hAnsi="宋体" w:cs="宋体" w:eastAsia="宋体" w:hint="default"/>
                <w:sz w:val="18"/>
                <w:szCs w:val="18"/>
              </w:rPr>
              <w:t>宁</w:t>
            </w:r>
            <w:r>
              <w:rPr>
                <w:rFonts w:ascii="宋体" w:hAnsi="宋体" w:cs="宋体" w:eastAsia="宋体" w:hint="default"/>
                <w:spacing w:val="-50"/>
                <w:sz w:val="18"/>
                <w:szCs w:val="18"/>
              </w:rPr>
              <w:t> </w:t>
            </w:r>
            <w:r>
              <w:rPr>
                <w:rFonts w:ascii="宋体" w:hAnsi="宋体" w:cs="宋体" w:eastAsia="宋体" w:hint="default"/>
                <w:sz w:val="18"/>
                <w:szCs w:val="18"/>
              </w:rPr>
              <w:t>健</w:t>
            </w:r>
            <w:r>
              <w:rPr>
                <w:rFonts w:ascii="宋体" w:hAnsi="宋体" w:cs="宋体" w:eastAsia="宋体" w:hint="default"/>
                <w:spacing w:val="-47"/>
                <w:sz w:val="18"/>
                <w:szCs w:val="18"/>
              </w:rPr>
              <w:t> </w:t>
            </w:r>
            <w:r>
              <w:rPr>
                <w:rFonts w:ascii="宋体" w:hAnsi="宋体" w:cs="宋体" w:eastAsia="宋体" w:hint="default"/>
                <w:sz w:val="18"/>
                <w:szCs w:val="18"/>
              </w:rPr>
              <w:t>康</w:t>
            </w:r>
            <w:r>
              <w:rPr>
                <w:rFonts w:ascii="宋体" w:hAnsi="宋体" w:cs="宋体" w:eastAsia="宋体" w:hint="default"/>
                <w:spacing w:val="-50"/>
                <w:sz w:val="18"/>
                <w:szCs w:val="18"/>
              </w:rPr>
              <w:t> </w:t>
            </w:r>
            <w:r>
              <w:rPr>
                <w:rFonts w:ascii="宋体" w:hAnsi="宋体" w:cs="宋体" w:eastAsia="宋体" w:hint="default"/>
                <w:sz w:val="18"/>
                <w:szCs w:val="18"/>
              </w:rPr>
              <w:t>科</w:t>
            </w:r>
            <w:r>
              <w:rPr>
                <w:rFonts w:ascii="宋体" w:hAnsi="宋体" w:cs="宋体" w:eastAsia="宋体" w:hint="default"/>
                <w:sz w:val="18"/>
                <w:szCs w:val="18"/>
              </w:rPr>
              <w:t> 技</w:t>
            </w:r>
            <w:r>
              <w:rPr>
                <w:rFonts w:ascii="宋体" w:hAnsi="宋体" w:cs="宋体" w:eastAsia="宋体" w:hint="default"/>
                <w:spacing w:val="-47"/>
                <w:sz w:val="18"/>
                <w:szCs w:val="18"/>
              </w:rPr>
              <w:t> </w:t>
            </w:r>
            <w:r>
              <w:rPr>
                <w:rFonts w:ascii="宋体" w:hAnsi="宋体" w:cs="宋体" w:eastAsia="宋体" w:hint="default"/>
                <w:sz w:val="18"/>
                <w:szCs w:val="18"/>
              </w:rPr>
              <w:t>集</w:t>
            </w:r>
            <w:r>
              <w:rPr>
                <w:rFonts w:ascii="宋体" w:hAnsi="宋体" w:cs="宋体" w:eastAsia="宋体" w:hint="default"/>
                <w:spacing w:val="-50"/>
                <w:sz w:val="18"/>
                <w:szCs w:val="18"/>
              </w:rPr>
              <w:t> </w:t>
            </w:r>
            <w:r>
              <w:rPr>
                <w:rFonts w:ascii="宋体" w:hAnsi="宋体" w:cs="宋体" w:eastAsia="宋体" w:hint="default"/>
                <w:sz w:val="18"/>
                <w:szCs w:val="18"/>
              </w:rPr>
              <w:t>团</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20"/>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承</w:t>
            </w:r>
            <w:r>
              <w:rPr>
                <w:rFonts w:ascii="宋体" w:hAnsi="宋体" w:cs="宋体" w:eastAsia="宋体" w:hint="default"/>
                <w:spacing w:val="-50"/>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不</w:t>
            </w:r>
            <w:r>
              <w:rPr>
                <w:rFonts w:ascii="宋体" w:hAnsi="宋体" w:cs="宋体" w:eastAsia="宋体" w:hint="default"/>
                <w:spacing w:val="-47"/>
                <w:sz w:val="18"/>
                <w:szCs w:val="18"/>
              </w:rPr>
              <w:t> </w:t>
            </w:r>
            <w:r>
              <w:rPr>
                <w:rFonts w:ascii="宋体" w:hAnsi="宋体" w:cs="宋体" w:eastAsia="宋体" w:hint="default"/>
                <w:sz w:val="18"/>
                <w:szCs w:val="18"/>
              </w:rPr>
              <w:t>为</w:t>
            </w:r>
            <w:r>
              <w:rPr>
                <w:rFonts w:ascii="宋体" w:hAnsi="宋体" w:cs="宋体" w:eastAsia="宋体" w:hint="default"/>
                <w:sz w:val="18"/>
                <w:szCs w:val="18"/>
              </w:rPr>
              <w:t> 激</w:t>
            </w:r>
            <w:r>
              <w:rPr>
                <w:rFonts w:ascii="宋体" w:hAnsi="宋体" w:cs="宋体" w:eastAsia="宋体" w:hint="default"/>
                <w:spacing w:val="-47"/>
                <w:sz w:val="18"/>
                <w:szCs w:val="18"/>
              </w:rPr>
              <w:t> </w:t>
            </w:r>
            <w:r>
              <w:rPr>
                <w:rFonts w:ascii="宋体" w:hAnsi="宋体" w:cs="宋体" w:eastAsia="宋体" w:hint="default"/>
                <w:sz w:val="18"/>
                <w:szCs w:val="18"/>
              </w:rPr>
              <w:t>励</w:t>
            </w:r>
            <w:r>
              <w:rPr>
                <w:rFonts w:ascii="宋体" w:hAnsi="宋体" w:cs="宋体" w:eastAsia="宋体" w:hint="default"/>
                <w:spacing w:val="-50"/>
                <w:sz w:val="18"/>
                <w:szCs w:val="18"/>
              </w:rPr>
              <w:t> </w:t>
            </w: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宋体" w:hAnsi="宋体" w:cs="宋体" w:eastAsia="宋体" w:hint="default"/>
                <w:sz w:val="18"/>
                <w:szCs w:val="18"/>
              </w:rPr>
              <w:t>象</w:t>
            </w:r>
            <w:r>
              <w:rPr>
                <w:rFonts w:ascii="宋体" w:hAnsi="宋体" w:cs="宋体" w:eastAsia="宋体" w:hint="default"/>
                <w:spacing w:val="-47"/>
                <w:sz w:val="18"/>
                <w:szCs w:val="18"/>
              </w:rPr>
              <w:t> </w:t>
            </w:r>
            <w:r>
              <w:rPr>
                <w:rFonts w:ascii="宋体" w:hAnsi="宋体" w:cs="宋体" w:eastAsia="宋体" w:hint="default"/>
                <w:sz w:val="18"/>
                <w:szCs w:val="18"/>
              </w:rPr>
              <w:t>依</w:t>
            </w:r>
            <w:r>
              <w:rPr>
                <w:rFonts w:ascii="宋体" w:hAnsi="宋体" w:cs="宋体" w:eastAsia="宋体" w:hint="default"/>
                <w:sz w:val="18"/>
                <w:szCs w:val="18"/>
              </w:rPr>
              <w:t> 本</w:t>
            </w:r>
            <w:r>
              <w:rPr>
                <w:rFonts w:ascii="宋体" w:hAnsi="宋体" w:cs="宋体" w:eastAsia="宋体" w:hint="default"/>
                <w:spacing w:val="-47"/>
                <w:sz w:val="18"/>
                <w:szCs w:val="18"/>
              </w:rPr>
              <w:t> </w:t>
            </w:r>
            <w:r>
              <w:rPr>
                <w:rFonts w:ascii="宋体" w:hAnsi="宋体" w:cs="宋体" w:eastAsia="宋体" w:hint="default"/>
                <w:sz w:val="18"/>
                <w:szCs w:val="18"/>
              </w:rPr>
              <w:t>激</w:t>
            </w:r>
            <w:r>
              <w:rPr>
                <w:rFonts w:ascii="宋体" w:hAnsi="宋体" w:cs="宋体" w:eastAsia="宋体" w:hint="default"/>
                <w:spacing w:val="-50"/>
                <w:sz w:val="18"/>
                <w:szCs w:val="18"/>
              </w:rPr>
              <w:t> </w:t>
            </w:r>
            <w:r>
              <w:rPr>
                <w:rFonts w:ascii="宋体" w:hAnsi="宋体" w:cs="宋体" w:eastAsia="宋体" w:hint="default"/>
                <w:sz w:val="18"/>
                <w:szCs w:val="18"/>
              </w:rPr>
              <w:t>励</w:t>
            </w:r>
            <w:r>
              <w:rPr>
                <w:rFonts w:ascii="宋体" w:hAnsi="宋体" w:cs="宋体" w:eastAsia="宋体" w:hint="default"/>
                <w:spacing w:val="-47"/>
                <w:sz w:val="18"/>
                <w:szCs w:val="18"/>
              </w:rPr>
              <w:t> </w:t>
            </w:r>
            <w:r>
              <w:rPr>
                <w:rFonts w:ascii="宋体" w:hAnsi="宋体" w:cs="宋体" w:eastAsia="宋体" w:hint="default"/>
                <w:sz w:val="18"/>
                <w:szCs w:val="18"/>
              </w:rPr>
              <w:t>计</w:t>
            </w:r>
            <w:r>
              <w:rPr>
                <w:rFonts w:ascii="宋体" w:hAnsi="宋体" w:cs="宋体" w:eastAsia="宋体" w:hint="default"/>
                <w:spacing w:val="-47"/>
                <w:sz w:val="18"/>
                <w:szCs w:val="18"/>
              </w:rPr>
              <w:t> </w:t>
            </w:r>
            <w:r>
              <w:rPr>
                <w:rFonts w:ascii="宋体" w:hAnsi="宋体" w:cs="宋体" w:eastAsia="宋体" w:hint="default"/>
                <w:sz w:val="18"/>
                <w:szCs w:val="18"/>
              </w:rPr>
              <w:t>划</w:t>
            </w:r>
            <w:r>
              <w:rPr>
                <w:rFonts w:ascii="宋体" w:hAnsi="宋体" w:cs="宋体" w:eastAsia="宋体" w:hint="default"/>
                <w:sz w:val="18"/>
                <w:szCs w:val="18"/>
              </w:rPr>
              <w:t> 获</w:t>
            </w:r>
            <w:r>
              <w:rPr>
                <w:rFonts w:ascii="宋体" w:hAnsi="宋体" w:cs="宋体" w:eastAsia="宋体" w:hint="default"/>
                <w:spacing w:val="-47"/>
                <w:sz w:val="18"/>
                <w:szCs w:val="18"/>
              </w:rPr>
              <w:t> </w:t>
            </w:r>
            <w:r>
              <w:rPr>
                <w:rFonts w:ascii="宋体" w:hAnsi="宋体" w:cs="宋体" w:eastAsia="宋体" w:hint="default"/>
                <w:sz w:val="18"/>
                <w:szCs w:val="18"/>
              </w:rPr>
              <w:t>取</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关</w:t>
            </w:r>
            <w:r>
              <w:rPr>
                <w:rFonts w:ascii="宋体" w:hAnsi="宋体" w:cs="宋体" w:eastAsia="宋体" w:hint="default"/>
                <w:spacing w:val="-47"/>
                <w:sz w:val="18"/>
                <w:szCs w:val="18"/>
              </w:rPr>
              <w:t> </w:t>
            </w:r>
            <w:r>
              <w:rPr>
                <w:rFonts w:ascii="宋体" w:hAnsi="宋体" w:cs="宋体" w:eastAsia="宋体" w:hint="default"/>
                <w:sz w:val="18"/>
                <w:szCs w:val="18"/>
              </w:rPr>
              <w:t>权</w:t>
            </w:r>
            <w:r>
              <w:rPr>
                <w:rFonts w:ascii="宋体" w:hAnsi="宋体" w:cs="宋体" w:eastAsia="宋体" w:hint="default"/>
                <w:sz w:val="18"/>
                <w:szCs w:val="18"/>
              </w:rPr>
              <w:t> 益</w:t>
            </w:r>
            <w:r>
              <w:rPr>
                <w:rFonts w:ascii="宋体" w:hAnsi="宋体" w:cs="宋体" w:eastAsia="宋体" w:hint="default"/>
                <w:spacing w:val="-47"/>
                <w:sz w:val="18"/>
                <w:szCs w:val="18"/>
              </w:rPr>
              <w:t> </w:t>
            </w:r>
            <w:r>
              <w:rPr>
                <w:rFonts w:ascii="宋体" w:hAnsi="宋体" w:cs="宋体" w:eastAsia="宋体" w:hint="default"/>
                <w:sz w:val="18"/>
                <w:szCs w:val="18"/>
              </w:rPr>
              <w:t>提</w:t>
            </w:r>
            <w:r>
              <w:rPr>
                <w:rFonts w:ascii="宋体" w:hAnsi="宋体" w:cs="宋体" w:eastAsia="宋体" w:hint="default"/>
                <w:spacing w:val="-50"/>
                <w:sz w:val="18"/>
                <w:szCs w:val="18"/>
              </w:rPr>
              <w:t> </w:t>
            </w:r>
            <w:r>
              <w:rPr>
                <w:rFonts w:ascii="宋体" w:hAnsi="宋体" w:cs="宋体" w:eastAsia="宋体" w:hint="default"/>
                <w:sz w:val="18"/>
                <w:szCs w:val="18"/>
              </w:rPr>
              <w:t>供</w:t>
            </w:r>
            <w:r>
              <w:rPr>
                <w:rFonts w:ascii="宋体" w:hAnsi="宋体" w:cs="宋体" w:eastAsia="宋体" w:hint="default"/>
                <w:spacing w:val="-47"/>
                <w:sz w:val="18"/>
                <w:szCs w:val="18"/>
              </w:rPr>
              <w:t> </w:t>
            </w:r>
            <w:r>
              <w:rPr>
                <w:rFonts w:ascii="宋体" w:hAnsi="宋体" w:cs="宋体" w:eastAsia="宋体" w:hint="default"/>
                <w:sz w:val="18"/>
                <w:szCs w:val="18"/>
              </w:rPr>
              <w:t>贷</w:t>
            </w:r>
            <w:r>
              <w:rPr>
                <w:rFonts w:ascii="宋体" w:hAnsi="宋体" w:cs="宋体" w:eastAsia="宋体" w:hint="default"/>
                <w:spacing w:val="-47"/>
                <w:sz w:val="18"/>
                <w:szCs w:val="18"/>
              </w:rPr>
              <w:t> </w:t>
            </w:r>
            <w:r>
              <w:rPr>
                <w:rFonts w:ascii="宋体" w:hAnsi="宋体" w:cs="宋体" w:eastAsia="宋体" w:hint="default"/>
                <w:sz w:val="18"/>
                <w:szCs w:val="18"/>
              </w:rPr>
              <w:t>款</w:t>
            </w:r>
            <w:r>
              <w:rPr>
                <w:rFonts w:ascii="宋体" w:hAnsi="宋体" w:cs="宋体" w:eastAsia="宋体" w:hint="default"/>
                <w:sz w:val="18"/>
                <w:szCs w:val="18"/>
              </w:rPr>
              <w:t> 以</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pacing w:val="-50"/>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他</w:t>
            </w:r>
            <w:r>
              <w:rPr>
                <w:rFonts w:ascii="宋体" w:hAnsi="宋体" w:cs="宋体" w:eastAsia="宋体" w:hint="default"/>
                <w:spacing w:val="-47"/>
                <w:sz w:val="18"/>
                <w:szCs w:val="18"/>
              </w:rPr>
              <w:t> </w:t>
            </w:r>
            <w:r>
              <w:rPr>
                <w:rFonts w:ascii="宋体" w:hAnsi="宋体" w:cs="宋体" w:eastAsia="宋体" w:hint="default"/>
                <w:sz w:val="18"/>
                <w:szCs w:val="18"/>
              </w:rPr>
              <w:t>任</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312"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日至本次股</w:t>
            </w:r>
            <w:r>
              <w:rPr>
                <w:rFonts w:ascii="宋体" w:hAnsi="宋体" w:cs="宋体" w:eastAsia="宋体" w:hint="default"/>
                <w:sz w:val="18"/>
                <w:szCs w:val="18"/>
              </w:rPr>
              <w:t> 权</w:t>
            </w:r>
            <w:r>
              <w:rPr>
                <w:rFonts w:ascii="宋体" w:hAnsi="宋体" w:cs="宋体" w:eastAsia="宋体" w:hint="default"/>
                <w:spacing w:val="-50"/>
                <w:sz w:val="18"/>
                <w:szCs w:val="18"/>
              </w:rPr>
              <w:t> </w:t>
            </w:r>
            <w:r>
              <w:rPr>
                <w:rFonts w:ascii="宋体" w:hAnsi="宋体" w:cs="宋体" w:eastAsia="宋体" w:hint="default"/>
                <w:sz w:val="18"/>
                <w:szCs w:val="18"/>
              </w:rPr>
              <w:t>激</w:t>
            </w:r>
            <w:r>
              <w:rPr>
                <w:rFonts w:ascii="宋体" w:hAnsi="宋体" w:cs="宋体" w:eastAsia="宋体" w:hint="default"/>
                <w:spacing w:val="-50"/>
                <w:sz w:val="18"/>
                <w:szCs w:val="18"/>
              </w:rPr>
              <w:t> </w:t>
            </w:r>
            <w:r>
              <w:rPr>
                <w:rFonts w:ascii="宋体" w:hAnsi="宋体" w:cs="宋体" w:eastAsia="宋体" w:hint="default"/>
                <w:sz w:val="18"/>
                <w:szCs w:val="18"/>
              </w:rPr>
              <w:t>励</w:t>
            </w:r>
            <w:r>
              <w:rPr>
                <w:rFonts w:ascii="宋体" w:hAnsi="宋体" w:cs="宋体" w:eastAsia="宋体" w:hint="default"/>
                <w:spacing w:val="-47"/>
                <w:sz w:val="18"/>
                <w:szCs w:val="18"/>
              </w:rPr>
              <w:t> </w:t>
            </w:r>
            <w:r>
              <w:rPr>
                <w:rFonts w:ascii="宋体" w:hAnsi="宋体" w:cs="宋体" w:eastAsia="宋体" w:hint="default"/>
                <w:sz w:val="18"/>
                <w:szCs w:val="18"/>
              </w:rPr>
              <w:t>计</w:t>
            </w:r>
            <w:r>
              <w:rPr>
                <w:rFonts w:ascii="宋体" w:hAnsi="宋体" w:cs="宋体" w:eastAsia="宋体" w:hint="default"/>
                <w:spacing w:val="-50"/>
                <w:sz w:val="18"/>
                <w:szCs w:val="18"/>
              </w:rPr>
              <w:t> </w:t>
            </w:r>
            <w:r>
              <w:rPr>
                <w:rFonts w:ascii="宋体" w:hAnsi="宋体" w:cs="宋体" w:eastAsia="宋体" w:hint="default"/>
                <w:sz w:val="18"/>
                <w:szCs w:val="18"/>
              </w:rPr>
              <w:t>划</w:t>
            </w:r>
            <w:r>
              <w:rPr>
                <w:rFonts w:ascii="宋体" w:hAnsi="宋体" w:cs="宋体" w:eastAsia="宋体" w:hint="default"/>
                <w:sz w:val="18"/>
                <w:szCs w:val="18"/>
              </w:rPr>
              <w:t> 终</w:t>
            </w:r>
            <w:r>
              <w:rPr>
                <w:rFonts w:ascii="宋体" w:hAnsi="宋体" w:cs="宋体" w:eastAsia="宋体" w:hint="default"/>
                <w:spacing w:val="-50"/>
                <w:sz w:val="18"/>
                <w:szCs w:val="18"/>
              </w:rPr>
              <w:t> </w:t>
            </w:r>
            <w:r>
              <w:rPr>
                <w:rFonts w:ascii="宋体" w:hAnsi="宋体" w:cs="宋体" w:eastAsia="宋体" w:hint="default"/>
                <w:sz w:val="18"/>
                <w:szCs w:val="18"/>
              </w:rPr>
              <w:t>止</w:t>
            </w:r>
            <w:r>
              <w:rPr>
                <w:rFonts w:ascii="宋体" w:hAnsi="宋体" w:cs="宋体" w:eastAsia="宋体" w:hint="default"/>
                <w:spacing w:val="-50"/>
                <w:sz w:val="18"/>
                <w:szCs w:val="18"/>
              </w:rPr>
              <w:t> </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效</w:t>
            </w:r>
            <w:r>
              <w:rPr>
                <w:rFonts w:ascii="宋体" w:hAnsi="宋体" w:cs="宋体" w:eastAsia="宋体" w:hint="default"/>
                <w:sz w:val="18"/>
                <w:szCs w:val="18"/>
              </w:rPr>
              <w:t> 期结束。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2" w:right="-6"/>
              <w:jc w:val="both"/>
              <w:rPr>
                <w:rFonts w:ascii="宋体" w:hAnsi="宋体" w:cs="宋体" w:eastAsia="宋体" w:hint="default"/>
                <w:sz w:val="18"/>
                <w:szCs w:val="18"/>
              </w:rPr>
            </w:pPr>
            <w:r>
              <w:rPr>
                <w:rFonts w:ascii="宋体" w:hAnsi="宋体" w:cs="宋体" w:eastAsia="宋体" w:hint="default"/>
                <w:sz w:val="18"/>
                <w:szCs w:val="18"/>
              </w:rPr>
              <w:t>截</w:t>
            </w:r>
            <w:r>
              <w:rPr>
                <w:rFonts w:ascii="宋体" w:hAnsi="宋体" w:cs="宋体" w:eastAsia="宋体" w:hint="default"/>
                <w:spacing w:val="-52"/>
                <w:sz w:val="18"/>
                <w:szCs w:val="18"/>
              </w:rPr>
              <w:t> </w:t>
            </w: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宋体" w:hAnsi="宋体" w:cs="宋体" w:eastAsia="宋体" w:hint="default"/>
                <w:sz w:val="18"/>
                <w:szCs w:val="18"/>
              </w:rPr>
              <w:t>本</w:t>
            </w:r>
            <w:r>
              <w:rPr>
                <w:rFonts w:ascii="宋体" w:hAnsi="宋体" w:cs="宋体" w:eastAsia="宋体" w:hint="default"/>
                <w:spacing w:val="-52"/>
                <w:sz w:val="18"/>
                <w:szCs w:val="18"/>
              </w:rPr>
              <w:t> </w:t>
            </w:r>
            <w:r>
              <w:rPr>
                <w:rFonts w:ascii="宋体" w:hAnsi="宋体" w:cs="宋体" w:eastAsia="宋体" w:hint="default"/>
                <w:sz w:val="18"/>
                <w:szCs w:val="18"/>
              </w:rPr>
              <w:t>报</w:t>
            </w:r>
            <w:r>
              <w:rPr>
                <w:rFonts w:ascii="宋体" w:hAnsi="宋体" w:cs="宋体" w:eastAsia="宋体" w:hint="default"/>
                <w:spacing w:val="-5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5"/>
                <w:sz w:val="18"/>
                <w:szCs w:val="18"/>
              </w:rPr>
              <w:t>期末，上述承</w:t>
            </w:r>
            <w:r>
              <w:rPr>
                <w:rFonts w:ascii="宋体" w:hAnsi="宋体" w:cs="宋体" w:eastAsia="宋体" w:hint="default"/>
                <w:sz w:val="18"/>
                <w:szCs w:val="18"/>
              </w:rPr>
              <w:t> 诺</w:t>
            </w:r>
            <w:r>
              <w:rPr>
                <w:rFonts w:ascii="宋体" w:hAnsi="宋体" w:cs="宋体" w:eastAsia="宋体" w:hint="default"/>
                <w:spacing w:val="-52"/>
                <w:sz w:val="18"/>
                <w:szCs w:val="18"/>
              </w:rPr>
              <w:t> </w:t>
            </w:r>
            <w:r>
              <w:rPr>
                <w:rFonts w:ascii="宋体" w:hAnsi="宋体" w:cs="宋体" w:eastAsia="宋体" w:hint="default"/>
                <w:sz w:val="18"/>
                <w:szCs w:val="18"/>
              </w:rPr>
              <w:t>人</w:t>
            </w:r>
            <w:r>
              <w:rPr>
                <w:rFonts w:ascii="宋体" w:hAnsi="宋体" w:cs="宋体" w:eastAsia="宋体" w:hint="default"/>
                <w:spacing w:val="-54"/>
                <w:sz w:val="18"/>
                <w:szCs w:val="18"/>
              </w:rPr>
              <w:t> </w:t>
            </w:r>
            <w:r>
              <w:rPr>
                <w:rFonts w:ascii="宋体" w:hAnsi="宋体" w:cs="宋体" w:eastAsia="宋体" w:hint="default"/>
                <w:sz w:val="18"/>
                <w:szCs w:val="18"/>
              </w:rPr>
              <w:t>严</w:t>
            </w:r>
            <w:r>
              <w:rPr>
                <w:rFonts w:ascii="宋体" w:hAnsi="宋体" w:cs="宋体" w:eastAsia="宋体" w:hint="default"/>
                <w:spacing w:val="-52"/>
                <w:sz w:val="18"/>
                <w:szCs w:val="18"/>
              </w:rPr>
              <w:t> </w:t>
            </w:r>
            <w:r>
              <w:rPr>
                <w:rFonts w:ascii="宋体" w:hAnsi="宋体" w:cs="宋体" w:eastAsia="宋体" w:hint="default"/>
                <w:sz w:val="18"/>
                <w:szCs w:val="18"/>
              </w:rPr>
              <w:t>格</w:t>
            </w:r>
            <w:r>
              <w:rPr>
                <w:rFonts w:ascii="宋体" w:hAnsi="宋体" w:cs="宋体" w:eastAsia="宋体" w:hint="default"/>
                <w:spacing w:val="-52"/>
                <w:sz w:val="18"/>
                <w:szCs w:val="18"/>
              </w:rPr>
              <w:t> </w:t>
            </w:r>
            <w:r>
              <w:rPr>
                <w:rFonts w:ascii="宋体" w:hAnsi="宋体" w:cs="宋体" w:eastAsia="宋体" w:hint="default"/>
                <w:sz w:val="18"/>
                <w:szCs w:val="18"/>
              </w:rPr>
              <w:t>信</w:t>
            </w:r>
            <w:r>
              <w:rPr>
                <w:rFonts w:ascii="宋体" w:hAnsi="宋体" w:cs="宋体" w:eastAsia="宋体" w:hint="default"/>
                <w:sz w:val="18"/>
                <w:szCs w:val="18"/>
              </w:rPr>
              <w:t> </w:t>
            </w:r>
            <w:r>
              <w:rPr>
                <w:rFonts w:ascii="宋体" w:hAnsi="宋体" w:cs="宋体" w:eastAsia="宋体" w:hint="default"/>
                <w:spacing w:val="-5"/>
                <w:sz w:val="18"/>
                <w:szCs w:val="18"/>
              </w:rPr>
              <w:t>守承诺，未发</w:t>
            </w:r>
            <w:r>
              <w:rPr>
                <w:rFonts w:ascii="宋体" w:hAnsi="宋体" w:cs="宋体" w:eastAsia="宋体" w:hint="default"/>
                <w:sz w:val="18"/>
                <w:szCs w:val="18"/>
              </w:rPr>
              <w:t> 现</w:t>
            </w:r>
            <w:r>
              <w:rPr>
                <w:rFonts w:ascii="宋体" w:hAnsi="宋体" w:cs="宋体" w:eastAsia="宋体" w:hint="default"/>
                <w:spacing w:val="-52"/>
                <w:sz w:val="18"/>
                <w:szCs w:val="18"/>
              </w:rPr>
              <w:t> </w:t>
            </w:r>
            <w:r>
              <w:rPr>
                <w:rFonts w:ascii="宋体" w:hAnsi="宋体" w:cs="宋体" w:eastAsia="宋体" w:hint="default"/>
                <w:sz w:val="18"/>
                <w:szCs w:val="18"/>
              </w:rPr>
              <w:t>违</w:t>
            </w:r>
            <w:r>
              <w:rPr>
                <w:rFonts w:ascii="宋体" w:hAnsi="宋体" w:cs="宋体" w:eastAsia="宋体" w:hint="default"/>
                <w:spacing w:val="-54"/>
                <w:sz w:val="18"/>
                <w:szCs w:val="18"/>
              </w:rPr>
              <w:t> </w:t>
            </w:r>
            <w:r>
              <w:rPr>
                <w:rFonts w:ascii="宋体" w:hAnsi="宋体" w:cs="宋体" w:eastAsia="宋体" w:hint="default"/>
                <w:sz w:val="18"/>
                <w:szCs w:val="18"/>
              </w:rPr>
              <w:t>反</w:t>
            </w:r>
            <w:r>
              <w:rPr>
                <w:rFonts w:ascii="宋体" w:hAnsi="宋体" w:cs="宋体" w:eastAsia="宋体" w:hint="default"/>
                <w:spacing w:val="-52"/>
                <w:sz w:val="18"/>
                <w:szCs w:val="18"/>
              </w:rPr>
              <w:t> </w:t>
            </w:r>
            <w:r>
              <w:rPr>
                <w:rFonts w:ascii="宋体" w:hAnsi="宋体" w:cs="宋体" w:eastAsia="宋体" w:hint="default"/>
                <w:sz w:val="18"/>
                <w:szCs w:val="18"/>
              </w:rPr>
              <w:t>上</w:t>
            </w:r>
            <w:r>
              <w:rPr>
                <w:rFonts w:ascii="宋体" w:hAnsi="宋体" w:cs="宋体" w:eastAsia="宋体" w:hint="default"/>
                <w:spacing w:val="-52"/>
                <w:sz w:val="18"/>
                <w:szCs w:val="18"/>
              </w:rPr>
              <w:t> </w:t>
            </w:r>
            <w:r>
              <w:rPr>
                <w:rFonts w:ascii="宋体" w:hAnsi="宋体" w:cs="宋体" w:eastAsia="宋体" w:hint="default"/>
                <w:sz w:val="18"/>
                <w:szCs w:val="18"/>
              </w:rPr>
              <w:t>述</w:t>
            </w:r>
            <w:r>
              <w:rPr>
                <w:rFonts w:ascii="宋体" w:hAnsi="宋体" w:cs="宋体" w:eastAsia="宋体" w:hint="default"/>
                <w:sz w:val="18"/>
                <w:szCs w:val="18"/>
              </w:rPr>
              <w:t> 承诺的情况。</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w:t>
            </w:r>
            <w:r>
              <w:rPr>
                <w:rFonts w:ascii="宋体" w:hAnsi="宋体" w:cs="宋体" w:eastAsia="宋体" w:hint="default"/>
                <w:spacing w:val="-47"/>
                <w:sz w:val="18"/>
                <w:szCs w:val="18"/>
              </w:rPr>
              <w:t> </w:t>
            </w:r>
            <w:r>
              <w:rPr>
                <w:rFonts w:ascii="宋体" w:hAnsi="宋体" w:cs="宋体" w:eastAsia="宋体" w:hint="default"/>
                <w:sz w:val="18"/>
                <w:szCs w:val="18"/>
              </w:rPr>
              <w:t>形</w:t>
            </w:r>
            <w:r>
              <w:rPr>
                <w:rFonts w:ascii="宋体" w:hAnsi="宋体" w:cs="宋体" w:eastAsia="宋体" w:hint="default"/>
                <w:spacing w:val="-50"/>
                <w:sz w:val="18"/>
                <w:szCs w:val="18"/>
              </w:rPr>
              <w:t> </w:t>
            </w:r>
            <w:r>
              <w:rPr>
                <w:rFonts w:ascii="宋体" w:hAnsi="宋体" w:cs="宋体" w:eastAsia="宋体" w:hint="default"/>
                <w:sz w:val="18"/>
                <w:szCs w:val="18"/>
              </w:rPr>
              <w:t>式</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务资助，包括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宋体" w:hAnsi="宋体" w:cs="宋体" w:eastAsia="宋体" w:hint="default"/>
                <w:sz w:val="18"/>
                <w:szCs w:val="18"/>
              </w:rPr>
              <w:t>其</w:t>
            </w:r>
            <w:r>
              <w:rPr>
                <w:rFonts w:ascii="宋体" w:hAnsi="宋体" w:cs="宋体" w:eastAsia="宋体" w:hint="default"/>
                <w:spacing w:val="-50"/>
                <w:sz w:val="18"/>
                <w:szCs w:val="18"/>
              </w:rPr>
              <w:t> </w:t>
            </w:r>
            <w:r>
              <w:rPr>
                <w:rFonts w:ascii="宋体" w:hAnsi="宋体" w:cs="宋体" w:eastAsia="宋体" w:hint="default"/>
                <w:sz w:val="18"/>
                <w:szCs w:val="18"/>
              </w:rPr>
              <w:t>贷</w:t>
            </w:r>
            <w:r>
              <w:rPr>
                <w:rFonts w:ascii="宋体" w:hAnsi="宋体" w:cs="宋体" w:eastAsia="宋体" w:hint="default"/>
                <w:spacing w:val="-47"/>
                <w:sz w:val="18"/>
                <w:szCs w:val="18"/>
              </w:rPr>
              <w:t> </w:t>
            </w: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宋体" w:hAnsi="宋体" w:cs="宋体" w:eastAsia="宋体" w:hint="default"/>
                <w:sz w:val="18"/>
                <w:szCs w:val="18"/>
              </w:rPr>
              <w:t>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供担保。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股</w:t>
            </w:r>
            <w:r>
              <w:rPr>
                <w:rFonts w:ascii="宋体" w:hAnsi="宋体" w:cs="宋体" w:eastAsia="宋体" w:hint="default"/>
                <w:spacing w:val="-57"/>
                <w:sz w:val="18"/>
                <w:szCs w:val="18"/>
              </w:rPr>
              <w:t> </w:t>
            </w:r>
            <w:r>
              <w:rPr>
                <w:rFonts w:ascii="宋体" w:hAnsi="宋体" w:cs="宋体" w:eastAsia="宋体" w:hint="default"/>
                <w:sz w:val="18"/>
                <w:szCs w:val="18"/>
              </w:rPr>
              <w:t>权</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2179"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z w:val="18"/>
                <w:szCs w:val="18"/>
              </w:rPr>
              <w:t>卫</w:t>
            </w:r>
            <w:r>
              <w:rPr>
                <w:rFonts w:ascii="宋体" w:hAnsi="宋体" w:cs="宋体" w:eastAsia="宋体" w:hint="default"/>
                <w:spacing w:val="-47"/>
                <w:sz w:val="18"/>
                <w:szCs w:val="18"/>
              </w:rPr>
              <w:t> </w:t>
            </w:r>
            <w:r>
              <w:rPr>
                <w:rFonts w:ascii="宋体" w:hAnsi="宋体" w:cs="宋体" w:eastAsia="宋体" w:hint="default"/>
                <w:sz w:val="18"/>
                <w:szCs w:val="18"/>
              </w:rPr>
              <w:t>宁</w:t>
            </w:r>
            <w:r>
              <w:rPr>
                <w:rFonts w:ascii="宋体" w:hAnsi="宋体" w:cs="宋体" w:eastAsia="宋体" w:hint="default"/>
                <w:spacing w:val="-50"/>
                <w:sz w:val="18"/>
                <w:szCs w:val="18"/>
              </w:rPr>
              <w:t> </w:t>
            </w:r>
            <w:r>
              <w:rPr>
                <w:rFonts w:ascii="宋体" w:hAnsi="宋体" w:cs="宋体" w:eastAsia="宋体" w:hint="default"/>
                <w:sz w:val="18"/>
                <w:szCs w:val="18"/>
              </w:rPr>
              <w:t>健</w:t>
            </w:r>
            <w:r>
              <w:rPr>
                <w:rFonts w:ascii="宋体" w:hAnsi="宋体" w:cs="宋体" w:eastAsia="宋体" w:hint="default"/>
                <w:spacing w:val="-47"/>
                <w:sz w:val="18"/>
                <w:szCs w:val="18"/>
              </w:rPr>
              <w:t> </w:t>
            </w:r>
            <w:r>
              <w:rPr>
                <w:rFonts w:ascii="宋体" w:hAnsi="宋体" w:cs="宋体" w:eastAsia="宋体" w:hint="default"/>
                <w:sz w:val="18"/>
                <w:szCs w:val="18"/>
              </w:rPr>
              <w:t>康</w:t>
            </w:r>
            <w:r>
              <w:rPr>
                <w:rFonts w:ascii="宋体" w:hAnsi="宋体" w:cs="宋体" w:eastAsia="宋体" w:hint="default"/>
                <w:spacing w:val="-50"/>
                <w:sz w:val="18"/>
                <w:szCs w:val="18"/>
              </w:rPr>
              <w:t> </w:t>
            </w:r>
            <w:r>
              <w:rPr>
                <w:rFonts w:ascii="宋体" w:hAnsi="宋体" w:cs="宋体" w:eastAsia="宋体" w:hint="default"/>
                <w:sz w:val="18"/>
                <w:szCs w:val="18"/>
              </w:rPr>
              <w:t>科</w:t>
            </w:r>
            <w:r>
              <w:rPr>
                <w:rFonts w:ascii="宋体" w:hAnsi="宋体" w:cs="宋体" w:eastAsia="宋体" w:hint="default"/>
                <w:sz w:val="18"/>
                <w:szCs w:val="18"/>
              </w:rPr>
              <w:t> 技</w:t>
            </w:r>
            <w:r>
              <w:rPr>
                <w:rFonts w:ascii="宋体" w:hAnsi="宋体" w:cs="宋体" w:eastAsia="宋体" w:hint="default"/>
                <w:spacing w:val="-47"/>
                <w:sz w:val="18"/>
                <w:szCs w:val="18"/>
              </w:rPr>
              <w:t> </w:t>
            </w:r>
            <w:r>
              <w:rPr>
                <w:rFonts w:ascii="宋体" w:hAnsi="宋体" w:cs="宋体" w:eastAsia="宋体" w:hint="default"/>
                <w:sz w:val="18"/>
                <w:szCs w:val="18"/>
              </w:rPr>
              <w:t>集</w:t>
            </w:r>
            <w:r>
              <w:rPr>
                <w:rFonts w:ascii="宋体" w:hAnsi="宋体" w:cs="宋体" w:eastAsia="宋体" w:hint="default"/>
                <w:spacing w:val="-50"/>
                <w:sz w:val="18"/>
                <w:szCs w:val="18"/>
              </w:rPr>
              <w:t> </w:t>
            </w:r>
            <w:r>
              <w:rPr>
                <w:rFonts w:ascii="宋体" w:hAnsi="宋体" w:cs="宋体" w:eastAsia="宋体" w:hint="default"/>
                <w:sz w:val="18"/>
                <w:szCs w:val="18"/>
              </w:rPr>
              <w:t>团</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10"/>
              <w:jc w:val="both"/>
              <w:rPr>
                <w:rFonts w:ascii="宋体" w:hAnsi="宋体" w:cs="宋体" w:eastAsia="宋体" w:hint="default"/>
                <w:sz w:val="18"/>
                <w:szCs w:val="18"/>
              </w:rPr>
            </w:pPr>
            <w:r>
              <w:rPr>
                <w:rFonts w:ascii="宋体" w:hAnsi="宋体" w:cs="宋体" w:eastAsia="宋体" w:hint="default"/>
                <w:sz w:val="18"/>
                <w:szCs w:val="18"/>
              </w:rPr>
              <w:t>激励计划：承 </w:t>
            </w:r>
            <w:r>
              <w:rPr>
                <w:rFonts w:ascii="宋体" w:hAnsi="宋体" w:cs="宋体" w:eastAsia="宋体" w:hint="default"/>
                <w:spacing w:val="10"/>
                <w:sz w:val="18"/>
                <w:szCs w:val="18"/>
              </w:rPr>
              <w:t>诺持股</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以 上</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主</w:t>
            </w:r>
            <w:r>
              <w:rPr>
                <w:rFonts w:ascii="宋体" w:hAnsi="宋体" w:cs="宋体" w:eastAsia="宋体" w:hint="default"/>
                <w:spacing w:val="-47"/>
                <w:sz w:val="18"/>
                <w:szCs w:val="18"/>
              </w:rPr>
              <w:t> </w:t>
            </w:r>
            <w:r>
              <w:rPr>
                <w:rFonts w:ascii="宋体" w:hAnsi="宋体" w:cs="宋体" w:eastAsia="宋体" w:hint="default"/>
                <w:sz w:val="18"/>
                <w:szCs w:val="18"/>
              </w:rPr>
              <w:t>要</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z w:val="18"/>
                <w:szCs w:val="18"/>
              </w:rPr>
              <w:t> 东</w:t>
            </w:r>
            <w:r>
              <w:rPr>
                <w:rFonts w:ascii="宋体" w:hAnsi="宋体" w:cs="宋体" w:eastAsia="宋体" w:hint="default"/>
                <w:spacing w:val="-47"/>
                <w:sz w:val="18"/>
                <w:szCs w:val="18"/>
              </w:rPr>
              <w:t> </w:t>
            </w:r>
            <w:r>
              <w:rPr>
                <w:rFonts w:ascii="宋体" w:hAnsi="宋体" w:cs="宋体" w:eastAsia="宋体" w:hint="default"/>
                <w:sz w:val="18"/>
                <w:szCs w:val="18"/>
              </w:rPr>
              <w:t>或</w:t>
            </w:r>
            <w:r>
              <w:rPr>
                <w:rFonts w:ascii="宋体" w:hAnsi="宋体" w:cs="宋体" w:eastAsia="宋体" w:hint="default"/>
                <w:spacing w:val="-50"/>
                <w:sz w:val="18"/>
                <w:szCs w:val="18"/>
              </w:rPr>
              <w:t> </w:t>
            </w:r>
            <w:r>
              <w:rPr>
                <w:rFonts w:ascii="宋体" w:hAnsi="宋体" w:cs="宋体" w:eastAsia="宋体" w:hint="default"/>
                <w:sz w:val="18"/>
                <w:szCs w:val="18"/>
              </w:rPr>
              <w:t>实</w:t>
            </w:r>
            <w:r>
              <w:rPr>
                <w:rFonts w:ascii="宋体" w:hAnsi="宋体" w:cs="宋体" w:eastAsia="宋体" w:hint="default"/>
                <w:spacing w:val="-47"/>
                <w:sz w:val="18"/>
                <w:szCs w:val="18"/>
              </w:rPr>
              <w:t> </w:t>
            </w:r>
            <w:r>
              <w:rPr>
                <w:rFonts w:ascii="宋体" w:hAnsi="宋体" w:cs="宋体" w:eastAsia="宋体" w:hint="default"/>
                <w:sz w:val="18"/>
                <w:szCs w:val="18"/>
              </w:rPr>
              <w:t>际</w:t>
            </w:r>
            <w:r>
              <w:rPr>
                <w:rFonts w:ascii="宋体" w:hAnsi="宋体" w:cs="宋体" w:eastAsia="宋体" w:hint="default"/>
                <w:spacing w:val="-47"/>
                <w:sz w:val="18"/>
                <w:szCs w:val="18"/>
              </w:rPr>
              <w:t> </w:t>
            </w:r>
            <w:r>
              <w:rPr>
                <w:rFonts w:ascii="宋体" w:hAnsi="宋体" w:cs="宋体" w:eastAsia="宋体" w:hint="default"/>
                <w:sz w:val="18"/>
                <w:szCs w:val="18"/>
              </w:rPr>
              <w:t>控</w:t>
            </w:r>
            <w:r>
              <w:rPr>
                <w:rFonts w:ascii="宋体" w:hAnsi="宋体" w:cs="宋体" w:eastAsia="宋体" w:hint="default"/>
                <w:sz w:val="18"/>
                <w:szCs w:val="18"/>
              </w:rPr>
              <w:t> 制</w:t>
            </w:r>
            <w:r>
              <w:rPr>
                <w:rFonts w:ascii="宋体" w:hAnsi="宋体" w:cs="宋体" w:eastAsia="宋体" w:hint="default"/>
                <w:spacing w:val="-47"/>
                <w:sz w:val="18"/>
                <w:szCs w:val="18"/>
              </w:rPr>
              <w:t> </w:t>
            </w:r>
            <w:r>
              <w:rPr>
                <w:rFonts w:ascii="宋体" w:hAnsi="宋体" w:cs="宋体" w:eastAsia="宋体" w:hint="default"/>
                <w:sz w:val="18"/>
                <w:szCs w:val="18"/>
              </w:rPr>
              <w:t>人</w:t>
            </w:r>
            <w:r>
              <w:rPr>
                <w:rFonts w:ascii="宋体" w:hAnsi="宋体" w:cs="宋体" w:eastAsia="宋体" w:hint="default"/>
                <w:spacing w:val="-50"/>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配</w:t>
            </w:r>
            <w:r>
              <w:rPr>
                <w:rFonts w:ascii="宋体" w:hAnsi="宋体" w:cs="宋体" w:eastAsia="宋体" w:hint="default"/>
                <w:sz w:val="18"/>
                <w:szCs w:val="18"/>
              </w:rPr>
              <w:t> 偶</w:t>
            </w:r>
            <w:r>
              <w:rPr>
                <w:rFonts w:ascii="宋体" w:hAnsi="宋体" w:cs="宋体" w:eastAsia="宋体" w:hint="default"/>
                <w:spacing w:val="-47"/>
                <w:sz w:val="18"/>
                <w:szCs w:val="18"/>
              </w:rPr>
              <w:t> </w:t>
            </w:r>
            <w:r>
              <w:rPr>
                <w:rFonts w:ascii="宋体" w:hAnsi="宋体" w:cs="宋体" w:eastAsia="宋体" w:hint="default"/>
                <w:sz w:val="18"/>
                <w:szCs w:val="18"/>
              </w:rPr>
              <w:t>均</w:t>
            </w:r>
            <w:r>
              <w:rPr>
                <w:rFonts w:ascii="宋体" w:hAnsi="宋体" w:cs="宋体" w:eastAsia="宋体" w:hint="default"/>
                <w:spacing w:val="-50"/>
                <w:sz w:val="18"/>
                <w:szCs w:val="18"/>
              </w:rPr>
              <w:t> </w:t>
            </w:r>
            <w:r>
              <w:rPr>
                <w:rFonts w:ascii="宋体" w:hAnsi="宋体" w:cs="宋体" w:eastAsia="宋体" w:hint="default"/>
                <w:sz w:val="18"/>
                <w:szCs w:val="18"/>
              </w:rPr>
              <w:t>未</w:t>
            </w:r>
            <w:r>
              <w:rPr>
                <w:rFonts w:ascii="宋体" w:hAnsi="宋体" w:cs="宋体" w:eastAsia="宋体" w:hint="default"/>
                <w:spacing w:val="-47"/>
                <w:sz w:val="18"/>
                <w:szCs w:val="18"/>
              </w:rPr>
              <w:t> </w:t>
            </w:r>
            <w:r>
              <w:rPr>
                <w:rFonts w:ascii="宋体" w:hAnsi="宋体" w:cs="宋体" w:eastAsia="宋体" w:hint="default"/>
                <w:sz w:val="18"/>
                <w:szCs w:val="18"/>
              </w:rPr>
              <w:t>参</w:t>
            </w:r>
            <w:r>
              <w:rPr>
                <w:rFonts w:ascii="宋体" w:hAnsi="宋体" w:cs="宋体" w:eastAsia="宋体" w:hint="default"/>
                <w:spacing w:val="-47"/>
                <w:sz w:val="18"/>
                <w:szCs w:val="18"/>
              </w:rPr>
              <w:t> </w:t>
            </w:r>
            <w:r>
              <w:rPr>
                <w:rFonts w:ascii="宋体" w:hAnsi="宋体" w:cs="宋体" w:eastAsia="宋体" w:hint="default"/>
                <w:sz w:val="18"/>
                <w:szCs w:val="18"/>
              </w:rPr>
              <w:t>与</w:t>
            </w:r>
            <w:r>
              <w:rPr>
                <w:rFonts w:ascii="宋体" w:hAnsi="宋体" w:cs="宋体" w:eastAsia="宋体" w:hint="default"/>
                <w:sz w:val="18"/>
                <w:szCs w:val="18"/>
              </w:rPr>
              <w:t> 本激励计划；</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16"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宋体" w:hAnsi="宋体" w:cs="宋体" w:eastAsia="宋体" w:hint="default"/>
                <w:sz w:val="18"/>
                <w:szCs w:val="18"/>
              </w:rPr>
              <w:t>本</w:t>
            </w:r>
            <w:r>
              <w:rPr>
                <w:rFonts w:ascii="宋体" w:hAnsi="宋体" w:cs="宋体" w:eastAsia="宋体" w:hint="default"/>
                <w:spacing w:val="-47"/>
                <w:sz w:val="18"/>
                <w:szCs w:val="18"/>
              </w:rPr>
              <w:t> </w:t>
            </w:r>
            <w:r>
              <w:rPr>
                <w:rFonts w:ascii="宋体" w:hAnsi="宋体" w:cs="宋体" w:eastAsia="宋体" w:hint="default"/>
                <w:sz w:val="18"/>
                <w:szCs w:val="18"/>
              </w:rPr>
              <w:t>次</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z w:val="18"/>
                <w:szCs w:val="18"/>
              </w:rPr>
              <w:t> 权</w:t>
            </w:r>
            <w:r>
              <w:rPr>
                <w:rFonts w:ascii="宋体" w:hAnsi="宋体" w:cs="宋体" w:eastAsia="宋体" w:hint="default"/>
                <w:spacing w:val="-50"/>
                <w:sz w:val="18"/>
                <w:szCs w:val="18"/>
              </w:rPr>
              <w:t> </w:t>
            </w:r>
            <w:r>
              <w:rPr>
                <w:rFonts w:ascii="宋体" w:hAnsi="宋体" w:cs="宋体" w:eastAsia="宋体" w:hint="default"/>
                <w:sz w:val="18"/>
                <w:szCs w:val="18"/>
              </w:rPr>
              <w:t>激</w:t>
            </w:r>
            <w:r>
              <w:rPr>
                <w:rFonts w:ascii="宋体" w:hAnsi="宋体" w:cs="宋体" w:eastAsia="宋体" w:hint="default"/>
                <w:spacing w:val="-50"/>
                <w:sz w:val="18"/>
                <w:szCs w:val="18"/>
              </w:rPr>
              <w:t> </w:t>
            </w:r>
            <w:r>
              <w:rPr>
                <w:rFonts w:ascii="宋体" w:hAnsi="宋体" w:cs="宋体" w:eastAsia="宋体" w:hint="default"/>
                <w:sz w:val="18"/>
                <w:szCs w:val="18"/>
              </w:rPr>
              <w:t>励</w:t>
            </w:r>
            <w:r>
              <w:rPr>
                <w:rFonts w:ascii="宋体" w:hAnsi="宋体" w:cs="宋体" w:eastAsia="宋体" w:hint="default"/>
                <w:spacing w:val="-47"/>
                <w:sz w:val="18"/>
                <w:szCs w:val="18"/>
              </w:rPr>
              <w:t> </w:t>
            </w:r>
            <w:r>
              <w:rPr>
                <w:rFonts w:ascii="宋体" w:hAnsi="宋体" w:cs="宋体" w:eastAsia="宋体" w:hint="default"/>
                <w:sz w:val="18"/>
                <w:szCs w:val="18"/>
              </w:rPr>
              <w:t>计</w:t>
            </w:r>
            <w:r>
              <w:rPr>
                <w:rFonts w:ascii="宋体" w:hAnsi="宋体" w:cs="宋体" w:eastAsia="宋体" w:hint="default"/>
                <w:spacing w:val="-50"/>
                <w:sz w:val="18"/>
                <w:szCs w:val="18"/>
              </w:rPr>
              <w:t> </w:t>
            </w:r>
            <w:r>
              <w:rPr>
                <w:rFonts w:ascii="宋体" w:hAnsi="宋体" w:cs="宋体" w:eastAsia="宋体" w:hint="default"/>
                <w:sz w:val="18"/>
                <w:szCs w:val="18"/>
              </w:rPr>
              <w:t>划</w:t>
            </w:r>
            <w:r>
              <w:rPr>
                <w:rFonts w:ascii="宋体" w:hAnsi="宋体" w:cs="宋体" w:eastAsia="宋体" w:hint="default"/>
                <w:sz w:val="18"/>
                <w:szCs w:val="18"/>
              </w:rPr>
              <w:t> 终</w:t>
            </w:r>
            <w:r>
              <w:rPr>
                <w:rFonts w:ascii="宋体" w:hAnsi="宋体" w:cs="宋体" w:eastAsia="宋体" w:hint="default"/>
                <w:spacing w:val="-50"/>
                <w:sz w:val="18"/>
                <w:szCs w:val="18"/>
              </w:rPr>
              <w:t> </w:t>
            </w:r>
            <w:r>
              <w:rPr>
                <w:rFonts w:ascii="宋体" w:hAnsi="宋体" w:cs="宋体" w:eastAsia="宋体" w:hint="default"/>
                <w:sz w:val="18"/>
                <w:szCs w:val="18"/>
              </w:rPr>
              <w:t>止</w:t>
            </w:r>
            <w:r>
              <w:rPr>
                <w:rFonts w:ascii="宋体" w:hAnsi="宋体" w:cs="宋体" w:eastAsia="宋体" w:hint="default"/>
                <w:spacing w:val="-50"/>
                <w:sz w:val="18"/>
                <w:szCs w:val="18"/>
              </w:rPr>
              <w:t> </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50"/>
                <w:sz w:val="18"/>
                <w:szCs w:val="18"/>
              </w:rPr>
              <w:t> </w:t>
            </w:r>
            <w:r>
              <w:rPr>
                <w:rFonts w:ascii="宋体" w:hAnsi="宋体" w:cs="宋体" w:eastAsia="宋体" w:hint="default"/>
                <w:sz w:val="18"/>
                <w:szCs w:val="18"/>
              </w:rPr>
              <w:t>效</w:t>
            </w:r>
            <w:r>
              <w:rPr>
                <w:rFonts w:ascii="宋体" w:hAnsi="宋体" w:cs="宋体" w:eastAsia="宋体" w:hint="default"/>
                <w:sz w:val="18"/>
                <w:szCs w:val="18"/>
              </w:rPr>
              <w:t> 期结束。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6"/>
              <w:jc w:val="both"/>
              <w:rPr>
                <w:rFonts w:ascii="宋体" w:hAnsi="宋体" w:cs="宋体" w:eastAsia="宋体" w:hint="default"/>
                <w:sz w:val="18"/>
                <w:szCs w:val="18"/>
              </w:rPr>
            </w:pPr>
            <w:r>
              <w:rPr>
                <w:rFonts w:ascii="宋体" w:hAnsi="宋体" w:cs="宋体" w:eastAsia="宋体" w:hint="default"/>
                <w:sz w:val="18"/>
                <w:szCs w:val="18"/>
              </w:rPr>
              <w:t>截</w:t>
            </w:r>
            <w:r>
              <w:rPr>
                <w:rFonts w:ascii="宋体" w:hAnsi="宋体" w:cs="宋体" w:eastAsia="宋体" w:hint="default"/>
                <w:spacing w:val="-52"/>
                <w:sz w:val="18"/>
                <w:szCs w:val="18"/>
              </w:rPr>
              <w:t> </w:t>
            </w: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宋体" w:hAnsi="宋体" w:cs="宋体" w:eastAsia="宋体" w:hint="default"/>
                <w:sz w:val="18"/>
                <w:szCs w:val="18"/>
              </w:rPr>
              <w:t>本</w:t>
            </w:r>
            <w:r>
              <w:rPr>
                <w:rFonts w:ascii="宋体" w:hAnsi="宋体" w:cs="宋体" w:eastAsia="宋体" w:hint="default"/>
                <w:spacing w:val="-52"/>
                <w:sz w:val="18"/>
                <w:szCs w:val="18"/>
              </w:rPr>
              <w:t> </w:t>
            </w:r>
            <w:r>
              <w:rPr>
                <w:rFonts w:ascii="宋体" w:hAnsi="宋体" w:cs="宋体" w:eastAsia="宋体" w:hint="default"/>
                <w:sz w:val="18"/>
                <w:szCs w:val="18"/>
              </w:rPr>
              <w:t>报</w:t>
            </w:r>
            <w:r>
              <w:rPr>
                <w:rFonts w:ascii="宋体" w:hAnsi="宋体" w:cs="宋体" w:eastAsia="宋体" w:hint="default"/>
                <w:spacing w:val="-52"/>
                <w:sz w:val="18"/>
                <w:szCs w:val="18"/>
              </w:rPr>
              <w:t> </w:t>
            </w:r>
            <w:r>
              <w:rPr>
                <w:rFonts w:ascii="宋体" w:hAnsi="宋体" w:cs="宋体" w:eastAsia="宋体" w:hint="default"/>
                <w:sz w:val="18"/>
                <w:szCs w:val="18"/>
              </w:rPr>
              <w:t>告</w:t>
            </w:r>
            <w:r>
              <w:rPr>
                <w:rFonts w:ascii="宋体" w:hAnsi="宋体" w:cs="宋体" w:eastAsia="宋体" w:hint="default"/>
                <w:sz w:val="18"/>
                <w:szCs w:val="18"/>
              </w:rPr>
              <w:t> </w:t>
            </w:r>
            <w:r>
              <w:rPr>
                <w:rFonts w:ascii="宋体" w:hAnsi="宋体" w:cs="宋体" w:eastAsia="宋体" w:hint="default"/>
                <w:spacing w:val="-5"/>
                <w:sz w:val="18"/>
                <w:szCs w:val="18"/>
              </w:rPr>
              <w:t>期末，上述承</w:t>
            </w:r>
            <w:r>
              <w:rPr>
                <w:rFonts w:ascii="宋体" w:hAnsi="宋体" w:cs="宋体" w:eastAsia="宋体" w:hint="default"/>
                <w:sz w:val="18"/>
                <w:szCs w:val="18"/>
              </w:rPr>
              <w:t> 诺</w:t>
            </w:r>
            <w:r>
              <w:rPr>
                <w:rFonts w:ascii="宋体" w:hAnsi="宋体" w:cs="宋体" w:eastAsia="宋体" w:hint="default"/>
                <w:spacing w:val="-52"/>
                <w:sz w:val="18"/>
                <w:szCs w:val="18"/>
              </w:rPr>
              <w:t> </w:t>
            </w:r>
            <w:r>
              <w:rPr>
                <w:rFonts w:ascii="宋体" w:hAnsi="宋体" w:cs="宋体" w:eastAsia="宋体" w:hint="default"/>
                <w:sz w:val="18"/>
                <w:szCs w:val="18"/>
              </w:rPr>
              <w:t>人</w:t>
            </w:r>
            <w:r>
              <w:rPr>
                <w:rFonts w:ascii="宋体" w:hAnsi="宋体" w:cs="宋体" w:eastAsia="宋体" w:hint="default"/>
                <w:spacing w:val="-54"/>
                <w:sz w:val="18"/>
                <w:szCs w:val="18"/>
              </w:rPr>
              <w:t> </w:t>
            </w:r>
            <w:r>
              <w:rPr>
                <w:rFonts w:ascii="宋体" w:hAnsi="宋体" w:cs="宋体" w:eastAsia="宋体" w:hint="default"/>
                <w:sz w:val="18"/>
                <w:szCs w:val="18"/>
              </w:rPr>
              <w:t>严</w:t>
            </w:r>
            <w:r>
              <w:rPr>
                <w:rFonts w:ascii="宋体" w:hAnsi="宋体" w:cs="宋体" w:eastAsia="宋体" w:hint="default"/>
                <w:spacing w:val="-52"/>
                <w:sz w:val="18"/>
                <w:szCs w:val="18"/>
              </w:rPr>
              <w:t> </w:t>
            </w:r>
            <w:r>
              <w:rPr>
                <w:rFonts w:ascii="宋体" w:hAnsi="宋体" w:cs="宋体" w:eastAsia="宋体" w:hint="default"/>
                <w:sz w:val="18"/>
                <w:szCs w:val="18"/>
              </w:rPr>
              <w:t>格</w:t>
            </w:r>
            <w:r>
              <w:rPr>
                <w:rFonts w:ascii="宋体" w:hAnsi="宋体" w:cs="宋体" w:eastAsia="宋体" w:hint="default"/>
                <w:spacing w:val="-52"/>
                <w:sz w:val="18"/>
                <w:szCs w:val="18"/>
              </w:rPr>
              <w:t> </w:t>
            </w:r>
            <w:r>
              <w:rPr>
                <w:rFonts w:ascii="宋体" w:hAnsi="宋体" w:cs="宋体" w:eastAsia="宋体" w:hint="default"/>
                <w:sz w:val="18"/>
                <w:szCs w:val="18"/>
              </w:rPr>
              <w:t>信</w:t>
            </w:r>
            <w:r>
              <w:rPr>
                <w:rFonts w:ascii="宋体" w:hAnsi="宋体" w:cs="宋体" w:eastAsia="宋体" w:hint="default"/>
                <w:sz w:val="18"/>
                <w:szCs w:val="18"/>
              </w:rPr>
              <w:t> </w:t>
            </w:r>
            <w:r>
              <w:rPr>
                <w:rFonts w:ascii="宋体" w:hAnsi="宋体" w:cs="宋体" w:eastAsia="宋体" w:hint="default"/>
                <w:spacing w:val="-5"/>
                <w:sz w:val="18"/>
                <w:szCs w:val="18"/>
              </w:rPr>
              <w:t>守承诺，未发</w:t>
            </w:r>
            <w:r>
              <w:rPr>
                <w:rFonts w:ascii="宋体" w:hAnsi="宋体" w:cs="宋体" w:eastAsia="宋体" w:hint="default"/>
                <w:sz w:val="18"/>
                <w:szCs w:val="18"/>
              </w:rPr>
              <w:t> 现</w:t>
            </w:r>
            <w:r>
              <w:rPr>
                <w:rFonts w:ascii="宋体" w:hAnsi="宋体" w:cs="宋体" w:eastAsia="宋体" w:hint="default"/>
                <w:spacing w:val="-52"/>
                <w:sz w:val="18"/>
                <w:szCs w:val="18"/>
              </w:rPr>
              <w:t> </w:t>
            </w:r>
            <w:r>
              <w:rPr>
                <w:rFonts w:ascii="宋体" w:hAnsi="宋体" w:cs="宋体" w:eastAsia="宋体" w:hint="default"/>
                <w:sz w:val="18"/>
                <w:szCs w:val="18"/>
              </w:rPr>
              <w:t>违</w:t>
            </w:r>
            <w:r>
              <w:rPr>
                <w:rFonts w:ascii="宋体" w:hAnsi="宋体" w:cs="宋体" w:eastAsia="宋体" w:hint="default"/>
                <w:spacing w:val="-54"/>
                <w:sz w:val="18"/>
                <w:szCs w:val="18"/>
              </w:rPr>
              <w:t> </w:t>
            </w:r>
            <w:r>
              <w:rPr>
                <w:rFonts w:ascii="宋体" w:hAnsi="宋体" w:cs="宋体" w:eastAsia="宋体" w:hint="default"/>
                <w:sz w:val="18"/>
                <w:szCs w:val="18"/>
              </w:rPr>
              <w:t>反</w:t>
            </w:r>
            <w:r>
              <w:rPr>
                <w:rFonts w:ascii="宋体" w:hAnsi="宋体" w:cs="宋体" w:eastAsia="宋体" w:hint="default"/>
                <w:spacing w:val="-52"/>
                <w:sz w:val="18"/>
                <w:szCs w:val="18"/>
              </w:rPr>
              <w:t> </w:t>
            </w:r>
            <w:r>
              <w:rPr>
                <w:rFonts w:ascii="宋体" w:hAnsi="宋体" w:cs="宋体" w:eastAsia="宋体" w:hint="default"/>
                <w:sz w:val="18"/>
                <w:szCs w:val="18"/>
              </w:rPr>
              <w:t>上</w:t>
            </w:r>
            <w:r>
              <w:rPr>
                <w:rFonts w:ascii="宋体" w:hAnsi="宋体" w:cs="宋体" w:eastAsia="宋体" w:hint="default"/>
                <w:spacing w:val="-52"/>
                <w:sz w:val="18"/>
                <w:szCs w:val="18"/>
              </w:rPr>
              <w:t> </w:t>
            </w:r>
            <w:r>
              <w:rPr>
                <w:rFonts w:ascii="宋体" w:hAnsi="宋体" w:cs="宋体" w:eastAsia="宋体" w:hint="default"/>
                <w:sz w:val="18"/>
                <w:szCs w:val="18"/>
              </w:rPr>
              <w:t>述</w:t>
            </w:r>
            <w:r>
              <w:rPr>
                <w:rFonts w:ascii="宋体" w:hAnsi="宋体" w:cs="宋体" w:eastAsia="宋体" w:hint="default"/>
                <w:sz w:val="18"/>
                <w:szCs w:val="18"/>
              </w:rPr>
              <w:t> 承诺的情况。</w:t>
            </w:r>
          </w:p>
        </w:tc>
      </w:tr>
      <w:tr>
        <w:trPr>
          <w:trHeight w:val="315"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宋体" w:hAnsi="宋体" w:cs="宋体" w:eastAsia="宋体" w:hint="default"/>
                <w:sz w:val="18"/>
                <w:szCs w:val="18"/>
              </w:rPr>
              <w:t>承</w:t>
            </w:r>
            <w:r>
              <w:rPr>
                <w:rFonts w:ascii="宋体" w:hAnsi="宋体" w:cs="宋体" w:eastAsia="宋体" w:hint="default"/>
                <w:spacing w:val="-47"/>
                <w:sz w:val="18"/>
                <w:szCs w:val="18"/>
              </w:rPr>
              <w:t> </w:t>
            </w:r>
            <w:r>
              <w:rPr>
                <w:rFonts w:ascii="宋体" w:hAnsi="宋体" w:cs="宋体" w:eastAsia="宋体" w:hint="default"/>
                <w:sz w:val="18"/>
                <w:szCs w:val="18"/>
              </w:rPr>
              <w:t>诺</w:t>
            </w:r>
            <w:r>
              <w:rPr>
                <w:rFonts w:ascii="宋体" w:hAnsi="宋体" w:cs="宋体" w:eastAsia="宋体" w:hint="default"/>
                <w:spacing w:val="-47"/>
                <w:sz w:val="18"/>
                <w:szCs w:val="18"/>
              </w:rPr>
              <w:t> </w:t>
            </w:r>
            <w:r>
              <w:rPr>
                <w:rFonts w:ascii="宋体" w:hAnsi="宋体" w:cs="宋体" w:eastAsia="宋体" w:hint="default"/>
                <w:sz w:val="18"/>
                <w:szCs w:val="18"/>
              </w:rPr>
              <w:t>不</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宋体" w:hAnsi="宋体" w:cs="宋体" w:eastAsia="宋体" w:hint="default"/>
                <w:sz w:val="18"/>
                <w:szCs w:val="18"/>
              </w:rPr>
              <w:t>激</w:t>
            </w:r>
            <w:r>
              <w:rPr>
                <w:rFonts w:ascii="宋体" w:hAnsi="宋体" w:cs="宋体" w:eastAsia="宋体" w:hint="default"/>
                <w:spacing w:val="-50"/>
                <w:sz w:val="18"/>
                <w:szCs w:val="18"/>
              </w:rPr>
              <w:t> </w:t>
            </w:r>
            <w:r>
              <w:rPr>
                <w:rFonts w:ascii="宋体" w:hAnsi="宋体" w:cs="宋体" w:eastAsia="宋体" w:hint="default"/>
                <w:sz w:val="18"/>
                <w:szCs w:val="18"/>
              </w:rPr>
              <w:t>励</w:t>
            </w:r>
            <w:r>
              <w:rPr>
                <w:rFonts w:ascii="宋体" w:hAnsi="宋体" w:cs="宋体" w:eastAsia="宋体" w:hint="default"/>
                <w:spacing w:val="-47"/>
                <w:sz w:val="18"/>
                <w:szCs w:val="18"/>
              </w:rPr>
              <w:t> </w:t>
            </w: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宋体" w:hAnsi="宋体" w:cs="宋体" w:eastAsia="宋体" w:hint="default"/>
                <w:sz w:val="18"/>
                <w:szCs w:val="18"/>
              </w:rPr>
              <w:t>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47"/>
                <w:sz w:val="18"/>
                <w:szCs w:val="18"/>
              </w:rPr>
              <w:t> </w:t>
            </w:r>
            <w:r>
              <w:rPr>
                <w:rFonts w:ascii="宋体" w:hAnsi="宋体" w:cs="宋体" w:eastAsia="宋体" w:hint="default"/>
                <w:sz w:val="18"/>
                <w:szCs w:val="18"/>
              </w:rPr>
              <w:t>本</w:t>
            </w:r>
            <w:r>
              <w:rPr>
                <w:rFonts w:ascii="宋体" w:hAnsi="宋体" w:cs="宋体" w:eastAsia="宋体" w:hint="default"/>
                <w:spacing w:val="-50"/>
                <w:sz w:val="18"/>
                <w:szCs w:val="18"/>
              </w:rPr>
              <w:t> </w:t>
            </w:r>
            <w:r>
              <w:rPr>
                <w:rFonts w:ascii="宋体" w:hAnsi="宋体" w:cs="宋体" w:eastAsia="宋体" w:hint="default"/>
                <w:sz w:val="18"/>
                <w:szCs w:val="18"/>
              </w:rPr>
              <w:t>激</w:t>
            </w:r>
            <w:r>
              <w:rPr>
                <w:rFonts w:ascii="宋体" w:hAnsi="宋体" w:cs="宋体" w:eastAsia="宋体" w:hint="default"/>
                <w:spacing w:val="-47"/>
                <w:sz w:val="18"/>
                <w:szCs w:val="18"/>
              </w:rPr>
              <w:t> </w:t>
            </w:r>
            <w:r>
              <w:rPr>
                <w:rFonts w:ascii="宋体" w:hAnsi="宋体" w:cs="宋体" w:eastAsia="宋体" w:hint="default"/>
                <w:sz w:val="18"/>
                <w:szCs w:val="18"/>
              </w:rPr>
              <w:t>励</w:t>
            </w:r>
            <w:r>
              <w:rPr>
                <w:rFonts w:ascii="宋体" w:hAnsi="宋体" w:cs="宋体" w:eastAsia="宋体" w:hint="default"/>
                <w:spacing w:val="-47"/>
                <w:sz w:val="18"/>
                <w:szCs w:val="18"/>
              </w:rPr>
              <w:t> </w:t>
            </w:r>
            <w:r>
              <w:rPr>
                <w:rFonts w:ascii="宋体" w:hAnsi="宋体" w:cs="宋体" w:eastAsia="宋体" w:hint="default"/>
                <w:sz w:val="18"/>
                <w:szCs w:val="18"/>
              </w:rPr>
              <w:t>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w:t>
            </w:r>
            <w:r>
              <w:rPr>
                <w:rFonts w:ascii="宋体" w:hAnsi="宋体" w:cs="宋体" w:eastAsia="宋体" w:hint="default"/>
                <w:spacing w:val="-47"/>
                <w:sz w:val="18"/>
                <w:szCs w:val="18"/>
              </w:rPr>
              <w:t> </w:t>
            </w:r>
            <w:r>
              <w:rPr>
                <w:rFonts w:ascii="宋体" w:hAnsi="宋体" w:cs="宋体" w:eastAsia="宋体" w:hint="default"/>
                <w:sz w:val="18"/>
                <w:szCs w:val="18"/>
              </w:rPr>
              <w:t>获</w:t>
            </w:r>
            <w:r>
              <w:rPr>
                <w:rFonts w:ascii="宋体" w:hAnsi="宋体" w:cs="宋体" w:eastAsia="宋体" w:hint="default"/>
                <w:spacing w:val="-50"/>
                <w:sz w:val="18"/>
                <w:szCs w:val="18"/>
              </w:rPr>
              <w:t> </w:t>
            </w:r>
            <w:r>
              <w:rPr>
                <w:rFonts w:ascii="宋体" w:hAnsi="宋体" w:cs="宋体" w:eastAsia="宋体" w:hint="default"/>
                <w:sz w:val="18"/>
                <w:szCs w:val="18"/>
              </w:rPr>
              <w:t>取</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47"/>
                <w:sz w:val="18"/>
                <w:szCs w:val="18"/>
              </w:rPr>
              <w:t> </w:t>
            </w:r>
            <w:r>
              <w:rPr>
                <w:rFonts w:ascii="宋体" w:hAnsi="宋体" w:cs="宋体" w:eastAsia="宋体" w:hint="default"/>
                <w:sz w:val="18"/>
                <w:szCs w:val="18"/>
              </w:rPr>
              <w:t>益</w:t>
            </w:r>
            <w:r>
              <w:rPr>
                <w:rFonts w:ascii="宋体" w:hAnsi="宋体" w:cs="宋体" w:eastAsia="宋体" w:hint="default"/>
                <w:spacing w:val="-50"/>
                <w:sz w:val="18"/>
                <w:szCs w:val="18"/>
              </w:rPr>
              <w:t> </w:t>
            </w:r>
            <w:r>
              <w:rPr>
                <w:rFonts w:ascii="宋体" w:hAnsi="宋体" w:cs="宋体" w:eastAsia="宋体" w:hint="default"/>
                <w:sz w:val="18"/>
                <w:szCs w:val="18"/>
              </w:rPr>
              <w:t>提</w:t>
            </w:r>
            <w:r>
              <w:rPr>
                <w:rFonts w:ascii="宋体" w:hAnsi="宋体" w:cs="宋体" w:eastAsia="宋体" w:hint="default"/>
                <w:spacing w:val="-47"/>
                <w:sz w:val="18"/>
                <w:szCs w:val="18"/>
              </w:rPr>
              <w:t> </w:t>
            </w:r>
            <w:r>
              <w:rPr>
                <w:rFonts w:ascii="宋体" w:hAnsi="宋体" w:cs="宋体" w:eastAsia="宋体" w:hint="default"/>
                <w:sz w:val="18"/>
                <w:szCs w:val="18"/>
              </w:rPr>
              <w:t>供</w:t>
            </w:r>
            <w:r>
              <w:rPr>
                <w:rFonts w:ascii="宋体" w:hAnsi="宋体" w:cs="宋体" w:eastAsia="宋体" w:hint="default"/>
                <w:spacing w:val="-47"/>
                <w:sz w:val="18"/>
                <w:szCs w:val="18"/>
              </w:rPr>
              <w:t> </w:t>
            </w:r>
            <w:r>
              <w:rPr>
                <w:rFonts w:ascii="宋体" w:hAnsi="宋体" w:cs="宋体" w:eastAsia="宋体" w:hint="default"/>
                <w:sz w:val="18"/>
                <w:szCs w:val="18"/>
              </w:rPr>
              <w:t>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宋体" w:hAnsi="宋体" w:cs="宋体" w:eastAsia="宋体" w:hint="default"/>
                <w:sz w:val="18"/>
                <w:szCs w:val="18"/>
              </w:rPr>
              <w:t>以</w:t>
            </w:r>
            <w:r>
              <w:rPr>
                <w:rFonts w:ascii="宋体" w:hAnsi="宋体" w:cs="宋体" w:eastAsia="宋体" w:hint="default"/>
                <w:spacing w:val="-50"/>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47"/>
                <w:sz w:val="18"/>
                <w:szCs w:val="18"/>
              </w:rPr>
              <w:t> </w:t>
            </w:r>
            <w:r>
              <w:rPr>
                <w:rFonts w:ascii="宋体" w:hAnsi="宋体" w:cs="宋体" w:eastAsia="宋体" w:hint="default"/>
                <w:sz w:val="18"/>
                <w:szCs w:val="18"/>
              </w:rPr>
              <w:t>何</w:t>
            </w:r>
            <w:r>
              <w:rPr>
                <w:rFonts w:ascii="宋体" w:hAnsi="宋体" w:cs="宋体" w:eastAsia="宋体" w:hint="default"/>
                <w:spacing w:val="-50"/>
                <w:sz w:val="18"/>
                <w:szCs w:val="18"/>
              </w:rPr>
              <w:t> </w:t>
            </w:r>
            <w:r>
              <w:rPr>
                <w:rFonts w:ascii="宋体" w:hAnsi="宋体" w:cs="宋体" w:eastAsia="宋体" w:hint="default"/>
                <w:sz w:val="18"/>
                <w:szCs w:val="18"/>
              </w:rPr>
              <w:t>形</w:t>
            </w:r>
            <w:r>
              <w:rPr>
                <w:rFonts w:ascii="宋体" w:hAnsi="宋体" w:cs="宋体" w:eastAsia="宋体" w:hint="default"/>
                <w:spacing w:val="-47"/>
                <w:sz w:val="18"/>
                <w:szCs w:val="18"/>
              </w:rPr>
              <w:t> </w:t>
            </w:r>
            <w:r>
              <w:rPr>
                <w:rFonts w:ascii="宋体" w:hAnsi="宋体" w:cs="宋体" w:eastAsia="宋体" w:hint="default"/>
                <w:sz w:val="18"/>
                <w:szCs w:val="18"/>
              </w:rPr>
              <w:t>式</w:t>
            </w:r>
            <w:r>
              <w:rPr>
                <w:rFonts w:ascii="宋体" w:hAnsi="宋体" w:cs="宋体" w:eastAsia="宋体" w:hint="default"/>
                <w:spacing w:val="-47"/>
                <w:sz w:val="18"/>
                <w:szCs w:val="18"/>
              </w:rPr>
              <w:t> </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财务资助，包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w:t>
            </w:r>
            <w:r>
              <w:rPr>
                <w:rFonts w:ascii="宋体" w:hAnsi="宋体" w:cs="宋体" w:eastAsia="宋体" w:hint="default"/>
                <w:spacing w:val="-47"/>
                <w:sz w:val="18"/>
                <w:szCs w:val="18"/>
              </w:rPr>
              <w:t> </w:t>
            </w: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贷</w:t>
            </w:r>
            <w:r>
              <w:rPr>
                <w:rFonts w:ascii="宋体" w:hAnsi="宋体" w:cs="宋体" w:eastAsia="宋体" w:hint="default"/>
                <w:spacing w:val="-47"/>
                <w:sz w:val="18"/>
                <w:szCs w:val="18"/>
              </w:rPr>
              <w:t> </w:t>
            </w:r>
            <w:r>
              <w:rPr>
                <w:rFonts w:ascii="宋体" w:hAnsi="宋体" w:cs="宋体" w:eastAsia="宋体" w:hint="default"/>
                <w:sz w:val="18"/>
                <w:szCs w:val="18"/>
              </w:rPr>
              <w:t>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提供担保。</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Times New Roman" w:hAnsi="Times New Roman" w:cs="Times New Roman" w:eastAsia="Times New Roman" w:hint="default"/>
          <w:sz w:val="21"/>
          <w:szCs w:val="21"/>
        </w:rPr>
      </w:pPr>
    </w:p>
    <w:p>
      <w:pPr>
        <w:pStyle w:val="Heading3"/>
        <w:spacing w:line="259" w:lineRule="auto" w:before="34"/>
        <w:ind w:right="1120"/>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、企业会计准则变化引起的会计政策变更</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191"/>
        <w:gridCol w:w="3189"/>
        <w:gridCol w:w="3189"/>
      </w:tblGrid>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0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09"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left="3"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日分别发布了《企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业会计准则第</w:t>
            </w:r>
            <w:r>
              <w:rPr>
                <w:rFonts w:ascii="Times New Roman" w:hAnsi="Times New Roman" w:cs="Times New Roman" w:eastAsia="Times New Roman" w:hint="default"/>
                <w:spacing w:val="5"/>
                <w:sz w:val="18"/>
                <w:szCs w:val="18"/>
              </w:rPr>
              <w:t>22</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金融工具确认和计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量》（财会【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号）、《企业会计</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pacing w:val="6"/>
                <w:sz w:val="18"/>
                <w:szCs w:val="18"/>
              </w:rPr>
              <w:t>第四届董事会第十次会议，审议通过了</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《关于公司会计政策变更的议案》。</w:t>
            </w:r>
          </w:p>
        </w:tc>
        <w:tc>
          <w:tcPr>
            <w:tcW w:w="31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210.240005pt;margin-top:565.75pt;width:165.3pt;height:129.9pt;mso-position-horizontal-relative:page;mso-position-vertical-relative:page;z-index:-1272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shape style="position:absolute;margin-left:210.240005pt;margin-top:696.300049pt;width:165.3pt;height:65.55pt;mso-position-horizontal-relative:page;mso-position-vertical-relative:page;z-index:-1272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216.5pt;margin-top:565.75pt;width:159pt;height:196.2pt;mso-position-horizontal-relative:page;mso-position-vertical-relative:page;z-index:-1272520" coordorigin="4330,11315" coordsize="3180,3924">
            <v:group style="position:absolute;left:4330;top:11315;width:3180;height:2601" coordorigin="4330,11315" coordsize="3180,2601">
              <v:shape style="position:absolute;left:4330;top:11315;width:3180;height:2601" coordorigin="4330,11315" coordsize="3180,2601" path="m4330,11315l7510,11315,7510,13916,4330,13916,4330,11315xe" filled="true" fillcolor="#ffffff" stroked="false">
                <v:path arrowok="t"/>
                <v:fill type="solid"/>
              </v:shape>
            </v:group>
            <v:group style="position:absolute;left:4330;top:13926;width:3180;height:1313" coordorigin="4330,13926" coordsize="3180,1313">
              <v:shape style="position:absolute;left:4330;top:13926;width:3180;height:1313" coordorigin="4330,13926" coordsize="3180,1313" path="m4330,13926l7510,13926,7510,15239,4330,15239,4330,13926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91"/>
        <w:gridCol w:w="3189"/>
        <w:gridCol w:w="3189"/>
      </w:tblGrid>
      <w:tr>
        <w:trPr>
          <w:trHeight w:val="335" w:hRule="exact"/>
        </w:trPr>
        <w:tc>
          <w:tcPr>
            <w:tcW w:w="31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12"/>
                <w:sz w:val="18"/>
                <w:szCs w:val="18"/>
              </w:rPr>
              <w:t>准则第</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5"/>
                <w:sz w:val="18"/>
                <w:szCs w:val="18"/>
              </w:rPr>
              <w:t> </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6"/>
                <w:sz w:val="18"/>
                <w:szCs w:val="18"/>
              </w:rPr>
              <w:t>金融资产转移》（</w:t>
            </w:r>
            <w:r>
              <w:rPr>
                <w:rFonts w:ascii="宋体" w:hAnsi="宋体" w:cs="宋体" w:eastAsia="宋体" w:hint="default"/>
                <w:spacing w:val="-68"/>
                <w:sz w:val="18"/>
                <w:szCs w:val="18"/>
              </w:rPr>
              <w:t> </w:t>
            </w:r>
            <w:r>
              <w:rPr>
                <w:rFonts w:ascii="宋体" w:hAnsi="宋体" w:cs="宋体" w:eastAsia="宋体" w:hint="default"/>
                <w:spacing w:val="9"/>
                <w:sz w:val="18"/>
                <w:szCs w:val="18"/>
              </w:rPr>
              <w:t>财会</w:t>
            </w:r>
          </w:p>
        </w:tc>
        <w:tc>
          <w:tcPr>
            <w:tcW w:w="3189" w:type="dxa"/>
            <w:vMerge w:val="restart"/>
            <w:tcBorders>
              <w:top w:val="single" w:sz="6" w:space="0" w:color="000000"/>
              <w:left w:val="single" w:sz="6" w:space="0" w:color="000000"/>
              <w:right w:val="single" w:sz="6" w:space="0" w:color="000000"/>
            </w:tcBorders>
          </w:tcPr>
          <w:p>
            <w:pPr/>
          </w:p>
        </w:tc>
        <w:tc>
          <w:tcPr>
            <w:tcW w:w="3189" w:type="dxa"/>
            <w:vMerge w:val="restart"/>
            <w:tcBorders>
              <w:top w:val="single" w:sz="6" w:space="0" w:color="000000"/>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号）、《企业会计准则第</w:t>
            </w:r>
            <w:r>
              <w:rPr>
                <w:rFonts w:ascii="Times New Roman" w:hAnsi="Times New Roman" w:cs="Times New Roman" w:eastAsia="Times New Roman" w:hint="default"/>
                <w:sz w:val="18"/>
                <w:szCs w:val="18"/>
              </w:rPr>
              <w:t>24</w:t>
            </w:r>
            <w:r>
              <w:rPr>
                <w:rFonts w:ascii="宋体" w:hAnsi="宋体" w:cs="宋体" w:eastAsia="宋体" w:hint="default"/>
                <w:sz w:val="18"/>
                <w:szCs w:val="18"/>
              </w:rPr>
              <w:t>号</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号），于</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日发布了《企业会计准则第</w:t>
            </w:r>
            <w:r>
              <w:rPr>
                <w:rFonts w:ascii="Times New Roman" w:hAnsi="Times New Roman" w:cs="Times New Roman" w:eastAsia="Times New Roman" w:hint="default"/>
                <w:spacing w:val="-4"/>
                <w:sz w:val="18"/>
                <w:szCs w:val="18"/>
              </w:rPr>
              <w:t>37</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金融工具列报》（财会【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14</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号）（上述准则以下统称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则</w:t>
            </w:r>
            <w:r>
              <w:rPr>
                <w:rFonts w:ascii="Times New Roman" w:hAnsi="Times New Roman" w:cs="Times New Roman" w:eastAsia="Times New Roman" w:hint="default"/>
                <w:sz w:val="18"/>
                <w:szCs w:val="18"/>
              </w:rPr>
              <w:t>”</w:t>
            </w:r>
            <w:r>
              <w:rPr>
                <w:rFonts w:ascii="宋体" w:hAnsi="宋体" w:cs="宋体" w:eastAsia="宋体" w:hint="default"/>
                <w:sz w:val="18"/>
                <w:szCs w:val="18"/>
              </w:rPr>
              <w:t>）。要求境内上市企业自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日起执行新金融工具准则。本公司于</w:t>
            </w:r>
            <w:r>
              <w:rPr>
                <w:rFonts w:ascii="Times New Roman" w:hAnsi="Times New Roman" w:cs="Times New Roman" w:eastAsia="Times New Roman" w:hint="default"/>
                <w:spacing w:val="-4"/>
                <w:sz w:val="18"/>
                <w:szCs w:val="18"/>
              </w:rPr>
              <w:t>2019</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日执行上述新金融工具准则，对会</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计政策的相关内容进行调整。于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日之前的金融工具确认和计量与新金</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07"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4"/>
                <w:sz w:val="18"/>
                <w:szCs w:val="18"/>
              </w:rPr>
              <w:t>融工具准则要求不一致的，本公司按照新</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4"/>
                <w:sz w:val="18"/>
                <w:szCs w:val="18"/>
              </w:rPr>
              <w:t>金融工具准则的规定，对金融工具的分类</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4"/>
                <w:sz w:val="18"/>
                <w:szCs w:val="18"/>
              </w:rPr>
              <w:t>和计量（含减值）进行追溯调整，将金融</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6"/>
                <w:sz w:val="18"/>
                <w:szCs w:val="18"/>
              </w:rPr>
              <w:t>工具原账面价值和在新金融工具准则施</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7"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4"/>
                <w:sz w:val="18"/>
                <w:szCs w:val="18"/>
              </w:rPr>
              <w:t>行日（即</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日）的新账面价值之</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5"/>
                <w:sz w:val="18"/>
                <w:szCs w:val="18"/>
              </w:rPr>
              <w:t>间的差额计入</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日的留存收益</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07"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4"/>
                <w:sz w:val="18"/>
                <w:szCs w:val="18"/>
              </w:rPr>
              <w:t>或其他综合收益。同时，本公司未对比较</w:t>
            </w:r>
          </w:p>
        </w:tc>
        <w:tc>
          <w:tcPr>
            <w:tcW w:w="3189" w:type="dxa"/>
            <w:vMerge/>
            <w:tcBorders>
              <w:left w:val="single" w:sz="6" w:space="0" w:color="000000"/>
              <w:right w:val="single" w:sz="6" w:space="0" w:color="000000"/>
            </w:tcBorders>
          </w:tcPr>
          <w:p>
            <w:pPr/>
          </w:p>
        </w:tc>
        <w:tc>
          <w:tcPr>
            <w:tcW w:w="3189" w:type="dxa"/>
            <w:vMerge/>
            <w:tcBorders>
              <w:left w:val="single" w:sz="6" w:space="0" w:color="000000"/>
              <w:right w:val="single" w:sz="6" w:space="0" w:color="000000"/>
            </w:tcBorders>
          </w:tcPr>
          <w:p>
            <w:pPr/>
          </w:p>
        </w:tc>
      </w:tr>
      <w:tr>
        <w:trPr>
          <w:trHeight w:val="369" w:hRule="exact"/>
        </w:trPr>
        <w:tc>
          <w:tcPr>
            <w:tcW w:w="319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财务报表数据进行调整。</w:t>
            </w:r>
          </w:p>
        </w:tc>
        <w:tc>
          <w:tcPr>
            <w:tcW w:w="3189" w:type="dxa"/>
            <w:vMerge/>
            <w:tcBorders>
              <w:left w:val="single" w:sz="6" w:space="0" w:color="000000"/>
              <w:bottom w:val="single" w:sz="6" w:space="0" w:color="000000"/>
              <w:right w:val="single" w:sz="6" w:space="0" w:color="000000"/>
            </w:tcBorders>
          </w:tcPr>
          <w:p>
            <w:pPr/>
          </w:p>
        </w:tc>
        <w:tc>
          <w:tcPr>
            <w:tcW w:w="3189" w:type="dxa"/>
            <w:vMerge/>
            <w:tcBorders>
              <w:left w:val="single" w:sz="6" w:space="0" w:color="000000"/>
              <w:bottom w:val="single" w:sz="6" w:space="0" w:color="000000"/>
              <w:right w:val="single" w:sz="6" w:space="0" w:color="000000"/>
            </w:tcBorders>
          </w:tcPr>
          <w:p>
            <w:pPr/>
          </w:p>
        </w:tc>
      </w:tr>
      <w:tr>
        <w:trPr>
          <w:trHeight w:val="375" w:hRule="exact"/>
        </w:trPr>
        <w:tc>
          <w:tcPr>
            <w:tcW w:w="31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日，财政部发布的《关于修</w:t>
            </w:r>
          </w:p>
        </w:tc>
        <w:tc>
          <w:tcPr>
            <w:tcW w:w="31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4"/>
                <w:sz w:val="18"/>
                <w:szCs w:val="18"/>
              </w:rPr>
              <w:t>第四届董事会第十四次会议，审议通过了</w:t>
            </w:r>
          </w:p>
        </w:tc>
        <w:tc>
          <w:tcPr>
            <w:tcW w:w="3189" w:type="dxa"/>
            <w:vMerge w:val="restart"/>
            <w:tcBorders>
              <w:top w:val="single" w:sz="6" w:space="0" w:color="000000"/>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5"/>
                <w:sz w:val="18"/>
                <w:szCs w:val="18"/>
              </w:rPr>
              <w:t>订印发</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年度一般企业财务报表格式</w:t>
            </w:r>
          </w:p>
        </w:tc>
        <w:tc>
          <w:tcPr>
            <w:tcW w:w="318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《关于公司会计政策变更的议案》。</w:t>
            </w: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号），要求对</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07"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6"/>
                <w:sz w:val="18"/>
                <w:szCs w:val="18"/>
              </w:rPr>
              <w:t>已执行新金融工具准则但未执行新收入</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6"/>
                <w:sz w:val="18"/>
                <w:szCs w:val="18"/>
              </w:rPr>
              <w:t>准则和新租赁准则的企业应按如下规定</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7"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编制财务报表：资产负债表中将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行项目拆分为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7"/>
                <w:sz w:val="18"/>
                <w:szCs w:val="18"/>
              </w:rPr>
              <w:t>及</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应收账款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；增加</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应收款项融资</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项</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07"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4"/>
                <w:sz w:val="18"/>
                <w:szCs w:val="18"/>
              </w:rPr>
              <w:t>目，反映资产负债表日以公允价值计量且</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6"/>
                <w:sz w:val="18"/>
                <w:szCs w:val="18"/>
              </w:rPr>
              <w:t>其变动计入其他综合收益的应收票据和</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7"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应收账款等；将</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应付票据及应付账款</w:t>
            </w:r>
            <w:r>
              <w:rPr>
                <w:rFonts w:ascii="Times New Roman" w:hAnsi="Times New Roman" w:cs="Times New Roman" w:eastAsia="Times New Roman" w:hint="default"/>
                <w:spacing w:val="7"/>
                <w:sz w:val="18"/>
                <w:szCs w:val="18"/>
              </w:rPr>
              <w:t>”</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64" w:hRule="exact"/>
        </w:trPr>
        <w:tc>
          <w:tcPr>
            <w:tcW w:w="319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27"/>
              <w:jc w:val="left"/>
              <w:rPr>
                <w:rFonts w:ascii="宋体" w:hAnsi="宋体" w:cs="宋体" w:eastAsia="宋体" w:hint="default"/>
                <w:sz w:val="18"/>
                <w:szCs w:val="18"/>
              </w:rPr>
            </w:pP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89" w:type="dxa"/>
            <w:tcBorders>
              <w:top w:val="nil" w:sz="6" w:space="0" w:color="auto"/>
              <w:left w:val="single" w:sz="6" w:space="0" w:color="000000"/>
              <w:bottom w:val="single" w:sz="6" w:space="0" w:color="000000"/>
              <w:right w:val="single" w:sz="6" w:space="0" w:color="000000"/>
            </w:tcBorders>
          </w:tcPr>
          <w:p>
            <w:pPr/>
          </w:p>
        </w:tc>
        <w:tc>
          <w:tcPr>
            <w:tcW w:w="3189" w:type="dxa"/>
            <w:vMerge/>
            <w:tcBorders>
              <w:left w:val="single" w:sz="6" w:space="0" w:color="000000"/>
              <w:bottom w:val="single" w:sz="6" w:space="0" w:color="000000"/>
              <w:right w:val="single" w:sz="6" w:space="0" w:color="000000"/>
            </w:tcBorders>
          </w:tcPr>
          <w:p>
            <w:pPr/>
          </w:p>
        </w:tc>
      </w:tr>
      <w:tr>
        <w:trPr>
          <w:trHeight w:val="374" w:hRule="exact"/>
        </w:trPr>
        <w:tc>
          <w:tcPr>
            <w:tcW w:w="31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日，财政部发布《企业会计准</w:t>
            </w:r>
          </w:p>
        </w:tc>
        <w:tc>
          <w:tcPr>
            <w:tcW w:w="31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4"/>
                <w:sz w:val="18"/>
                <w:szCs w:val="18"/>
              </w:rPr>
              <w:t>第四届董事会第二十二次会议，审议通过</w:t>
            </w:r>
          </w:p>
        </w:tc>
        <w:tc>
          <w:tcPr>
            <w:tcW w:w="3189" w:type="dxa"/>
            <w:vMerge w:val="restart"/>
            <w:tcBorders>
              <w:top w:val="single" w:sz="6" w:space="0" w:color="000000"/>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pacing w:val="11"/>
                <w:sz w:val="18"/>
                <w:szCs w:val="18"/>
              </w:rPr>
              <w:t>则第</w:t>
            </w:r>
            <w:r>
              <w:rPr>
                <w:rFonts w:ascii="Times New Roman" w:hAnsi="Times New Roman" w:cs="Times New Roman" w:eastAsia="Times New Roman" w:hint="default"/>
                <w:spacing w:val="11"/>
                <w:sz w:val="18"/>
                <w:szCs w:val="18"/>
              </w:rPr>
              <w:t>7</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非货币性资产交换》（财会</w:t>
            </w:r>
          </w:p>
        </w:tc>
        <w:tc>
          <w:tcPr>
            <w:tcW w:w="318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了《关于公司会计政策变更的议案》。</w:t>
            </w: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8</w:t>
            </w:r>
            <w:r>
              <w:rPr>
                <w:rFonts w:ascii="宋体" w:hAnsi="宋体" w:cs="宋体" w:eastAsia="宋体" w:hint="default"/>
                <w:spacing w:val="-8"/>
                <w:sz w:val="18"/>
                <w:szCs w:val="18"/>
              </w:rPr>
              <w:t>号），根据要求，本公司对</w:t>
            </w:r>
            <w:r>
              <w:rPr>
                <w:rFonts w:ascii="Times New Roman" w:hAnsi="Times New Roman" w:cs="Times New Roman" w:eastAsia="Times New Roman" w:hint="default"/>
                <w:spacing w:val="-8"/>
                <w:sz w:val="18"/>
                <w:szCs w:val="18"/>
              </w:rPr>
              <w:t>2019</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日至执行日之间发生的非货币性</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资产交换，根据本准则进行调整，对</w:t>
            </w:r>
            <w:r>
              <w:rPr>
                <w:rFonts w:ascii="Times New Roman" w:hAnsi="Times New Roman" w:cs="Times New Roman" w:eastAsia="Times New Roman" w:hint="default"/>
                <w:spacing w:val="-4"/>
                <w:sz w:val="18"/>
                <w:szCs w:val="18"/>
              </w:rPr>
              <w:t>2019</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日之前发生的非货币性资产交换</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不进行追溯调整，本公司于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65" w:hRule="exact"/>
        </w:trPr>
        <w:tc>
          <w:tcPr>
            <w:tcW w:w="319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日起执行本准则。</w:t>
            </w:r>
          </w:p>
        </w:tc>
        <w:tc>
          <w:tcPr>
            <w:tcW w:w="3189" w:type="dxa"/>
            <w:tcBorders>
              <w:top w:val="nil" w:sz="6" w:space="0" w:color="auto"/>
              <w:left w:val="single" w:sz="6" w:space="0" w:color="000000"/>
              <w:bottom w:val="single" w:sz="6" w:space="0" w:color="000000"/>
              <w:right w:val="single" w:sz="6" w:space="0" w:color="000000"/>
            </w:tcBorders>
          </w:tcPr>
          <w:p>
            <w:pPr/>
          </w:p>
        </w:tc>
        <w:tc>
          <w:tcPr>
            <w:tcW w:w="3189" w:type="dxa"/>
            <w:vMerge/>
            <w:tcBorders>
              <w:left w:val="single" w:sz="6" w:space="0" w:color="000000"/>
              <w:bottom w:val="single" w:sz="6" w:space="0" w:color="000000"/>
              <w:right w:val="single" w:sz="6" w:space="0" w:color="000000"/>
            </w:tcBorders>
          </w:tcPr>
          <w:p>
            <w:pPr/>
          </w:p>
        </w:tc>
      </w:tr>
      <w:tr>
        <w:trPr>
          <w:trHeight w:val="374" w:hRule="exact"/>
        </w:trPr>
        <w:tc>
          <w:tcPr>
            <w:tcW w:w="31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日，财政部发布《企业会计</w:t>
            </w:r>
          </w:p>
        </w:tc>
        <w:tc>
          <w:tcPr>
            <w:tcW w:w="31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4"/>
                <w:sz w:val="18"/>
                <w:szCs w:val="18"/>
              </w:rPr>
              <w:t>第四届董事会第二十二次会议，审议通过</w:t>
            </w:r>
          </w:p>
        </w:tc>
        <w:tc>
          <w:tcPr>
            <w:tcW w:w="3189" w:type="dxa"/>
            <w:vMerge w:val="restart"/>
            <w:tcBorders>
              <w:top w:val="single" w:sz="6" w:space="0" w:color="000000"/>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债务重组》（财会【</w:t>
            </w:r>
            <w:r>
              <w:rPr>
                <w:rFonts w:ascii="Times New Roman" w:hAnsi="Times New Roman" w:cs="Times New Roman" w:eastAsia="Times New Roman" w:hint="default"/>
                <w:sz w:val="18"/>
                <w:szCs w:val="18"/>
              </w:rPr>
              <w:t>2019</w:t>
            </w:r>
          </w:p>
        </w:tc>
        <w:tc>
          <w:tcPr>
            <w:tcW w:w="318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了《关于公司会计政策变更的议案》。</w:t>
            </w: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号），根据要求，本公司对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23" w:hRule="exact"/>
        </w:trPr>
        <w:tc>
          <w:tcPr>
            <w:tcW w:w="319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pacing w:val="-4"/>
                <w:sz w:val="18"/>
                <w:szCs w:val="18"/>
              </w:rPr>
              <w:t>日至执行日之间发生的债务重组，根据本</w:t>
            </w:r>
          </w:p>
        </w:tc>
        <w:tc>
          <w:tcPr>
            <w:tcW w:w="3189" w:type="dxa"/>
            <w:tcBorders>
              <w:top w:val="nil" w:sz="6" w:space="0" w:color="auto"/>
              <w:left w:val="single" w:sz="6" w:space="0" w:color="000000"/>
              <w:bottom w:val="single" w:sz="6" w:space="0" w:color="000000"/>
              <w:right w:val="single" w:sz="6" w:space="0" w:color="000000"/>
            </w:tcBorders>
          </w:tcPr>
          <w:p>
            <w:pPr/>
          </w:p>
        </w:tc>
        <w:tc>
          <w:tcPr>
            <w:tcW w:w="3189" w:type="dxa"/>
            <w:vMerge/>
            <w:tcBorders>
              <w:left w:val="single" w:sz="6" w:space="0" w:color="000000"/>
              <w:bottom w:val="single" w:sz="6" w:space="0" w:color="000000"/>
              <w:right w:val="single" w:sz="6"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66" w:type="dxa"/>
        <w:tblLayout w:type="fixed"/>
        <w:tblCellMar>
          <w:top w:w="0" w:type="dxa"/>
          <w:left w:w="0" w:type="dxa"/>
          <w:bottom w:w="0" w:type="dxa"/>
          <w:right w:w="0" w:type="dxa"/>
        </w:tblCellMar>
        <w:tblLook w:val="01E0"/>
      </w:tblPr>
      <w:tblGrid>
        <w:gridCol w:w="3191"/>
        <w:gridCol w:w="3189"/>
        <w:gridCol w:w="3189"/>
      </w:tblGrid>
      <w:tr>
        <w:trPr>
          <w:trHeight w:val="1011"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准则进行调整，对</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日之前发生</w:t>
            </w:r>
            <w:r>
              <w:rPr>
                <w:rFonts w:ascii="宋体" w:hAnsi="宋体" w:cs="宋体" w:eastAsia="宋体" w:hint="default"/>
                <w:spacing w:val="-79"/>
                <w:sz w:val="18"/>
                <w:szCs w:val="18"/>
              </w:rPr>
              <w:t> </w:t>
            </w:r>
            <w:r>
              <w:rPr>
                <w:rFonts w:ascii="宋体" w:hAnsi="宋体" w:cs="宋体" w:eastAsia="宋体" w:hint="default"/>
                <w:spacing w:val="-4"/>
                <w:sz w:val="18"/>
                <w:szCs w:val="18"/>
              </w:rPr>
              <w:t>的债务重组，不进行追溯调整，本公司于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日起执行本准则。</w:t>
            </w:r>
          </w:p>
        </w:tc>
        <w:tc>
          <w:tcPr>
            <w:tcW w:w="3189"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1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日，财政部发布了《关于修</w:t>
            </w:r>
          </w:p>
        </w:tc>
        <w:tc>
          <w:tcPr>
            <w:tcW w:w="31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4"/>
                <w:sz w:val="18"/>
                <w:szCs w:val="18"/>
              </w:rPr>
              <w:t>第四届董事会第二十二次会议，审议通过</w:t>
            </w:r>
          </w:p>
        </w:tc>
        <w:tc>
          <w:tcPr>
            <w:tcW w:w="3189" w:type="dxa"/>
            <w:vMerge w:val="restart"/>
            <w:tcBorders>
              <w:top w:val="single" w:sz="6" w:space="0" w:color="000000"/>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订印发《合并财务报表格式（</w:t>
            </w:r>
            <w:r>
              <w:rPr>
                <w:rFonts w:ascii="Times New Roman" w:hAnsi="Times New Roman" w:cs="Times New Roman" w:eastAsia="Times New Roman" w:hint="default"/>
                <w:sz w:val="18"/>
                <w:szCs w:val="18"/>
              </w:rPr>
              <w:t>2019</w:t>
            </w:r>
            <w:r>
              <w:rPr>
                <w:rFonts w:ascii="宋体" w:hAnsi="宋体" w:cs="宋体" w:eastAsia="宋体" w:hint="default"/>
                <w:sz w:val="18"/>
                <w:szCs w:val="18"/>
              </w:rPr>
              <w:t>版）</w:t>
            </w:r>
          </w:p>
        </w:tc>
        <w:tc>
          <w:tcPr>
            <w:tcW w:w="318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08"/>
              <w:jc w:val="center"/>
              <w:rPr>
                <w:rFonts w:ascii="宋体" w:hAnsi="宋体" w:cs="宋体" w:eastAsia="宋体" w:hint="default"/>
                <w:sz w:val="18"/>
                <w:szCs w:val="18"/>
              </w:rPr>
            </w:pPr>
            <w:r>
              <w:rPr>
                <w:rFonts w:ascii="宋体" w:hAnsi="宋体" w:cs="宋体" w:eastAsia="宋体" w:hint="default"/>
                <w:sz w:val="18"/>
                <w:szCs w:val="18"/>
              </w:rPr>
              <w:t>了《关于公司会计政策变更的议案》。</w:t>
            </w: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4"/>
                <w:sz w:val="18"/>
                <w:szCs w:val="18"/>
              </w:rPr>
              <w:t>的通知》（财会【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号），与财会</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号配套执行。本公司根据财会</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12"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号规定的</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07" w:hRule="exact"/>
        </w:trPr>
        <w:tc>
          <w:tcPr>
            <w:tcW w:w="31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4"/>
                <w:sz w:val="18"/>
                <w:szCs w:val="18"/>
              </w:rPr>
              <w:t>财务报表格式编制比较报表，并采用追溯</w:t>
            </w:r>
          </w:p>
        </w:tc>
        <w:tc>
          <w:tcPr>
            <w:tcW w:w="3189" w:type="dxa"/>
            <w:tcBorders>
              <w:top w:val="nil" w:sz="6" w:space="0" w:color="auto"/>
              <w:left w:val="single" w:sz="6" w:space="0" w:color="000000"/>
              <w:bottom w:val="nil" w:sz="6" w:space="0" w:color="auto"/>
              <w:right w:val="single" w:sz="6" w:space="0" w:color="000000"/>
            </w:tcBorders>
          </w:tcPr>
          <w:p>
            <w:pPr/>
          </w:p>
        </w:tc>
        <w:tc>
          <w:tcPr>
            <w:tcW w:w="3189" w:type="dxa"/>
            <w:vMerge/>
            <w:tcBorders>
              <w:left w:val="single" w:sz="6" w:space="0" w:color="000000"/>
              <w:right w:val="single" w:sz="6" w:space="0" w:color="000000"/>
            </w:tcBorders>
          </w:tcPr>
          <w:p>
            <w:pPr/>
          </w:p>
        </w:tc>
      </w:tr>
      <w:tr>
        <w:trPr>
          <w:trHeight w:val="369" w:hRule="exact"/>
        </w:trPr>
        <w:tc>
          <w:tcPr>
            <w:tcW w:w="319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调整法变更了相关财务报表列报。</w:t>
            </w:r>
          </w:p>
        </w:tc>
        <w:tc>
          <w:tcPr>
            <w:tcW w:w="3189" w:type="dxa"/>
            <w:tcBorders>
              <w:top w:val="nil" w:sz="6" w:space="0" w:color="auto"/>
              <w:left w:val="single" w:sz="6" w:space="0" w:color="000000"/>
              <w:bottom w:val="single" w:sz="6" w:space="0" w:color="000000"/>
              <w:right w:val="single" w:sz="6" w:space="0" w:color="000000"/>
            </w:tcBorders>
          </w:tcPr>
          <w:p>
            <w:pPr/>
          </w:p>
        </w:tc>
        <w:tc>
          <w:tcPr>
            <w:tcW w:w="3189" w:type="dxa"/>
            <w:vMerge/>
            <w:tcBorders>
              <w:left w:val="single" w:sz="6" w:space="0" w:color="000000"/>
              <w:bottom w:val="single" w:sz="6" w:space="0" w:color="000000"/>
              <w:right w:val="single" w:sz="6" w:space="0" w:color="000000"/>
            </w:tcBorders>
          </w:tcPr>
          <w:p>
            <w:pPr/>
          </w:p>
        </w:tc>
      </w:tr>
    </w:tbl>
    <w:p>
      <w:pPr>
        <w:pStyle w:val="BodyText"/>
        <w:spacing w:line="240" w:lineRule="auto" w:before="11"/>
        <w:ind w:left="532" w:right="3464"/>
        <w:jc w:val="left"/>
      </w:pPr>
      <w:r>
        <w:rPr/>
        <w:pict>
          <v:shape style="position:absolute;margin-left:210.240005pt;margin-top:-115.028297pt;width:165.3pt;height:114.45pt;mso-position-horizontal-relative:page;mso-position-vertical-relative:paragraph;z-index:-127249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39"/>
                    <w:ind w:left="0" w:right="0"/>
                    <w:jc w:val="left"/>
                  </w:pPr>
                  <w:r>
                    <w:rPr/>
                    <w:t>》</w:t>
                  </w:r>
                </w:p>
              </w:txbxContent>
            </v:textbox>
            <w10:wrap type="none"/>
          </v:shape>
        </w:pict>
      </w:r>
      <w:r>
        <w:rPr/>
        <w:pict>
          <v:group style="position:absolute;margin-left:216.5pt;margin-top:-115.028297pt;width:159pt;height:114.45pt;mso-position-horizontal-relative:page;mso-position-vertical-relative:paragraph;z-index:-1272472" coordorigin="4330,-2301" coordsize="3180,2289">
            <v:shape style="position:absolute;left:4330;top:-2301;width:3180;height:2289" coordorigin="4330,-2301" coordsize="3180,2289" path="m4330,-2301l7510,-2301,7510,-12,4330,-12,4330,-2301xe" filled="true" fillcolor="#ffffff" stroked="false">
              <v:path arrowok="t"/>
              <v:fill type="solid"/>
            </v:shape>
            <w10:wrap type="none"/>
          </v:group>
        </w:pict>
      </w:r>
      <w:r>
        <w:rPr>
          <w:rFonts w:ascii="Times New Roman" w:hAnsi="Times New Roman" w:cs="Times New Roman" w:eastAsia="Times New Roman" w:hint="default"/>
        </w:rPr>
        <w:t>2</w:t>
      </w:r>
      <w:r>
        <w:rPr/>
        <w:t>、报告期内，公司无重大会计估计变更。</w:t>
      </w:r>
    </w:p>
    <w:p>
      <w:pPr>
        <w:pStyle w:val="BodyText"/>
        <w:spacing w:line="316" w:lineRule="auto" w:before="63"/>
        <w:ind w:left="532" w:right="3464"/>
        <w:jc w:val="left"/>
      </w:pPr>
      <w:r>
        <w:rPr/>
        <w:t>3、首次执行新金融工具准则调整首次执行当年年初财务报表相关项目情况（单位：元） 合并资产负债表</w:t>
      </w:r>
    </w:p>
    <w:tbl>
      <w:tblPr>
        <w:tblW w:w="0" w:type="auto"/>
        <w:jc w:val="left"/>
        <w:tblInd w:w="112" w:type="dxa"/>
        <w:tblLayout w:type="fixed"/>
        <w:tblCellMar>
          <w:top w:w="0" w:type="dxa"/>
          <w:left w:w="0" w:type="dxa"/>
          <w:bottom w:w="0" w:type="dxa"/>
          <w:right w:w="0" w:type="dxa"/>
        </w:tblCellMar>
        <w:tblLook w:val="01E0"/>
      </w:tblPr>
      <w:tblGrid>
        <w:gridCol w:w="3910"/>
        <w:gridCol w:w="2128"/>
        <w:gridCol w:w="1970"/>
        <w:gridCol w:w="1743"/>
      </w:tblGrid>
      <w:tr>
        <w:trPr>
          <w:trHeight w:val="402" w:hRule="exact"/>
        </w:trPr>
        <w:tc>
          <w:tcPr>
            <w:tcW w:w="391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right="10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7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5841"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514,652,940.19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514,652,940.19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4,635,400.00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4,635,400.00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1,184,042,150.03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1,165,117,421.33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-18,924,728.70</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35,713,171.38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35,713,171.38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142,088,842.19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142,088,842.19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157,873,311.87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157,873,311.87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5,582,397.04</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5,582,397.04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22,236,363.61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22,236,363.61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2,066,824,576.31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2,047,899,847.61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-18,924,728.70</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5841"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186,959,476.37</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-186,959,476.37</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541,048,033.77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541,048,033.77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274,158,390.40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274,158,390.40</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89,850,597.05</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89,850,597.05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435,370,374.49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435,370,374.49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554,938.19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554,938.19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116,917,946.29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116,917,946.29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247,976,798.10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247,976,798.10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0"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474,897,113.17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474,897,113.17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910"/>
        <w:gridCol w:w="2128"/>
        <w:gridCol w:w="1970"/>
        <w:gridCol w:w="1743"/>
      </w:tblGrid>
      <w:tr>
        <w:trPr>
          <w:trHeight w:val="402" w:hRule="exact"/>
        </w:trPr>
        <w:tc>
          <w:tcPr>
            <w:tcW w:w="391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right="10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7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2,435,451.36</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2,435,451.36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74,482,807.99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77,338,980.39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2,856,172.40</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6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2,170,493,536.78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2,260,548,623.21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90,055,086.43</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4,237,318,113.09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4,308,448,470.82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71,130,357.73</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841"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151,135,000.00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151,135,000.00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2,244,376.00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2,244,376.00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194,754,625.51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194,754,625.51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204,929,609.94</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204,929,609.94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66,987,144.10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66,987,144.10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98,520,411.20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98,520,411.20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145,440,641.64</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145,440,641.64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199,616.67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199,616.67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18,240,000.00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18,240,000.00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882,251,808.39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882,251,808.39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15,840,385.10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15,840,385.10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3,386,877.00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3,386,877.00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61,305,750.03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74,485,071.33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13,179,321.30</w:t>
            </w:r>
          </w:p>
        </w:tc>
      </w:tr>
      <w:tr>
        <w:trPr>
          <w:trHeight w:val="404"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80,533,012.13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93,712,333.43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13,179,321.30</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962,784,820.52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975,964,141.82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13,179,321.30</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5841"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1,621,867,400.00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1,621,867,400.00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535,182,079.93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535,182,079.93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95,390,524.08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95,390,524.08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113,501,457.21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120,462,356.97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6,960,899.76</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959,024,092.67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1,010,706,322.00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51,682,229.33</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3,134,184,505.73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3,192,827,634.82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58,643,129.09</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140,348,786.84</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139,656,694.18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-692,092.66</w:t>
            </w:r>
          </w:p>
        </w:tc>
      </w:tr>
      <w:tr>
        <w:trPr>
          <w:trHeight w:val="400"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3,274,533,292.57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3,332,484,329.00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57,951,036.43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910"/>
        <w:gridCol w:w="2128"/>
        <w:gridCol w:w="1970"/>
        <w:gridCol w:w="1743"/>
      </w:tblGrid>
      <w:tr>
        <w:trPr>
          <w:trHeight w:val="402" w:hRule="exact"/>
        </w:trPr>
        <w:tc>
          <w:tcPr>
            <w:tcW w:w="391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right="10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7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4,237,318,113.09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6" w:right="0"/>
              <w:jc w:val="left"/>
              <w:rPr>
                <w:rFonts w:ascii="Times New Roman" w:hAnsi="Times New Roman" w:cs="Times New Roman" w:eastAsia="Times New Roman" w:hint="default"/>
                <w:sz w:val="18"/>
                <w:szCs w:val="18"/>
              </w:rPr>
            </w:pPr>
            <w:r>
              <w:rPr>
                <w:rFonts w:ascii="Times New Roman"/>
                <w:sz w:val="18"/>
              </w:rPr>
              <w:t>4,308,448,470.82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4" w:right="0"/>
              <w:jc w:val="left"/>
              <w:rPr>
                <w:rFonts w:ascii="Times New Roman" w:hAnsi="Times New Roman" w:cs="Times New Roman" w:eastAsia="Times New Roman" w:hint="default"/>
                <w:sz w:val="18"/>
                <w:szCs w:val="18"/>
              </w:rPr>
            </w:pPr>
            <w:r>
              <w:rPr>
                <w:rFonts w:ascii="Times New Roman"/>
                <w:sz w:val="18"/>
              </w:rPr>
              <w:t>71,130,357.73</w:t>
            </w:r>
          </w:p>
        </w:tc>
      </w:tr>
    </w:tbl>
    <w:p>
      <w:pPr>
        <w:spacing w:line="240" w:lineRule="auto" w:before="3"/>
        <w:rPr>
          <w:rFonts w:ascii="Times New Roman" w:hAnsi="Times New Roman" w:cs="Times New Roman" w:eastAsia="Times New Roman" w:hint="default"/>
          <w:sz w:val="14"/>
          <w:szCs w:val="14"/>
        </w:rPr>
      </w:pPr>
    </w:p>
    <w:p>
      <w:pPr>
        <w:pStyle w:val="BodyText"/>
        <w:spacing w:line="240" w:lineRule="auto" w:before="44"/>
        <w:ind w:left="532" w:right="3464"/>
        <w:jc w:val="left"/>
      </w:pPr>
      <w:r>
        <w:rPr/>
        <w:t>母公司资产负债表</w:t>
      </w:r>
    </w:p>
    <w:p>
      <w:pPr>
        <w:spacing w:line="240" w:lineRule="auto" w:before="1"/>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3957"/>
        <w:gridCol w:w="2116"/>
        <w:gridCol w:w="1985"/>
        <w:gridCol w:w="1693"/>
      </w:tblGrid>
      <w:tr>
        <w:trPr>
          <w:trHeight w:val="402" w:hRule="exact"/>
        </w:trPr>
        <w:tc>
          <w:tcPr>
            <w:tcW w:w="395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right="99"/>
              <w:jc w:val="center"/>
              <w:rPr>
                <w:rFonts w:ascii="宋体" w:hAnsi="宋体" w:cs="宋体" w:eastAsia="宋体" w:hint="default"/>
                <w:sz w:val="18"/>
                <w:szCs w:val="18"/>
              </w:rPr>
            </w:pPr>
            <w:r>
              <w:rPr>
                <w:rFonts w:ascii="宋体" w:hAnsi="宋体" w:cs="宋体" w:eastAsia="宋体" w:hint="default"/>
                <w:sz w:val="18"/>
                <w:szCs w:val="18"/>
              </w:rPr>
              <w:t>项目</w:t>
            </w:r>
          </w:p>
        </w:tc>
        <w:tc>
          <w:tcPr>
            <w:tcW w:w="211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2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520"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5794"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269,992,711.15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269,992,711.15</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4,575,400.00</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4,575,400.00</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853,110,706.74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848,799,573.02</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-4,311,133.72</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41,805,313.36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41,805,313.36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231,872,273.44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231,872,273.44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124,723,331.46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124,723,331.46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5,582,397.04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5,582,397.04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19,042,676.57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19,042,676.57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1,550,704,809.76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1,546,393,676.04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-4,311,133.72</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5794"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192,016,231.03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-192,016,231.03</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1,044,219,725.06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1,044,219,725.06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278,220,303.06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278,220,303.06</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174,610,506.27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174,610,506.27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341,148,532.48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341,148,532.48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231,818.19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231,818.19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82,529,960.09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82,529,960.09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200,139,182.51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200,139,182.51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150,189.89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150,189.89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25,931,719.78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26,578,389.84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646,670.06</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2,060,977,865.30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2,147,828,607.39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86,850,742.09</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3,611,682,675.06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3,694,222,283.43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82,539,608.37</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794"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150,000,000.00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2,244,376.00</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2,244,376.00</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332,711,272.93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21"/>
                <w:szCs w:val="21"/>
              </w:rPr>
            </w:pPr>
            <w:r>
              <w:rPr>
                <w:rFonts w:ascii="Times New Roman"/>
                <w:spacing w:val="-1"/>
                <w:sz w:val="21"/>
              </w:rPr>
              <w:t>332,711,272.93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960" w:right="0"/>
        </w:sectPr>
      </w:pPr>
    </w:p>
    <w:p>
      <w:pPr>
        <w:spacing w:line="240" w:lineRule="auto" w:before="5"/>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3957"/>
        <w:gridCol w:w="2116"/>
        <w:gridCol w:w="1985"/>
        <w:gridCol w:w="1693"/>
      </w:tblGrid>
      <w:tr>
        <w:trPr>
          <w:trHeight w:val="402" w:hRule="exact"/>
        </w:trPr>
        <w:tc>
          <w:tcPr>
            <w:tcW w:w="395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right="99"/>
              <w:jc w:val="center"/>
              <w:rPr>
                <w:rFonts w:ascii="宋体" w:hAnsi="宋体" w:cs="宋体" w:eastAsia="宋体" w:hint="default"/>
                <w:sz w:val="18"/>
                <w:szCs w:val="18"/>
              </w:rPr>
            </w:pPr>
            <w:r>
              <w:rPr>
                <w:rFonts w:ascii="宋体" w:hAnsi="宋体" w:cs="宋体" w:eastAsia="宋体" w:hint="default"/>
                <w:sz w:val="18"/>
                <w:szCs w:val="18"/>
              </w:rPr>
              <w:t>项目</w:t>
            </w:r>
          </w:p>
        </w:tc>
        <w:tc>
          <w:tcPr>
            <w:tcW w:w="211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2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520"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151,808,878.67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151,808,878.67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16,270,107.77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16,270,107.77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39,904,524.32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39,904,524.32</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145,296,836.46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145,296,836.46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199,616.67</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95"/>
                <w:sz w:val="21"/>
              </w:rPr>
              <w:t>199,616.67</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18,240,000.00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18,240,000.00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856,475,996.15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856,475,996.15</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5794"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10,917,213.36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10,917,213.36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3,125,000.00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3,125,000.00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13,174,987.85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26,105,598.65</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12,930,610.80</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27,217,201.21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40,147,812.01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12,930,610.80</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883,693,197.36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896,623,808.16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12,930,610.80</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5794"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1,621,867,400.00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1,621,867,400.00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570,087,929.42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570,087,929.42</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95,390,524.08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95,390,524.08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113,501,457.21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120,462,356.97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6,960,899.76</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517,923,215.15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580,571,312.96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62,648,097.81</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2,727,989,477.70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2,797,598,475.27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69,608,997.57</w:t>
            </w:r>
          </w:p>
        </w:tc>
      </w:tr>
      <w:tr>
        <w:trPr>
          <w:trHeight w:val="402"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3,611,682,675.06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3,694,222,283.43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82,539,608.37</w:t>
            </w:r>
          </w:p>
        </w:tc>
      </w:tr>
    </w:tbl>
    <w:p>
      <w:pPr>
        <w:pStyle w:val="BodyText"/>
        <w:spacing w:line="240" w:lineRule="auto" w:before="10"/>
        <w:ind w:left="172" w:right="3464"/>
        <w:jc w:val="left"/>
      </w:pPr>
      <w:r>
        <w:rPr>
          <w:rFonts w:ascii="Times New Roman" w:hAnsi="Times New Roman" w:cs="Times New Roman" w:eastAsia="Times New Roman" w:hint="default"/>
        </w:rPr>
        <w:t>4</w:t>
      </w:r>
      <w:r>
        <w:rPr/>
        <w:t>、首次执行新金融工具准则追溯调整前期比较数据的说明（单位元）</w:t>
      </w:r>
    </w:p>
    <w:p>
      <w:pPr>
        <w:pStyle w:val="BodyText"/>
        <w:spacing w:line="240" w:lineRule="auto" w:before="63"/>
        <w:ind w:left="172" w:right="3464"/>
        <w:jc w:val="left"/>
      </w:pPr>
      <w:r>
        <w:rPr/>
        <w:t>①于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日，执行新金融工具准则前后金融资产的分类和计量对比表</w:t>
      </w:r>
    </w:p>
    <w:p>
      <w:pPr>
        <w:pStyle w:val="BodyText"/>
        <w:spacing w:line="240" w:lineRule="auto" w:before="63"/>
        <w:ind w:left="172" w:right="3464"/>
        <w:jc w:val="left"/>
      </w:pPr>
      <w:r>
        <w:rPr>
          <w:rFonts w:ascii="Times New Roman" w:hAnsi="Times New Roman" w:cs="Times New Roman" w:eastAsia="Times New Roman" w:hint="default"/>
        </w:rPr>
        <w:t>A</w:t>
      </w:r>
      <w:r>
        <w:rPr/>
        <w:t>．合并财务报表</w:t>
      </w:r>
    </w:p>
    <w:p>
      <w:pPr>
        <w:spacing w:line="240" w:lineRule="auto" w:before="1"/>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531"/>
        <w:gridCol w:w="1632"/>
        <w:gridCol w:w="1763"/>
        <w:gridCol w:w="1420"/>
        <w:gridCol w:w="1732"/>
        <w:gridCol w:w="1673"/>
      </w:tblGrid>
      <w:tr>
        <w:trPr>
          <w:trHeight w:val="402" w:hRule="exact"/>
        </w:trPr>
        <w:tc>
          <w:tcPr>
            <w:tcW w:w="4926" w:type="dxa"/>
            <w:gridSpan w:val="3"/>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8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日（原金融工具准则）</w:t>
            </w:r>
          </w:p>
        </w:tc>
        <w:tc>
          <w:tcPr>
            <w:tcW w:w="4825" w:type="dxa"/>
            <w:gridSpan w:val="3"/>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8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日（新金融工具准则）</w:t>
            </w:r>
          </w:p>
        </w:tc>
      </w:tr>
      <w:tr>
        <w:trPr>
          <w:trHeight w:val="402" w:hRule="exact"/>
        </w:trPr>
        <w:tc>
          <w:tcPr>
            <w:tcW w:w="153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2"/>
              <w:ind w:right="102"/>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2"/>
              <w:ind w:left="39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6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2"/>
              <w:ind w:right="103"/>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2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2"/>
              <w:ind w:right="105"/>
              <w:jc w:val="center"/>
              <w:rPr>
                <w:rFonts w:ascii="宋体" w:hAnsi="宋体" w:cs="宋体" w:eastAsia="宋体" w:hint="default"/>
                <w:sz w:val="18"/>
                <w:szCs w:val="18"/>
              </w:rPr>
            </w:pPr>
            <w:r>
              <w:rPr>
                <w:rFonts w:ascii="宋体" w:hAnsi="宋体" w:cs="宋体" w:eastAsia="宋体" w:hint="default"/>
                <w:sz w:val="18"/>
                <w:szCs w:val="18"/>
              </w:rPr>
              <w:t>项目</w:t>
            </w:r>
          </w:p>
        </w:tc>
        <w:tc>
          <w:tcPr>
            <w:tcW w:w="173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2"/>
              <w:ind w:left="44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7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right="258"/>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87" w:right="141" w:hanging="449"/>
              <w:jc w:val="left"/>
              <w:rPr>
                <w:rFonts w:ascii="宋体" w:hAnsi="宋体" w:cs="宋体" w:eastAsia="宋体" w:hint="default"/>
                <w:sz w:val="18"/>
                <w:szCs w:val="18"/>
              </w:rPr>
            </w:pPr>
            <w:r>
              <w:rPr>
                <w:rFonts w:ascii="宋体" w:hAnsi="宋体" w:cs="宋体" w:eastAsia="宋体" w:hint="default"/>
                <w:sz w:val="18"/>
                <w:szCs w:val="18"/>
              </w:rPr>
              <w:t>以成本计量（权益 工具）</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center"/>
              <w:rPr>
                <w:rFonts w:ascii="Times New Roman" w:hAnsi="Times New Roman" w:cs="Times New Roman" w:eastAsia="Times New Roman" w:hint="default"/>
                <w:sz w:val="18"/>
                <w:szCs w:val="18"/>
              </w:rPr>
            </w:pPr>
            <w:r>
              <w:rPr>
                <w:rFonts w:ascii="Times New Roman"/>
                <w:sz w:val="18"/>
              </w:rPr>
              <w:t>186,959,476.37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 w:right="101"/>
              <w:jc w:val="left"/>
              <w:rPr>
                <w:rFonts w:ascii="宋体" w:hAnsi="宋体" w:cs="宋体" w:eastAsia="宋体" w:hint="default"/>
                <w:sz w:val="18"/>
                <w:szCs w:val="18"/>
              </w:rPr>
            </w:pPr>
            <w:r>
              <w:rPr>
                <w:rFonts w:ascii="宋体" w:hAnsi="宋体" w:cs="宋体" w:eastAsia="宋体" w:hint="default"/>
                <w:spacing w:val="6"/>
                <w:sz w:val="18"/>
                <w:szCs w:val="18"/>
              </w:rPr>
              <w:t>其他非流动金融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right="280"/>
              <w:jc w:val="both"/>
              <w:rPr>
                <w:rFonts w:ascii="宋体" w:hAnsi="宋体" w:cs="宋体" w:eastAsia="宋体" w:hint="default"/>
                <w:sz w:val="18"/>
                <w:szCs w:val="18"/>
              </w:rPr>
            </w:pPr>
            <w:r>
              <w:rPr>
                <w:rFonts w:ascii="宋体" w:hAnsi="宋体" w:cs="宋体" w:eastAsia="宋体" w:hint="default"/>
                <w:sz w:val="18"/>
                <w:szCs w:val="18"/>
              </w:rPr>
              <w:t>以公允价值计量且 其变动计入当期损 益</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274,158,390.40</w:t>
            </w:r>
          </w:p>
        </w:tc>
      </w:tr>
    </w:tbl>
    <w:p>
      <w:pPr>
        <w:pStyle w:val="BodyText"/>
        <w:spacing w:line="240" w:lineRule="auto" w:before="11"/>
        <w:ind w:left="172" w:right="3464"/>
        <w:jc w:val="left"/>
      </w:pPr>
      <w:r>
        <w:rPr>
          <w:rFonts w:ascii="Times New Roman" w:hAnsi="Times New Roman" w:cs="Times New Roman" w:eastAsia="Times New Roman" w:hint="default"/>
        </w:rPr>
        <w:t>B</w:t>
      </w:r>
      <w:r>
        <w:rPr/>
        <w:t>．母公司财务报表</w:t>
      </w:r>
    </w:p>
    <w:p>
      <w:pPr>
        <w:spacing w:line="240" w:lineRule="auto" w:before="8"/>
        <w:rPr>
          <w:rFonts w:ascii="宋体" w:hAnsi="宋体" w:cs="宋体" w:eastAsia="宋体" w:hint="default"/>
          <w:sz w:val="3"/>
          <w:szCs w:val="3"/>
        </w:rPr>
      </w:pPr>
    </w:p>
    <w:p>
      <w:pPr>
        <w:spacing w:line="414" w:lineRule="exact"/>
        <w:ind w:left="10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8.55pt;height:20.75pt;mso-position-horizontal-relative:char;mso-position-vertical-relative:line" coordorigin="0,0" coordsize="9771,415">
            <v:group style="position:absolute;left:13;top:13;width:4910;height:397" coordorigin="13,13" coordsize="4910,397">
              <v:shape style="position:absolute;left:13;top:13;width:4910;height:397" coordorigin="13,13" coordsize="4910,397" path="m13,13l4923,13,4923,410,13,410,13,13xe" filled="true" fillcolor="#d7d7d7" stroked="false">
                <v:path arrowok="t"/>
                <v:fill type="solid"/>
              </v:shape>
            </v:group>
            <v:group style="position:absolute;left:4928;top:13;width:4831;height:397" coordorigin="4928,13" coordsize="4831,397">
              <v:shape style="position:absolute;left:4928;top:13;width:4831;height:397" coordorigin="4928,13" coordsize="4831,397" path="m4928,13l9759,13,9759,410,4928,410,4928,13xe" filled="true" fillcolor="#d7d7d7" stroked="false">
                <v:path arrowok="t"/>
                <v:fill type="solid"/>
              </v:shape>
            </v:group>
            <v:group style="position:absolute;left:5;top:10;width:9761;height:2" coordorigin="5,10" coordsize="9761,2">
              <v:shape style="position:absolute;left:5;top:10;width:9761;height:2" coordorigin="5,10" coordsize="9761,0" path="m5,10l9765,10e" filled="false" stroked="true" strokeweight=".48pt" strokecolor="#000000">
                <v:path arrowok="t"/>
              </v:shape>
            </v:group>
            <v:group style="position:absolute;left:5;top:410;width:9761;height:2" coordorigin="5,410" coordsize="9761,2">
              <v:shape style="position:absolute;left:5;top:410;width:9761;height:2" coordorigin="5,410" coordsize="9761,0" path="m5,410l9765,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4925;top:5;width:2;height:400" coordorigin="4925,5" coordsize="2,400">
              <v:shape style="position:absolute;left:4925;top:5;width:2;height:400" coordorigin="4925,5" coordsize="0,400" path="m4925,5l4925,405e" filled="false" stroked="true" strokeweight=".48pt" strokecolor="#000000">
                <v:path arrowok="t"/>
              </v:shape>
            </v:group>
            <v:group style="position:absolute;left:9761;top:5;width:2;height:400" coordorigin="9761,5" coordsize="2,400">
              <v:shape style="position:absolute;left:9761;top:5;width:2;height:400" coordorigin="9761,5" coordsize="0,400" path="m9761,5l9761,405e" filled="false" stroked="true" strokeweight=".48pt" strokecolor="#000000">
                <v:path arrowok="t"/>
              </v:shape>
              <v:shape style="position:absolute;left:10;top:10;width:4915;height:400" type="#_x0000_t202" filled="false" stroked="false">
                <v:textbox inset="0,0,0,0">
                  <w:txbxContent>
                    <w:p>
                      <w:pPr>
                        <w:spacing w:before="56"/>
                        <w:ind w:left="8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日（原金融工具准则）</w:t>
                      </w:r>
                    </w:p>
                  </w:txbxContent>
                </v:textbox>
                <w10:wrap type="none"/>
              </v:shape>
              <v:shape style="position:absolute;left:4925;top:10;width:4836;height:400" type="#_x0000_t202" filled="false" stroked="false">
                <v:textbox inset="0,0,0,0">
                  <w:txbxContent>
                    <w:p>
                      <w:pPr>
                        <w:spacing w:before="56"/>
                        <w:ind w:left="90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日（新金融工具准则）</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746" w:footer="978" w:top="1060" w:bottom="1160" w:left="960" w:right="0"/>
        </w:sectPr>
      </w:pPr>
    </w:p>
    <w:p>
      <w:pPr>
        <w:spacing w:line="240" w:lineRule="auto" w:before="5"/>
        <w:rPr>
          <w:rFonts w:ascii="宋体" w:hAnsi="宋体" w:cs="宋体" w:eastAsia="宋体" w:hint="default"/>
          <w:sz w:val="28"/>
          <w:szCs w:val="28"/>
        </w:rPr>
      </w:pPr>
    </w:p>
    <w:tbl>
      <w:tblPr>
        <w:tblW w:w="0" w:type="auto"/>
        <w:jc w:val="left"/>
        <w:tblInd w:w="232" w:type="dxa"/>
        <w:tblLayout w:type="fixed"/>
        <w:tblCellMar>
          <w:top w:w="0" w:type="dxa"/>
          <w:left w:w="0" w:type="dxa"/>
          <w:bottom w:w="0" w:type="dxa"/>
          <w:right w:w="0" w:type="dxa"/>
        </w:tblCellMar>
        <w:tblLook w:val="01E0"/>
      </w:tblPr>
      <w:tblGrid>
        <w:gridCol w:w="1500"/>
        <w:gridCol w:w="1642"/>
        <w:gridCol w:w="1773"/>
        <w:gridCol w:w="1465"/>
        <w:gridCol w:w="1784"/>
        <w:gridCol w:w="1587"/>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right="101"/>
              <w:jc w:val="center"/>
              <w:rPr>
                <w:rFonts w:ascii="宋体" w:hAnsi="宋体" w:cs="宋体" w:eastAsia="宋体" w:hint="default"/>
                <w:sz w:val="18"/>
                <w:szCs w:val="18"/>
              </w:rPr>
            </w:pPr>
            <w:r>
              <w:rPr>
                <w:rFonts w:ascii="宋体" w:hAnsi="宋体" w:cs="宋体" w:eastAsia="宋体" w:hint="default"/>
                <w:sz w:val="18"/>
                <w:szCs w:val="18"/>
              </w:rPr>
              <w:t>项目</w:t>
            </w:r>
          </w:p>
        </w:tc>
        <w:tc>
          <w:tcPr>
            <w:tcW w:w="164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403"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7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6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right="104"/>
              <w:jc w:val="center"/>
              <w:rPr>
                <w:rFonts w:ascii="宋体" w:hAnsi="宋体" w:cs="宋体" w:eastAsia="宋体" w:hint="default"/>
                <w:sz w:val="18"/>
                <w:szCs w:val="18"/>
              </w:rPr>
            </w:pPr>
            <w:r>
              <w:rPr>
                <w:rFonts w:ascii="宋体" w:hAnsi="宋体" w:cs="宋体" w:eastAsia="宋体" w:hint="default"/>
                <w:sz w:val="18"/>
                <w:szCs w:val="18"/>
              </w:rPr>
              <w:t>项目</w:t>
            </w:r>
          </w:p>
        </w:tc>
        <w:tc>
          <w:tcPr>
            <w:tcW w:w="178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47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8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0"/>
              <w:ind w:left="37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227"/>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95" w:right="146" w:hanging="452"/>
              <w:jc w:val="left"/>
              <w:rPr>
                <w:rFonts w:ascii="宋体" w:hAnsi="宋体" w:cs="宋体" w:eastAsia="宋体" w:hint="default"/>
                <w:sz w:val="18"/>
                <w:szCs w:val="18"/>
              </w:rPr>
            </w:pPr>
            <w:r>
              <w:rPr>
                <w:rFonts w:ascii="宋体" w:hAnsi="宋体" w:cs="宋体" w:eastAsia="宋体" w:hint="default"/>
                <w:sz w:val="18"/>
                <w:szCs w:val="18"/>
              </w:rPr>
              <w:t>以成本计量（权益 工具）</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192,016,231.03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101"/>
              <w:jc w:val="left"/>
              <w:rPr>
                <w:rFonts w:ascii="宋体" w:hAnsi="宋体" w:cs="宋体" w:eastAsia="宋体" w:hint="default"/>
                <w:sz w:val="18"/>
                <w:szCs w:val="18"/>
              </w:rPr>
            </w:pPr>
            <w:r>
              <w:rPr>
                <w:rFonts w:ascii="宋体" w:hAnsi="宋体" w:cs="宋体" w:eastAsia="宋体" w:hint="default"/>
                <w:spacing w:val="12"/>
                <w:sz w:val="18"/>
                <w:szCs w:val="18"/>
              </w:rPr>
              <w:t>其他非流动金融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52"/>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278,220,303.06</w:t>
            </w:r>
          </w:p>
        </w:tc>
      </w:tr>
    </w:tbl>
    <w:p>
      <w:pPr>
        <w:pStyle w:val="BodyText"/>
        <w:spacing w:line="240" w:lineRule="auto" w:before="11"/>
        <w:ind w:left="292" w:right="0"/>
        <w:jc w:val="left"/>
      </w:pPr>
      <w:r>
        <w:rPr/>
        <w:t>②于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日，按新金融工具准则将原金融资产账面价值调整为新金融工具准则账面价值的调节表</w:t>
      </w:r>
    </w:p>
    <w:p>
      <w:pPr>
        <w:pStyle w:val="BodyText"/>
        <w:spacing w:line="240" w:lineRule="auto" w:before="63"/>
        <w:ind w:left="292" w:right="0"/>
        <w:jc w:val="left"/>
      </w:pPr>
      <w:r>
        <w:rPr>
          <w:rFonts w:ascii="Times New Roman" w:hAnsi="Times New Roman" w:cs="Times New Roman" w:eastAsia="Times New Roman" w:hint="default"/>
        </w:rPr>
        <w:t>A</w:t>
      </w:r>
      <w:r>
        <w:rPr/>
        <w:t>．合并财务报表</w:t>
      </w:r>
    </w:p>
    <w:p>
      <w:pPr>
        <w:spacing w:line="240" w:lineRule="auto" w:before="12"/>
        <w:rPr>
          <w:rFonts w:ascii="宋体" w:hAnsi="宋体" w:cs="宋体" w:eastAsia="宋体" w:hint="default"/>
          <w:sz w:val="3"/>
          <w:szCs w:val="3"/>
        </w:rPr>
      </w:pPr>
    </w:p>
    <w:tbl>
      <w:tblPr>
        <w:tblW w:w="0" w:type="auto"/>
        <w:jc w:val="left"/>
        <w:tblInd w:w="232" w:type="dxa"/>
        <w:tblLayout w:type="fixed"/>
        <w:tblCellMar>
          <w:top w:w="0" w:type="dxa"/>
          <w:left w:w="0" w:type="dxa"/>
          <w:bottom w:w="0" w:type="dxa"/>
          <w:right w:w="0" w:type="dxa"/>
        </w:tblCellMar>
        <w:tblLook w:val="01E0"/>
      </w:tblPr>
      <w:tblGrid>
        <w:gridCol w:w="2416"/>
        <w:gridCol w:w="1833"/>
        <w:gridCol w:w="1648"/>
        <w:gridCol w:w="1648"/>
        <w:gridCol w:w="2206"/>
      </w:tblGrid>
      <w:tr>
        <w:trPr>
          <w:trHeight w:val="1026" w:hRule="exact"/>
        </w:trPr>
        <w:tc>
          <w:tcPr>
            <w:tcW w:w="241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5"/>
              <w:jc w:val="center"/>
              <w:rPr>
                <w:rFonts w:ascii="宋体" w:hAnsi="宋体" w:cs="宋体" w:eastAsia="宋体" w:hint="default"/>
                <w:sz w:val="18"/>
                <w:szCs w:val="18"/>
              </w:rPr>
            </w:pPr>
            <w:r>
              <w:rPr>
                <w:rFonts w:ascii="宋体" w:hAnsi="宋体" w:cs="宋体" w:eastAsia="宋体" w:hint="default"/>
                <w:sz w:val="18"/>
                <w:szCs w:val="18"/>
              </w:rPr>
              <w:t>项目</w:t>
            </w:r>
          </w:p>
        </w:tc>
        <w:tc>
          <w:tcPr>
            <w:tcW w:w="183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309" w:lineRule="auto" w:before="52"/>
              <w:ind w:left="-1"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 </w:t>
            </w:r>
            <w:r>
              <w:rPr>
                <w:rFonts w:ascii="宋体" w:hAnsi="宋体" w:cs="宋体" w:eastAsia="宋体" w:hint="default"/>
                <w:spacing w:val="-8"/>
                <w:sz w:val="18"/>
                <w:szCs w:val="18"/>
              </w:rPr>
              <w:t>账面价值（按原金融工</w:t>
            </w:r>
            <w:r>
              <w:rPr>
                <w:rFonts w:ascii="宋体" w:hAnsi="宋体" w:cs="宋体" w:eastAsia="宋体" w:hint="default"/>
                <w:sz w:val="18"/>
                <w:szCs w:val="18"/>
              </w:rPr>
              <w:t> 具准则）</w:t>
            </w:r>
          </w:p>
        </w:tc>
        <w:tc>
          <w:tcPr>
            <w:tcW w:w="164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6"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64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6"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0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56" w:right="136"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日的账面价 值（按新金融工具准则）</w:t>
            </w:r>
          </w:p>
        </w:tc>
      </w:tr>
      <w:tr>
        <w:trPr>
          <w:trHeight w:val="402" w:hRule="exact"/>
        </w:trPr>
        <w:tc>
          <w:tcPr>
            <w:tcW w:w="97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一、新金融工具准则下以公允价值计量且其变动计入当期损益的金融资产</w:t>
            </w:r>
          </w:p>
        </w:tc>
      </w:tr>
      <w:tr>
        <w:trPr>
          <w:trHeight w:val="71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right="102"/>
              <w:jc w:val="left"/>
              <w:rPr>
                <w:rFonts w:ascii="宋体" w:hAnsi="宋体" w:cs="宋体" w:eastAsia="宋体" w:hint="default"/>
                <w:sz w:val="18"/>
                <w:szCs w:val="18"/>
              </w:rPr>
            </w:pPr>
            <w:r>
              <w:rPr>
                <w:rFonts w:ascii="宋体" w:hAnsi="宋体" w:cs="宋体" w:eastAsia="宋体" w:hint="default"/>
                <w:spacing w:val="-3"/>
                <w:sz w:val="18"/>
                <w:szCs w:val="18"/>
              </w:rPr>
              <w:t>可供出售金融资产（按原金融</w:t>
            </w:r>
            <w:r>
              <w:rPr>
                <w:rFonts w:ascii="宋体" w:hAnsi="宋体" w:cs="宋体" w:eastAsia="宋体" w:hint="default"/>
                <w:sz w:val="18"/>
                <w:szCs w:val="18"/>
              </w:rPr>
              <w:t> 工具准则列示金额）</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186,959,476.37</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center"/>
              <w:rPr>
                <w:rFonts w:ascii="宋体" w:hAnsi="宋体" w:cs="宋体" w:eastAsia="宋体" w:hint="default"/>
                <w:sz w:val="18"/>
                <w:szCs w:val="18"/>
              </w:rPr>
            </w:pPr>
            <w:r>
              <w:rPr>
                <w:rFonts w:ascii="宋体" w:hAnsi="宋体" w:cs="宋体" w:eastAsia="宋体" w:hint="default"/>
                <w:spacing w:val="-3"/>
                <w:sz w:val="18"/>
                <w:szCs w:val="18"/>
              </w:rPr>
              <w:t>加：从可供出售金融资产转入</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186,959,476.37</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87,198,914.03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right="102"/>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其他非流动金融资产（按新金</w:t>
            </w:r>
            <w:r>
              <w:rPr>
                <w:rFonts w:ascii="宋体" w:hAnsi="宋体" w:cs="宋体" w:eastAsia="宋体" w:hint="default"/>
                <w:sz w:val="18"/>
                <w:szCs w:val="18"/>
              </w:rPr>
              <w:t> 融工具准则列示金额）</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274,158,390.40</w:t>
            </w:r>
          </w:p>
        </w:tc>
      </w:tr>
    </w:tbl>
    <w:p>
      <w:pPr>
        <w:pStyle w:val="BodyText"/>
        <w:spacing w:line="240" w:lineRule="auto" w:before="10"/>
        <w:ind w:left="292" w:right="0"/>
        <w:jc w:val="left"/>
      </w:pPr>
      <w:r>
        <w:rPr>
          <w:rFonts w:ascii="Times New Roman" w:hAnsi="Times New Roman" w:cs="Times New Roman" w:eastAsia="Times New Roman" w:hint="default"/>
        </w:rPr>
        <w:t>B</w:t>
      </w:r>
      <w:r>
        <w:rPr/>
        <w:t>．母公司财务报表</w:t>
      </w:r>
    </w:p>
    <w:p>
      <w:pPr>
        <w:spacing w:line="240" w:lineRule="auto" w:before="1"/>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485"/>
        <w:gridCol w:w="1882"/>
        <w:gridCol w:w="1692"/>
        <w:gridCol w:w="1692"/>
        <w:gridCol w:w="2261"/>
      </w:tblGrid>
      <w:tr>
        <w:trPr>
          <w:trHeight w:val="1026" w:hRule="exact"/>
        </w:trPr>
        <w:tc>
          <w:tcPr>
            <w:tcW w:w="24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0"/>
              <w:jc w:val="center"/>
              <w:rPr>
                <w:rFonts w:ascii="宋体" w:hAnsi="宋体" w:cs="宋体" w:eastAsia="宋体" w:hint="default"/>
                <w:sz w:val="18"/>
                <w:szCs w:val="18"/>
              </w:rPr>
            </w:pPr>
            <w:r>
              <w:rPr>
                <w:rFonts w:ascii="宋体" w:hAnsi="宋体" w:cs="宋体" w:eastAsia="宋体" w:hint="default"/>
                <w:sz w:val="18"/>
                <w:szCs w:val="18"/>
              </w:rPr>
              <w:t>项目</w:t>
            </w:r>
          </w:p>
        </w:tc>
        <w:tc>
          <w:tcPr>
            <w:tcW w:w="188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309" w:lineRule="auto" w:before="50"/>
              <w:ind w:left="-1" w:right="99" w:firstLine="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日的账 </w:t>
            </w:r>
            <w:r>
              <w:rPr>
                <w:rFonts w:ascii="宋体" w:hAnsi="宋体" w:cs="宋体" w:eastAsia="宋体" w:hint="default"/>
                <w:spacing w:val="-4"/>
                <w:sz w:val="18"/>
                <w:szCs w:val="18"/>
              </w:rPr>
              <w:t>面价值（按原金融工具</w:t>
            </w:r>
            <w:r>
              <w:rPr>
                <w:rFonts w:ascii="宋体" w:hAnsi="宋体" w:cs="宋体" w:eastAsia="宋体" w:hint="default"/>
                <w:sz w:val="18"/>
                <w:szCs w:val="18"/>
              </w:rPr>
              <w:t> 准则）</w:t>
            </w:r>
          </w:p>
        </w:tc>
        <w:tc>
          <w:tcPr>
            <w:tcW w:w="169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17"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69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29"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6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日的账面价值</w:t>
            </w:r>
          </w:p>
          <w:p>
            <w:pPr>
              <w:pStyle w:val="TableParagraph"/>
              <w:spacing w:line="240" w:lineRule="auto" w:before="63"/>
              <w:ind w:right="99"/>
              <w:jc w:val="center"/>
              <w:rPr>
                <w:rFonts w:ascii="宋体" w:hAnsi="宋体" w:cs="宋体" w:eastAsia="宋体" w:hint="default"/>
                <w:sz w:val="18"/>
                <w:szCs w:val="18"/>
              </w:rPr>
            </w:pPr>
            <w:r>
              <w:rPr>
                <w:rFonts w:ascii="宋体" w:hAnsi="宋体" w:cs="宋体" w:eastAsia="宋体" w:hint="default"/>
                <w:sz w:val="18"/>
                <w:szCs w:val="18"/>
              </w:rPr>
              <w:t>（按新金融工具准则）</w:t>
            </w:r>
          </w:p>
        </w:tc>
      </w:tr>
      <w:tr>
        <w:trPr>
          <w:trHeight w:val="402" w:hRule="exact"/>
        </w:trPr>
        <w:tc>
          <w:tcPr>
            <w:tcW w:w="100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一、新金融工具准则下以公允价值计量且其变动计入当期损益的金融资产</w:t>
            </w:r>
          </w:p>
        </w:tc>
      </w:tr>
      <w:tr>
        <w:trPr>
          <w:trHeight w:val="714"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right="132"/>
              <w:jc w:val="left"/>
              <w:rPr>
                <w:rFonts w:ascii="宋体" w:hAnsi="宋体" w:cs="宋体" w:eastAsia="宋体" w:hint="default"/>
                <w:sz w:val="18"/>
                <w:szCs w:val="18"/>
              </w:rPr>
            </w:pPr>
            <w:r>
              <w:rPr>
                <w:rFonts w:ascii="宋体" w:hAnsi="宋体" w:cs="宋体" w:eastAsia="宋体" w:hint="default"/>
                <w:sz w:val="18"/>
                <w:szCs w:val="18"/>
              </w:rPr>
              <w:t>可供出售金融资产（按原金融 工具准则列示金额）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192,016,231.03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center"/>
              <w:rPr>
                <w:rFonts w:ascii="宋体" w:hAnsi="宋体" w:cs="宋体" w:eastAsia="宋体" w:hint="default"/>
                <w:sz w:val="18"/>
                <w:szCs w:val="18"/>
              </w:rPr>
            </w:pPr>
            <w:r>
              <w:rPr>
                <w:rFonts w:ascii="宋体" w:hAnsi="宋体" w:cs="宋体" w:eastAsia="宋体" w:hint="default"/>
                <w:sz w:val="18"/>
                <w:szCs w:val="18"/>
              </w:rPr>
              <w:t>加：从可供出售金融资产转入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192,016,231.03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86,204,072.03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right="132"/>
              <w:jc w:val="left"/>
              <w:rPr>
                <w:rFonts w:ascii="宋体" w:hAnsi="宋体" w:cs="宋体" w:eastAsia="宋体" w:hint="default"/>
                <w:sz w:val="18"/>
                <w:szCs w:val="18"/>
              </w:rPr>
            </w:pPr>
            <w:r>
              <w:rPr>
                <w:rFonts w:ascii="宋体" w:hAnsi="宋体" w:cs="宋体" w:eastAsia="宋体" w:hint="default"/>
                <w:sz w:val="18"/>
                <w:szCs w:val="18"/>
              </w:rPr>
              <w:t>其他非流动金融资产（按新金 融工具准则列示金额）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278,220,303.06</w:t>
            </w:r>
          </w:p>
        </w:tc>
      </w:tr>
    </w:tbl>
    <w:p>
      <w:pPr>
        <w:pStyle w:val="BodyText"/>
        <w:spacing w:line="240" w:lineRule="auto" w:before="10"/>
        <w:ind w:left="292" w:right="0"/>
        <w:jc w:val="left"/>
      </w:pPr>
      <w:r>
        <w:rPr/>
        <w:t>③于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日，执行新金融工具准则将原金融资产减值准备调整到新金融工具准则金融资产减值准备的调节表</w:t>
      </w:r>
    </w:p>
    <w:p>
      <w:pPr>
        <w:pStyle w:val="BodyText"/>
        <w:spacing w:line="240" w:lineRule="auto" w:before="63"/>
        <w:ind w:left="292" w:right="0"/>
        <w:jc w:val="left"/>
      </w:pPr>
      <w:r>
        <w:rPr>
          <w:rFonts w:ascii="Times New Roman" w:hAnsi="Times New Roman" w:cs="Times New Roman" w:eastAsia="Times New Roman" w:hint="default"/>
        </w:rPr>
        <w:t>A</w:t>
      </w:r>
      <w:r>
        <w:rPr/>
        <w:t>．合并财务报表</w:t>
      </w:r>
    </w:p>
    <w:p>
      <w:pPr>
        <w:spacing w:line="240" w:lineRule="auto" w:before="0"/>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459"/>
        <w:gridCol w:w="1891"/>
        <w:gridCol w:w="1700"/>
        <w:gridCol w:w="1700"/>
        <w:gridCol w:w="2262"/>
      </w:tblGrid>
      <w:tr>
        <w:trPr>
          <w:trHeight w:val="1026" w:hRule="exact"/>
        </w:trPr>
        <w:tc>
          <w:tcPr>
            <w:tcW w:w="245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1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9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309" w:lineRule="auto" w:before="51"/>
              <w:ind w:left="-1" w:right="101" w:firstLine="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日计提 </w:t>
            </w:r>
            <w:r>
              <w:rPr>
                <w:rFonts w:ascii="宋体" w:hAnsi="宋体" w:cs="宋体" w:eastAsia="宋体" w:hint="default"/>
                <w:spacing w:val="-3"/>
                <w:sz w:val="18"/>
                <w:szCs w:val="18"/>
              </w:rPr>
              <w:t>的减值准备（按原金融</w:t>
            </w:r>
            <w:r>
              <w:rPr>
                <w:rFonts w:ascii="宋体" w:hAnsi="宋体" w:cs="宋体" w:eastAsia="宋体" w:hint="default"/>
                <w:sz w:val="18"/>
                <w:szCs w:val="18"/>
              </w:rPr>
              <w:t> 工具准则）</w:t>
            </w:r>
          </w:p>
        </w:tc>
        <w:tc>
          <w:tcPr>
            <w:tcW w:w="17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2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7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6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right="89" w:firstLine="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日计提的减值 准备（按新金融工具准则）</w:t>
            </w:r>
          </w:p>
        </w:tc>
      </w:tr>
      <w:tr>
        <w:trPr>
          <w:trHeight w:val="714"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right="106"/>
              <w:jc w:val="left"/>
              <w:rPr>
                <w:rFonts w:ascii="宋体" w:hAnsi="宋体" w:cs="宋体" w:eastAsia="宋体" w:hint="default"/>
                <w:sz w:val="18"/>
                <w:szCs w:val="18"/>
              </w:rPr>
            </w:pPr>
            <w:r>
              <w:rPr>
                <w:rFonts w:ascii="宋体" w:hAnsi="宋体" w:cs="宋体" w:eastAsia="宋体" w:hint="default"/>
                <w:sz w:val="18"/>
                <w:szCs w:val="18"/>
              </w:rPr>
              <w:t>（一）以摊余成本计量的金融 资产</w:t>
            </w:r>
          </w:p>
        </w:tc>
        <w:tc>
          <w:tcPr>
            <w:tcW w:w="189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其中：应收票据减值准备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219,419,614.27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219,419,614.27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18,924,728.70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238,344,342.97</w:t>
            </w:r>
          </w:p>
        </w:tc>
      </w:tr>
      <w:tr>
        <w:trPr>
          <w:trHeight w:val="402"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18,956,225.55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18,956,225.55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18,956,225.55</w:t>
            </w:r>
          </w:p>
        </w:tc>
      </w:tr>
      <w:tr>
        <w:trPr>
          <w:trHeight w:val="402"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289,939.54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289,939.54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289,939.54</w:t>
            </w:r>
          </w:p>
        </w:tc>
      </w:tr>
    </w:tbl>
    <w:p>
      <w:pPr>
        <w:pStyle w:val="BodyText"/>
        <w:spacing w:line="240" w:lineRule="auto" w:before="10"/>
        <w:ind w:left="292" w:right="0"/>
        <w:jc w:val="left"/>
      </w:pPr>
      <w:r>
        <w:rPr>
          <w:rFonts w:ascii="Times New Roman" w:hAnsi="Times New Roman" w:cs="Times New Roman" w:eastAsia="Times New Roman" w:hint="default"/>
        </w:rPr>
        <w:t>B</w:t>
      </w:r>
      <w:r>
        <w:rPr/>
        <w:t>．母公司财务报表</w:t>
      </w:r>
    </w:p>
    <w:p>
      <w:pPr>
        <w:spacing w:line="240" w:lineRule="auto" w:before="1"/>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489"/>
        <w:gridCol w:w="1883"/>
        <w:gridCol w:w="1692"/>
        <w:gridCol w:w="1694"/>
        <w:gridCol w:w="2254"/>
      </w:tblGrid>
      <w:tr>
        <w:trPr>
          <w:trHeight w:val="1024" w:hRule="exact"/>
        </w:trPr>
        <w:tc>
          <w:tcPr>
            <w:tcW w:w="248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309" w:lineRule="auto" w:before="50"/>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日计提 </w:t>
            </w:r>
            <w:r>
              <w:rPr>
                <w:rFonts w:ascii="宋体" w:hAnsi="宋体" w:cs="宋体" w:eastAsia="宋体" w:hint="default"/>
                <w:spacing w:val="-4"/>
                <w:sz w:val="18"/>
                <w:szCs w:val="18"/>
              </w:rPr>
              <w:t>的减值准备（按原金融</w:t>
            </w:r>
            <w:r>
              <w:rPr>
                <w:rFonts w:ascii="宋体" w:hAnsi="宋体" w:cs="宋体" w:eastAsia="宋体" w:hint="default"/>
                <w:sz w:val="18"/>
                <w:szCs w:val="18"/>
              </w:rPr>
              <w:t> 工具准则）</w:t>
            </w:r>
          </w:p>
        </w:tc>
        <w:tc>
          <w:tcPr>
            <w:tcW w:w="169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2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69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5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日计提的减值 准备（按新金融工具准则）</w:t>
            </w:r>
          </w:p>
        </w:tc>
      </w:tr>
    </w:tbl>
    <w:p>
      <w:pPr>
        <w:spacing w:after="0" w:line="300" w:lineRule="auto"/>
        <w:jc w:val="left"/>
        <w:rPr>
          <w:rFonts w:ascii="宋体" w:hAnsi="宋体" w:cs="宋体" w:eastAsia="宋体" w:hint="default"/>
          <w:sz w:val="18"/>
          <w:szCs w:val="18"/>
        </w:rPr>
        <w:sectPr>
          <w:pgSz w:w="11910" w:h="16840"/>
          <w:pgMar w:header="746" w:footer="978" w:top="1060" w:bottom="1160" w:left="840" w:right="0"/>
        </w:sectPr>
      </w:pPr>
    </w:p>
    <w:p>
      <w:pPr>
        <w:spacing w:line="240" w:lineRule="auto" w:before="5"/>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489"/>
        <w:gridCol w:w="1883"/>
        <w:gridCol w:w="1692"/>
        <w:gridCol w:w="1694"/>
        <w:gridCol w:w="2254"/>
      </w:tblGrid>
      <w:tr>
        <w:trPr>
          <w:trHeight w:val="1026" w:hRule="exact"/>
        </w:trPr>
        <w:tc>
          <w:tcPr>
            <w:tcW w:w="248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8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309" w:lineRule="auto" w:before="50"/>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日计提 </w:t>
            </w:r>
            <w:r>
              <w:rPr>
                <w:rFonts w:ascii="宋体" w:hAnsi="宋体" w:cs="宋体" w:eastAsia="宋体" w:hint="default"/>
                <w:spacing w:val="-4"/>
                <w:sz w:val="18"/>
                <w:szCs w:val="18"/>
              </w:rPr>
              <w:t>的减值准备（按原金融</w:t>
            </w:r>
            <w:r>
              <w:rPr>
                <w:rFonts w:ascii="宋体" w:hAnsi="宋体" w:cs="宋体" w:eastAsia="宋体" w:hint="default"/>
                <w:sz w:val="18"/>
                <w:szCs w:val="18"/>
              </w:rPr>
              <w:t> 工具准则）</w:t>
            </w:r>
          </w:p>
        </w:tc>
        <w:tc>
          <w:tcPr>
            <w:tcW w:w="169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2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69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5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日计提的减值 准备（按新金融工具准则）</w:t>
            </w:r>
          </w:p>
        </w:tc>
      </w:tr>
      <w:tr>
        <w:trPr>
          <w:trHeight w:val="714"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136"/>
              <w:jc w:val="left"/>
              <w:rPr>
                <w:rFonts w:ascii="宋体" w:hAnsi="宋体" w:cs="宋体" w:eastAsia="宋体" w:hint="default"/>
                <w:sz w:val="18"/>
                <w:szCs w:val="18"/>
              </w:rPr>
            </w:pPr>
            <w:r>
              <w:rPr>
                <w:rFonts w:ascii="宋体" w:hAnsi="宋体" w:cs="宋体" w:eastAsia="宋体" w:hint="default"/>
                <w:sz w:val="18"/>
                <w:szCs w:val="18"/>
              </w:rPr>
              <w:t>（一）以摊余成本计量的金融 资产</w:t>
            </w:r>
          </w:p>
        </w:tc>
        <w:tc>
          <w:tcPr>
            <w:tcW w:w="1883"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其中：应收票据减值准备</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144,153,896.35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144,153,896.35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4,311,133.72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148,465,030.07</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14,482,405.53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14,482,405.53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14,482,405.53</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289,939.54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289,939.54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289,939.54</w:t>
            </w:r>
          </w:p>
        </w:tc>
      </w:tr>
    </w:tbl>
    <w:p>
      <w:pPr>
        <w:spacing w:line="240" w:lineRule="auto" w:before="2"/>
        <w:rPr>
          <w:rFonts w:ascii="宋体" w:hAnsi="宋体" w:cs="宋体" w:eastAsia="宋体" w:hint="default"/>
          <w:sz w:val="18"/>
          <w:szCs w:val="18"/>
        </w:rPr>
      </w:pPr>
    </w:p>
    <w:p>
      <w:pPr>
        <w:pStyle w:val="Heading2"/>
        <w:spacing w:line="240" w:lineRule="auto" w:before="26"/>
        <w:ind w:left="292" w:right="0"/>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28" w:lineRule="auto"/>
        <w:ind w:left="652" w:right="175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报告期内，公司纳入合并范围子公司发生变动，增加陕西卫宁互联网科技有限公司和上海卫心科技有限公司。 合并范围变更主体的具体信息详见本报告“第十二节</w:t>
      </w:r>
      <w:r>
        <w:rPr>
          <w:spacing w:val="1"/>
        </w:rPr>
        <w:t> </w:t>
      </w:r>
      <w:r>
        <w:rPr/>
        <w:t>财务报告”中“八、合并范围的变更”。</w:t>
      </w:r>
    </w:p>
    <w:p>
      <w:pPr>
        <w:spacing w:line="240" w:lineRule="auto" w:before="13"/>
        <w:rPr>
          <w:rFonts w:ascii="宋体" w:hAnsi="宋体" w:cs="宋体" w:eastAsia="宋体" w:hint="default"/>
          <w:sz w:val="19"/>
          <w:szCs w:val="19"/>
        </w:rPr>
      </w:pPr>
    </w:p>
    <w:p>
      <w:pPr>
        <w:pStyle w:val="Heading2"/>
        <w:spacing w:line="240" w:lineRule="auto"/>
        <w:ind w:left="292" w:right="0"/>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92" w:right="0"/>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4791"/>
        <w:gridCol w:w="4777"/>
      </w:tblGrid>
      <w:tr>
        <w:trPr>
          <w:trHeight w:val="71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72"/>
              <w:jc w:val="left"/>
              <w:rPr>
                <w:rFonts w:ascii="Times New Roman" w:hAnsi="Times New Roman" w:cs="Times New Roman" w:eastAsia="Times New Roman" w:hint="default"/>
                <w:sz w:val="18"/>
                <w:szCs w:val="18"/>
              </w:rPr>
            </w:pPr>
            <w:r>
              <w:rPr>
                <w:rFonts w:ascii="宋体" w:hAnsi="宋体" w:cs="宋体" w:eastAsia="宋体" w:hint="default"/>
                <w:spacing w:val="-4"/>
                <w:w w:val="99"/>
                <w:sz w:val="18"/>
                <w:szCs w:val="18"/>
              </w:rPr>
              <w:t>容诚会计师事务所（特殊普通合伙），原名称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华普天健会计</w:t>
            </w:r>
            <w:r>
              <w:rPr>
                <w:rFonts w:ascii="宋体" w:hAnsi="宋体" w:cs="宋体" w:eastAsia="宋体" w:hint="default"/>
                <w:spacing w:val="-72"/>
                <w:w w:val="99"/>
                <w:sz w:val="18"/>
                <w:szCs w:val="18"/>
              </w:rPr>
              <w:t> </w:t>
            </w:r>
            <w:r>
              <w:rPr>
                <w:rFonts w:ascii="宋体" w:hAnsi="宋体" w:cs="宋体" w:eastAsia="宋体" w:hint="default"/>
                <w:sz w:val="18"/>
                <w:szCs w:val="18"/>
              </w:rPr>
              <w:t>师事务所（特殊普通合伙）</w:t>
            </w:r>
            <w:r>
              <w:rPr>
                <w:rFonts w:ascii="Times New Roman" w:hAnsi="Times New Roman" w:cs="Times New Roman" w:eastAsia="Times New Roman" w:hint="default"/>
                <w:sz w:val="18"/>
                <w:szCs w:val="18"/>
              </w:rPr>
              <w:t>”</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王柏东、孔晶晶、胡玥</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王柏东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年、孔晶晶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年、胡玥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left="292" w:right="0"/>
        <w:jc w:val="left"/>
      </w:pPr>
      <w:r>
        <w:rPr/>
        <w:t>是否改聘会计师事务所</w:t>
      </w:r>
    </w:p>
    <w:p>
      <w:pPr>
        <w:pStyle w:val="BodyText"/>
        <w:spacing w:line="340" w:lineRule="auto" w:before="117"/>
        <w:ind w:left="292"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240" w:lineRule="auto" w:before="39"/>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292" w:right="0"/>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292" w:right="0"/>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9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after="0" w:line="338" w:lineRule="auto"/>
        <w:jc w:val="left"/>
        <w:sectPr>
          <w:footerReference w:type="default" r:id="rId16"/>
          <w:pgSz w:w="11910" w:h="16840"/>
          <w:pgMar w:footer="978" w:header="746" w:top="1060" w:bottom="1160" w:left="840" w:right="0"/>
          <w:pgNumType w:start="5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报告期内，公司控股股东、实际控制人不存在未履行法院生效判决，不存在数额较大债务到期未清偿等不良诚信状况。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300" w:lineRule="auto" w:before="101"/>
        <w:ind w:left="472" w:right="0"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年股权激励计划实施情况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报告期内，首次授予期权行权</w:t>
      </w:r>
      <w:r>
        <w:rPr>
          <w:rFonts w:ascii="Times New Roman" w:hAnsi="Times New Roman" w:cs="Times New Roman" w:eastAsia="Times New Roman" w:hint="default"/>
          <w:spacing w:val="-2"/>
          <w:sz w:val="18"/>
          <w:szCs w:val="18"/>
        </w:rPr>
        <w:t>2,723,946</w:t>
      </w:r>
      <w:r>
        <w:rPr>
          <w:rFonts w:ascii="宋体" w:hAnsi="宋体" w:cs="宋体" w:eastAsia="宋体" w:hint="default"/>
          <w:spacing w:val="-2"/>
          <w:sz w:val="18"/>
          <w:szCs w:val="18"/>
        </w:rPr>
        <w:t>份，累计行权</w:t>
      </w:r>
      <w:r>
        <w:rPr>
          <w:rFonts w:ascii="Times New Roman" w:hAnsi="Times New Roman" w:cs="Times New Roman" w:eastAsia="Times New Roman" w:hint="default"/>
          <w:spacing w:val="-2"/>
          <w:sz w:val="18"/>
          <w:szCs w:val="18"/>
        </w:rPr>
        <w:t>30,590,640</w:t>
      </w:r>
      <w:r>
        <w:rPr>
          <w:rFonts w:ascii="宋体" w:hAnsi="宋体" w:cs="宋体" w:eastAsia="宋体" w:hint="default"/>
          <w:spacing w:val="-2"/>
          <w:sz w:val="18"/>
          <w:szCs w:val="18"/>
        </w:rPr>
        <w:t>份，摊销成本</w:t>
      </w:r>
      <w:r>
        <w:rPr>
          <w:rFonts w:ascii="Times New Roman" w:hAnsi="Times New Roman" w:cs="Times New Roman" w:eastAsia="Times New Roman" w:hint="default"/>
          <w:spacing w:val="-2"/>
          <w:sz w:val="18"/>
          <w:szCs w:val="18"/>
        </w:rPr>
        <w:t>0</w:t>
      </w:r>
      <w:r>
        <w:rPr>
          <w:rFonts w:ascii="宋体" w:hAnsi="宋体" w:cs="宋体" w:eastAsia="宋体" w:hint="default"/>
          <w:spacing w:val="-2"/>
          <w:sz w:val="18"/>
          <w:szCs w:val="18"/>
        </w:rPr>
        <w:t>万元，累计摊销成本</w:t>
      </w:r>
      <w:r>
        <w:rPr>
          <w:rFonts w:ascii="Times New Roman" w:hAnsi="Times New Roman" w:cs="Times New Roman" w:eastAsia="Times New Roman" w:hint="default"/>
          <w:spacing w:val="-2"/>
          <w:sz w:val="18"/>
          <w:szCs w:val="18"/>
        </w:rPr>
        <w:t>5,549.07</w:t>
      </w:r>
      <w:r>
        <w:rPr>
          <w:rFonts w:ascii="宋体" w:hAnsi="宋体" w:cs="宋体" w:eastAsia="宋体" w:hint="default"/>
          <w:spacing w:val="-2"/>
          <w:sz w:val="18"/>
          <w:szCs w:val="18"/>
        </w:rPr>
        <w:t>万元，注销</w:t>
      </w:r>
      <w:r>
        <w:rPr>
          <w:rFonts w:ascii="Times New Roman" w:hAnsi="Times New Roman" w:cs="Times New Roman" w:eastAsia="Times New Roman" w:hint="default"/>
          <w:spacing w:val="-2"/>
          <w:sz w:val="18"/>
          <w:szCs w:val="18"/>
        </w:rPr>
        <w:t>0</w:t>
      </w:r>
    </w:p>
    <w:p>
      <w:pPr>
        <w:pStyle w:val="BodyText"/>
        <w:spacing w:line="240" w:lineRule="auto" w:before="13"/>
        <w:ind w:right="0"/>
        <w:jc w:val="left"/>
      </w:pPr>
      <w:r>
        <w:rPr/>
        <w:t>份，累计注销</w:t>
      </w:r>
      <w:r>
        <w:rPr>
          <w:rFonts w:ascii="Times New Roman" w:hAnsi="Times New Roman" w:cs="Times New Roman" w:eastAsia="Times New Roman" w:hint="default"/>
        </w:rPr>
        <w:t>3,119,161</w:t>
      </w:r>
      <w:r>
        <w:rPr/>
        <w:t>份；预留授予期权未行权，摊销成本</w:t>
      </w:r>
      <w:r>
        <w:rPr>
          <w:rFonts w:ascii="Times New Roman" w:hAnsi="Times New Roman" w:cs="Times New Roman" w:eastAsia="Times New Roman" w:hint="default"/>
        </w:rPr>
        <w:t>-596.22</w:t>
      </w:r>
      <w:r>
        <w:rPr/>
        <w:t>万元，累计摊销成本</w:t>
      </w:r>
      <w:r>
        <w:rPr>
          <w:rFonts w:ascii="Times New Roman" w:hAnsi="Times New Roman" w:cs="Times New Roman" w:eastAsia="Times New Roman" w:hint="default"/>
        </w:rPr>
        <w:t>0</w:t>
      </w:r>
      <w:r>
        <w:rPr/>
        <w:t>万元，注销</w:t>
      </w:r>
      <w:r>
        <w:rPr>
          <w:rFonts w:ascii="Times New Roman" w:hAnsi="Times New Roman" w:cs="Times New Roman" w:eastAsia="Times New Roman" w:hint="default"/>
        </w:rPr>
        <w:t>1,214,168</w:t>
      </w:r>
      <w:r>
        <w:rPr/>
        <w:t>份，累计注销</w:t>
      </w:r>
    </w:p>
    <w:p>
      <w:pPr>
        <w:pStyle w:val="BodyText"/>
        <w:spacing w:line="240" w:lineRule="auto" w:before="63"/>
        <w:ind w:right="0"/>
        <w:jc w:val="left"/>
      </w:pPr>
      <w:r>
        <w:rPr>
          <w:rFonts w:ascii="Times New Roman" w:hAnsi="Times New Roman" w:cs="Times New Roman" w:eastAsia="Times New Roman" w:hint="default"/>
        </w:rPr>
        <w:t>4,589,570</w:t>
      </w:r>
      <w:r>
        <w:rPr/>
        <w:t>份。</w:t>
      </w:r>
    </w:p>
    <w:p>
      <w:pPr>
        <w:pStyle w:val="BodyText"/>
        <w:spacing w:line="240" w:lineRule="auto" w:before="63"/>
        <w:ind w:left="472" w:right="0"/>
        <w:jc w:val="left"/>
      </w:pPr>
      <w:r>
        <w:rPr/>
        <w:t>截至报告期末，本股权激励计划实施完毕。</w:t>
      </w:r>
    </w:p>
    <w:p>
      <w:pPr>
        <w:pStyle w:val="Heading4"/>
        <w:spacing w:line="240" w:lineRule="auto" w:before="76"/>
        <w:ind w:left="472" w:right="0"/>
        <w:jc w:val="left"/>
        <w:rPr>
          <w:b w:val="0"/>
          <w:bCs w:val="0"/>
        </w:rPr>
      </w:pPr>
      <w:r>
        <w:rPr/>
        <w:t>（二）</w:t>
      </w:r>
      <w:r>
        <w:rPr>
          <w:rFonts w:ascii="Times New Roman" w:hAnsi="Times New Roman" w:cs="Times New Roman" w:eastAsia="Times New Roman" w:hint="default"/>
        </w:rPr>
        <w:t>2016</w:t>
      </w:r>
      <w:r>
        <w:rPr/>
        <w:t>年股权激励计划实施情况</w:t>
      </w:r>
      <w:r>
        <w:rPr>
          <w:b w:val="0"/>
          <w:bCs w:val="0"/>
        </w:rPr>
      </w:r>
    </w:p>
    <w:p>
      <w:pPr>
        <w:pStyle w:val="BodyText"/>
        <w:spacing w:line="300" w:lineRule="auto" w:before="63"/>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日，公司召开第四届董事会第九次会议，审议通过了《关于</w:t>
      </w:r>
      <w:r>
        <w:rPr>
          <w:rFonts w:ascii="Times New Roman" w:hAnsi="Times New Roman" w:cs="Times New Roman" w:eastAsia="Times New Roman" w:hint="default"/>
          <w:spacing w:val="-2"/>
        </w:rPr>
        <w:t>2016</w:t>
      </w:r>
      <w:r>
        <w:rPr>
          <w:spacing w:val="-2"/>
        </w:rPr>
        <w:t>年股权激励计划所涉激励对象及数量调</w:t>
      </w:r>
      <w:r>
        <w:rPr/>
        <w:t> 整的议案》、《关于注销</w:t>
      </w:r>
      <w:r>
        <w:rPr>
          <w:rFonts w:ascii="Times New Roman" w:hAnsi="Times New Roman" w:cs="Times New Roman" w:eastAsia="Times New Roman" w:hint="default"/>
        </w:rPr>
        <w:t>2016</w:t>
      </w:r>
      <w:r>
        <w:rPr/>
        <w:t>年股权激励计划首次授予期权第一个行权期逾期未行权期权的议案》、《关于回购注销</w:t>
      </w:r>
      <w:r>
        <w:rPr>
          <w:rFonts w:ascii="Times New Roman" w:hAnsi="Times New Roman" w:cs="Times New Roman" w:eastAsia="Times New Roman" w:hint="default"/>
        </w:rPr>
        <w:t>2016</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年股权激励计划所涉部分限制性股票的议案》及《关于</w:t>
      </w:r>
      <w:r>
        <w:rPr>
          <w:rFonts w:ascii="Times New Roman" w:hAnsi="Times New Roman" w:cs="Times New Roman" w:eastAsia="Times New Roman" w:hint="default"/>
        </w:rPr>
        <w:t>2016</w:t>
      </w:r>
      <w:r>
        <w:rPr/>
        <w:t>年股权激励计划首次授予部分第二个行权期</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 </w:t>
      </w:r>
      <w:r>
        <w:rPr>
          <w:spacing w:val="-2"/>
        </w:rPr>
        <w:t>件成就的议案》，鉴于激励对象因个人原因离职，同意取消</w:t>
      </w:r>
      <w:r>
        <w:rPr>
          <w:rFonts w:ascii="Times New Roman" w:hAnsi="Times New Roman" w:cs="Times New Roman" w:eastAsia="Times New Roman" w:hint="default"/>
          <w:spacing w:val="-2"/>
        </w:rPr>
        <w:t>3</w:t>
      </w:r>
      <w:r>
        <w:rPr>
          <w:spacing w:val="-2"/>
        </w:rPr>
        <w:t>名首次授予期权激励对象资格（激励对象由</w:t>
      </w:r>
      <w:r>
        <w:rPr>
          <w:rFonts w:ascii="Times New Roman" w:hAnsi="Times New Roman" w:cs="Times New Roman" w:eastAsia="Times New Roman" w:hint="default"/>
          <w:spacing w:val="-2"/>
        </w:rPr>
        <w:t>35</w:t>
      </w:r>
      <w:r>
        <w:rPr>
          <w:spacing w:val="-2"/>
        </w:rPr>
        <w:t>名调整为</w:t>
      </w:r>
      <w:r>
        <w:rPr>
          <w:rFonts w:ascii="Times New Roman" w:hAnsi="Times New Roman" w:cs="Times New Roman" w:eastAsia="Times New Roman" w:hint="default"/>
          <w:spacing w:val="-2"/>
        </w:rPr>
        <w:t>32</w:t>
      </w:r>
      <w:r>
        <w:rPr>
          <w:spacing w:val="-2"/>
        </w:rPr>
        <w:t>名），</w:t>
      </w:r>
      <w:r>
        <w:rPr>
          <w:spacing w:val="-58"/>
        </w:rPr>
        <w:t> </w:t>
      </w:r>
      <w:r>
        <w:rPr>
          <w:spacing w:val="-58"/>
        </w:rPr>
      </w:r>
      <w:r>
        <w:rPr/>
        <w:t>注销已授予但不符合行权条件的股票期权</w:t>
      </w:r>
      <w:r>
        <w:rPr>
          <w:rFonts w:ascii="Times New Roman" w:hAnsi="Times New Roman" w:cs="Times New Roman" w:eastAsia="Times New Roman" w:hint="default"/>
        </w:rPr>
        <w:t>231,800</w:t>
      </w:r>
      <w:r>
        <w:rPr/>
        <w:t>份（期权数量由</w:t>
      </w:r>
      <w:r>
        <w:rPr>
          <w:rFonts w:ascii="Times New Roman" w:hAnsi="Times New Roman" w:cs="Times New Roman" w:eastAsia="Times New Roman" w:hint="default"/>
        </w:rPr>
        <w:t>944,692</w:t>
      </w:r>
      <w:r>
        <w:rPr/>
        <w:t>份调整为</w:t>
      </w:r>
      <w:r>
        <w:rPr>
          <w:rFonts w:ascii="Times New Roman" w:hAnsi="Times New Roman" w:cs="Times New Roman" w:eastAsia="Times New Roman" w:hint="default"/>
        </w:rPr>
        <w:t>712,892</w:t>
      </w:r>
      <w:r>
        <w:rPr/>
        <w:t>份）；同意取消</w:t>
      </w:r>
      <w:r>
        <w:rPr>
          <w:rFonts w:ascii="Times New Roman" w:hAnsi="Times New Roman" w:cs="Times New Roman" w:eastAsia="Times New Roman" w:hint="default"/>
        </w:rPr>
        <w:t>6</w:t>
      </w:r>
      <w:r>
        <w:rPr/>
        <w:t>名首次授予限制</w:t>
      </w:r>
      <w:r>
        <w:rPr>
          <w:spacing w:val="-55"/>
        </w:rPr>
        <w:t> </w:t>
      </w:r>
      <w:r>
        <w:rPr>
          <w:spacing w:val="-55"/>
        </w:rPr>
      </w:r>
      <w:r>
        <w:rPr/>
        <w:t>性股票激励对象资格（激励对象由</w:t>
      </w:r>
      <w:r>
        <w:rPr>
          <w:rFonts w:ascii="Times New Roman" w:hAnsi="Times New Roman" w:cs="Times New Roman" w:eastAsia="Times New Roman" w:hint="default"/>
        </w:rPr>
        <w:t>498</w:t>
      </w:r>
      <w:r>
        <w:rPr/>
        <w:t>名调整为</w:t>
      </w:r>
      <w:r>
        <w:rPr>
          <w:rFonts w:ascii="Times New Roman" w:hAnsi="Times New Roman" w:cs="Times New Roman" w:eastAsia="Times New Roman" w:hint="default"/>
        </w:rPr>
        <w:t>492</w:t>
      </w:r>
      <w:r>
        <w:rPr/>
        <w:t>名），回购注销已授予但尚未解锁的限制性股票</w:t>
      </w:r>
      <w:r>
        <w:rPr>
          <w:rFonts w:ascii="Times New Roman" w:hAnsi="Times New Roman" w:cs="Times New Roman" w:eastAsia="Times New Roman" w:hint="default"/>
        </w:rPr>
        <w:t>78,660</w:t>
      </w:r>
      <w:r>
        <w:rPr/>
        <w:t>股（限制性股票数 </w:t>
      </w:r>
      <w:r>
        <w:rPr>
          <w:spacing w:val="-2"/>
        </w:rPr>
        <w:t>量由</w:t>
      </w:r>
      <w:r>
        <w:rPr>
          <w:rFonts w:ascii="Times New Roman" w:hAnsi="Times New Roman" w:cs="Times New Roman" w:eastAsia="Times New Roman" w:hint="default"/>
          <w:spacing w:val="-2"/>
        </w:rPr>
        <w:t>14,393,640</w:t>
      </w:r>
      <w:r>
        <w:rPr>
          <w:spacing w:val="-2"/>
        </w:rPr>
        <w:t>股调整为</w:t>
      </w:r>
      <w:r>
        <w:rPr>
          <w:rFonts w:ascii="Times New Roman" w:hAnsi="Times New Roman" w:cs="Times New Roman" w:eastAsia="Times New Roman" w:hint="default"/>
          <w:spacing w:val="-2"/>
        </w:rPr>
        <w:t>14,314,980</w:t>
      </w:r>
      <w:r>
        <w:rPr>
          <w:spacing w:val="-2"/>
        </w:rPr>
        <w:t>股）；同意取消</w:t>
      </w:r>
      <w:r>
        <w:rPr>
          <w:rFonts w:ascii="Times New Roman" w:hAnsi="Times New Roman" w:cs="Times New Roman" w:eastAsia="Times New Roman" w:hint="default"/>
          <w:spacing w:val="-2"/>
        </w:rPr>
        <w:t>5</w:t>
      </w:r>
      <w:r>
        <w:rPr>
          <w:spacing w:val="-2"/>
        </w:rPr>
        <w:t>名预留授予限制性股票激励对象资格（激励对象由</w:t>
      </w:r>
      <w:r>
        <w:rPr>
          <w:rFonts w:ascii="Times New Roman" w:hAnsi="Times New Roman" w:cs="Times New Roman" w:eastAsia="Times New Roman" w:hint="default"/>
          <w:spacing w:val="-2"/>
        </w:rPr>
        <w:t>270</w:t>
      </w:r>
      <w:r>
        <w:rPr>
          <w:spacing w:val="-2"/>
        </w:rPr>
        <w:t>名调整为</w:t>
      </w:r>
      <w:r>
        <w:rPr>
          <w:rFonts w:ascii="Times New Roman" w:hAnsi="Times New Roman" w:cs="Times New Roman" w:eastAsia="Times New Roman" w:hint="default"/>
          <w:spacing w:val="-2"/>
        </w:rPr>
        <w:t>265</w:t>
      </w:r>
      <w:r>
        <w:rPr>
          <w:spacing w:val="-2"/>
        </w:rPr>
        <w:t>名），</w:t>
      </w:r>
      <w:r>
        <w:rPr>
          <w:spacing w:val="-45"/>
        </w:rPr>
        <w:t> </w:t>
      </w:r>
      <w:r>
        <w:rPr>
          <w:spacing w:val="-45"/>
        </w:rPr>
      </w:r>
      <w:r>
        <w:rPr/>
        <w:t>回购注销已授予但尚未解锁的限制性股票</w:t>
      </w:r>
      <w:r>
        <w:rPr>
          <w:rFonts w:ascii="Times New Roman" w:hAnsi="Times New Roman" w:cs="Times New Roman" w:eastAsia="Times New Roman" w:hint="default"/>
        </w:rPr>
        <w:t>49,000</w:t>
      </w:r>
      <w:r>
        <w:rPr/>
        <w:t>股（限制性股票数量由</w:t>
      </w:r>
      <w:r>
        <w:rPr>
          <w:rFonts w:ascii="Times New Roman" w:hAnsi="Times New Roman" w:cs="Times New Roman" w:eastAsia="Times New Roman" w:hint="default"/>
        </w:rPr>
        <w:t>3,027,300</w:t>
      </w:r>
      <w:r>
        <w:rPr/>
        <w:t>股调整为</w:t>
      </w:r>
      <w:r>
        <w:rPr>
          <w:rFonts w:ascii="Times New Roman" w:hAnsi="Times New Roman" w:cs="Times New Roman" w:eastAsia="Times New Roman" w:hint="default"/>
        </w:rPr>
        <w:t>2,978,300</w:t>
      </w:r>
      <w:r>
        <w:rPr/>
        <w:t>股）；同意注销首次授予 期权第一个行权期内</w:t>
      </w:r>
      <w:r>
        <w:rPr>
          <w:rFonts w:ascii="Times New Roman" w:hAnsi="Times New Roman" w:cs="Times New Roman" w:eastAsia="Times New Roman" w:hint="default"/>
        </w:rPr>
        <w:t>50,552</w:t>
      </w:r>
      <w:r>
        <w:rPr/>
        <w:t>份逾期未行权期权；同意满足第二个行权期</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解锁条件的</w:t>
      </w:r>
      <w:r>
        <w:rPr>
          <w:rFonts w:ascii="Times New Roman" w:hAnsi="Times New Roman" w:cs="Times New Roman" w:eastAsia="Times New Roman" w:hint="default"/>
        </w:rPr>
        <w:t>32</w:t>
      </w:r>
      <w:r>
        <w:rPr/>
        <w:t>名首次授予期权激励对象</w:t>
      </w:r>
      <w:r>
        <w:rPr>
          <w:spacing w:val="-58"/>
        </w:rPr>
        <w:t> </w:t>
      </w:r>
      <w:r>
        <w:rPr>
          <w:spacing w:val="-58"/>
        </w:rPr>
      </w:r>
      <w:r>
        <w:rPr/>
        <w:t>第二个行权期可自主行权</w:t>
      </w:r>
      <w:r>
        <w:rPr>
          <w:rFonts w:ascii="Times New Roman" w:hAnsi="Times New Roman" w:cs="Times New Roman" w:eastAsia="Times New Roman" w:hint="default"/>
        </w:rPr>
        <w:t>331,170</w:t>
      </w:r>
      <w:r>
        <w:rPr/>
        <w:t>份，</w:t>
      </w:r>
      <w:r>
        <w:rPr>
          <w:rFonts w:ascii="Times New Roman" w:hAnsi="Times New Roman" w:cs="Times New Roman" w:eastAsia="Times New Roman" w:hint="default"/>
        </w:rPr>
        <w:t>492</w:t>
      </w:r>
      <w:r>
        <w:rPr/>
        <w:t>名首次授予限制性股票激励对象第二个解锁期可解锁</w:t>
      </w:r>
      <w:r>
        <w:rPr>
          <w:rFonts w:ascii="Times New Roman" w:hAnsi="Times New Roman" w:cs="Times New Roman" w:eastAsia="Times New Roman" w:hint="default"/>
        </w:rPr>
        <w:t>7,157,490</w:t>
      </w:r>
      <w:r>
        <w:rPr/>
        <w:t>股。上述限制性股票 回购注销事项已经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日召开的</w:t>
      </w:r>
      <w:r>
        <w:rPr>
          <w:rFonts w:ascii="Times New Roman" w:hAnsi="Times New Roman" w:cs="Times New Roman" w:eastAsia="Times New Roman" w:hint="default"/>
        </w:rPr>
        <w:t>2019</w:t>
      </w:r>
      <w:r>
        <w:rPr/>
        <w:t>年第一次临时股东大会审议通过。</w:t>
      </w:r>
    </w:p>
    <w:p>
      <w:pPr>
        <w:pStyle w:val="BodyText"/>
        <w:spacing w:line="300" w:lineRule="auto" w:before="13"/>
        <w:ind w:right="0"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日，公司召开第四届董事会第十次会议，审议通过了《关于</w:t>
      </w:r>
      <w:r>
        <w:rPr>
          <w:rFonts w:ascii="Times New Roman" w:hAnsi="Times New Roman" w:cs="Times New Roman" w:eastAsia="Times New Roman" w:hint="default"/>
          <w:spacing w:val="-2"/>
        </w:rPr>
        <w:t>2016</w:t>
      </w:r>
      <w:r>
        <w:rPr>
          <w:spacing w:val="-2"/>
        </w:rPr>
        <w:t>年股权激励计划所涉激励对象及数量调</w:t>
      </w:r>
      <w:r>
        <w:rPr/>
        <w:t> </w:t>
      </w:r>
      <w:r>
        <w:rPr>
          <w:spacing w:val="-2"/>
        </w:rPr>
        <w:t>整的议案》、《关于回购注销</w:t>
      </w:r>
      <w:r>
        <w:rPr>
          <w:rFonts w:ascii="Times New Roman" w:hAnsi="Times New Roman" w:cs="Times New Roman" w:eastAsia="Times New Roman" w:hint="default"/>
          <w:spacing w:val="-2"/>
        </w:rPr>
        <w:t>2016</w:t>
      </w:r>
      <w:r>
        <w:rPr>
          <w:spacing w:val="-2"/>
        </w:rPr>
        <w:t>年股权激励计划所涉部分限制性股票的议案》，鉴于激励对象因个人原因离职，同意取消</w:t>
      </w:r>
      <w:r>
        <w:rPr>
          <w:spacing w:val="-61"/>
        </w:rPr>
        <w:t> </w:t>
      </w:r>
      <w:r>
        <w:rPr>
          <w:spacing w:val="-61"/>
        </w:rPr>
      </w:r>
      <w:r>
        <w:rPr>
          <w:rFonts w:ascii="Times New Roman" w:hAnsi="Times New Roman" w:cs="Times New Roman" w:eastAsia="Times New Roman" w:hint="default"/>
          <w:spacing w:val="-3"/>
        </w:rPr>
        <w:t>11</w:t>
      </w:r>
      <w:r>
        <w:rPr>
          <w:spacing w:val="-3"/>
        </w:rPr>
        <w:t>名首次授予限制性股票激励对象资格（激励对象由</w:t>
      </w:r>
      <w:r>
        <w:rPr>
          <w:rFonts w:ascii="Times New Roman" w:hAnsi="Times New Roman" w:cs="Times New Roman" w:eastAsia="Times New Roman" w:hint="default"/>
          <w:spacing w:val="-3"/>
        </w:rPr>
        <w:t>492</w:t>
      </w:r>
      <w:r>
        <w:rPr>
          <w:spacing w:val="-3"/>
        </w:rPr>
        <w:t>名调整为</w:t>
      </w:r>
      <w:r>
        <w:rPr>
          <w:rFonts w:ascii="Times New Roman" w:hAnsi="Times New Roman" w:cs="Times New Roman" w:eastAsia="Times New Roman" w:hint="default"/>
          <w:spacing w:val="-3"/>
        </w:rPr>
        <w:t>481</w:t>
      </w:r>
      <w:r>
        <w:rPr>
          <w:spacing w:val="-3"/>
        </w:rPr>
        <w:t>名），回购注销已授予但尚未解锁的限制性股票</w:t>
      </w:r>
      <w:r>
        <w:rPr>
          <w:rFonts w:ascii="Times New Roman" w:hAnsi="Times New Roman" w:cs="Times New Roman" w:eastAsia="Times New Roman" w:hint="default"/>
          <w:spacing w:val="-3"/>
        </w:rPr>
        <w:t>188,100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股（限制性股票数量由</w:t>
      </w:r>
      <w:r>
        <w:rPr>
          <w:rFonts w:ascii="Times New Roman" w:hAnsi="Times New Roman" w:cs="Times New Roman" w:eastAsia="Times New Roman" w:hint="default"/>
        </w:rPr>
        <w:t>7,157,490</w:t>
      </w:r>
      <w:r>
        <w:rPr/>
        <w:t>股调整为</w:t>
      </w:r>
      <w:r>
        <w:rPr>
          <w:rFonts w:ascii="Times New Roman" w:hAnsi="Times New Roman" w:cs="Times New Roman" w:eastAsia="Times New Roman" w:hint="default"/>
        </w:rPr>
        <w:t>6,969,390</w:t>
      </w:r>
      <w:r>
        <w:rPr/>
        <w:t>股）；同意取消</w:t>
      </w:r>
      <w:r>
        <w:rPr>
          <w:rFonts w:ascii="Times New Roman" w:hAnsi="Times New Roman" w:cs="Times New Roman" w:eastAsia="Times New Roman" w:hint="default"/>
        </w:rPr>
        <w:t>3</w:t>
      </w:r>
      <w:r>
        <w:rPr/>
        <w:t>名预留授予限制性股票激励对象资格（激励对象由</w:t>
      </w:r>
      <w:r>
        <w:rPr>
          <w:rFonts w:ascii="Times New Roman" w:hAnsi="Times New Roman" w:cs="Times New Roman" w:eastAsia="Times New Roman" w:hint="default"/>
        </w:rPr>
        <w:t>265</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1"/>
        </w:rPr>
        <w:t>名调整为</w:t>
      </w:r>
      <w:r>
        <w:rPr>
          <w:rFonts w:ascii="Times New Roman" w:hAnsi="Times New Roman" w:cs="Times New Roman" w:eastAsia="Times New Roman" w:hint="default"/>
          <w:spacing w:val="-1"/>
        </w:rPr>
        <w:t>262</w:t>
      </w:r>
      <w:r>
        <w:rPr>
          <w:spacing w:val="-1"/>
        </w:rPr>
        <w:t>名），回购注销已授予但尚未解锁的限制性股票</w:t>
      </w:r>
      <w:r>
        <w:rPr>
          <w:rFonts w:ascii="Times New Roman" w:hAnsi="Times New Roman" w:cs="Times New Roman" w:eastAsia="Times New Roman" w:hint="default"/>
          <w:spacing w:val="-1"/>
        </w:rPr>
        <w:t>12,550</w:t>
      </w:r>
      <w:r>
        <w:rPr>
          <w:spacing w:val="-1"/>
        </w:rPr>
        <w:t>股（限制性股票数量由</w:t>
      </w:r>
      <w:r>
        <w:rPr>
          <w:rFonts w:ascii="Times New Roman" w:hAnsi="Times New Roman" w:cs="Times New Roman" w:eastAsia="Times New Roman" w:hint="default"/>
          <w:spacing w:val="-1"/>
        </w:rPr>
        <w:t>2,978,300</w:t>
      </w:r>
      <w:r>
        <w:rPr>
          <w:spacing w:val="-1"/>
        </w:rPr>
        <w:t>股调整为</w:t>
      </w:r>
      <w:r>
        <w:rPr>
          <w:rFonts w:ascii="Times New Roman" w:hAnsi="Times New Roman" w:cs="Times New Roman" w:eastAsia="Times New Roman" w:hint="default"/>
          <w:spacing w:val="-1"/>
        </w:rPr>
        <w:t>2,965,750</w:t>
      </w:r>
      <w:r>
        <w:rPr>
          <w:spacing w:val="-1"/>
        </w:rPr>
        <w:t>股）。</w:t>
      </w:r>
      <w:r>
        <w:rPr>
          <w:spacing w:val="-71"/>
        </w:rPr>
        <w:t> </w:t>
      </w:r>
      <w:r>
        <w:rPr>
          <w:spacing w:val="-71"/>
        </w:rPr>
      </w:r>
      <w:r>
        <w:rPr/>
        <w:t>上述限制性股票回购注销事项已经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2018</w:t>
      </w:r>
      <w:r>
        <w:rPr/>
        <w:t>年度股东大会审议通过。</w:t>
      </w:r>
    </w:p>
    <w:p>
      <w:pPr>
        <w:pStyle w:val="BodyText"/>
        <w:spacing w:line="240" w:lineRule="auto" w:before="13"/>
        <w:ind w:left="472" w:right="0"/>
        <w:jc w:val="left"/>
      </w:pPr>
      <w:r>
        <w:rPr>
          <w:rFonts w:ascii="Times New Roman" w:hAnsi="Times New Roman" w:cs="Times New Roman" w:eastAsia="Times New Roman" w:hint="default"/>
          <w:spacing w:val="1"/>
        </w:rPr>
        <w:t>3</w:t>
      </w:r>
      <w:r>
        <w:rPr>
          <w:spacing w:val="-68"/>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t>年</w:t>
      </w:r>
      <w:r>
        <w:rPr>
          <w:rFonts w:ascii="Times New Roman" w:hAnsi="Times New Roman" w:cs="Times New Roman" w:eastAsia="Times New Roman" w:hint="default"/>
          <w:spacing w:val="1"/>
        </w:rPr>
        <w:t>7</w:t>
      </w:r>
      <w:r>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t>日</w:t>
      </w:r>
      <w:r>
        <w:rPr>
          <w:spacing w:val="-65"/>
        </w:rPr>
        <w:t>，</w:t>
      </w:r>
      <w:r>
        <w:rPr/>
        <w:t>公司召开第四届董事会第十二次会议</w:t>
      </w:r>
      <w:r>
        <w:rPr>
          <w:spacing w:val="-65"/>
        </w:rPr>
        <w:t>，</w:t>
      </w:r>
      <w:r>
        <w:rPr/>
        <w:t>审议通过</w:t>
      </w:r>
      <w:r>
        <w:rPr>
          <w:spacing w:val="-65"/>
        </w:rPr>
        <w:t>了</w:t>
      </w:r>
      <w:r>
        <w:rPr/>
        <w:t>《关于</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t>年股权激励计划相关事项调整的议案</w:t>
      </w:r>
      <w:r>
        <w:rPr>
          <w:spacing w:val="-92"/>
        </w:rPr>
        <w:t>》</w:t>
      </w:r>
      <w:r>
        <w:rPr/>
        <w:t>、</w:t>
      </w:r>
    </w:p>
    <w:p>
      <w:pPr>
        <w:pStyle w:val="BodyText"/>
        <w:spacing w:line="300" w:lineRule="auto" w:before="63"/>
        <w:ind w:right="0"/>
        <w:jc w:val="left"/>
      </w:pPr>
      <w:r>
        <w:rPr>
          <w:spacing w:val="-2"/>
        </w:rPr>
        <w:t>《关于回购注销</w:t>
      </w:r>
      <w:r>
        <w:rPr>
          <w:rFonts w:ascii="Times New Roman" w:hAnsi="Times New Roman" w:cs="Times New Roman" w:eastAsia="Times New Roman" w:hint="default"/>
          <w:spacing w:val="-2"/>
        </w:rPr>
        <w:t>2016</w:t>
      </w:r>
      <w:r>
        <w:rPr>
          <w:spacing w:val="-2"/>
        </w:rPr>
        <w:t>年股权激励计划所涉部分限制性股票的议案》，鉴于</w:t>
      </w:r>
      <w:r>
        <w:rPr>
          <w:rFonts w:ascii="Times New Roman" w:hAnsi="Times New Roman" w:cs="Times New Roman" w:eastAsia="Times New Roman" w:hint="default"/>
          <w:spacing w:val="-2"/>
        </w:rPr>
        <w:t>2018</w:t>
      </w:r>
      <w:r>
        <w:rPr>
          <w:spacing w:val="-2"/>
        </w:rPr>
        <w:t>年度权益分派实施完成，同意首次授予期权行</w:t>
      </w:r>
      <w:r>
        <w:rPr>
          <w:spacing w:val="-59"/>
        </w:rPr>
        <w:t> </w:t>
      </w:r>
      <w:r>
        <w:rPr>
          <w:spacing w:val="-59"/>
        </w:rPr>
      </w:r>
      <w:r>
        <w:rPr/>
        <w:t>权价格由</w:t>
      </w:r>
      <w:r>
        <w:rPr>
          <w:rFonts w:ascii="Times New Roman" w:hAnsi="Times New Roman" w:cs="Times New Roman" w:eastAsia="Times New Roman" w:hint="default"/>
        </w:rPr>
        <w:t>11.772</w:t>
      </w:r>
      <w:r>
        <w:rPr/>
        <w:t>元</w:t>
      </w:r>
      <w:r>
        <w:rPr>
          <w:rFonts w:ascii="Times New Roman" w:hAnsi="Times New Roman" w:cs="Times New Roman" w:eastAsia="Times New Roman" w:hint="default"/>
        </w:rPr>
        <w:t>/</w:t>
      </w:r>
      <w:r>
        <w:rPr/>
        <w:t>份调整为</w:t>
      </w:r>
      <w:r>
        <w:rPr>
          <w:rFonts w:ascii="Times New Roman" w:hAnsi="Times New Roman" w:cs="Times New Roman" w:eastAsia="Times New Roman" w:hint="default"/>
        </w:rPr>
        <w:t>11.752</w:t>
      </w:r>
      <w:r>
        <w:rPr/>
        <w:t>元</w:t>
      </w:r>
      <w:r>
        <w:rPr>
          <w:rFonts w:ascii="Times New Roman" w:hAnsi="Times New Roman" w:cs="Times New Roman" w:eastAsia="Times New Roman" w:hint="default"/>
        </w:rPr>
        <w:t>/</w:t>
      </w:r>
      <w:r>
        <w:rPr/>
        <w:t>份，预留授予期权行权价格由</w:t>
      </w:r>
      <w:r>
        <w:rPr>
          <w:rFonts w:ascii="Times New Roman" w:hAnsi="Times New Roman" w:cs="Times New Roman" w:eastAsia="Times New Roman" w:hint="default"/>
        </w:rPr>
        <w:t>7.295</w:t>
      </w:r>
      <w:r>
        <w:rPr/>
        <w:t>元</w:t>
      </w:r>
      <w:r>
        <w:rPr>
          <w:rFonts w:ascii="Times New Roman" w:hAnsi="Times New Roman" w:cs="Times New Roman" w:eastAsia="Times New Roman" w:hint="default"/>
        </w:rPr>
        <w:t>/</w:t>
      </w:r>
      <w:r>
        <w:rPr/>
        <w:t>份调整为</w:t>
      </w:r>
      <w:r>
        <w:rPr>
          <w:rFonts w:ascii="Times New Roman" w:hAnsi="Times New Roman" w:cs="Times New Roman" w:eastAsia="Times New Roman" w:hint="default"/>
        </w:rPr>
        <w:t>7.275</w:t>
      </w:r>
      <w:r>
        <w:rPr/>
        <w:t>元</w:t>
      </w:r>
      <w:r>
        <w:rPr>
          <w:rFonts w:ascii="Times New Roman" w:hAnsi="Times New Roman" w:cs="Times New Roman" w:eastAsia="Times New Roman" w:hint="default"/>
        </w:rPr>
        <w:t>/</w:t>
      </w:r>
      <w:r>
        <w:rPr/>
        <w:t>份，首次授予限制性股票回购</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t>价格由</w:t>
      </w:r>
      <w:r>
        <w:rPr>
          <w:rFonts w:ascii="Times New Roman" w:hAnsi="Times New Roman" w:cs="Times New Roman" w:eastAsia="Times New Roman" w:hint="default"/>
        </w:rPr>
        <w:t>5.862</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5.842</w:t>
      </w:r>
      <w:r>
        <w:rPr/>
        <w:t>元</w:t>
      </w:r>
      <w:r>
        <w:rPr>
          <w:rFonts w:ascii="Times New Roman" w:hAnsi="Times New Roman" w:cs="Times New Roman" w:eastAsia="Times New Roman" w:hint="default"/>
        </w:rPr>
        <w:t>/</w:t>
      </w:r>
      <w:r>
        <w:rPr/>
        <w:t>股，预留授予限制性股票回购价格由</w:t>
      </w:r>
      <w:r>
        <w:rPr>
          <w:rFonts w:ascii="Times New Roman" w:hAnsi="Times New Roman" w:cs="Times New Roman" w:eastAsia="Times New Roman" w:hint="default"/>
        </w:rPr>
        <w:t>3.645</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3.625</w:t>
      </w:r>
      <w:r>
        <w:rPr/>
        <w:t>元</w:t>
      </w:r>
      <w:r>
        <w:rPr>
          <w:rFonts w:ascii="Times New Roman" w:hAnsi="Times New Roman" w:cs="Times New Roman" w:eastAsia="Times New Roman" w:hint="default"/>
        </w:rPr>
        <w:t>/</w:t>
      </w:r>
      <w:r>
        <w:rPr/>
        <w:t>股。鉴于激励对象因个人原</w:t>
      </w:r>
      <w:r>
        <w:rPr>
          <w:spacing w:val="-33"/>
        </w:rPr>
        <w:t> </w:t>
      </w:r>
      <w:r>
        <w:rPr>
          <w:spacing w:val="-33"/>
        </w:rPr>
      </w:r>
      <w:r>
        <w:rPr/>
        <w:t>因离职，同意取消</w:t>
      </w:r>
      <w:r>
        <w:rPr>
          <w:rFonts w:ascii="Times New Roman" w:hAnsi="Times New Roman" w:cs="Times New Roman" w:eastAsia="Times New Roman" w:hint="default"/>
        </w:rPr>
        <w:t>8</w:t>
      </w:r>
      <w:r>
        <w:rPr/>
        <w:t>名首次授予限制性股票激励对象资格（激励对象由</w:t>
      </w:r>
      <w:r>
        <w:rPr>
          <w:rFonts w:ascii="Times New Roman" w:hAnsi="Times New Roman" w:cs="Times New Roman" w:eastAsia="Times New Roman" w:hint="default"/>
        </w:rPr>
        <w:t>481</w:t>
      </w:r>
      <w:r>
        <w:rPr/>
        <w:t>名调整为</w:t>
      </w:r>
      <w:r>
        <w:rPr>
          <w:rFonts w:ascii="Times New Roman" w:hAnsi="Times New Roman" w:cs="Times New Roman" w:eastAsia="Times New Roman" w:hint="default"/>
        </w:rPr>
        <w:t>473</w:t>
      </w:r>
      <w:r>
        <w:rPr/>
        <w:t>名），回购注销已授予但尚未解锁的 限制性股票</w:t>
      </w:r>
      <w:r>
        <w:rPr>
          <w:rFonts w:ascii="Times New Roman" w:hAnsi="Times New Roman" w:cs="Times New Roman" w:eastAsia="Times New Roman" w:hint="default"/>
        </w:rPr>
        <w:t>55,860</w:t>
      </w:r>
      <w:r>
        <w:rPr/>
        <w:t>股（限制性股票数量由</w:t>
      </w:r>
      <w:r>
        <w:rPr>
          <w:rFonts w:ascii="Times New Roman" w:hAnsi="Times New Roman" w:cs="Times New Roman" w:eastAsia="Times New Roman" w:hint="default"/>
        </w:rPr>
        <w:t>6,969,390</w:t>
      </w:r>
      <w:r>
        <w:rPr/>
        <w:t>股调整为</w:t>
      </w:r>
      <w:r>
        <w:rPr>
          <w:rFonts w:ascii="Times New Roman" w:hAnsi="Times New Roman" w:cs="Times New Roman" w:eastAsia="Times New Roman" w:hint="default"/>
        </w:rPr>
        <w:t>6,913,530</w:t>
      </w:r>
      <w:r>
        <w:rPr/>
        <w:t>股）；同意取消</w:t>
      </w:r>
      <w:r>
        <w:rPr>
          <w:rFonts w:ascii="Times New Roman" w:hAnsi="Times New Roman" w:cs="Times New Roman" w:eastAsia="Times New Roman" w:hint="default"/>
        </w:rPr>
        <w:t>8</w:t>
      </w:r>
      <w:r>
        <w:rPr/>
        <w:t>名预留授予限制性股票激励对象资格</w:t>
      </w:r>
    </w:p>
    <w:p>
      <w:pPr>
        <w:pStyle w:val="BodyText"/>
        <w:spacing w:line="300" w:lineRule="auto" w:before="13"/>
        <w:ind w:right="1129"/>
        <w:jc w:val="both"/>
      </w:pPr>
      <w:r>
        <w:rPr>
          <w:spacing w:val="-4"/>
        </w:rPr>
        <w:t>（激励对象由</w:t>
      </w:r>
      <w:r>
        <w:rPr>
          <w:rFonts w:ascii="Times New Roman" w:hAnsi="Times New Roman" w:cs="Times New Roman" w:eastAsia="Times New Roman" w:hint="default"/>
          <w:spacing w:val="-4"/>
        </w:rPr>
        <w:t>262</w:t>
      </w:r>
      <w:r>
        <w:rPr>
          <w:spacing w:val="-4"/>
        </w:rPr>
        <w:t>名调整为</w:t>
      </w:r>
      <w:r>
        <w:rPr>
          <w:rFonts w:ascii="Times New Roman" w:hAnsi="Times New Roman" w:cs="Times New Roman" w:eastAsia="Times New Roman" w:hint="default"/>
          <w:spacing w:val="-4"/>
        </w:rPr>
        <w:t>254</w:t>
      </w:r>
      <w:r>
        <w:rPr>
          <w:spacing w:val="-4"/>
        </w:rPr>
        <w:t>名），回购注销已授予但尚未解锁的预留授予限制性股票</w:t>
      </w:r>
      <w:r>
        <w:rPr>
          <w:rFonts w:ascii="Times New Roman" w:hAnsi="Times New Roman" w:cs="Times New Roman" w:eastAsia="Times New Roman" w:hint="default"/>
          <w:spacing w:val="-4"/>
        </w:rPr>
        <w:t>37,500</w:t>
      </w:r>
      <w:r>
        <w:rPr>
          <w:spacing w:val="-4"/>
        </w:rPr>
        <w:t>股（限制性股票数量由</w:t>
      </w:r>
      <w:r>
        <w:rPr>
          <w:rFonts w:ascii="Times New Roman" w:hAnsi="Times New Roman" w:cs="Times New Roman" w:eastAsia="Times New Roman" w:hint="default"/>
          <w:spacing w:val="-4"/>
        </w:rPr>
        <w:t>2,965,750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股调整为</w:t>
      </w:r>
      <w:r>
        <w:rPr>
          <w:rFonts w:ascii="Times New Roman" w:hAnsi="Times New Roman" w:cs="Times New Roman" w:eastAsia="Times New Roman" w:hint="default"/>
        </w:rPr>
        <w:t>2,928,250</w:t>
      </w:r>
      <w:r>
        <w:rPr/>
        <w:t>股）。上述限制性股票回购注销事项已经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日召开的</w:t>
      </w:r>
      <w:r>
        <w:rPr>
          <w:rFonts w:ascii="Times New Roman" w:hAnsi="Times New Roman" w:cs="Times New Roman" w:eastAsia="Times New Roman" w:hint="default"/>
        </w:rPr>
        <w:t>2019</w:t>
      </w:r>
      <w:r>
        <w:rPr/>
        <w:t>年第二次临时股东大会审议通过。</w:t>
      </w:r>
    </w:p>
    <w:p>
      <w:pPr>
        <w:pStyle w:val="BodyText"/>
        <w:spacing w:line="300" w:lineRule="auto" w:before="13"/>
        <w:ind w:right="1130"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日，公司召开第四届董事会第十九次会议，审议通过了《关于</w:t>
      </w:r>
      <w:r>
        <w:rPr>
          <w:rFonts w:ascii="Times New Roman" w:hAnsi="Times New Roman" w:cs="Times New Roman" w:eastAsia="Times New Roman" w:hint="default"/>
        </w:rPr>
        <w:t>2016</w:t>
      </w:r>
      <w:r>
        <w:rPr/>
        <w:t>年股权激励计划所涉激励对象及数 </w:t>
      </w:r>
      <w:r>
        <w:rPr>
          <w:spacing w:val="-2"/>
        </w:rPr>
        <w:t>量调整的议案》、《关于回购注销</w:t>
      </w:r>
      <w:r>
        <w:rPr>
          <w:rFonts w:ascii="Times New Roman" w:hAnsi="Times New Roman" w:cs="Times New Roman" w:eastAsia="Times New Roman" w:hint="default"/>
          <w:spacing w:val="-2"/>
        </w:rPr>
        <w:t>2016</w:t>
      </w:r>
      <w:r>
        <w:rPr>
          <w:spacing w:val="-2"/>
        </w:rPr>
        <w:t>年股权激励计划所涉部分限制性股票的议案》、《关于</w:t>
      </w:r>
      <w:r>
        <w:rPr>
          <w:rFonts w:ascii="Times New Roman" w:hAnsi="Times New Roman" w:cs="Times New Roman" w:eastAsia="Times New Roman" w:hint="default"/>
          <w:spacing w:val="-2"/>
        </w:rPr>
        <w:t>2016</w:t>
      </w:r>
      <w:r>
        <w:rPr>
          <w:spacing w:val="-2"/>
        </w:rPr>
        <w:t>年股权激励计划预留授予</w:t>
      </w:r>
      <w:r>
        <w:rPr>
          <w:spacing w:val="-59"/>
        </w:rPr>
        <w:t> </w:t>
      </w:r>
      <w:r>
        <w:rPr/>
        <w:t>部分第二个行权期</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解锁条件成就的议案》，鉴于激励对象因个人原因离职，同意取消</w:t>
      </w:r>
      <w:r>
        <w:rPr>
          <w:rFonts w:ascii="Times New Roman" w:hAnsi="Times New Roman" w:cs="Times New Roman" w:eastAsia="Times New Roman" w:hint="default"/>
        </w:rPr>
        <w:t>6</w:t>
      </w:r>
      <w:r>
        <w:rPr/>
        <w:t>名首次授予限制性股票</w:t>
      </w:r>
      <w:r>
        <w:rPr>
          <w:spacing w:val="-18"/>
        </w:rPr>
        <w:t> </w:t>
      </w:r>
      <w:r>
        <w:rPr>
          <w:spacing w:val="-18"/>
        </w:rPr>
      </w:r>
      <w:r>
        <w:rPr>
          <w:spacing w:val="-1"/>
        </w:rPr>
        <w:t>激励对象资格（激励对象由</w:t>
      </w:r>
      <w:r>
        <w:rPr>
          <w:rFonts w:ascii="Times New Roman" w:hAnsi="Times New Roman" w:cs="Times New Roman" w:eastAsia="Times New Roman" w:hint="default"/>
          <w:spacing w:val="-1"/>
        </w:rPr>
        <w:t>473</w:t>
      </w:r>
      <w:r>
        <w:rPr>
          <w:spacing w:val="-1"/>
        </w:rPr>
        <w:t>名调整为</w:t>
      </w:r>
      <w:r>
        <w:rPr>
          <w:rFonts w:ascii="Times New Roman" w:hAnsi="Times New Roman" w:cs="Times New Roman" w:eastAsia="Times New Roman" w:hint="default"/>
          <w:spacing w:val="-1"/>
        </w:rPr>
        <w:t>467</w:t>
      </w:r>
      <w:r>
        <w:rPr>
          <w:spacing w:val="-1"/>
        </w:rPr>
        <w:t>名），回购注销已授予但不符合解锁条件的限制性股票</w:t>
      </w:r>
      <w:r>
        <w:rPr>
          <w:rFonts w:ascii="Times New Roman" w:hAnsi="Times New Roman" w:cs="Times New Roman" w:eastAsia="Times New Roman" w:hint="default"/>
          <w:spacing w:val="-1"/>
        </w:rPr>
        <w:t>51,870</w:t>
      </w:r>
      <w:r>
        <w:rPr>
          <w:spacing w:val="-1"/>
        </w:rPr>
        <w:t>股（限制性股票数</w:t>
      </w:r>
      <w:r>
        <w:rPr>
          <w:spacing w:val="-73"/>
        </w:rPr>
        <w:t> </w:t>
      </w:r>
      <w:r>
        <w:rPr>
          <w:spacing w:val="-73"/>
        </w:rPr>
      </w:r>
      <w:r>
        <w:rPr/>
        <w:t>量由</w:t>
      </w:r>
      <w:r>
        <w:rPr>
          <w:rFonts w:ascii="Times New Roman" w:hAnsi="Times New Roman" w:cs="Times New Roman" w:eastAsia="Times New Roman" w:hint="default"/>
        </w:rPr>
        <w:t>6,913,530</w:t>
      </w:r>
      <w:r>
        <w:rPr/>
        <w:t>股调整为</w:t>
      </w:r>
      <w:r>
        <w:rPr>
          <w:rFonts w:ascii="Times New Roman" w:hAnsi="Times New Roman" w:cs="Times New Roman" w:eastAsia="Times New Roman" w:hint="default"/>
        </w:rPr>
        <w:t>6,861,660</w:t>
      </w:r>
      <w:r>
        <w:rPr/>
        <w:t>股）；同意取消</w:t>
      </w:r>
      <w:r>
        <w:rPr>
          <w:rFonts w:ascii="Times New Roman" w:hAnsi="Times New Roman" w:cs="Times New Roman" w:eastAsia="Times New Roman" w:hint="default"/>
        </w:rPr>
        <w:t>7</w:t>
      </w:r>
      <w:r>
        <w:rPr/>
        <w:t>名预留授予限制性股票激励对象资格（激励对象由</w:t>
      </w:r>
      <w:r>
        <w:rPr>
          <w:rFonts w:ascii="Times New Roman" w:hAnsi="Times New Roman" w:cs="Times New Roman" w:eastAsia="Times New Roman" w:hint="default"/>
        </w:rPr>
        <w:t>254</w:t>
      </w:r>
      <w:r>
        <w:rPr/>
        <w:t>名调整为</w:t>
      </w:r>
      <w:r>
        <w:rPr>
          <w:rFonts w:ascii="Times New Roman" w:hAnsi="Times New Roman" w:cs="Times New Roman" w:eastAsia="Times New Roman" w:hint="default"/>
        </w:rPr>
        <w:t>247</w:t>
      </w:r>
      <w:r>
        <w:rPr/>
        <w:t>名）， 回购注销已授予但不符合解锁条件的限制性股票</w:t>
      </w:r>
      <w:r>
        <w:rPr>
          <w:rFonts w:ascii="Times New Roman" w:hAnsi="Times New Roman" w:cs="Times New Roman" w:eastAsia="Times New Roman" w:hint="default"/>
        </w:rPr>
        <w:t>37,800</w:t>
      </w:r>
      <w:r>
        <w:rPr/>
        <w:t>股（限制性股票数量由</w:t>
      </w:r>
      <w:r>
        <w:rPr>
          <w:rFonts w:ascii="Times New Roman" w:hAnsi="Times New Roman" w:cs="Times New Roman" w:eastAsia="Times New Roman" w:hint="default"/>
        </w:rPr>
        <w:t>2,928,250</w:t>
      </w:r>
      <w:r>
        <w:rPr/>
        <w:t>股调整为</w:t>
      </w:r>
      <w:r>
        <w:rPr>
          <w:rFonts w:ascii="Times New Roman" w:hAnsi="Times New Roman" w:cs="Times New Roman" w:eastAsia="Times New Roman" w:hint="default"/>
        </w:rPr>
        <w:t>2,890,450</w:t>
      </w:r>
      <w:r>
        <w:rPr/>
        <w:t>股）；鉴于</w:t>
      </w:r>
      <w:r>
        <w:rPr>
          <w:rFonts w:ascii="Times New Roman" w:hAnsi="Times New Roman" w:cs="Times New Roman" w:eastAsia="Times New Roman" w:hint="default"/>
        </w:rPr>
        <w:t>1</w:t>
      </w:r>
      <w:r>
        <w:rPr/>
        <w:t>名预</w:t>
      </w:r>
      <w:r>
        <w:rPr>
          <w:spacing w:val="-60"/>
        </w:rPr>
        <w:t> </w:t>
      </w:r>
      <w:r>
        <w:rPr>
          <w:spacing w:val="-2"/>
        </w:rPr>
        <w:t>留授予限制性股票激励对象上一年度个人绩效考核</w:t>
      </w:r>
      <w:r>
        <w:rPr>
          <w:rFonts w:ascii="Times New Roman" w:hAnsi="Times New Roman" w:cs="Times New Roman" w:eastAsia="Times New Roman" w:hint="default"/>
          <w:spacing w:val="-2"/>
        </w:rPr>
        <w:t>“</w:t>
      </w:r>
      <w:r>
        <w:rPr>
          <w:spacing w:val="-2"/>
        </w:rPr>
        <w:t>不合格</w:t>
      </w:r>
      <w:r>
        <w:rPr>
          <w:rFonts w:ascii="Times New Roman" w:hAnsi="Times New Roman" w:cs="Times New Roman" w:eastAsia="Times New Roman" w:hint="default"/>
          <w:spacing w:val="-2"/>
        </w:rPr>
        <w:t>”</w:t>
      </w:r>
      <w:r>
        <w:rPr>
          <w:spacing w:val="-2"/>
        </w:rPr>
        <w:t>，未达到当期解锁条件，同意回购注销已授予但不符合解锁条件</w:t>
      </w:r>
      <w:r>
        <w:rPr>
          <w:spacing w:val="-43"/>
        </w:rPr>
        <w:t> </w:t>
      </w:r>
      <w:r>
        <w:rPr>
          <w:spacing w:val="-43"/>
        </w:rPr>
      </w:r>
      <w:r>
        <w:rPr>
          <w:spacing w:val="-1"/>
        </w:rPr>
        <w:t>的限制性股票</w:t>
      </w:r>
      <w:r>
        <w:rPr>
          <w:rFonts w:ascii="Times New Roman" w:hAnsi="Times New Roman" w:cs="Times New Roman" w:eastAsia="Times New Roman" w:hint="default"/>
          <w:spacing w:val="-1"/>
        </w:rPr>
        <w:t>11,750</w:t>
      </w:r>
      <w:r>
        <w:rPr>
          <w:spacing w:val="-1"/>
        </w:rPr>
        <w:t>股；同意满足第二个行权期</w:t>
      </w:r>
      <w:r>
        <w:rPr>
          <w:rFonts w:ascii="Times New Roman" w:hAnsi="Times New Roman" w:cs="Times New Roman" w:eastAsia="Times New Roman" w:hint="default"/>
          <w:spacing w:val="-1"/>
        </w:rPr>
        <w:t>/</w:t>
      </w:r>
      <w:r>
        <w:rPr>
          <w:spacing w:val="-1"/>
        </w:rPr>
        <w:t>解锁期行权</w:t>
      </w:r>
      <w:r>
        <w:rPr>
          <w:rFonts w:ascii="Times New Roman" w:hAnsi="Times New Roman" w:cs="Times New Roman" w:eastAsia="Times New Roman" w:hint="default"/>
          <w:spacing w:val="-1"/>
        </w:rPr>
        <w:t>/</w:t>
      </w:r>
      <w:r>
        <w:rPr>
          <w:spacing w:val="-1"/>
        </w:rPr>
        <w:t>解锁条件的</w:t>
      </w:r>
      <w:r>
        <w:rPr>
          <w:rFonts w:ascii="Times New Roman" w:hAnsi="Times New Roman" w:cs="Times New Roman" w:eastAsia="Times New Roman" w:hint="default"/>
          <w:spacing w:val="-1"/>
        </w:rPr>
        <w:t>5</w:t>
      </w:r>
      <w:r>
        <w:rPr>
          <w:spacing w:val="-1"/>
        </w:rPr>
        <w:t>名预留授予期权激励对象第二个行权期可自主行权</w:t>
      </w:r>
      <w:r>
        <w:rPr>
          <w:spacing w:val="-83"/>
        </w:rPr>
        <w:t> </w:t>
      </w:r>
      <w:r>
        <w:rPr>
          <w:rFonts w:ascii="Times New Roman" w:hAnsi="Times New Roman" w:cs="Times New Roman" w:eastAsia="Times New Roman" w:hint="default"/>
          <w:spacing w:val="-1"/>
        </w:rPr>
        <w:t>180,000</w:t>
      </w:r>
      <w:r>
        <w:rPr>
          <w:spacing w:val="-1"/>
        </w:rPr>
        <w:t>份，</w:t>
      </w:r>
      <w:r>
        <w:rPr>
          <w:rFonts w:ascii="Times New Roman" w:hAnsi="Times New Roman" w:cs="Times New Roman" w:eastAsia="Times New Roman" w:hint="default"/>
          <w:spacing w:val="-1"/>
        </w:rPr>
        <w:t>246</w:t>
      </w:r>
      <w:r>
        <w:rPr>
          <w:spacing w:val="-1"/>
        </w:rPr>
        <w:t>名预留授予限制性股票激励对象可解锁</w:t>
      </w:r>
      <w:r>
        <w:rPr>
          <w:rFonts w:ascii="Times New Roman" w:hAnsi="Times New Roman" w:cs="Times New Roman" w:eastAsia="Times New Roman" w:hint="default"/>
          <w:spacing w:val="-1"/>
        </w:rPr>
        <w:t>2,878,700</w:t>
      </w:r>
      <w:r>
        <w:rPr>
          <w:spacing w:val="-1"/>
        </w:rPr>
        <w:t>股。上述限制性股票回购注销事项已经</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日召开的</w:t>
      </w:r>
    </w:p>
    <w:p>
      <w:pPr>
        <w:pStyle w:val="BodyText"/>
        <w:spacing w:line="240" w:lineRule="auto" w:before="13"/>
        <w:ind w:right="0"/>
        <w:jc w:val="both"/>
      </w:pPr>
      <w:r>
        <w:rPr>
          <w:rFonts w:ascii="Times New Roman" w:hAnsi="Times New Roman" w:cs="Times New Roman" w:eastAsia="Times New Roman" w:hint="default"/>
        </w:rPr>
        <w:t>2020</w:t>
      </w:r>
      <w:r>
        <w:rPr/>
        <w:t>年第一次临时股东大会审议通过。</w:t>
      </w:r>
    </w:p>
    <w:p>
      <w:pPr>
        <w:pStyle w:val="BodyText"/>
        <w:spacing w:line="300" w:lineRule="auto" w:before="63"/>
        <w:ind w:right="1126" w:firstLine="360"/>
        <w:jc w:val="both"/>
      </w:pPr>
      <w:r>
        <w:rPr/>
        <w:t>报告期内，首次授予期权行权</w:t>
      </w:r>
      <w:r>
        <w:rPr>
          <w:rFonts w:ascii="Times New Roman" w:hAnsi="Times New Roman" w:cs="Times New Roman" w:eastAsia="Times New Roman" w:hint="default"/>
        </w:rPr>
        <w:t>304,000</w:t>
      </w:r>
      <w:r>
        <w:rPr/>
        <w:t>份，累计行权</w:t>
      </w:r>
      <w:r>
        <w:rPr>
          <w:rFonts w:ascii="Times New Roman" w:hAnsi="Times New Roman" w:cs="Times New Roman" w:eastAsia="Times New Roman" w:hint="default"/>
        </w:rPr>
        <w:t>830,468</w:t>
      </w:r>
      <w:r>
        <w:rPr/>
        <w:t>份，摊销成本</w:t>
      </w:r>
      <w:r>
        <w:rPr>
          <w:rFonts w:ascii="Times New Roman" w:hAnsi="Times New Roman" w:cs="Times New Roman" w:eastAsia="Times New Roman" w:hint="default"/>
        </w:rPr>
        <w:t>-23.90</w:t>
      </w:r>
      <w:r>
        <w:rPr/>
        <w:t>万元，累计摊销成本</w:t>
      </w:r>
      <w:r>
        <w:rPr>
          <w:rFonts w:ascii="Times New Roman" w:hAnsi="Times New Roman" w:cs="Times New Roman" w:eastAsia="Times New Roman" w:hint="default"/>
        </w:rPr>
        <w:t>210.51</w:t>
      </w:r>
      <w:r>
        <w:rPr/>
        <w:t>万元，注销 </w:t>
      </w:r>
      <w:r>
        <w:rPr>
          <w:rFonts w:ascii="Times New Roman" w:hAnsi="Times New Roman" w:cs="Times New Roman" w:eastAsia="Times New Roman" w:hint="default"/>
          <w:spacing w:val="-2"/>
        </w:rPr>
        <w:t>282,352</w:t>
      </w:r>
      <w:r>
        <w:rPr>
          <w:spacing w:val="-2"/>
        </w:rPr>
        <w:t>份，累计注销</w:t>
      </w:r>
      <w:r>
        <w:rPr>
          <w:rFonts w:ascii="Times New Roman" w:hAnsi="Times New Roman" w:cs="Times New Roman" w:eastAsia="Times New Roman" w:hint="default"/>
          <w:spacing w:val="-2"/>
        </w:rPr>
        <w:t>556,352</w:t>
      </w:r>
      <w:r>
        <w:rPr>
          <w:spacing w:val="-2"/>
        </w:rPr>
        <w:t>份；预留授予期权行权</w:t>
      </w:r>
      <w:r>
        <w:rPr>
          <w:rFonts w:ascii="Times New Roman" w:hAnsi="Times New Roman" w:cs="Times New Roman" w:eastAsia="Times New Roman" w:hint="default"/>
          <w:spacing w:val="-2"/>
        </w:rPr>
        <w:t>220,000</w:t>
      </w:r>
      <w:r>
        <w:rPr>
          <w:spacing w:val="-2"/>
        </w:rPr>
        <w:t>份，累计行权</w:t>
      </w:r>
      <w:r>
        <w:rPr>
          <w:rFonts w:ascii="Times New Roman" w:hAnsi="Times New Roman" w:cs="Times New Roman" w:eastAsia="Times New Roman" w:hint="default"/>
          <w:spacing w:val="-2"/>
        </w:rPr>
        <w:t>220,000</w:t>
      </w:r>
      <w:r>
        <w:rPr>
          <w:spacing w:val="-2"/>
        </w:rPr>
        <w:t>份，摊销成本</w:t>
      </w:r>
      <w:r>
        <w:rPr>
          <w:rFonts w:ascii="Times New Roman" w:hAnsi="Times New Roman" w:cs="Times New Roman" w:eastAsia="Times New Roman" w:hint="default"/>
          <w:spacing w:val="-2"/>
        </w:rPr>
        <w:t>6.15</w:t>
      </w:r>
      <w:r>
        <w:rPr>
          <w:spacing w:val="-2"/>
        </w:rPr>
        <w:t>万元，累计摊销成本</w:t>
      </w:r>
      <w:r>
        <w:rPr>
          <w:rFonts w:ascii="Times New Roman" w:hAnsi="Times New Roman" w:cs="Times New Roman" w:eastAsia="Times New Roman" w:hint="default"/>
          <w:spacing w:val="-2"/>
        </w:rPr>
        <w:t>26.82</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万元，注销</w:t>
      </w:r>
      <w:r>
        <w:rPr>
          <w:rFonts w:ascii="Times New Roman" w:hAnsi="Times New Roman" w:cs="Times New Roman" w:eastAsia="Times New Roman" w:hint="default"/>
        </w:rPr>
        <w:t>0</w:t>
      </w:r>
      <w:r>
        <w:rPr/>
        <w:t>份，累计注销</w:t>
      </w:r>
      <w:r>
        <w:rPr>
          <w:rFonts w:ascii="Times New Roman" w:hAnsi="Times New Roman" w:cs="Times New Roman" w:eastAsia="Times New Roman" w:hint="default"/>
        </w:rPr>
        <w:t>20,000</w:t>
      </w:r>
      <w:r>
        <w:rPr/>
        <w:t>份。首次授予限制性股票解锁</w:t>
      </w:r>
      <w:r>
        <w:rPr>
          <w:rFonts w:ascii="Times New Roman" w:hAnsi="Times New Roman" w:cs="Times New Roman" w:eastAsia="Times New Roman" w:hint="default"/>
        </w:rPr>
        <w:t>7,157,490</w:t>
      </w:r>
      <w:r>
        <w:rPr/>
        <w:t>股，累计解锁</w:t>
      </w:r>
      <w:r>
        <w:rPr>
          <w:rFonts w:ascii="Times New Roman" w:hAnsi="Times New Roman" w:cs="Times New Roman" w:eastAsia="Times New Roman" w:hint="default"/>
        </w:rPr>
        <w:t>17,941,890</w:t>
      </w:r>
      <w:r>
        <w:rPr/>
        <w:t>股，摊销成本</w:t>
      </w:r>
      <w:r>
        <w:rPr>
          <w:rFonts w:ascii="Times New Roman" w:hAnsi="Times New Roman" w:cs="Times New Roman" w:eastAsia="Times New Roman" w:hint="default"/>
        </w:rPr>
        <w:t>204.42</w:t>
      </w:r>
      <w:r>
        <w:rPr/>
        <w:t>万元， </w:t>
      </w:r>
      <w:r>
        <w:rPr>
          <w:spacing w:val="-3"/>
        </w:rPr>
        <w:t>累计摊销成本</w:t>
      </w:r>
      <w:r>
        <w:rPr>
          <w:rFonts w:ascii="Times New Roman" w:hAnsi="Times New Roman" w:cs="Times New Roman" w:eastAsia="Times New Roman" w:hint="default"/>
          <w:spacing w:val="-3"/>
        </w:rPr>
        <w:t>2,706.67</w:t>
      </w:r>
      <w:r>
        <w:rPr>
          <w:spacing w:val="-3"/>
        </w:rPr>
        <w:t>万元，注销</w:t>
      </w:r>
      <w:r>
        <w:rPr>
          <w:rFonts w:ascii="Times New Roman" w:hAnsi="Times New Roman" w:cs="Times New Roman" w:eastAsia="Times New Roman" w:hint="default"/>
          <w:spacing w:val="-3"/>
        </w:rPr>
        <w:t>616,740</w:t>
      </w:r>
      <w:r>
        <w:rPr>
          <w:spacing w:val="-3"/>
        </w:rPr>
        <w:t>股，累计注销</w:t>
      </w:r>
      <w:r>
        <w:rPr>
          <w:rFonts w:ascii="Times New Roman" w:hAnsi="Times New Roman" w:cs="Times New Roman" w:eastAsia="Times New Roman" w:hint="default"/>
          <w:spacing w:val="-3"/>
        </w:rPr>
        <w:t>4,124,520</w:t>
      </w:r>
      <w:r>
        <w:rPr>
          <w:spacing w:val="-3"/>
        </w:rPr>
        <w:t>股。预留授予限制性股票解锁</w:t>
      </w:r>
      <w:r>
        <w:rPr>
          <w:rFonts w:ascii="Times New Roman" w:hAnsi="Times New Roman" w:cs="Times New Roman" w:eastAsia="Times New Roman" w:hint="default"/>
          <w:spacing w:val="-3"/>
        </w:rPr>
        <w:t>5,906,000</w:t>
      </w:r>
      <w:r>
        <w:rPr>
          <w:spacing w:val="-3"/>
        </w:rPr>
        <w:t>股，累计解锁</w:t>
      </w:r>
      <w:r>
        <w:rPr>
          <w:rFonts w:ascii="Times New Roman" w:hAnsi="Times New Roman" w:cs="Times New Roman" w:eastAsia="Times New Roman" w:hint="default"/>
          <w:spacing w:val="-3"/>
        </w:rPr>
        <w:t>5,906,000</w:t>
      </w:r>
      <w:r>
        <w:rPr>
          <w:rFonts w:ascii="Times New Roman" w:hAnsi="Times New Roman" w:cs="Times New Roman" w:eastAsia="Times New Roman" w:hint="default"/>
        </w:rPr>
        <w:t> </w:t>
      </w:r>
      <w:r>
        <w:rPr/>
        <w:t>股，摊销成本</w:t>
      </w:r>
      <w:r>
        <w:rPr>
          <w:rFonts w:ascii="Times New Roman" w:hAnsi="Times New Roman" w:cs="Times New Roman" w:eastAsia="Times New Roman" w:hint="default"/>
        </w:rPr>
        <w:t>138.48</w:t>
      </w:r>
      <w:r>
        <w:rPr/>
        <w:t>万元，累计摊销成本</w:t>
      </w:r>
      <w:r>
        <w:rPr>
          <w:rFonts w:ascii="Times New Roman" w:hAnsi="Times New Roman" w:cs="Times New Roman" w:eastAsia="Times New Roman" w:hint="default"/>
        </w:rPr>
        <w:t>660.15</w:t>
      </w:r>
      <w:r>
        <w:rPr/>
        <w:t>万元，注销</w:t>
      </w:r>
      <w:r>
        <w:rPr>
          <w:rFonts w:ascii="Times New Roman" w:hAnsi="Times New Roman" w:cs="Times New Roman" w:eastAsia="Times New Roman" w:hint="default"/>
        </w:rPr>
        <w:t>163,150</w:t>
      </w:r>
      <w:r>
        <w:rPr/>
        <w:t>股，累计注销</w:t>
      </w:r>
      <w:r>
        <w:rPr>
          <w:rFonts w:ascii="Times New Roman" w:hAnsi="Times New Roman" w:cs="Times New Roman" w:eastAsia="Times New Roman" w:hint="default"/>
        </w:rPr>
        <w:t>270,450</w:t>
      </w:r>
      <w:r>
        <w:rPr/>
        <w:t>股。</w:t>
      </w:r>
    </w:p>
    <w:p>
      <w:pPr>
        <w:pStyle w:val="BodyText"/>
        <w:spacing w:line="300" w:lineRule="auto" w:before="13"/>
        <w:ind w:right="1132" w:firstLine="360"/>
        <w:jc w:val="both"/>
      </w:pPr>
      <w:r>
        <w:rPr/>
        <w:t>截至报告期末，首次授予期权未行权数量为</w:t>
      </w:r>
      <w:r>
        <w:rPr>
          <w:rFonts w:ascii="Times New Roman" w:hAnsi="Times New Roman" w:cs="Times New Roman" w:eastAsia="Times New Roman" w:hint="default"/>
        </w:rPr>
        <w:t>359,680</w:t>
      </w:r>
      <w:r>
        <w:rPr/>
        <w:t>份，首次授予限制性股票未解锁数量为</w:t>
      </w:r>
      <w:r>
        <w:rPr>
          <w:rFonts w:ascii="Times New Roman" w:hAnsi="Times New Roman" w:cs="Times New Roman" w:eastAsia="Times New Roman" w:hint="default"/>
        </w:rPr>
        <w:t>6,913,530</w:t>
      </w:r>
      <w:r>
        <w:rPr/>
        <w:t>股，预留授予期权 未行权数量为</w:t>
      </w:r>
      <w:r>
        <w:rPr>
          <w:rFonts w:ascii="Times New Roman" w:hAnsi="Times New Roman" w:cs="Times New Roman" w:eastAsia="Times New Roman" w:hint="default"/>
        </w:rPr>
        <w:t>140,000</w:t>
      </w:r>
      <w:r>
        <w:rPr/>
        <w:t>份，预留授予限制性股票未解锁数量为</w:t>
      </w:r>
      <w:r>
        <w:rPr>
          <w:rFonts w:ascii="Times New Roman" w:hAnsi="Times New Roman" w:cs="Times New Roman" w:eastAsia="Times New Roman" w:hint="default"/>
        </w:rPr>
        <w:t>49,550</w:t>
      </w:r>
      <w:r>
        <w:rPr/>
        <w:t>股；剩余未摊销成本均为</w:t>
      </w:r>
      <w:r>
        <w:rPr>
          <w:rFonts w:ascii="Times New Roman" w:hAnsi="Times New Roman" w:cs="Times New Roman" w:eastAsia="Times New Roman" w:hint="default"/>
        </w:rPr>
        <w:t>0</w:t>
      </w:r>
      <w:r>
        <w:rPr/>
        <w:t>元。</w:t>
      </w:r>
    </w:p>
    <w:p>
      <w:pPr>
        <w:pStyle w:val="Heading4"/>
        <w:spacing w:line="240" w:lineRule="auto" w:before="13"/>
        <w:ind w:left="472" w:right="0"/>
        <w:jc w:val="left"/>
        <w:rPr>
          <w:b w:val="0"/>
          <w:bCs w:val="0"/>
        </w:rPr>
      </w:pPr>
      <w:r>
        <w:rPr/>
        <w:t>（三）</w:t>
      </w:r>
      <w:r>
        <w:rPr>
          <w:rFonts w:ascii="Times New Roman" w:hAnsi="Times New Roman" w:cs="Times New Roman" w:eastAsia="Times New Roman" w:hint="default"/>
        </w:rPr>
        <w:t>2019</w:t>
      </w:r>
      <w:r>
        <w:rPr/>
        <w:t>年股权激励计划实施情况</w:t>
      </w:r>
      <w:r>
        <w:rPr>
          <w:b w:val="0"/>
          <w:bCs w:val="0"/>
        </w:rPr>
      </w:r>
    </w:p>
    <w:p>
      <w:pPr>
        <w:pStyle w:val="BodyText"/>
        <w:spacing w:line="300" w:lineRule="auto" w:before="63"/>
        <w:ind w:right="112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日，公司召开第四届董事会第十三次会议，审议通过了《关于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2019</w:t>
      </w:r>
      <w:r>
        <w:rPr/>
        <w:t>年股票期权与限制性股票激励 </w:t>
      </w:r>
      <w:r>
        <w:rPr>
          <w:spacing w:val="-1"/>
        </w:rPr>
        <w:t>计划（草案）及其摘要</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2019</w:t>
      </w:r>
      <w:r>
        <w:rPr>
          <w:spacing w:val="-1"/>
        </w:rPr>
        <w:t>年股票期权与限制性股票激励计划实施考核办法</w:t>
      </w:r>
      <w:r>
        <w:rPr>
          <w:rFonts w:ascii="Times New Roman" w:hAnsi="Times New Roman" w:cs="Times New Roman" w:eastAsia="Times New Roman" w:hint="default"/>
          <w:spacing w:val="-1"/>
        </w:rPr>
        <w:t>&gt;</w:t>
      </w:r>
      <w:r>
        <w:rPr>
          <w:spacing w:val="-1"/>
        </w:rPr>
        <w:t>的议案》等议案。独</w:t>
      </w:r>
      <w:r>
        <w:rPr>
          <w:spacing w:val="-62"/>
        </w:rPr>
        <w:t> </w:t>
      </w:r>
      <w:r>
        <w:rPr>
          <w:spacing w:val="-62"/>
        </w:rPr>
      </w:r>
      <w:r>
        <w:rPr/>
        <w:t>立董事对本激励计划发表了同意的独立意见。监事会对激励对象名单进行了核查并发表了核查意见。</w:t>
      </w:r>
    </w:p>
    <w:p>
      <w:pPr>
        <w:pStyle w:val="BodyText"/>
        <w:spacing w:line="300" w:lineRule="auto" w:before="31"/>
        <w:ind w:right="1130" w:firstLine="360"/>
        <w:jc w:val="both"/>
      </w:pPr>
      <w:r>
        <w:rPr>
          <w:rFonts w:ascii="Times New Roman" w:hAnsi="Times New Roman" w:cs="Times New Roman" w:eastAsia="Times New Roman" w:hint="default"/>
          <w:spacing w:val="-2"/>
        </w:rPr>
        <w:t>2</w:t>
      </w:r>
      <w:r>
        <w:rPr>
          <w:spacing w:val="-2"/>
        </w:rPr>
        <w:t>、公司对激励对象名单在公司内部进行了公示，公示期为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w:t>
      </w:r>
      <w:r>
        <w:rPr>
          <w:spacing w:val="-2"/>
        </w:rPr>
        <w:t>日。在公示期内，公司监事会未</w:t>
      </w:r>
      <w:r>
        <w:rPr/>
        <w:t> 收到与本激励计划拟激励对象有关的任何异议，并于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披露了《监事会关于</w:t>
      </w:r>
      <w:r>
        <w:rPr>
          <w:rFonts w:ascii="Times New Roman" w:hAnsi="Times New Roman" w:cs="Times New Roman" w:eastAsia="Times New Roman" w:hint="default"/>
        </w:rPr>
        <w:t>2019</w:t>
      </w:r>
      <w:r>
        <w:rPr/>
        <w:t>年股权激励计划激励对象名单的 审核意见及公示情况说明》。</w:t>
      </w:r>
    </w:p>
    <w:p>
      <w:pPr>
        <w:pStyle w:val="BodyText"/>
        <w:spacing w:line="300" w:lineRule="auto" w:before="31"/>
        <w:ind w:right="1129"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日，公司召开</w:t>
      </w:r>
      <w:r>
        <w:rPr>
          <w:rFonts w:ascii="Times New Roman" w:hAnsi="Times New Roman" w:cs="Times New Roman" w:eastAsia="Times New Roman" w:hint="default"/>
        </w:rPr>
        <w:t>2019</w:t>
      </w:r>
      <w:r>
        <w:rPr/>
        <w:t>年第二次临时股东大会，审议通过了《关于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2019</w:t>
      </w:r>
      <w:r>
        <w:rPr/>
        <w:t>年股票期权与限制性股票激励 </w:t>
      </w:r>
      <w:r>
        <w:rPr>
          <w:spacing w:val="-1"/>
        </w:rPr>
        <w:t>计划（草案）</w:t>
      </w:r>
      <w:r>
        <w:rPr>
          <w:rFonts w:ascii="Times New Roman" w:hAnsi="Times New Roman" w:cs="Times New Roman" w:eastAsia="Times New Roman" w:hint="default"/>
          <w:spacing w:val="-1"/>
        </w:rPr>
        <w:t>&gt;</w:t>
      </w:r>
      <w:r>
        <w:rPr>
          <w:spacing w:val="-1"/>
        </w:rPr>
        <w:t>及其摘要的议案》、《关于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2019</w:t>
      </w:r>
      <w:r>
        <w:rPr>
          <w:spacing w:val="-1"/>
        </w:rPr>
        <w:t>年股票期权与限制性股票激励计划实施考核办法</w:t>
      </w:r>
      <w:r>
        <w:rPr>
          <w:rFonts w:ascii="Times New Roman" w:hAnsi="Times New Roman" w:cs="Times New Roman" w:eastAsia="Times New Roman" w:hint="default"/>
          <w:spacing w:val="-1"/>
        </w:rPr>
        <w:t>&gt;</w:t>
      </w:r>
      <w:r>
        <w:rPr>
          <w:spacing w:val="-1"/>
        </w:rPr>
        <w:t>的议案》等议案。同</w:t>
      </w:r>
      <w:r>
        <w:rPr>
          <w:spacing w:val="-62"/>
        </w:rPr>
        <w:t> </w:t>
      </w:r>
      <w:r>
        <w:rPr>
          <w:spacing w:val="-62"/>
        </w:rPr>
      </w:r>
      <w:r>
        <w:rPr/>
        <w:t>日，公司对外披露了《关于</w:t>
      </w:r>
      <w:r>
        <w:rPr>
          <w:rFonts w:ascii="Times New Roman" w:hAnsi="Times New Roman" w:cs="Times New Roman" w:eastAsia="Times New Roman" w:hint="default"/>
        </w:rPr>
        <w:t>2019</w:t>
      </w:r>
      <w:r>
        <w:rPr/>
        <w:t>年股权激励计划内幕信息知情人及激励对象买卖公司股票情况的自查报告》。</w:t>
      </w:r>
    </w:p>
    <w:p>
      <w:pPr>
        <w:pStyle w:val="BodyText"/>
        <w:spacing w:line="300" w:lineRule="auto" w:before="13"/>
        <w:ind w:right="1130"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日，公司召开第四届董事会第十五次会议，审议通过了《关于调整</w:t>
      </w:r>
      <w:r>
        <w:rPr>
          <w:rFonts w:ascii="Times New Roman" w:hAnsi="Times New Roman" w:cs="Times New Roman" w:eastAsia="Times New Roman" w:hint="default"/>
          <w:spacing w:val="-2"/>
        </w:rPr>
        <w:t>2019</w:t>
      </w:r>
      <w:r>
        <w:rPr>
          <w:spacing w:val="-2"/>
        </w:rPr>
        <w:t>年股票期权与限制性股票激励计</w:t>
      </w:r>
      <w:r>
        <w:rPr/>
        <w:t> 划激励对象名单及授予权益数量的议案》、《关于向激励对象授予股票期权与限制性股票的议案》。鉴于</w:t>
      </w:r>
      <w:r>
        <w:rPr>
          <w:rFonts w:ascii="Times New Roman" w:hAnsi="Times New Roman" w:cs="Times New Roman" w:eastAsia="Times New Roman" w:hint="default"/>
        </w:rPr>
        <w:t>7</w:t>
      </w:r>
      <w:r>
        <w:rPr/>
        <w:t>名激励对象离职</w:t>
      </w:r>
      <w:r>
        <w:rPr>
          <w:spacing w:val="-84"/>
        </w:rPr>
        <w:t> </w:t>
      </w:r>
      <w:r>
        <w:rPr/>
        <w:t>失去激励对象资格及</w:t>
      </w:r>
      <w:r>
        <w:rPr>
          <w:rFonts w:ascii="Times New Roman" w:hAnsi="Times New Roman" w:cs="Times New Roman" w:eastAsia="Times New Roman" w:hint="default"/>
        </w:rPr>
        <w:t>13</w:t>
      </w:r>
      <w:r>
        <w:rPr/>
        <w:t>名激励对象因个人原因主动放弃公司拟向其授予的合计</w:t>
      </w:r>
      <w:r>
        <w:rPr>
          <w:rFonts w:ascii="Times New Roman" w:hAnsi="Times New Roman" w:cs="Times New Roman" w:eastAsia="Times New Roman" w:hint="default"/>
        </w:rPr>
        <w:t>368,000</w:t>
      </w:r>
      <w:r>
        <w:rPr/>
        <w:t>份股票期权和</w:t>
      </w:r>
      <w:r>
        <w:rPr>
          <w:rFonts w:ascii="Times New Roman" w:hAnsi="Times New Roman" w:cs="Times New Roman" w:eastAsia="Times New Roman" w:hint="default"/>
        </w:rPr>
        <w:t>146,600</w:t>
      </w:r>
      <w:r>
        <w:rPr/>
        <w:t>股限制性股票， </w:t>
      </w:r>
      <w:r>
        <w:rPr>
          <w:spacing w:val="-2"/>
        </w:rPr>
        <w:t>公司董事会同意对本股权激励计划激励对象名单及授予权益数量进行调整，股票期权激励对象由</w:t>
      </w:r>
      <w:r>
        <w:rPr>
          <w:rFonts w:ascii="Times New Roman" w:hAnsi="Times New Roman" w:cs="Times New Roman" w:eastAsia="Times New Roman" w:hint="default"/>
          <w:spacing w:val="-2"/>
        </w:rPr>
        <w:t>315</w:t>
      </w:r>
      <w:r>
        <w:rPr>
          <w:spacing w:val="-2"/>
        </w:rPr>
        <w:t>名调整为</w:t>
      </w:r>
      <w:r>
        <w:rPr>
          <w:rFonts w:ascii="Times New Roman" w:hAnsi="Times New Roman" w:cs="Times New Roman" w:eastAsia="Times New Roman" w:hint="default"/>
          <w:spacing w:val="-2"/>
        </w:rPr>
        <w:t>308</w:t>
      </w:r>
      <w:r>
        <w:rPr>
          <w:spacing w:val="-2"/>
        </w:rPr>
        <w:t>名，股票期</w:t>
      </w:r>
      <w:r>
        <w:rPr>
          <w:spacing w:val="-61"/>
        </w:rPr>
        <w:t> </w:t>
      </w:r>
      <w:r>
        <w:rPr>
          <w:spacing w:val="-61"/>
        </w:rPr>
      </w:r>
      <w:r>
        <w:rPr/>
        <w:t>权数量由</w:t>
      </w:r>
      <w:r>
        <w:rPr>
          <w:rFonts w:ascii="Times New Roman" w:hAnsi="Times New Roman" w:cs="Times New Roman" w:eastAsia="Times New Roman" w:hint="default"/>
        </w:rPr>
        <w:t>15,905,500</w:t>
      </w:r>
      <w:r>
        <w:rPr/>
        <w:t>份调整为</w:t>
      </w:r>
      <w:r>
        <w:rPr>
          <w:rFonts w:ascii="Times New Roman" w:hAnsi="Times New Roman" w:cs="Times New Roman" w:eastAsia="Times New Roman" w:hint="default"/>
        </w:rPr>
        <w:t>15,537,500</w:t>
      </w:r>
      <w:r>
        <w:rPr/>
        <w:t>份，限制性股票激励对象由</w:t>
      </w:r>
      <w:r>
        <w:rPr>
          <w:rFonts w:ascii="Times New Roman" w:hAnsi="Times New Roman" w:cs="Times New Roman" w:eastAsia="Times New Roman" w:hint="default"/>
        </w:rPr>
        <w:t>543</w:t>
      </w:r>
      <w:r>
        <w:rPr/>
        <w:t>名调整为</w:t>
      </w:r>
      <w:r>
        <w:rPr>
          <w:rFonts w:ascii="Times New Roman" w:hAnsi="Times New Roman" w:cs="Times New Roman" w:eastAsia="Times New Roman" w:hint="default"/>
        </w:rPr>
        <w:t>530</w:t>
      </w:r>
      <w:r>
        <w:rPr/>
        <w:t>名，限制性股票数量由</w:t>
      </w:r>
      <w:r>
        <w:rPr>
          <w:rFonts w:ascii="Times New Roman" w:hAnsi="Times New Roman" w:cs="Times New Roman" w:eastAsia="Times New Roman" w:hint="default"/>
        </w:rPr>
        <w:t>16,678,100</w:t>
      </w:r>
      <w:r>
        <w:rPr/>
        <w:t>股调整 为</w:t>
      </w:r>
      <w:r>
        <w:rPr>
          <w:rFonts w:ascii="Times New Roman" w:hAnsi="Times New Roman" w:cs="Times New Roman" w:eastAsia="Times New Roman" w:hint="default"/>
        </w:rPr>
        <w:t>16,531,500</w:t>
      </w:r>
      <w:r>
        <w:rPr/>
        <w:t>股；鉴于本股权激励计划规定的授予条件已经成就，同意向</w:t>
      </w:r>
      <w:r>
        <w:rPr>
          <w:rFonts w:ascii="Times New Roman" w:hAnsi="Times New Roman" w:cs="Times New Roman" w:eastAsia="Times New Roman" w:hint="default"/>
        </w:rPr>
        <w:t>308</w:t>
      </w:r>
      <w:r>
        <w:rPr/>
        <w:t>名激励对象授予</w:t>
      </w:r>
      <w:r>
        <w:rPr>
          <w:rFonts w:ascii="Times New Roman" w:hAnsi="Times New Roman" w:cs="Times New Roman" w:eastAsia="Times New Roman" w:hint="default"/>
        </w:rPr>
        <w:t>15,537,500</w:t>
      </w:r>
      <w:r>
        <w:rPr/>
        <w:t>份股票期权，同意向 </w:t>
      </w:r>
      <w:r>
        <w:rPr>
          <w:rFonts w:ascii="Times New Roman" w:hAnsi="Times New Roman" w:cs="Times New Roman" w:eastAsia="Times New Roman" w:hint="default"/>
          <w:spacing w:val="-2"/>
        </w:rPr>
        <w:t>530</w:t>
      </w:r>
      <w:r>
        <w:rPr>
          <w:spacing w:val="-2"/>
        </w:rPr>
        <w:t>名激励对象授予</w:t>
      </w:r>
      <w:r>
        <w:rPr>
          <w:rFonts w:ascii="Times New Roman" w:hAnsi="Times New Roman" w:cs="Times New Roman" w:eastAsia="Times New Roman" w:hint="default"/>
          <w:spacing w:val="-2"/>
        </w:rPr>
        <w:t>1,6531,500</w:t>
      </w:r>
      <w:r>
        <w:rPr>
          <w:spacing w:val="-2"/>
        </w:rPr>
        <w:t>股限制性股票，授予日为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日，股票期权的行权价格为</w:t>
      </w:r>
      <w:r>
        <w:rPr>
          <w:rFonts w:ascii="Times New Roman" w:hAnsi="Times New Roman" w:cs="Times New Roman" w:eastAsia="Times New Roman" w:hint="default"/>
          <w:spacing w:val="-2"/>
        </w:rPr>
        <w:t>14.02</w:t>
      </w:r>
      <w:r>
        <w:rPr>
          <w:spacing w:val="-2"/>
        </w:rPr>
        <w:t>元</w:t>
      </w:r>
      <w:r>
        <w:rPr>
          <w:rFonts w:ascii="Times New Roman" w:hAnsi="Times New Roman" w:cs="Times New Roman" w:eastAsia="Times New Roman" w:hint="default"/>
          <w:spacing w:val="-2"/>
        </w:rPr>
        <w:t>/</w:t>
      </w:r>
      <w:r>
        <w:rPr>
          <w:spacing w:val="-2"/>
        </w:rPr>
        <w:t>股，限制性股票的授</w:t>
      </w:r>
      <w:r>
        <w:rPr>
          <w:spacing w:val="-54"/>
        </w:rPr>
        <w:t> </w:t>
      </w:r>
      <w:r>
        <w:rPr>
          <w:spacing w:val="-54"/>
        </w:rPr>
      </w:r>
      <w:r>
        <w:rPr/>
        <w:t>予价格为</w:t>
      </w:r>
      <w:r>
        <w:rPr>
          <w:rFonts w:ascii="Times New Roman" w:hAnsi="Times New Roman" w:cs="Times New Roman" w:eastAsia="Times New Roman" w:hint="default"/>
        </w:rPr>
        <w:t>7.01</w:t>
      </w:r>
      <w:r>
        <w:rPr/>
        <w:t>元</w:t>
      </w:r>
      <w:r>
        <w:rPr>
          <w:rFonts w:ascii="Times New Roman" w:hAnsi="Times New Roman" w:cs="Times New Roman" w:eastAsia="Times New Roman" w:hint="default"/>
        </w:rPr>
        <w:t>/</w:t>
      </w:r>
      <w:r>
        <w:rPr/>
        <w:t>股。</w:t>
      </w:r>
    </w:p>
    <w:p>
      <w:pPr>
        <w:pStyle w:val="BodyText"/>
        <w:spacing w:line="300" w:lineRule="auto" w:before="13"/>
        <w:ind w:right="0" w:firstLine="360"/>
        <w:jc w:val="left"/>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日，公司召开第四届董事会第十六次会议，审议通过了《关于调整</w:t>
      </w:r>
      <w:r>
        <w:rPr>
          <w:rFonts w:ascii="Times New Roman" w:hAnsi="Times New Roman" w:cs="Times New Roman" w:eastAsia="Times New Roman" w:hint="default"/>
          <w:spacing w:val="-2"/>
        </w:rPr>
        <w:t>2019</w:t>
      </w:r>
      <w:r>
        <w:rPr>
          <w:spacing w:val="-2"/>
        </w:rPr>
        <w:t>年股权激励计划所涉限制性股票</w:t>
      </w:r>
      <w:r>
        <w:rPr/>
        <w:t> </w:t>
      </w:r>
      <w:r>
        <w:rPr>
          <w:spacing w:val="-3"/>
        </w:rPr>
        <w:t>激励对象名单及授予权益数量的议案》。鉴于</w:t>
      </w:r>
      <w:r>
        <w:rPr>
          <w:rFonts w:ascii="Times New Roman" w:hAnsi="Times New Roman" w:cs="Times New Roman" w:eastAsia="Times New Roman" w:hint="default"/>
          <w:spacing w:val="-3"/>
        </w:rPr>
        <w:t>7</w:t>
      </w:r>
      <w:r>
        <w:rPr>
          <w:spacing w:val="-3"/>
        </w:rPr>
        <w:t>名激励对象因个人原因主动放弃公司拟向其授予的合计</w:t>
      </w:r>
      <w:r>
        <w:rPr>
          <w:rFonts w:ascii="Times New Roman" w:hAnsi="Times New Roman" w:cs="Times New Roman" w:eastAsia="Times New Roman" w:hint="default"/>
          <w:spacing w:val="-3"/>
        </w:rPr>
        <w:t>134,700</w:t>
      </w:r>
      <w:r>
        <w:rPr>
          <w:spacing w:val="-3"/>
        </w:rPr>
        <w:t>股限制性股票，</w:t>
      </w:r>
      <w:r>
        <w:rPr>
          <w:spacing w:val="-44"/>
        </w:rPr>
        <w:t> </w:t>
      </w:r>
      <w:r>
        <w:rPr/>
        <w:t>公司董事会同意对限制性股票激励对象名单及授予权益数量进行调整，激励对象由</w:t>
      </w:r>
      <w:r>
        <w:rPr>
          <w:rFonts w:ascii="Times New Roman" w:hAnsi="Times New Roman" w:cs="Times New Roman" w:eastAsia="Times New Roman" w:hint="default"/>
        </w:rPr>
        <w:t>530</w:t>
      </w:r>
      <w:r>
        <w:rPr/>
        <w:t>名调整为</w:t>
      </w:r>
      <w:r>
        <w:rPr>
          <w:rFonts w:ascii="Times New Roman" w:hAnsi="Times New Roman" w:cs="Times New Roman" w:eastAsia="Times New Roman" w:hint="default"/>
        </w:rPr>
        <w:t>523</w:t>
      </w:r>
      <w:r>
        <w:rPr/>
        <w:t>名，限制性股票数量由</w:t>
      </w:r>
      <w:r>
        <w:rPr>
          <w:spacing w:val="-11"/>
        </w:rPr>
        <w:t> </w:t>
      </w:r>
      <w:r>
        <w:rPr>
          <w:spacing w:val="-11"/>
        </w:rPr>
      </w:r>
      <w:r>
        <w:rPr>
          <w:rFonts w:ascii="Times New Roman" w:hAnsi="Times New Roman" w:cs="Times New Roman" w:eastAsia="Times New Roman" w:hint="default"/>
        </w:rPr>
        <w:t>16,531,500</w:t>
      </w:r>
      <w:r>
        <w:rPr/>
        <w:t>股调整为</w:t>
      </w:r>
      <w:r>
        <w:rPr>
          <w:rFonts w:ascii="Times New Roman" w:hAnsi="Times New Roman" w:cs="Times New Roman" w:eastAsia="Times New Roman" w:hint="default"/>
        </w:rPr>
        <w:t>16,396,800</w:t>
      </w:r>
      <w:r>
        <w:rPr/>
        <w:t>股。</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1129"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日，公司召开第四届董事会第十九次会议，审议通过了《关于</w:t>
      </w:r>
      <w:r>
        <w:rPr>
          <w:rFonts w:ascii="Times New Roman" w:hAnsi="Times New Roman" w:cs="Times New Roman" w:eastAsia="Times New Roman" w:hint="default"/>
        </w:rPr>
        <w:t>2019</w:t>
      </w:r>
      <w:r>
        <w:rPr/>
        <w:t>年股权激励计划所涉激励对象及数 </w:t>
      </w:r>
      <w:r>
        <w:rPr>
          <w:spacing w:val="-2"/>
        </w:rPr>
        <w:t>量调整的议案》、《关于回购注销</w:t>
      </w:r>
      <w:r>
        <w:rPr>
          <w:rFonts w:ascii="Times New Roman" w:hAnsi="Times New Roman" w:cs="Times New Roman" w:eastAsia="Times New Roman" w:hint="default"/>
          <w:spacing w:val="-2"/>
        </w:rPr>
        <w:t>2019</w:t>
      </w:r>
      <w:r>
        <w:rPr>
          <w:spacing w:val="-2"/>
        </w:rPr>
        <w:t>年股权激励计划所涉部分限制性股票的议案》，鉴于激励对象因个人原因离职，同意</w:t>
      </w:r>
      <w:r>
        <w:rPr>
          <w:spacing w:val="-61"/>
        </w:rPr>
        <w:t> </w:t>
      </w:r>
      <w:r>
        <w:rPr>
          <w:spacing w:val="-61"/>
        </w:rPr>
      </w:r>
      <w:r>
        <w:rPr>
          <w:spacing w:val="-1"/>
        </w:rPr>
        <w:t>取消</w:t>
      </w:r>
      <w:r>
        <w:rPr>
          <w:rFonts w:ascii="Times New Roman" w:hAnsi="Times New Roman" w:cs="Times New Roman" w:eastAsia="Times New Roman" w:hint="default"/>
          <w:spacing w:val="-1"/>
        </w:rPr>
        <w:t>1</w:t>
      </w:r>
      <w:r>
        <w:rPr>
          <w:spacing w:val="-1"/>
        </w:rPr>
        <w:t>名限制性股票激励对象资格（激励对象由</w:t>
      </w:r>
      <w:r>
        <w:rPr>
          <w:rFonts w:ascii="Times New Roman" w:hAnsi="Times New Roman" w:cs="Times New Roman" w:eastAsia="Times New Roman" w:hint="default"/>
          <w:spacing w:val="-1"/>
        </w:rPr>
        <w:t>523</w:t>
      </w:r>
      <w:r>
        <w:rPr>
          <w:spacing w:val="-1"/>
        </w:rPr>
        <w:t>名调整为</w:t>
      </w:r>
      <w:r>
        <w:rPr>
          <w:rFonts w:ascii="Times New Roman" w:hAnsi="Times New Roman" w:cs="Times New Roman" w:eastAsia="Times New Roman" w:hint="default"/>
          <w:spacing w:val="-1"/>
        </w:rPr>
        <w:t>522</w:t>
      </w:r>
      <w:r>
        <w:rPr>
          <w:spacing w:val="-1"/>
        </w:rPr>
        <w:t>名），回购注销已授予但不符合解锁条件的限制性股票</w:t>
      </w:r>
      <w:r>
        <w:rPr>
          <w:rFonts w:ascii="Times New Roman" w:hAnsi="Times New Roman" w:cs="Times New Roman" w:eastAsia="Times New Roman" w:hint="default"/>
          <w:spacing w:val="-1"/>
        </w:rPr>
        <w:t>7,500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股（限制性股票数量由</w:t>
      </w:r>
      <w:r>
        <w:rPr>
          <w:rFonts w:ascii="Times New Roman" w:hAnsi="Times New Roman" w:cs="Times New Roman" w:eastAsia="Times New Roman" w:hint="default"/>
        </w:rPr>
        <w:t>16,396,800</w:t>
      </w:r>
      <w:r>
        <w:rPr/>
        <w:t>股调整为</w:t>
      </w:r>
      <w:r>
        <w:rPr>
          <w:rFonts w:ascii="Times New Roman" w:hAnsi="Times New Roman" w:cs="Times New Roman" w:eastAsia="Times New Roman" w:hint="default"/>
        </w:rPr>
        <w:t>1,638,9300</w:t>
      </w:r>
      <w:r>
        <w:rPr/>
        <w:t>股）。</w:t>
      </w:r>
    </w:p>
    <w:p>
      <w:pPr>
        <w:pStyle w:val="BodyText"/>
        <w:spacing w:line="240" w:lineRule="auto" w:before="13"/>
        <w:ind w:left="472"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月，经中国证券登记结算有限责任公司深圳分公司确认，期权授予登记完成，期权简称：卫宁</w:t>
      </w:r>
      <w:r>
        <w:rPr>
          <w:rFonts w:ascii="Times New Roman" w:hAnsi="Times New Roman" w:cs="Times New Roman" w:eastAsia="Times New Roman" w:hint="default"/>
        </w:rPr>
        <w:t>JLC7</w:t>
      </w:r>
      <w:r>
        <w:rPr/>
        <w:t>，期权代码：</w:t>
      </w:r>
    </w:p>
    <w:p>
      <w:pPr>
        <w:pStyle w:val="BodyText"/>
        <w:spacing w:line="300" w:lineRule="auto" w:before="63"/>
        <w:ind w:right="1132"/>
        <w:jc w:val="both"/>
      </w:pPr>
      <w:r>
        <w:rPr>
          <w:rFonts w:ascii="Times New Roman" w:hAnsi="Times New Roman" w:cs="Times New Roman" w:eastAsia="Times New Roman" w:hint="default"/>
        </w:rPr>
        <w:t>036375</w:t>
      </w:r>
      <w:r>
        <w:rPr/>
        <w:t>，授予日：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日，期权数量为</w:t>
      </w:r>
      <w:r>
        <w:rPr>
          <w:rFonts w:ascii="Times New Roman" w:hAnsi="Times New Roman" w:cs="Times New Roman" w:eastAsia="Times New Roman" w:hint="default"/>
        </w:rPr>
        <w:t>15,537,500</w:t>
      </w:r>
      <w:r>
        <w:rPr/>
        <w:t>份，行权价格为</w:t>
      </w:r>
      <w:r>
        <w:rPr>
          <w:rFonts w:ascii="Times New Roman" w:hAnsi="Times New Roman" w:cs="Times New Roman" w:eastAsia="Times New Roman" w:hint="default"/>
        </w:rPr>
        <w:t>14.02</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月，经中国证券登记结算有 限责任公司深圳分公司确认，限制性股票授予登记完成，授予日：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日，上市日期：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日，限制性股 票数量为</w:t>
      </w:r>
      <w:r>
        <w:rPr>
          <w:rFonts w:ascii="Times New Roman" w:hAnsi="Times New Roman" w:cs="Times New Roman" w:eastAsia="Times New Roman" w:hint="default"/>
        </w:rPr>
        <w:t>16,396,800</w:t>
      </w:r>
      <w:r>
        <w:rPr/>
        <w:t>股，授予价格为</w:t>
      </w:r>
      <w:r>
        <w:rPr>
          <w:rFonts w:ascii="Times New Roman" w:hAnsi="Times New Roman" w:cs="Times New Roman" w:eastAsia="Times New Roman" w:hint="default"/>
        </w:rPr>
        <w:t>7.01</w:t>
      </w:r>
      <w:r>
        <w:rPr/>
        <w:t>元</w:t>
      </w:r>
      <w:r>
        <w:rPr>
          <w:rFonts w:ascii="Times New Roman" w:hAnsi="Times New Roman" w:cs="Times New Roman" w:eastAsia="Times New Roman" w:hint="default"/>
        </w:rPr>
        <w:t>/</w:t>
      </w:r>
      <w:r>
        <w:rPr/>
        <w:t>股。</w:t>
      </w:r>
    </w:p>
    <w:p>
      <w:pPr>
        <w:pStyle w:val="BodyText"/>
        <w:spacing w:line="300" w:lineRule="auto" w:before="13"/>
        <w:ind w:left="472" w:right="0"/>
        <w:jc w:val="left"/>
      </w:pPr>
      <w:r>
        <w:rPr/>
        <w:t>报告期内，期权摊销成本</w:t>
      </w:r>
      <w:r>
        <w:rPr>
          <w:rFonts w:ascii="Times New Roman" w:hAnsi="Times New Roman" w:cs="Times New Roman" w:eastAsia="Times New Roman" w:hint="default"/>
        </w:rPr>
        <w:t>582.01</w:t>
      </w:r>
      <w:r>
        <w:rPr/>
        <w:t>万元，限制性股票摊销成本</w:t>
      </w:r>
      <w:r>
        <w:rPr>
          <w:rFonts w:ascii="Times New Roman" w:hAnsi="Times New Roman" w:cs="Times New Roman" w:eastAsia="Times New Roman" w:hint="default"/>
        </w:rPr>
        <w:t>1,776.19</w:t>
      </w:r>
      <w:r>
        <w:rPr/>
        <w:t>万元。 </w:t>
      </w:r>
      <w:r>
        <w:rPr>
          <w:spacing w:val="-2"/>
        </w:rPr>
        <w:t>截至报告期末，期权未行权数量为</w:t>
      </w:r>
      <w:r>
        <w:rPr>
          <w:rFonts w:ascii="Times New Roman" w:hAnsi="Times New Roman" w:cs="Times New Roman" w:eastAsia="Times New Roman" w:hint="default"/>
          <w:spacing w:val="-2"/>
        </w:rPr>
        <w:t>15,537,500</w:t>
      </w:r>
      <w:r>
        <w:rPr>
          <w:spacing w:val="-2"/>
        </w:rPr>
        <w:t>份，剩余未摊销成本</w:t>
      </w:r>
      <w:r>
        <w:rPr>
          <w:rFonts w:ascii="Times New Roman" w:hAnsi="Times New Roman" w:cs="Times New Roman" w:eastAsia="Times New Roman" w:hint="default"/>
          <w:spacing w:val="-2"/>
        </w:rPr>
        <w:t>4,250.15</w:t>
      </w:r>
      <w:r>
        <w:rPr>
          <w:spacing w:val="-2"/>
        </w:rPr>
        <w:t>万元；限制性股票未解锁数量为</w:t>
      </w:r>
      <w:r>
        <w:rPr>
          <w:rFonts w:ascii="Times New Roman" w:hAnsi="Times New Roman" w:cs="Times New Roman" w:eastAsia="Times New Roman" w:hint="default"/>
          <w:spacing w:val="-2"/>
        </w:rPr>
        <w:t>16,396,800</w:t>
      </w:r>
      <w:r>
        <w:rPr>
          <w:spacing w:val="-2"/>
        </w:rPr>
        <w:t>股，</w:t>
      </w:r>
    </w:p>
    <w:p>
      <w:pPr>
        <w:pStyle w:val="BodyText"/>
        <w:spacing w:line="338" w:lineRule="auto" w:before="13"/>
        <w:ind w:left="472" w:right="6434" w:hanging="360"/>
        <w:jc w:val="left"/>
      </w:pPr>
      <w:r>
        <w:rPr/>
        <w:t>剩余未摊销成本</w:t>
      </w:r>
      <w:r>
        <w:rPr>
          <w:rFonts w:ascii="Times New Roman" w:hAnsi="Times New Roman" w:cs="Times New Roman" w:eastAsia="Times New Roman" w:hint="default"/>
        </w:rPr>
        <w:t>12,433.33</w:t>
      </w:r>
      <w:r>
        <w:rPr/>
        <w:t>万元。 报告期内，股权激励事项临时报告披露网站查询：</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387"/>
        <w:gridCol w:w="2421"/>
        <w:gridCol w:w="1850"/>
      </w:tblGrid>
      <w:tr>
        <w:trPr>
          <w:trHeight w:val="347" w:hRule="exact"/>
        </w:trPr>
        <w:tc>
          <w:tcPr>
            <w:tcW w:w="53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65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年股权激励计划部分限制性股票回购注销完成的公告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第四届董事会第九次会议决议公告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第四届监事会第八次会议决议公告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年股权激励计划所涉激励对象及数量调整的公告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0"/>
              <w:jc w:val="left"/>
              <w:rPr>
                <w:rFonts w:ascii="宋体" w:hAnsi="宋体" w:cs="宋体" w:eastAsia="宋体" w:hint="default"/>
                <w:sz w:val="18"/>
                <w:szCs w:val="18"/>
              </w:rPr>
            </w:pPr>
            <w:r>
              <w:rPr>
                <w:rFonts w:ascii="宋体" w:hAnsi="宋体" w:cs="宋体" w:eastAsia="宋体" w:hint="default"/>
                <w:spacing w:val="4"/>
                <w:sz w:val="18"/>
                <w:szCs w:val="18"/>
              </w:rPr>
              <w:t>关于注销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年股权激励计划首次授予期权第一个行权期逾期未行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权期权的公告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年股权激励计划所涉部分限制性股票的公告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宋体" w:hAnsi="宋体" w:cs="宋体" w:eastAsia="宋体" w:hint="default"/>
                <w:spacing w:val="4"/>
                <w:sz w:val="18"/>
                <w:szCs w:val="18"/>
              </w:rPr>
              <w:t>关于回购注销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年股权激励计划所涉部分限制性股票暨减资的债</w:t>
            </w:r>
            <w:r>
              <w:rPr>
                <w:rFonts w:ascii="宋体" w:hAnsi="宋体" w:cs="宋体" w:eastAsia="宋体" w:hint="default"/>
                <w:sz w:val="18"/>
                <w:szCs w:val="18"/>
              </w:rPr>
              <w:t> 权人公告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年股权激励计划首次授予部分第二个行权期／解锁期行权</w:t>
            </w:r>
          </w:p>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／解锁条件成就的公告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年股权激励计划部分股票期权注销完成的公告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年股权激励计划首次授予期权第二个行权期采用自主行权</w:t>
            </w:r>
            <w:r>
              <w:rPr>
                <w:rFonts w:ascii="宋体" w:hAnsi="宋体" w:cs="宋体" w:eastAsia="宋体" w:hint="default"/>
                <w:sz w:val="18"/>
                <w:szCs w:val="18"/>
              </w:rPr>
              <w:t> 模式的提示性公告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3"/>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年股权激励计划首次授予限制性股票第二个解锁期解锁股</w:t>
            </w:r>
            <w:r>
              <w:rPr>
                <w:rFonts w:ascii="宋体" w:hAnsi="宋体" w:cs="宋体" w:eastAsia="宋体" w:hint="default"/>
                <w:sz w:val="18"/>
                <w:szCs w:val="18"/>
              </w:rPr>
              <w:t> 份上市流通的提示性公告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年第一次临时股东大会决议公告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5"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第四届董事会第十次会议决议公告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387"/>
        <w:gridCol w:w="2421"/>
        <w:gridCol w:w="1850"/>
      </w:tblGrid>
      <w:tr>
        <w:trPr>
          <w:trHeight w:val="387" w:hRule="exact"/>
        </w:trPr>
        <w:tc>
          <w:tcPr>
            <w:tcW w:w="5387"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第四届监事会第九次会议决议公告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年股权激励计划所涉激励对象及数量调整的公告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年股权激励计划所涉部分限制性股票的公告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年度股东大会决议公告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3" w:right="3"/>
              <w:jc w:val="left"/>
              <w:rPr>
                <w:rFonts w:ascii="宋体" w:hAnsi="宋体" w:cs="宋体" w:eastAsia="宋体" w:hint="default"/>
                <w:sz w:val="18"/>
                <w:szCs w:val="18"/>
              </w:rPr>
            </w:pPr>
            <w:r>
              <w:rPr>
                <w:rFonts w:ascii="宋体" w:hAnsi="宋体" w:cs="宋体" w:eastAsia="宋体" w:hint="default"/>
                <w:spacing w:val="4"/>
                <w:sz w:val="18"/>
                <w:szCs w:val="18"/>
              </w:rPr>
              <w:t>关于回购注销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年股权激励计划所涉部分限制性股票暨减资的债</w:t>
            </w:r>
            <w:r>
              <w:rPr>
                <w:rFonts w:ascii="宋体" w:hAnsi="宋体" w:cs="宋体" w:eastAsia="宋体" w:hint="default"/>
                <w:sz w:val="18"/>
                <w:szCs w:val="18"/>
              </w:rPr>
              <w:t> 权人公告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第四届监事会第十一次会议决议公告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年股权激励计划首次授予期权行权价格调整的公告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pacing w:val="4"/>
                <w:sz w:val="18"/>
                <w:szCs w:val="18"/>
              </w:rPr>
              <w:t>关于注销</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年股权激励计划预留授予期权第三个行权期逾期未行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权期权的公告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年股权激励计划相关事项调整的公告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年股权激励计划所涉部分限制性股票的公告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年股权激励计划部分股票期权注销完成的公告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第四届董事会第十三次会议决议公告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第四届监事会第十二次会议决议公告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年股票期权与限制性股票激励计划（草案）</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年股票期权与限制性股票激励计划激励对象名单</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7"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年股票期权与限制性股票激励计划实施考核办法</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387"/>
        <w:gridCol w:w="2421"/>
        <w:gridCol w:w="1850"/>
      </w:tblGrid>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上市公司股权激励计划自查表</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0"/>
              <w:jc w:val="left"/>
              <w:rPr>
                <w:rFonts w:ascii="宋体" w:hAnsi="宋体" w:cs="宋体" w:eastAsia="宋体" w:hint="default"/>
                <w:sz w:val="18"/>
                <w:szCs w:val="18"/>
              </w:rPr>
            </w:pPr>
            <w:r>
              <w:rPr>
                <w:rFonts w:ascii="宋体" w:hAnsi="宋体" w:cs="宋体" w:eastAsia="宋体" w:hint="default"/>
                <w:spacing w:val="4"/>
                <w:sz w:val="18"/>
                <w:szCs w:val="18"/>
              </w:rPr>
              <w:t>监事会关于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年股权激励计划激励对象名单的审核意见及公示情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况说明</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年第二次临时股东大会决议公告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宋体" w:hAnsi="宋体" w:cs="宋体" w:eastAsia="宋体" w:hint="default"/>
                <w:spacing w:val="4"/>
                <w:sz w:val="18"/>
                <w:szCs w:val="18"/>
              </w:rPr>
              <w:t>关于回购注销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年股权激励计划所涉部分限制性股票暨减资的债</w:t>
            </w:r>
            <w:r>
              <w:rPr>
                <w:rFonts w:ascii="宋体" w:hAnsi="宋体" w:cs="宋体" w:eastAsia="宋体" w:hint="default"/>
                <w:sz w:val="18"/>
                <w:szCs w:val="18"/>
              </w:rPr>
              <w:t> 权人公告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3"/>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年股权激励计划内幕信息知情人及激励对象买卖公司股票</w:t>
            </w:r>
            <w:r>
              <w:rPr>
                <w:rFonts w:ascii="宋体" w:hAnsi="宋体" w:cs="宋体" w:eastAsia="宋体" w:hint="default"/>
                <w:sz w:val="18"/>
                <w:szCs w:val="18"/>
              </w:rPr>
              <w:t> 情况的自查报告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第四届董事会第十五次会议决议公告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第四届监事会第十四次会议决议公告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3" w:right="0"/>
              <w:jc w:val="left"/>
              <w:rPr>
                <w:rFonts w:ascii="宋体" w:hAnsi="宋体" w:cs="宋体" w:eastAsia="宋体" w:hint="default"/>
                <w:sz w:val="18"/>
                <w:szCs w:val="18"/>
              </w:rPr>
            </w:pPr>
            <w:r>
              <w:rPr>
                <w:rFonts w:ascii="宋体" w:hAnsi="宋体" w:cs="宋体" w:eastAsia="宋体" w:hint="default"/>
                <w:spacing w:val="4"/>
                <w:sz w:val="18"/>
                <w:szCs w:val="18"/>
              </w:rPr>
              <w:t>关于调整</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年股票期权与限制性股票激励计划激励对象名单及授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予权益数量的公告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关于向激励对象授予股票期权与限制性股票的公告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第四届董事会第十六次会议决议公告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第四届监事会第十五次会议决议公告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pacing w:val="4"/>
                <w:sz w:val="18"/>
                <w:szCs w:val="18"/>
              </w:rPr>
              <w:t>关于调整</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年股权激励计划所涉限制性股票激励对象名单及授予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权益数量的公告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年股权激励计划股票期权授予登记完成的公告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年股权激励计划限制性股票授予登记完成的公告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年股权激励计划部分限制性股票回购注销完成的公告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第四届董事会第十九次会议决议公告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5"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第四届监事会第十八次会议决议公告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387"/>
        <w:gridCol w:w="2421"/>
        <w:gridCol w:w="1850"/>
      </w:tblGrid>
      <w:tr>
        <w:trPr>
          <w:trHeight w:val="387" w:hRule="exact"/>
        </w:trPr>
        <w:tc>
          <w:tcPr>
            <w:tcW w:w="5387"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年股权激励计划所涉激励对象及数量调整的公告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年股权激励计划所涉部分限制性股票的公告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年股权激励计划预留授予部分第二个行权期／解锁期行权</w:t>
            </w:r>
          </w:p>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／解锁条件成就的公告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年股权激励计划所涉激励对象及数量调整的公告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年股权激励计划所涉部分限制性股票的公告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3"/>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年股权激励计划预留授予限制性股票第二个解锁期解锁股</w:t>
            </w:r>
            <w:r>
              <w:rPr>
                <w:rFonts w:ascii="宋体" w:hAnsi="宋体" w:cs="宋体" w:eastAsia="宋体" w:hint="default"/>
                <w:sz w:val="18"/>
                <w:szCs w:val="18"/>
              </w:rPr>
              <w:t> 份上市流通的提示性公告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9" w:hRule="exact"/>
        </w:trPr>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3"/>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年股权激励计划预留授予期权第二个行权期采用自主行权</w:t>
            </w:r>
            <w:r>
              <w:rPr>
                <w:rFonts w:ascii="宋体" w:hAnsi="宋体" w:cs="宋体" w:eastAsia="宋体" w:hint="default"/>
                <w:sz w:val="18"/>
                <w:szCs w:val="18"/>
              </w:rPr>
              <w:t> 模式的提示性公告</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BodyText"/>
        <w:spacing w:line="340" w:lineRule="auto" w:before="51"/>
        <w:ind w:left="472" w:right="113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报告期内，</w:t>
      </w:r>
      <w:r>
        <w:rPr>
          <w:rFonts w:ascii="Times New Roman" w:hAnsi="Times New Roman" w:cs="Times New Roman" w:eastAsia="Times New Roman" w:hint="default"/>
          <w:spacing w:val="2"/>
        </w:rPr>
        <w:t>2014</w:t>
      </w:r>
      <w:r>
        <w:rPr>
          <w:spacing w:val="2"/>
        </w:rPr>
        <w:t>年首次授予期权摊销成本</w:t>
      </w:r>
      <w:r>
        <w:rPr>
          <w:rFonts w:ascii="Times New Roman" w:hAnsi="Times New Roman" w:cs="Times New Roman" w:eastAsia="Times New Roman" w:hint="default"/>
          <w:spacing w:val="2"/>
        </w:rPr>
        <w:t>0</w:t>
      </w:r>
      <w:r>
        <w:rPr>
          <w:spacing w:val="2"/>
        </w:rPr>
        <w:t>万元、预留授予期权摊销成本</w:t>
      </w:r>
      <w:r>
        <w:rPr>
          <w:rFonts w:ascii="Times New Roman" w:hAnsi="Times New Roman" w:cs="Times New Roman" w:eastAsia="Times New Roman" w:hint="default"/>
          <w:spacing w:val="2"/>
        </w:rPr>
        <w:t>-596.22</w:t>
      </w:r>
      <w:r>
        <w:rPr>
          <w:spacing w:val="2"/>
        </w:rPr>
        <w:t>万元；</w:t>
      </w:r>
      <w:r>
        <w:rPr>
          <w:rFonts w:ascii="Times New Roman" w:hAnsi="Times New Roman" w:cs="Times New Roman" w:eastAsia="Times New Roman" w:hint="default"/>
          <w:spacing w:val="2"/>
        </w:rPr>
        <w:t>2016</w:t>
      </w:r>
      <w:r>
        <w:rPr>
          <w:spacing w:val="2"/>
        </w:rPr>
        <w:t>年首次授予期权摊销成本</w:t>
      </w:r>
    </w:p>
    <w:p>
      <w:pPr>
        <w:pStyle w:val="BodyText"/>
        <w:spacing w:line="228"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spacing w:val="-2"/>
          <w:w w:val="99"/>
        </w:rPr>
        <w:t>0</w:t>
      </w:r>
      <w:r>
        <w:rPr>
          <w:w w:val="99"/>
        </w:rPr>
        <w:t>万元</w:t>
      </w:r>
      <w:r>
        <w:rPr>
          <w:spacing w:val="-77"/>
          <w:w w:val="99"/>
        </w:rPr>
        <w:t>、</w:t>
      </w:r>
      <w:r>
        <w:rPr>
          <w:w w:val="99"/>
        </w:rPr>
        <w:t>首次授予限制性股票摊销成本</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42</w:t>
      </w:r>
      <w:r>
        <w:rPr>
          <w:w w:val="99"/>
        </w:rPr>
        <w:t>万元</w:t>
      </w:r>
      <w:r>
        <w:rPr>
          <w:spacing w:val="-77"/>
          <w:w w:val="99"/>
        </w:rPr>
        <w:t>、</w:t>
      </w:r>
      <w:r>
        <w:rPr>
          <w:w w:val="99"/>
        </w:rPr>
        <w:t>预留授予期权摊销成</w:t>
      </w:r>
      <w:r>
        <w:rPr>
          <w:spacing w:val="2"/>
          <w:w w:val="99"/>
        </w:rPr>
        <w:t>本</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2"/>
          <w:w w:val="99"/>
        </w:rPr>
        <w:t>5</w:t>
      </w:r>
      <w:r>
        <w:rPr>
          <w:w w:val="99"/>
        </w:rPr>
        <w:t>万元</w:t>
      </w:r>
      <w:r>
        <w:rPr>
          <w:spacing w:val="-77"/>
          <w:w w:val="99"/>
        </w:rPr>
        <w:t>、</w:t>
      </w:r>
      <w:r>
        <w:rPr>
          <w:w w:val="99"/>
        </w:rPr>
        <w:t>预留授予限制性股票摊销成本</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8</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4</w:t>
      </w:r>
      <w:r>
        <w:rPr>
          <w:rFonts w:ascii="Times New Roman" w:hAnsi="Times New Roman" w:cs="Times New Roman" w:eastAsia="Times New Roman" w:hint="default"/>
          <w:w w:val="99"/>
        </w:rPr>
        <w:t>8</w:t>
      </w:r>
      <w:r>
        <w:rPr>
          <w:rFonts w:ascii="Times New Roman" w:hAnsi="Times New Roman" w:cs="Times New Roman" w:eastAsia="Times New Roman" w:hint="default"/>
        </w:rPr>
      </w:r>
    </w:p>
    <w:p>
      <w:pPr>
        <w:pStyle w:val="BodyText"/>
        <w:spacing w:line="300" w:lineRule="auto" w:before="63"/>
        <w:ind w:right="0"/>
        <w:jc w:val="left"/>
      </w:pPr>
      <w:r>
        <w:rPr>
          <w:spacing w:val="-1"/>
        </w:rPr>
        <w:t>万元；</w:t>
      </w:r>
      <w:r>
        <w:rPr>
          <w:rFonts w:ascii="Times New Roman" w:hAnsi="Times New Roman" w:cs="Times New Roman" w:eastAsia="Times New Roman" w:hint="default"/>
          <w:spacing w:val="-1"/>
        </w:rPr>
        <w:t>2019</w:t>
      </w:r>
      <w:r>
        <w:rPr>
          <w:spacing w:val="-1"/>
        </w:rPr>
        <w:t>年期权摊销成本</w:t>
      </w:r>
      <w:r>
        <w:rPr>
          <w:rFonts w:ascii="Times New Roman" w:hAnsi="Times New Roman" w:cs="Times New Roman" w:eastAsia="Times New Roman" w:hint="default"/>
          <w:spacing w:val="-1"/>
        </w:rPr>
        <w:t>582.01</w:t>
      </w:r>
      <w:r>
        <w:rPr>
          <w:spacing w:val="-1"/>
        </w:rPr>
        <w:t>万元，限制性股票摊销成本</w:t>
      </w:r>
      <w:r>
        <w:rPr>
          <w:rFonts w:ascii="Times New Roman" w:hAnsi="Times New Roman" w:cs="Times New Roman" w:eastAsia="Times New Roman" w:hint="default"/>
          <w:spacing w:val="-1"/>
        </w:rPr>
        <w:t>1,776.19</w:t>
      </w:r>
      <w:r>
        <w:rPr>
          <w:spacing w:val="-1"/>
        </w:rPr>
        <w:t>万元，合计摊销成本</w:t>
      </w:r>
      <w:r>
        <w:rPr>
          <w:rFonts w:ascii="Times New Roman" w:hAnsi="Times New Roman" w:cs="Times New Roman" w:eastAsia="Times New Roman" w:hint="default"/>
          <w:spacing w:val="-1"/>
        </w:rPr>
        <w:t>2,087.13</w:t>
      </w:r>
      <w:r>
        <w:rPr>
          <w:spacing w:val="-1"/>
        </w:rPr>
        <w:t>万元，对本期净利润影响</w:t>
      </w:r>
      <w:r>
        <w:rPr>
          <w:spacing w:val="-70"/>
        </w:rPr>
        <w:t> </w:t>
      </w:r>
      <w:r>
        <w:rPr>
          <w:spacing w:val="-70"/>
        </w:rPr>
      </w:r>
      <w:r>
        <w:rPr/>
        <w:t>额为</w:t>
      </w:r>
      <w:r>
        <w:rPr>
          <w:rFonts w:ascii="Times New Roman" w:hAnsi="Times New Roman" w:cs="Times New Roman" w:eastAsia="Times New Roman" w:hint="default"/>
        </w:rPr>
        <w:t>1,737.39</w:t>
      </w:r>
      <w:r>
        <w:rPr/>
        <w:t>万元。</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after="0" w:line="3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公司报告期不存在委托理财。</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公司报告期不存在委托贷款。</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2"/>
      <w:bookmarkEnd w:id="92"/>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spacing w:line="544" w:lineRule="auto" w:before="0"/>
        <w:ind w:left="112" w:right="2654" w:firstLine="0"/>
        <w:jc w:val="left"/>
        <w:rPr>
          <w:rFonts w:ascii="宋体" w:hAnsi="宋体" w:cs="宋体" w:eastAsia="宋体" w:hint="default"/>
          <w:sz w:val="21"/>
          <w:szCs w:val="21"/>
        </w:rPr>
      </w:pPr>
      <w:bookmarkStart w:name="1、履行社会责任情况" w:id="93"/>
      <w:bookmarkEnd w:id="9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w w:val="95"/>
          <w:sz w:val="18"/>
          <w:szCs w:val="18"/>
        </w:rPr>
        <w:t>公司于</w:t>
      </w:r>
      <w:r>
        <w:rPr>
          <w:rFonts w:ascii="Times New Roman" w:hAnsi="Times New Roman" w:cs="Times New Roman" w:eastAsia="Times New Roman" w:hint="default"/>
          <w:w w:val="95"/>
          <w:sz w:val="18"/>
          <w:szCs w:val="18"/>
        </w:rPr>
        <w:t>2020</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4</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4</w:t>
      </w:r>
      <w:r>
        <w:rPr>
          <w:rFonts w:ascii="宋体" w:hAnsi="宋体" w:cs="宋体" w:eastAsia="宋体" w:hint="default"/>
          <w:w w:val="95"/>
          <w:sz w:val="18"/>
          <w:szCs w:val="18"/>
        </w:rPr>
        <w:t>日在巨潮资讯网（</w:t>
      </w:r>
      <w:hyperlink r:id="rId11">
        <w:r>
          <w:rPr>
            <w:rFonts w:ascii="Times New Roman" w:hAnsi="Times New Roman" w:cs="Times New Roman" w:eastAsia="Times New Roman" w:hint="default"/>
            <w:w w:val="95"/>
            <w:sz w:val="18"/>
            <w:szCs w:val="18"/>
          </w:rPr>
          <w:t>www.cninfo.com.cn</w:t>
        </w:r>
      </w:hyperlink>
      <w:r>
        <w:rPr>
          <w:rFonts w:ascii="宋体" w:hAnsi="宋体" w:cs="宋体" w:eastAsia="宋体" w:hint="default"/>
          <w:w w:val="95"/>
          <w:sz w:val="18"/>
          <w:szCs w:val="18"/>
        </w:rPr>
        <w:t>）披露了《</w:t>
      </w:r>
      <w:r>
        <w:rPr>
          <w:rFonts w:ascii="Times New Roman" w:hAnsi="Times New Roman" w:cs="Times New Roman" w:eastAsia="Times New Roman" w:hint="default"/>
          <w:w w:val="95"/>
          <w:sz w:val="18"/>
          <w:szCs w:val="18"/>
        </w:rPr>
        <w:t>2019</w:t>
      </w:r>
      <w:r>
        <w:rPr>
          <w:rFonts w:ascii="宋体" w:hAnsi="宋体" w:cs="宋体" w:eastAsia="宋体" w:hint="default"/>
          <w:w w:val="95"/>
          <w:sz w:val="18"/>
          <w:szCs w:val="18"/>
        </w:rPr>
        <w:t>年度社会责任报告》。</w:t>
      </w:r>
      <w:r>
        <w:rPr>
          <w:rFonts w:ascii="宋体" w:hAnsi="宋体" w:cs="宋体" w:eastAsia="宋体" w:hint="default"/>
          <w:spacing w:val="14"/>
          <w:w w:val="95"/>
          <w:sz w:val="18"/>
          <w:szCs w:val="18"/>
        </w:rPr>
        <w:t> </w:t>
      </w:r>
      <w:bookmarkStart w:name="2、履行精准扶贫社会责任情况" w:id="94"/>
      <w:bookmarkEnd w:id="94"/>
      <w:r>
        <w:rPr>
          <w:rFonts w:ascii="宋体" w:hAnsi="宋体" w:cs="宋体" w:eastAsia="宋体" w:hint="default"/>
          <w:spacing w:val="14"/>
          <w:w w:val="9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BodyText"/>
        <w:spacing w:line="240" w:lineRule="auto" w:before="51"/>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环境保护相关的情况" w:id="95"/>
      <w:bookmarkEnd w:id="95"/>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316" w:lineRule="auto" w:before="29"/>
        <w:ind w:left="472" w:right="1120"/>
        <w:jc w:val="left"/>
      </w:pPr>
      <w:r>
        <w:rPr/>
        <w:t>经公司核查，公司及子公司不属于环境保护部门公布的重点排污单位。 报告期内，未出现因违法违规而受到处罚的情况。 </w:t>
      </w:r>
      <w:r>
        <w:rPr>
          <w:spacing w:val="-2"/>
        </w:rPr>
        <w:t>公司所属软件和信息技术服务行业，主营业务不产生《重点排污单位名录管理规定》所规定的污染物。公司及子公司在</w:t>
      </w:r>
    </w:p>
    <w:p>
      <w:pPr>
        <w:pStyle w:val="BodyText"/>
        <w:spacing w:line="316" w:lineRule="auto" w:before="19"/>
        <w:ind w:right="0"/>
        <w:jc w:val="left"/>
      </w:pPr>
      <w:r>
        <w:rPr>
          <w:spacing w:val="-2"/>
        </w:rPr>
        <w:t>未来的生产经营活动中，仍将认真执行《中华人民共和国环境保护法》、《中华人民共和国水污染防治法》、《中华人民共</w:t>
      </w:r>
      <w:r>
        <w:rPr>
          <w:spacing w:val="-63"/>
        </w:rPr>
        <w:t> </w:t>
      </w:r>
      <w:r>
        <w:rPr>
          <w:spacing w:val="-63"/>
        </w:rPr>
      </w:r>
      <w:r>
        <w:rPr/>
        <w:t>和国大气污染防治法》及《中华人民共和国固体废物污染防治法》等环保方面的法律法规。</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472" w:right="0"/>
        <w:jc w:val="left"/>
      </w:pPr>
      <w:r>
        <w:rPr>
          <w:rFonts w:ascii="Times New Roman" w:hAnsi="Times New Roman" w:cs="Times New Roman" w:eastAsia="Times New Roman" w:hint="default"/>
        </w:rPr>
        <w:t>1</w:t>
      </w:r>
      <w:r>
        <w:rPr/>
        <w:t>、苏州千骥基金</w:t>
      </w:r>
    </w:p>
    <w:p>
      <w:pPr>
        <w:pStyle w:val="BodyText"/>
        <w:spacing w:line="300" w:lineRule="auto" w:before="63"/>
        <w:ind w:right="1125"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月，公司以自有资金</w:t>
      </w:r>
      <w:r>
        <w:rPr>
          <w:rFonts w:ascii="Times New Roman" w:hAnsi="Times New Roman" w:cs="Times New Roman" w:eastAsia="Times New Roman" w:hint="default"/>
        </w:rPr>
        <w:t>5,000</w:t>
      </w:r>
      <w:r>
        <w:rPr/>
        <w:t>万元作为有限合伙人参与设立苏州千骥泽康投资中心（有限合伙）（简称</w:t>
      </w:r>
      <w:r>
        <w:rPr>
          <w:rFonts w:ascii="Times New Roman" w:hAnsi="Times New Roman" w:cs="Times New Roman" w:eastAsia="Times New Roman" w:hint="default"/>
        </w:rPr>
        <w:t>“</w:t>
      </w:r>
      <w:r>
        <w:rPr/>
        <w:t>苏州千骥 基金</w:t>
      </w:r>
      <w:r>
        <w:rPr>
          <w:rFonts w:ascii="Times New Roman" w:hAnsi="Times New Roman" w:cs="Times New Roman" w:eastAsia="Times New Roman" w:hint="default"/>
        </w:rPr>
        <w:t>”</w:t>
      </w:r>
      <w:r>
        <w:rPr/>
        <w:t>），并于同月取得编号为</w:t>
      </w:r>
      <w:r>
        <w:rPr>
          <w:rFonts w:ascii="Times New Roman" w:hAnsi="Times New Roman" w:cs="Times New Roman" w:eastAsia="Times New Roman" w:hint="default"/>
        </w:rPr>
        <w:t>“91320594MA1PD20K1D”</w:t>
      </w:r>
      <w:r>
        <w:rPr/>
        <w:t>号《营业执照》，</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月完成私募投资基金备案手续，并取得</w:t>
      </w:r>
      <w:r>
        <w:rPr>
          <w:spacing w:val="-39"/>
        </w:rPr>
        <w:t> </w:t>
      </w:r>
      <w:r>
        <w:rPr>
          <w:spacing w:val="-39"/>
        </w:rPr>
      </w:r>
      <w:r>
        <w:rPr>
          <w:spacing w:val="-1"/>
        </w:rPr>
        <w:t>备案编码为</w:t>
      </w:r>
      <w:r>
        <w:rPr>
          <w:rFonts w:ascii="Times New Roman" w:hAnsi="Times New Roman" w:cs="Times New Roman" w:eastAsia="Times New Roman" w:hint="default"/>
          <w:spacing w:val="-1"/>
        </w:rPr>
        <w:t>“SCJ746”</w:t>
      </w:r>
      <w:r>
        <w:rPr>
          <w:spacing w:val="-1"/>
        </w:rPr>
        <w:t>号《私募投资基金备案证明》，共募集资金</w:t>
      </w:r>
      <w:r>
        <w:rPr>
          <w:rFonts w:ascii="Times New Roman" w:hAnsi="Times New Roman" w:cs="Times New Roman" w:eastAsia="Times New Roman" w:hint="default"/>
          <w:spacing w:val="-1"/>
        </w:rPr>
        <w:t>116,165</w:t>
      </w:r>
      <w:r>
        <w:rPr>
          <w:spacing w:val="-1"/>
        </w:rPr>
        <w:t>万元，公司认缴出资额占募集资金总额的</w:t>
      </w:r>
      <w:r>
        <w:rPr>
          <w:rFonts w:ascii="Times New Roman" w:hAnsi="Times New Roman" w:cs="Times New Roman" w:eastAsia="Times New Roman" w:hint="default"/>
          <w:spacing w:val="-1"/>
        </w:rPr>
        <w:t>4.30%</w:t>
      </w:r>
      <w:r>
        <w:rPr>
          <w:spacing w:val="-1"/>
        </w:rPr>
        <w:t>。苏</w:t>
      </w:r>
      <w:r>
        <w:rPr>
          <w:spacing w:val="-84"/>
        </w:rPr>
        <w:t> </w:t>
      </w:r>
      <w:r>
        <w:rPr>
          <w:spacing w:val="-84"/>
        </w:rPr>
      </w:r>
      <w:r>
        <w:rPr/>
        <w:t>州千骥基金已在大健康领域投入</w:t>
      </w:r>
      <w:r>
        <w:rPr>
          <w:rFonts w:ascii="Times New Roman" w:hAnsi="Times New Roman" w:cs="Times New Roman" w:eastAsia="Times New Roman" w:hint="default"/>
        </w:rPr>
        <w:t>53,333</w:t>
      </w:r>
      <w:r>
        <w:rPr/>
        <w:t>万元参与</w:t>
      </w:r>
      <w:r>
        <w:rPr>
          <w:rFonts w:ascii="Times New Roman" w:hAnsi="Times New Roman" w:cs="Times New Roman" w:eastAsia="Times New Roman" w:hint="default"/>
        </w:rPr>
        <w:t>20</w:t>
      </w:r>
      <w:r>
        <w:rPr/>
        <w:t>个项目投资。截止本报告期末，已有</w:t>
      </w:r>
      <w:r>
        <w:rPr>
          <w:rFonts w:ascii="Times New Roman" w:hAnsi="Times New Roman" w:cs="Times New Roman" w:eastAsia="Times New Roman" w:hint="default"/>
        </w:rPr>
        <w:t>1</w:t>
      </w:r>
      <w:r>
        <w:rPr/>
        <w:t>个项目实现退出，公司收到收益分</w:t>
      </w:r>
      <w:r>
        <w:rPr>
          <w:spacing w:val="-50"/>
        </w:rPr>
        <w:t> </w:t>
      </w:r>
      <w:r>
        <w:rPr>
          <w:spacing w:val="-50"/>
        </w:rPr>
      </w:r>
      <w:r>
        <w:rPr/>
        <w:t>配款152.57万元。</w:t>
      </w:r>
    </w:p>
    <w:p>
      <w:pPr>
        <w:pStyle w:val="BodyText"/>
        <w:spacing w:line="240" w:lineRule="auto" w:before="31"/>
        <w:ind w:left="472" w:right="0"/>
        <w:jc w:val="left"/>
      </w:pPr>
      <w:r>
        <w:rPr>
          <w:rFonts w:ascii="Times New Roman" w:hAnsi="Times New Roman" w:cs="Times New Roman" w:eastAsia="Times New Roman" w:hint="default"/>
        </w:rPr>
        <w:t>2</w:t>
      </w:r>
      <w:r>
        <w:rPr/>
        <w:t>、千骥星鹤基金</w:t>
      </w:r>
    </w:p>
    <w:p>
      <w:pPr>
        <w:pStyle w:val="BodyText"/>
        <w:spacing w:line="300" w:lineRule="auto" w:before="63"/>
        <w:ind w:right="1129"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月，公司以自有资金</w:t>
      </w:r>
      <w:r>
        <w:rPr>
          <w:rFonts w:ascii="Times New Roman" w:hAnsi="Times New Roman" w:cs="Times New Roman" w:eastAsia="Times New Roman" w:hint="default"/>
          <w:spacing w:val="-3"/>
        </w:rPr>
        <w:t>4,000</w:t>
      </w:r>
      <w:r>
        <w:rPr>
          <w:spacing w:val="-3"/>
        </w:rPr>
        <w:t>万元作为有限合伙人参与设立上海千骥星鹤创业投资中心（有限合伙）（以下简称</w:t>
      </w:r>
      <w:r>
        <w:rPr>
          <w:rFonts w:ascii="Times New Roman" w:hAnsi="Times New Roman" w:cs="Times New Roman" w:eastAsia="Times New Roman" w:hint="default"/>
          <w:spacing w:val="-3"/>
        </w:rPr>
        <w:t>“</w:t>
      </w:r>
      <w:r>
        <w:rPr>
          <w:spacing w:val="-3"/>
        </w:rPr>
        <w:t>千</w:t>
      </w:r>
      <w:r>
        <w:rPr/>
        <w:t> </w:t>
      </w:r>
      <w:r>
        <w:rPr>
          <w:spacing w:val="-1"/>
        </w:rPr>
        <w:t>骥星鹤基金</w:t>
      </w:r>
      <w:r>
        <w:rPr>
          <w:rFonts w:ascii="Times New Roman" w:hAnsi="Times New Roman" w:cs="Times New Roman" w:eastAsia="Times New Roman" w:hint="default"/>
          <w:spacing w:val="-1"/>
        </w:rPr>
        <w:t>”</w:t>
      </w:r>
      <w:r>
        <w:rPr>
          <w:spacing w:val="-1"/>
        </w:rPr>
        <w:t>）。千骥星鹤基金已在生命科学领域投入</w:t>
      </w:r>
      <w:r>
        <w:rPr>
          <w:rFonts w:ascii="Times New Roman" w:hAnsi="Times New Roman" w:cs="Times New Roman" w:eastAsia="Times New Roman" w:hint="default"/>
          <w:spacing w:val="-1"/>
        </w:rPr>
        <w:t>71,465</w:t>
      </w:r>
      <w:r>
        <w:rPr>
          <w:spacing w:val="-1"/>
        </w:rPr>
        <w:t>万元参与</w:t>
      </w:r>
      <w:r>
        <w:rPr>
          <w:rFonts w:ascii="Times New Roman" w:hAnsi="Times New Roman" w:cs="Times New Roman" w:eastAsia="Times New Roman" w:hint="default"/>
          <w:spacing w:val="-1"/>
        </w:rPr>
        <w:t>19</w:t>
      </w:r>
      <w:r>
        <w:rPr>
          <w:spacing w:val="-1"/>
        </w:rPr>
        <w:t>个项目投资。截止本报告期末，有</w:t>
      </w:r>
      <w:r>
        <w:rPr>
          <w:rFonts w:ascii="Times New Roman" w:hAnsi="Times New Roman" w:cs="Times New Roman" w:eastAsia="Times New Roman" w:hint="default"/>
          <w:spacing w:val="-1"/>
        </w:rPr>
        <w:t>1</w:t>
      </w:r>
      <w:r>
        <w:rPr>
          <w:spacing w:val="-1"/>
        </w:rPr>
        <w:t>个项目已部分退</w:t>
      </w:r>
      <w:r>
        <w:rPr>
          <w:spacing w:val="-64"/>
        </w:rPr>
        <w:t> </w:t>
      </w:r>
      <w:r>
        <w:rPr/>
        <w:t>出，暂未进行收益分配。</w:t>
      </w:r>
    </w:p>
    <w:p>
      <w:pPr>
        <w:pStyle w:val="BodyText"/>
        <w:spacing w:line="240" w:lineRule="auto" w:before="31"/>
        <w:ind w:left="472" w:right="0"/>
        <w:jc w:val="left"/>
      </w:pPr>
      <w:r>
        <w:rPr>
          <w:rFonts w:ascii="Times New Roman" w:hAnsi="Times New Roman" w:cs="Times New Roman" w:eastAsia="Times New Roman" w:hint="default"/>
        </w:rPr>
        <w:t>3</w:t>
      </w:r>
      <w:r>
        <w:rPr/>
        <w:t>、同渡信康基金</w:t>
      </w:r>
    </w:p>
    <w:p>
      <w:pPr>
        <w:pStyle w:val="BodyText"/>
        <w:spacing w:line="300" w:lineRule="auto" w:before="63"/>
        <w:ind w:right="1130" w:firstLine="360"/>
        <w:jc w:val="both"/>
      </w:pPr>
      <w:r>
        <w:rPr>
          <w:rFonts w:ascii="Times New Roman" w:hAnsi="Times New Roman" w:cs="Times New Roman" w:eastAsia="Times New Roman" w:hint="default"/>
          <w:spacing w:val="-4"/>
          <w:w w:val="99"/>
        </w:rPr>
        <w:t>2016</w:t>
      </w:r>
      <w:r>
        <w:rPr>
          <w:spacing w:val="-4"/>
          <w:w w:val="99"/>
        </w:rPr>
        <w:t>年</w:t>
      </w:r>
      <w:r>
        <w:rPr>
          <w:rFonts w:ascii="Times New Roman" w:hAnsi="Times New Roman" w:cs="Times New Roman" w:eastAsia="Times New Roman" w:hint="default"/>
          <w:spacing w:val="-4"/>
          <w:w w:val="99"/>
        </w:rPr>
        <w:t>10</w:t>
      </w:r>
      <w:r>
        <w:rPr>
          <w:spacing w:val="-4"/>
          <w:w w:val="99"/>
        </w:rPr>
        <w:t>月，公司以自有资金</w:t>
      </w:r>
      <w:r>
        <w:rPr>
          <w:rFonts w:ascii="Times New Roman" w:hAnsi="Times New Roman" w:cs="Times New Roman" w:eastAsia="Times New Roman" w:hint="default"/>
          <w:spacing w:val="-4"/>
          <w:w w:val="99"/>
        </w:rPr>
        <w:t>3,000</w:t>
      </w:r>
      <w:r>
        <w:rPr>
          <w:spacing w:val="-4"/>
          <w:w w:val="99"/>
        </w:rPr>
        <w:t>万元作为有限合伙人对外投资南通同渡信康创业投资合伙企业（有限合伙）（简称</w:t>
      </w:r>
      <w:r>
        <w:rPr>
          <w:rFonts w:ascii="Times New Roman" w:hAnsi="Times New Roman" w:cs="Times New Roman" w:eastAsia="Times New Roman" w:hint="default"/>
          <w:spacing w:val="-4"/>
          <w:w w:val="99"/>
        </w:rPr>
        <w:t>“</w:t>
      </w:r>
      <w:r>
        <w:rPr>
          <w:spacing w:val="-4"/>
          <w:w w:val="99"/>
        </w:rPr>
        <w:t>同</w:t>
      </w:r>
      <w:r>
        <w:rPr/>
        <w:t> 渡信康基金</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月，同渡信康基金完成了工商变更登记及基金备案手续。同渡信康基金共投入</w:t>
      </w:r>
      <w:r>
        <w:rPr>
          <w:rFonts w:ascii="Times New Roman" w:hAnsi="Times New Roman" w:cs="Times New Roman" w:eastAsia="Times New Roman" w:hint="default"/>
        </w:rPr>
        <w:t>8,228.53</w:t>
      </w:r>
      <w:r>
        <w:rPr/>
        <w:t>万元参与</w:t>
      </w:r>
      <w:r>
        <w:rPr>
          <w:rFonts w:ascii="Times New Roman" w:hAnsi="Times New Roman" w:cs="Times New Roman" w:eastAsia="Times New Roman" w:hint="default"/>
        </w:rPr>
        <w:t>7</w:t>
      </w:r>
      <w:r>
        <w:rPr>
          <w:rFonts w:ascii="Times New Roman" w:hAnsi="Times New Roman" w:cs="Times New Roman" w:eastAsia="Times New Roman" w:hint="default"/>
          <w:spacing w:val="41"/>
        </w:rPr>
        <w:t> </w:t>
      </w:r>
      <w:r>
        <w:rPr/>
        <w:t>个项目投资，其中</w:t>
      </w:r>
      <w:r>
        <w:rPr>
          <w:rFonts w:ascii="Times New Roman" w:hAnsi="Times New Roman" w:cs="Times New Roman" w:eastAsia="Times New Roman" w:hint="default"/>
        </w:rPr>
        <w:t>3</w:t>
      </w:r>
      <w:r>
        <w:rPr/>
        <w:t>个项目属于医疗健康及相关行业。截至本报告期末，该基金属于前期投入期，暂未产生收益。</w:t>
      </w:r>
    </w:p>
    <w:p>
      <w:pPr>
        <w:spacing w:after="0" w:line="30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rFonts w:ascii="Times New Roman" w:hAnsi="Times New Roman" w:cs="Times New Roman" w:eastAsia="Times New Roman" w:hint="default"/>
        </w:rPr>
        <w:t>4</w:t>
      </w:r>
      <w:r>
        <w:rPr/>
        <w:t>、金诚财险</w:t>
      </w:r>
    </w:p>
    <w:p>
      <w:pPr>
        <w:pStyle w:val="BodyText"/>
        <w:spacing w:line="300" w:lineRule="auto" w:before="63"/>
        <w:ind w:right="1125"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月，公司拟以自有资金人民币</w:t>
      </w:r>
      <w:r>
        <w:rPr>
          <w:rFonts w:ascii="Times New Roman" w:hAnsi="Times New Roman" w:cs="Times New Roman" w:eastAsia="Times New Roman" w:hint="default"/>
        </w:rPr>
        <w:t>10,000</w:t>
      </w:r>
      <w:r>
        <w:rPr/>
        <w:t>万元参与发起设立金诚财产保险股份有限公司</w:t>
      </w:r>
      <w:r>
        <w:rPr>
          <w:rFonts w:ascii="Times New Roman" w:hAnsi="Times New Roman" w:cs="Times New Roman" w:eastAsia="Times New Roman" w:hint="default"/>
        </w:rPr>
        <w:t>(</w:t>
      </w:r>
      <w:r>
        <w:rPr/>
        <w:t>暂定名，以中国银保监会、 工商行政管理部门最终核准的名称为准，简称</w:t>
      </w:r>
      <w:r>
        <w:rPr>
          <w:rFonts w:ascii="Times New Roman" w:hAnsi="Times New Roman" w:cs="Times New Roman" w:eastAsia="Times New Roman" w:hint="default"/>
        </w:rPr>
        <w:t>“</w:t>
      </w:r>
      <w:r>
        <w:rPr/>
        <w:t>金诚保险</w:t>
      </w:r>
      <w:r>
        <w:rPr>
          <w:rFonts w:ascii="Times New Roman" w:hAnsi="Times New Roman" w:cs="Times New Roman" w:eastAsia="Times New Roman" w:hint="default"/>
        </w:rPr>
        <w:t>”)</w:t>
      </w:r>
      <w:r>
        <w:rPr/>
        <w:t>，拟设立的金诚保险注册资本为人民币</w:t>
      </w:r>
      <w:r>
        <w:rPr>
          <w:rFonts w:ascii="Times New Roman" w:hAnsi="Times New Roman" w:cs="Times New Roman" w:eastAsia="Times New Roman" w:hint="default"/>
        </w:rPr>
        <w:t>10</w:t>
      </w:r>
      <w:r>
        <w:rPr/>
        <w:t>亿元，公司占金诚保险</w:t>
      </w:r>
      <w:r>
        <w:rPr>
          <w:spacing w:val="-42"/>
        </w:rPr>
        <w:t> </w:t>
      </w:r>
      <w:r>
        <w:rPr>
          <w:spacing w:val="-42"/>
        </w:rPr>
      </w:r>
      <w:r>
        <w:rPr>
          <w:spacing w:val="-1"/>
        </w:rPr>
        <w:t>总股本的</w:t>
      </w:r>
      <w:r>
        <w:rPr>
          <w:rFonts w:ascii="Times New Roman" w:hAnsi="Times New Roman" w:cs="Times New Roman" w:eastAsia="Times New Roman" w:hint="default"/>
          <w:spacing w:val="-1"/>
        </w:rPr>
        <w:t>10%</w:t>
      </w:r>
      <w:r>
        <w:rPr>
          <w:spacing w:val="-1"/>
        </w:rPr>
        <w:t>。截至本报告期末，公司对金诚财险未实际出资，金诚财险尚未取得中国银保监会等有关部门审批，能否获得</w:t>
      </w:r>
      <w:r>
        <w:rPr>
          <w:w w:val="99"/>
        </w:rPr>
        <w:t> </w:t>
      </w:r>
      <w:r>
        <w:rPr/>
        <w:t>批准筹建，尚存很大不确定性。</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07" w:right="0"/>
        <w:jc w:val="left"/>
        <w:rPr>
          <w:b w:val="0"/>
          <w:bCs w:val="0"/>
        </w:rPr>
      </w:pPr>
      <w:bookmarkStart w:name="第六节股份变动及股东情况" w:id="98"/>
      <w:bookmarkEnd w:id="98"/>
      <w:r>
        <w:rPr>
          <w:b w:val="0"/>
          <w:bCs w:val="0"/>
        </w:rPr>
      </w:r>
      <w:bookmarkStart w:name="_bookmark5" w:id="99"/>
      <w:bookmarkEnd w:id="99"/>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5" w:right="44"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376,259,0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16,396,80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321,459,1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19.59%</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376,109,0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15,796,80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320,709,1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19.54%</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376,109,0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15,796,80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320,709,1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19.54%</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5" w:right="0"/>
              <w:jc w:val="left"/>
              <w:rPr>
                <w:rFonts w:ascii="Times New Roman" w:hAnsi="Times New Roman" w:cs="Times New Roman" w:eastAsia="Times New Roman" w:hint="default"/>
                <w:sz w:val="18"/>
                <w:szCs w:val="18"/>
              </w:rPr>
            </w:pPr>
            <w:r>
              <w:rPr>
                <w:rFonts w:ascii="Times New Roman"/>
                <w:sz w:val="18"/>
              </w:rPr>
              <w:t>150,000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 w:right="0"/>
              <w:jc w:val="left"/>
              <w:rPr>
                <w:rFonts w:ascii="Times New Roman" w:hAnsi="Times New Roman" w:cs="Times New Roman" w:eastAsia="Times New Roman" w:hint="default"/>
                <w:sz w:val="18"/>
                <w:szCs w:val="18"/>
              </w:rPr>
            </w:pPr>
            <w:r>
              <w:rPr>
                <w:rFonts w:ascii="Times New Roman"/>
                <w:sz w:val="18"/>
              </w:rPr>
              <w:t>600,000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750,000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150,000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600,000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750,000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0.05%</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1,246,059,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864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3,247,946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70,416,81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73,664,75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1,319,724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80.41%</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1,246,059,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864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3,247,946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70,416,81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73,664,75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1,319,724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80.41%</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1,622,318,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880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-779,890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18,864,85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1,641,183</w:t>
            </w:r>
          </w:p>
          <w:p>
            <w:pPr>
              <w:pStyle w:val="TableParagraph"/>
              <w:spacing w:line="240" w:lineRule="auto" w:before="78"/>
              <w:ind w:left="311" w:right="0"/>
              <w:jc w:val="left"/>
              <w:rPr>
                <w:rFonts w:ascii="宋体" w:hAnsi="宋体" w:cs="宋体" w:eastAsia="宋体" w:hint="default"/>
                <w:sz w:val="9"/>
                <w:szCs w:val="9"/>
              </w:rPr>
            </w:pPr>
            <w:r>
              <w:rPr>
                <w:rFonts w:ascii="Times New Roman" w:hAnsi="Times New Roman" w:cs="Times New Roman" w:eastAsia="Times New Roman" w:hint="default"/>
                <w:sz w:val="18"/>
                <w:szCs w:val="18"/>
              </w:rPr>
              <w:t>,736</w:t>
            </w:r>
            <w:r>
              <w:rPr>
                <w:rFonts w:ascii="Times New Roman" w:hAnsi="Times New Roman" w:cs="Times New Roman" w:eastAsia="Times New Roman" w:hint="default"/>
                <w:spacing w:val="-3"/>
                <w:sz w:val="18"/>
                <w:szCs w:val="18"/>
              </w:rPr>
              <w:t> </w:t>
            </w:r>
            <w:r>
              <w:rPr>
                <w:rFonts w:ascii="宋体" w:hAnsi="宋体" w:cs="宋体" w:eastAsia="宋体" w:hint="default"/>
                <w:color w:val="FF0000"/>
                <w:position w:val="9"/>
                <w:sz w:val="9"/>
                <w:szCs w:val="9"/>
              </w:rPr>
              <w:t>注</w:t>
            </w:r>
            <w:r>
              <w:rPr>
                <w:rFonts w:ascii="宋体" w:hAnsi="宋体" w:cs="宋体" w:eastAsia="宋体" w:hint="default"/>
                <w:sz w:val="9"/>
                <w:szCs w:val="9"/>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38" w:lineRule="auto" w:before="51"/>
        <w:ind w:right="0"/>
        <w:jc w:val="left"/>
      </w:pPr>
      <w:r>
        <w:rPr/>
        <w:t>注：报告期末股份总数</w:t>
      </w:r>
      <w:r>
        <w:rPr>
          <w:spacing w:val="-49"/>
        </w:rPr>
        <w:t> </w:t>
      </w:r>
      <w:r>
        <w:rPr>
          <w:rFonts w:ascii="Times New Roman" w:hAnsi="Times New Roman" w:cs="Times New Roman" w:eastAsia="Times New Roman" w:hint="default"/>
        </w:rPr>
        <w:t>1,641,183,736</w:t>
      </w:r>
      <w:r>
        <w:rPr>
          <w:rFonts w:ascii="Times New Roman" w:hAnsi="Times New Roman" w:cs="Times New Roman" w:eastAsia="Times New Roman" w:hint="default"/>
          <w:spacing w:val="-5"/>
        </w:rPr>
        <w:t> </w:t>
      </w:r>
      <w:r>
        <w:rPr/>
        <w:t>股与财务报表股本</w:t>
      </w:r>
      <w:r>
        <w:rPr>
          <w:spacing w:val="-49"/>
        </w:rPr>
        <w:t> </w:t>
      </w:r>
      <w:r>
        <w:rPr>
          <w:rFonts w:ascii="Times New Roman" w:hAnsi="Times New Roman" w:cs="Times New Roman" w:eastAsia="Times New Roman" w:hint="default"/>
        </w:rPr>
        <w:t>1,641,069,856</w:t>
      </w:r>
      <w:r>
        <w:rPr>
          <w:rFonts w:ascii="Times New Roman" w:hAnsi="Times New Roman" w:cs="Times New Roman" w:eastAsia="Times New Roman" w:hint="default"/>
          <w:spacing w:val="-5"/>
        </w:rPr>
        <w:t> </w:t>
      </w:r>
      <w:r>
        <w:rPr/>
        <w:t>股差异</w:t>
      </w:r>
      <w:r>
        <w:rPr>
          <w:spacing w:val="-49"/>
        </w:rPr>
        <w:t> </w:t>
      </w:r>
      <w:r>
        <w:rPr>
          <w:rFonts w:ascii="Times New Roman" w:hAnsi="Times New Roman" w:cs="Times New Roman" w:eastAsia="Times New Roman" w:hint="default"/>
        </w:rPr>
        <w:t>113,800</w:t>
      </w:r>
      <w:r>
        <w:rPr>
          <w:rFonts w:ascii="Times New Roman" w:hAnsi="Times New Roman" w:cs="Times New Roman" w:eastAsia="Times New Roman" w:hint="default"/>
          <w:spacing w:val="-6"/>
        </w:rPr>
        <w:t> </w:t>
      </w:r>
      <w:r>
        <w:rPr/>
        <w:t>股系尚未完成限制性股票注销手续。 股份变动的原因</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129" w:firstLine="360"/>
        <w:jc w:val="both"/>
      </w:pPr>
      <w:r>
        <w:rPr>
          <w:spacing w:val="-4"/>
        </w:rPr>
        <w:t>（</w:t>
      </w:r>
      <w:r>
        <w:rPr>
          <w:rFonts w:ascii="Times New Roman" w:hAnsi="Times New Roman" w:cs="Times New Roman" w:eastAsia="Times New Roman" w:hint="default"/>
          <w:spacing w:val="-4"/>
        </w:rPr>
        <w:t>1</w:t>
      </w:r>
      <w:r>
        <w:rPr>
          <w:spacing w:val="-4"/>
        </w:rPr>
        <w:t>）报告期内，公司</w:t>
      </w:r>
      <w:r>
        <w:rPr>
          <w:rFonts w:ascii="Times New Roman" w:hAnsi="Times New Roman" w:cs="Times New Roman" w:eastAsia="Times New Roman" w:hint="default"/>
          <w:spacing w:val="-4"/>
        </w:rPr>
        <w:t>2014</w:t>
      </w:r>
      <w:r>
        <w:rPr>
          <w:spacing w:val="-4"/>
        </w:rPr>
        <w:t>年股权激励计划首次授予期权行权</w:t>
      </w:r>
      <w:r>
        <w:rPr>
          <w:rFonts w:ascii="Times New Roman" w:hAnsi="Times New Roman" w:cs="Times New Roman" w:eastAsia="Times New Roman" w:hint="default"/>
          <w:spacing w:val="-4"/>
        </w:rPr>
        <w:t>2,723,946</w:t>
      </w:r>
      <w:r>
        <w:rPr>
          <w:spacing w:val="-4"/>
        </w:rPr>
        <w:t>份，</w:t>
      </w:r>
      <w:r>
        <w:rPr>
          <w:rFonts w:ascii="Times New Roman" w:hAnsi="Times New Roman" w:cs="Times New Roman" w:eastAsia="Times New Roman" w:hint="default"/>
          <w:spacing w:val="-4"/>
        </w:rPr>
        <w:t>2016</w:t>
      </w:r>
      <w:r>
        <w:rPr>
          <w:spacing w:val="-4"/>
        </w:rPr>
        <w:t>年股权激励计划首次授予期权行权</w:t>
      </w:r>
      <w:r>
        <w:rPr>
          <w:rFonts w:ascii="Times New Roman" w:hAnsi="Times New Roman" w:cs="Times New Roman" w:eastAsia="Times New Roman" w:hint="default"/>
          <w:spacing w:val="-4"/>
        </w:rPr>
        <w:t>304,000</w:t>
      </w:r>
      <w:r>
        <w:rPr>
          <w:rFonts w:ascii="Times New Roman" w:hAnsi="Times New Roman" w:cs="Times New Roman" w:eastAsia="Times New Roman" w:hint="default"/>
        </w:rPr>
        <w:t> </w:t>
      </w:r>
      <w:r>
        <w:rPr/>
        <w:t>份，</w:t>
      </w:r>
      <w:r>
        <w:rPr>
          <w:rFonts w:ascii="Times New Roman" w:hAnsi="Times New Roman" w:cs="Times New Roman" w:eastAsia="Times New Roman" w:hint="default"/>
        </w:rPr>
        <w:t>2016</w:t>
      </w:r>
      <w:r>
        <w:rPr/>
        <w:t>年股权激励计划预留授予期权行权</w:t>
      </w:r>
      <w:r>
        <w:rPr>
          <w:rFonts w:ascii="Times New Roman" w:hAnsi="Times New Roman" w:cs="Times New Roman" w:eastAsia="Times New Roman" w:hint="default"/>
        </w:rPr>
        <w:t>220,000</w:t>
      </w:r>
      <w:r>
        <w:rPr/>
        <w:t>份，共行权</w:t>
      </w:r>
      <w:r>
        <w:rPr>
          <w:rFonts w:ascii="Times New Roman" w:hAnsi="Times New Roman" w:cs="Times New Roman" w:eastAsia="Times New Roman" w:hint="default"/>
        </w:rPr>
        <w:t>3,247,946</w:t>
      </w:r>
      <w:r>
        <w:rPr/>
        <w:t>份，引起股本增加</w:t>
      </w:r>
      <w:r>
        <w:rPr>
          <w:rFonts w:ascii="Times New Roman" w:hAnsi="Times New Roman" w:cs="Times New Roman" w:eastAsia="Times New Roman" w:hint="default"/>
        </w:rPr>
        <w:t>3,247,946</w:t>
      </w:r>
      <w:r>
        <w:rPr/>
        <w:t>股。</w:t>
      </w:r>
    </w:p>
    <w:p>
      <w:pPr>
        <w:pStyle w:val="BodyText"/>
        <w:spacing w:line="240" w:lineRule="auto" w:before="13"/>
        <w:ind w:left="472" w:right="0"/>
        <w:jc w:val="left"/>
      </w:pPr>
      <w:r>
        <w:rPr>
          <w:spacing w:val="4"/>
        </w:rPr>
        <w:t>（</w:t>
      </w:r>
      <w:r>
        <w:rPr>
          <w:rFonts w:ascii="Times New Roman" w:hAnsi="Times New Roman" w:cs="Times New Roman" w:eastAsia="Times New Roman" w:hint="default"/>
          <w:spacing w:val="4"/>
        </w:rPr>
        <w:t>2</w:t>
      </w:r>
      <w:r>
        <w:rPr>
          <w:spacing w:val="4"/>
        </w:rPr>
        <w:t>）报告期内，公司向</w:t>
      </w:r>
      <w:r>
        <w:rPr>
          <w:rFonts w:ascii="Times New Roman" w:hAnsi="Times New Roman" w:cs="Times New Roman" w:eastAsia="Times New Roman" w:hint="default"/>
          <w:spacing w:val="4"/>
        </w:rPr>
        <w:t>2019</w:t>
      </w:r>
      <w:r>
        <w:rPr>
          <w:spacing w:val="4"/>
        </w:rPr>
        <w:t>年股权激励计划激励对象授予限制性股票</w:t>
      </w:r>
      <w:r>
        <w:rPr>
          <w:rFonts w:ascii="Times New Roman" w:hAnsi="Times New Roman" w:cs="Times New Roman" w:eastAsia="Times New Roman" w:hint="default"/>
          <w:spacing w:val="4"/>
        </w:rPr>
        <w:t>16,396,800</w:t>
      </w:r>
      <w:r>
        <w:rPr>
          <w:spacing w:val="4"/>
        </w:rPr>
        <w:t>股并完成股份登记，引起股本增加</w:t>
      </w:r>
    </w:p>
    <w:p>
      <w:pPr>
        <w:pStyle w:val="BodyText"/>
        <w:spacing w:line="240" w:lineRule="auto" w:before="63"/>
        <w:ind w:right="0"/>
        <w:jc w:val="left"/>
      </w:pPr>
      <w:r>
        <w:rPr>
          <w:rFonts w:ascii="Times New Roman" w:hAnsi="Times New Roman" w:cs="Times New Roman" w:eastAsia="Times New Roman" w:hint="default"/>
        </w:rPr>
        <w:t>16,396,800</w:t>
      </w:r>
      <w:r>
        <w:rPr/>
        <w:t>股。</w:t>
      </w:r>
    </w:p>
    <w:p>
      <w:pPr>
        <w:pStyle w:val="BodyText"/>
        <w:spacing w:line="300" w:lineRule="auto" w:before="63"/>
        <w:ind w:right="1039" w:firstLine="360"/>
        <w:jc w:val="both"/>
      </w:pPr>
      <w:r>
        <w:rPr>
          <w:spacing w:val="-3"/>
        </w:rPr>
        <w:t>（</w:t>
      </w:r>
      <w:r>
        <w:rPr>
          <w:rFonts w:ascii="Times New Roman" w:hAnsi="Times New Roman" w:cs="Times New Roman" w:eastAsia="Times New Roman" w:hint="default"/>
          <w:spacing w:val="-3"/>
        </w:rPr>
        <w:t>3</w:t>
      </w:r>
      <w:r>
        <w:rPr>
          <w:spacing w:val="-3"/>
        </w:rPr>
        <w:t>）报告期内，公司对部分离职人员已获授但尚未解锁的限制性股票进行回购注销，共回购注销</w:t>
      </w:r>
      <w:r>
        <w:rPr>
          <w:rFonts w:ascii="Times New Roman" w:hAnsi="Times New Roman" w:cs="Times New Roman" w:eastAsia="Times New Roman" w:hint="default"/>
          <w:spacing w:val="-3"/>
        </w:rPr>
        <w:t>779,890</w:t>
      </w:r>
      <w:r>
        <w:rPr>
          <w:spacing w:val="-3"/>
        </w:rPr>
        <w:t>股限制性股票，</w:t>
      </w:r>
      <w:r>
        <w:rPr/>
        <w:t> 引起股本减少</w:t>
      </w:r>
      <w:r>
        <w:rPr>
          <w:rFonts w:ascii="Times New Roman" w:hAnsi="Times New Roman" w:cs="Times New Roman" w:eastAsia="Times New Roman" w:hint="default"/>
        </w:rPr>
        <w:t>779,890</w:t>
      </w:r>
      <w:r>
        <w:rPr/>
        <w:t>股。</w:t>
      </w:r>
    </w:p>
    <w:p>
      <w:pPr>
        <w:pStyle w:val="BodyText"/>
        <w:spacing w:line="300" w:lineRule="auto" w:before="13"/>
        <w:ind w:right="1132" w:firstLine="360"/>
        <w:jc w:val="both"/>
      </w:pPr>
      <w:r>
        <w:rPr/>
        <w:t>（</w:t>
      </w:r>
      <w:r>
        <w:rPr>
          <w:rFonts w:ascii="Times New Roman" w:hAnsi="Times New Roman" w:cs="Times New Roman" w:eastAsia="Times New Roman" w:hint="default"/>
        </w:rPr>
        <w:t>4</w:t>
      </w:r>
      <w:r>
        <w:rPr/>
        <w:t>）报告期内，公司</w:t>
      </w:r>
      <w:r>
        <w:rPr>
          <w:rFonts w:ascii="Times New Roman" w:hAnsi="Times New Roman" w:cs="Times New Roman" w:eastAsia="Times New Roman" w:hint="default"/>
        </w:rPr>
        <w:t>2016</w:t>
      </w:r>
      <w:r>
        <w:rPr/>
        <w:t>年股权激励计划首次授予限制性股票第二个解锁期解锁条件成就，解锁</w:t>
      </w:r>
      <w:r>
        <w:rPr>
          <w:rFonts w:ascii="Times New Roman" w:hAnsi="Times New Roman" w:cs="Times New Roman" w:eastAsia="Times New Roman" w:hint="default"/>
        </w:rPr>
        <w:t>7,157,490</w:t>
      </w:r>
      <w:r>
        <w:rPr/>
        <w:t>股限制性股 </w:t>
      </w:r>
      <w:r>
        <w:rPr>
          <w:spacing w:val="7"/>
        </w:rPr>
        <w:t>票；公司</w:t>
      </w:r>
      <w:r>
        <w:rPr>
          <w:rFonts w:ascii="Times New Roman" w:hAnsi="Times New Roman" w:cs="Times New Roman" w:eastAsia="Times New Roman" w:hint="default"/>
          <w:spacing w:val="7"/>
        </w:rPr>
        <w:t>2016</w:t>
      </w:r>
      <w:r>
        <w:rPr>
          <w:spacing w:val="7"/>
        </w:rPr>
        <w:t>年股权激励计划预留授予限制性股票第二个解锁期解锁条件成就，解锁</w:t>
      </w:r>
      <w:r>
        <w:rPr>
          <w:rFonts w:ascii="Times New Roman" w:hAnsi="Times New Roman" w:cs="Times New Roman" w:eastAsia="Times New Roman" w:hint="default"/>
          <w:spacing w:val="7"/>
        </w:rPr>
        <w:t>2,878,700</w:t>
      </w:r>
      <w:r>
        <w:rPr>
          <w:spacing w:val="7"/>
        </w:rPr>
        <w:t>股限制性股票，共解锁</w:t>
      </w:r>
      <w:r>
        <w:rPr>
          <w:spacing w:val="-66"/>
        </w:rPr>
        <w:t> </w:t>
      </w:r>
      <w:r>
        <w:rPr>
          <w:spacing w:val="-66"/>
        </w:rPr>
      </w:r>
      <w:r>
        <w:rPr>
          <w:rFonts w:ascii="Times New Roman" w:hAnsi="Times New Roman" w:cs="Times New Roman" w:eastAsia="Times New Roman" w:hint="default"/>
        </w:rPr>
        <w:t>10,036,190</w:t>
      </w:r>
      <w:r>
        <w:rPr/>
        <w:t>股限制性股票，引起股份性质变动</w:t>
      </w:r>
      <w:r>
        <w:rPr>
          <w:rFonts w:ascii="Times New Roman" w:hAnsi="Times New Roman" w:cs="Times New Roman" w:eastAsia="Times New Roman" w:hint="default"/>
        </w:rPr>
        <w:t>10,036,190</w:t>
      </w:r>
      <w:r>
        <w:rPr/>
        <w:t>股。</w:t>
      </w:r>
    </w:p>
    <w:p>
      <w:pPr>
        <w:pStyle w:val="BodyText"/>
        <w:spacing w:line="338" w:lineRule="auto" w:before="13"/>
        <w:ind w:right="3944" w:firstLine="360"/>
        <w:jc w:val="left"/>
      </w:pPr>
      <w:r>
        <w:rPr/>
        <w:t>（</w:t>
      </w:r>
      <w:r>
        <w:rPr>
          <w:rFonts w:ascii="Times New Roman" w:hAnsi="Times New Roman" w:cs="Times New Roman" w:eastAsia="Times New Roman" w:hint="default"/>
        </w:rPr>
        <w:t>5</w:t>
      </w:r>
      <w:r>
        <w:rPr/>
        <w:t>）报告期内，因高管锁定股释放</w:t>
      </w:r>
      <w:r>
        <w:rPr>
          <w:rFonts w:ascii="Times New Roman" w:hAnsi="Times New Roman" w:cs="Times New Roman" w:eastAsia="Times New Roman" w:hint="default"/>
        </w:rPr>
        <w:t>25%</w:t>
      </w:r>
      <w:r>
        <w:rPr/>
        <w:t>额度，共引起股份性质变动</w:t>
      </w:r>
      <w:r>
        <w:rPr>
          <w:rFonts w:ascii="Times New Roman" w:hAnsi="Times New Roman" w:cs="Times New Roman" w:eastAsia="Times New Roman" w:hint="default"/>
        </w:rPr>
        <w:t>62,112,604</w:t>
      </w:r>
      <w:r>
        <w:rPr/>
        <w:t>股。 股份变动的批准情况</w:t>
      </w:r>
    </w:p>
    <w:p>
      <w:pPr>
        <w:spacing w:after="0" w:line="338" w:lineRule="auto"/>
        <w:jc w:val="left"/>
        <w:sectPr>
          <w:footerReference w:type="default" r:id="rId17"/>
          <w:pgSz w:w="11910" w:h="16840"/>
          <w:pgMar w:footer="978" w:header="746" w:top="1060" w:bottom="1160" w:left="1020" w:right="0"/>
          <w:pgNumType w:start="6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1126"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日，第四届董事会第七次会议审议通过了《关于</w:t>
      </w:r>
      <w:r>
        <w:rPr>
          <w:rFonts w:ascii="Times New Roman" w:hAnsi="Times New Roman" w:cs="Times New Roman" w:eastAsia="Times New Roman" w:hint="default"/>
        </w:rPr>
        <w:t>2014</w:t>
      </w:r>
      <w:r>
        <w:rPr/>
        <w:t>年股权激励计划首次授予期权第四个行权期可 行权的议案》，同意</w:t>
      </w:r>
      <w:r>
        <w:rPr>
          <w:rFonts w:ascii="Times New Roman" w:hAnsi="Times New Roman" w:cs="Times New Roman" w:eastAsia="Times New Roman" w:hint="default"/>
        </w:rPr>
        <w:t>146</w:t>
      </w:r>
      <w:r>
        <w:rPr/>
        <w:t>名激励对象在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日期间可行权</w:t>
      </w:r>
      <w:r>
        <w:rPr>
          <w:rFonts w:ascii="Times New Roman" w:hAnsi="Times New Roman" w:cs="Times New Roman" w:eastAsia="Times New Roman" w:hint="default"/>
        </w:rPr>
        <w:t>8,611,752</w:t>
      </w:r>
      <w:r>
        <w:rPr/>
        <w:t>份，行权模式为自主行权。</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日，第四届董事会第八次会议审议通过了《关于</w:t>
      </w:r>
      <w:r>
        <w:rPr>
          <w:rFonts w:ascii="Times New Roman" w:hAnsi="Times New Roman" w:cs="Times New Roman" w:eastAsia="Times New Roman" w:hint="default"/>
        </w:rPr>
        <w:t>2016</w:t>
      </w:r>
      <w:r>
        <w:rPr/>
        <w:t>年股权激励计划预留授予部分第一个行权期</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 </w:t>
      </w:r>
      <w:r>
        <w:rPr>
          <w:spacing w:val="-4"/>
        </w:rPr>
        <w:t>条件成就的议案》，同意</w:t>
      </w:r>
      <w:r>
        <w:rPr>
          <w:rFonts w:ascii="Times New Roman" w:hAnsi="Times New Roman" w:cs="Times New Roman" w:eastAsia="Times New Roman" w:hint="default"/>
          <w:spacing w:val="-4"/>
        </w:rPr>
        <w:t>5</w:t>
      </w:r>
      <w:r>
        <w:rPr>
          <w:spacing w:val="-4"/>
        </w:rPr>
        <w:t>名激励对象在</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27</w:t>
      </w:r>
      <w:r>
        <w:rPr>
          <w:spacing w:val="-4"/>
        </w:rPr>
        <w:t>日至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26</w:t>
      </w:r>
      <w:r>
        <w:rPr>
          <w:spacing w:val="-4"/>
        </w:rPr>
        <w:t>日期间可行权</w:t>
      </w:r>
      <w:r>
        <w:rPr>
          <w:rFonts w:ascii="Times New Roman" w:hAnsi="Times New Roman" w:cs="Times New Roman" w:eastAsia="Times New Roman" w:hint="default"/>
          <w:spacing w:val="-4"/>
        </w:rPr>
        <w:t>180,000</w:t>
      </w:r>
      <w:r>
        <w:rPr>
          <w:spacing w:val="-4"/>
        </w:rPr>
        <w:t>份，行权模式为自主行权。</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日，第四届董事会第九次会议审议通过了《关于</w:t>
      </w:r>
      <w:r>
        <w:rPr>
          <w:rFonts w:ascii="Times New Roman" w:hAnsi="Times New Roman" w:cs="Times New Roman" w:eastAsia="Times New Roman" w:hint="default"/>
        </w:rPr>
        <w:t>2016</w:t>
      </w:r>
      <w:r>
        <w:rPr/>
        <w:t>年股权激励计划首次授予部分第二个行权期</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w:t>
      </w:r>
      <w:r>
        <w:rPr>
          <w:spacing w:val="-20"/>
        </w:rPr>
        <w:t> </w:t>
      </w:r>
      <w:r>
        <w:rPr>
          <w:spacing w:val="-20"/>
        </w:rPr>
      </w:r>
      <w:r>
        <w:rPr/>
        <w:t>条件成就的议案》，同意</w:t>
      </w:r>
      <w:r>
        <w:rPr>
          <w:rFonts w:ascii="Times New Roman" w:hAnsi="Times New Roman" w:cs="Times New Roman" w:eastAsia="Times New Roman" w:hint="default"/>
        </w:rPr>
        <w:t>32</w:t>
      </w:r>
      <w:r>
        <w:rPr/>
        <w:t>名激励对象在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日期间可行权</w:t>
      </w:r>
      <w:r>
        <w:rPr>
          <w:rFonts w:ascii="Times New Roman" w:hAnsi="Times New Roman" w:cs="Times New Roman" w:eastAsia="Times New Roman" w:hint="default"/>
        </w:rPr>
        <w:t>331,170</w:t>
      </w:r>
      <w:r>
        <w:rPr/>
        <w:t>份，行权模式为自主行权。</w:t>
      </w:r>
    </w:p>
    <w:p>
      <w:pPr>
        <w:pStyle w:val="BodyText"/>
        <w:spacing w:line="240" w:lineRule="auto" w:before="13"/>
        <w:ind w:left="472" w:right="0"/>
        <w:jc w:val="left"/>
      </w:pPr>
      <w:r>
        <w:rPr/>
        <w:t>报告期内，因股票期权行权新增股本</w:t>
      </w:r>
      <w:r>
        <w:rPr>
          <w:rFonts w:ascii="Times New Roman" w:hAnsi="Times New Roman" w:cs="Times New Roman" w:eastAsia="Times New Roman" w:hint="default"/>
        </w:rPr>
        <w:t>3,247,946</w:t>
      </w:r>
      <w:r>
        <w:rPr/>
        <w:t>股。</w:t>
      </w:r>
    </w:p>
    <w:p>
      <w:pPr>
        <w:pStyle w:val="BodyText"/>
        <w:spacing w:line="300" w:lineRule="auto" w:before="63"/>
        <w:ind w:right="1130"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日，第四届董事会第十五次会议审议通过了《关于调整</w:t>
      </w:r>
      <w:r>
        <w:rPr>
          <w:rFonts w:ascii="Times New Roman" w:hAnsi="Times New Roman" w:cs="Times New Roman" w:eastAsia="Times New Roman" w:hint="default"/>
          <w:spacing w:val="-2"/>
        </w:rPr>
        <w:t>2019</w:t>
      </w:r>
      <w:r>
        <w:rPr>
          <w:spacing w:val="-2"/>
        </w:rPr>
        <w:t>年股票期权与限制性股票激励计划激励对</w:t>
      </w:r>
      <w:r>
        <w:rPr/>
        <w:t> 象名单及授予权益数量的议案》、《关于向激励对象授予股票期权与限制性股票的议案》，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日，第四届董事会 </w:t>
      </w:r>
      <w:r>
        <w:rPr>
          <w:spacing w:val="-3"/>
        </w:rPr>
        <w:t>第十六次会议审议通过了《关于调整</w:t>
      </w:r>
      <w:r>
        <w:rPr>
          <w:rFonts w:ascii="Times New Roman" w:hAnsi="Times New Roman" w:cs="Times New Roman" w:eastAsia="Times New Roman" w:hint="default"/>
          <w:spacing w:val="-3"/>
        </w:rPr>
        <w:t>2019</w:t>
      </w:r>
      <w:r>
        <w:rPr>
          <w:spacing w:val="-3"/>
        </w:rPr>
        <w:t>年股权激励计划所涉限制性股票激励对象名单及授予权益数量的议案》，同意向</w:t>
      </w:r>
      <w:r>
        <w:rPr>
          <w:rFonts w:ascii="Times New Roman" w:hAnsi="Times New Roman" w:cs="Times New Roman" w:eastAsia="Times New Roman" w:hint="default"/>
          <w:spacing w:val="-3"/>
        </w:rPr>
        <w:t>523</w:t>
      </w:r>
      <w:r>
        <w:rPr>
          <w:rFonts w:ascii="Times New Roman" w:hAnsi="Times New Roman" w:cs="Times New Roman" w:eastAsia="Times New Roman" w:hint="default"/>
        </w:rPr>
        <w:t> </w:t>
      </w:r>
      <w:r>
        <w:rPr/>
        <w:t>名激励对象授予限制性股票</w:t>
      </w:r>
      <w:r>
        <w:rPr>
          <w:rFonts w:ascii="Times New Roman" w:hAnsi="Times New Roman" w:cs="Times New Roman" w:eastAsia="Times New Roman" w:hint="default"/>
        </w:rPr>
        <w:t>16,396,800</w:t>
      </w:r>
      <w:r>
        <w:rPr/>
        <w:t>股。</w:t>
      </w:r>
    </w:p>
    <w:p>
      <w:pPr>
        <w:pStyle w:val="BodyText"/>
        <w:spacing w:line="240" w:lineRule="auto" w:before="13"/>
        <w:ind w:left="472" w:right="0"/>
        <w:jc w:val="left"/>
      </w:pPr>
      <w:r>
        <w:rPr/>
        <w:t>报告期内，因股权激励限制性股票授予新增股本</w:t>
      </w:r>
      <w:r>
        <w:rPr>
          <w:rFonts w:ascii="Times New Roman" w:hAnsi="Times New Roman" w:cs="Times New Roman" w:eastAsia="Times New Roman" w:hint="default"/>
        </w:rPr>
        <w:t>16,396,800</w:t>
      </w:r>
      <w:r>
        <w:rPr/>
        <w:t>股。</w:t>
      </w:r>
    </w:p>
    <w:p>
      <w:pPr>
        <w:pStyle w:val="BodyText"/>
        <w:spacing w:line="300" w:lineRule="auto" w:before="63"/>
        <w:ind w:right="1129"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日，公司第四届董事会第六次会议审议通过了《关于回购注销</w:t>
      </w:r>
      <w:r>
        <w:rPr>
          <w:rFonts w:ascii="Times New Roman" w:hAnsi="Times New Roman" w:cs="Times New Roman" w:eastAsia="Times New Roman" w:hint="default"/>
          <w:spacing w:val="-2"/>
        </w:rPr>
        <w:t>2016</w:t>
      </w:r>
      <w:r>
        <w:rPr>
          <w:spacing w:val="-2"/>
        </w:rPr>
        <w:t>年股权激励计划所涉部分限制性股</w:t>
      </w:r>
      <w:r>
        <w:rPr/>
        <w:t> 票的议案》，同意对</w:t>
      </w:r>
      <w:r>
        <w:rPr>
          <w:rFonts w:ascii="Times New Roman" w:hAnsi="Times New Roman" w:cs="Times New Roman" w:eastAsia="Times New Roman" w:hint="default"/>
        </w:rPr>
        <w:t>11</w:t>
      </w:r>
      <w:r>
        <w:rPr/>
        <w:t>名离职人员持有的</w:t>
      </w:r>
      <w:r>
        <w:rPr>
          <w:rFonts w:ascii="Times New Roman" w:hAnsi="Times New Roman" w:cs="Times New Roman" w:eastAsia="Times New Roman" w:hint="default"/>
        </w:rPr>
        <w:t>222,180</w:t>
      </w:r>
      <w:r>
        <w:rPr/>
        <w:t>股已获授但尚未解锁的限制性股票进行回购注销；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w:t>
      </w:r>
      <w:r>
        <w:rPr>
          <w:spacing w:val="-51"/>
        </w:rPr>
        <w:t> </w:t>
      </w:r>
      <w:r>
        <w:rPr>
          <w:spacing w:val="-51"/>
        </w:rPr>
      </w:r>
      <w:r>
        <w:rPr>
          <w:spacing w:val="-2"/>
        </w:rPr>
        <w:t>第四届董事会第七次会议审议通过了《关于回购注销</w:t>
      </w:r>
      <w:r>
        <w:rPr>
          <w:rFonts w:ascii="Times New Roman" w:hAnsi="Times New Roman" w:cs="Times New Roman" w:eastAsia="Times New Roman" w:hint="default"/>
          <w:spacing w:val="-2"/>
        </w:rPr>
        <w:t>2016</w:t>
      </w:r>
      <w:r>
        <w:rPr>
          <w:spacing w:val="-2"/>
        </w:rPr>
        <w:t>年股权激励计划所涉部分限制性股票的议案》，同意对</w:t>
      </w:r>
      <w:r>
        <w:rPr>
          <w:rFonts w:ascii="Times New Roman" w:hAnsi="Times New Roman" w:cs="Times New Roman" w:eastAsia="Times New Roman" w:hint="default"/>
          <w:spacing w:val="-2"/>
        </w:rPr>
        <w:t>17</w:t>
      </w:r>
      <w:r>
        <w:rPr>
          <w:spacing w:val="-2"/>
        </w:rPr>
        <w:t>名离职人</w:t>
      </w:r>
      <w:r>
        <w:rPr>
          <w:spacing w:val="-60"/>
        </w:rPr>
        <w:t> </w:t>
      </w:r>
      <w:r>
        <w:rPr/>
        <w:t>员持有的</w:t>
      </w:r>
      <w:r>
        <w:rPr>
          <w:rFonts w:ascii="Times New Roman" w:hAnsi="Times New Roman" w:cs="Times New Roman" w:eastAsia="Times New Roman" w:hint="default"/>
        </w:rPr>
        <w:t>229,300</w:t>
      </w:r>
      <w:r>
        <w:rPr/>
        <w:t>股已获授但尚未解锁的限制性股票进行回购注销；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日，公司第四届董事会第八次会议审议通</w:t>
      </w:r>
      <w:r>
        <w:rPr>
          <w:spacing w:val="-52"/>
        </w:rPr>
        <w:t> </w:t>
      </w:r>
      <w:r>
        <w:rPr>
          <w:spacing w:val="-52"/>
        </w:rPr>
      </w:r>
      <w:r>
        <w:rPr>
          <w:spacing w:val="-2"/>
        </w:rPr>
        <w:t>过了《关于回购注销</w:t>
      </w:r>
      <w:r>
        <w:rPr>
          <w:rFonts w:ascii="Times New Roman" w:hAnsi="Times New Roman" w:cs="Times New Roman" w:eastAsia="Times New Roman" w:hint="default"/>
          <w:spacing w:val="-2"/>
        </w:rPr>
        <w:t>2016</w:t>
      </w:r>
      <w:r>
        <w:rPr>
          <w:spacing w:val="-2"/>
        </w:rPr>
        <w:t>年股权激励计划所涉部分限制性股票的议案》，同意对</w:t>
      </w:r>
      <w:r>
        <w:rPr>
          <w:rFonts w:ascii="Times New Roman" w:hAnsi="Times New Roman" w:cs="Times New Roman" w:eastAsia="Times New Roman" w:hint="default"/>
          <w:spacing w:val="-2"/>
        </w:rPr>
        <w:t>1</w:t>
      </w:r>
      <w:r>
        <w:rPr>
          <w:spacing w:val="-2"/>
        </w:rPr>
        <w:t>名离职人员持有的</w:t>
      </w:r>
      <w:r>
        <w:rPr>
          <w:rFonts w:ascii="Times New Roman" w:hAnsi="Times New Roman" w:cs="Times New Roman" w:eastAsia="Times New Roman" w:hint="default"/>
          <w:spacing w:val="-2"/>
        </w:rPr>
        <w:t>100</w:t>
      </w:r>
      <w:r>
        <w:rPr>
          <w:spacing w:val="-2"/>
        </w:rPr>
        <w:t>股已获授但尚未解锁</w:t>
      </w:r>
      <w:r>
        <w:rPr>
          <w:spacing w:val="-59"/>
        </w:rPr>
        <w:t> </w:t>
      </w:r>
      <w:r>
        <w:rPr/>
        <w:t>的限制性股票进行回购注销；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日，公司第四届董事会第九次会议审议通过了《关于回购注销</w:t>
      </w:r>
      <w:r>
        <w:rPr>
          <w:rFonts w:ascii="Times New Roman" w:hAnsi="Times New Roman" w:cs="Times New Roman" w:eastAsia="Times New Roman" w:hint="default"/>
        </w:rPr>
        <w:t>2016</w:t>
      </w:r>
      <w:r>
        <w:rPr/>
        <w:t>年股权激励计 </w:t>
      </w:r>
      <w:r>
        <w:rPr>
          <w:spacing w:val="-3"/>
        </w:rPr>
        <w:t>划所涉部分限制性股票的议案》，同意对</w:t>
      </w:r>
      <w:r>
        <w:rPr>
          <w:rFonts w:ascii="Times New Roman" w:hAnsi="Times New Roman" w:cs="Times New Roman" w:eastAsia="Times New Roman" w:hint="default"/>
          <w:spacing w:val="-3"/>
        </w:rPr>
        <w:t>11</w:t>
      </w:r>
      <w:r>
        <w:rPr>
          <w:spacing w:val="-3"/>
        </w:rPr>
        <w:t>名离职人员持有的</w:t>
      </w:r>
      <w:r>
        <w:rPr>
          <w:rFonts w:ascii="Times New Roman" w:hAnsi="Times New Roman" w:cs="Times New Roman" w:eastAsia="Times New Roman" w:hint="default"/>
          <w:spacing w:val="-3"/>
        </w:rPr>
        <w:t>127,660</w:t>
      </w:r>
      <w:r>
        <w:rPr>
          <w:spacing w:val="-3"/>
        </w:rPr>
        <w:t>股已获授但尚未解锁的限制性股票进行回购注销；</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日，公司第四届董事会第十次会议审议通过了《关于回购注销</w:t>
      </w:r>
      <w:r>
        <w:rPr>
          <w:rFonts w:ascii="Times New Roman" w:hAnsi="Times New Roman" w:cs="Times New Roman" w:eastAsia="Times New Roman" w:hint="default"/>
        </w:rPr>
        <w:t>2016</w:t>
      </w:r>
      <w:r>
        <w:rPr/>
        <w:t>年股权激励计划所涉部分限制性股票的议案》，</w:t>
      </w:r>
      <w:r>
        <w:rPr>
          <w:spacing w:val="-86"/>
        </w:rPr>
        <w:t> </w:t>
      </w:r>
      <w:r>
        <w:rPr>
          <w:spacing w:val="-86"/>
        </w:rPr>
      </w:r>
      <w:r>
        <w:rPr/>
        <w:t>同意对</w:t>
      </w:r>
      <w:r>
        <w:rPr>
          <w:rFonts w:ascii="Times New Roman" w:hAnsi="Times New Roman" w:cs="Times New Roman" w:eastAsia="Times New Roman" w:hint="default"/>
        </w:rPr>
        <w:t>14</w:t>
      </w:r>
      <w:r>
        <w:rPr/>
        <w:t>名离职人员持有的</w:t>
      </w:r>
      <w:r>
        <w:rPr>
          <w:rFonts w:ascii="Times New Roman" w:hAnsi="Times New Roman" w:cs="Times New Roman" w:eastAsia="Times New Roman" w:hint="default"/>
        </w:rPr>
        <w:t>200,650</w:t>
      </w:r>
      <w:r>
        <w:rPr/>
        <w:t>股已获授但尚未解锁的限制性股票进行回购注销。</w:t>
      </w:r>
    </w:p>
    <w:p>
      <w:pPr>
        <w:pStyle w:val="BodyText"/>
        <w:spacing w:line="240" w:lineRule="auto" w:before="13"/>
        <w:ind w:left="472" w:right="0"/>
        <w:jc w:val="left"/>
      </w:pPr>
      <w:r>
        <w:rPr/>
        <w:t>报告期内，因股权激励限制性股票回购注销减少股本</w:t>
      </w:r>
      <w:r>
        <w:rPr>
          <w:rFonts w:ascii="Times New Roman" w:hAnsi="Times New Roman" w:cs="Times New Roman" w:eastAsia="Times New Roman" w:hint="default"/>
        </w:rPr>
        <w:t>779,890</w:t>
      </w:r>
      <w:r>
        <w:rPr/>
        <w:t>股。</w:t>
      </w:r>
    </w:p>
    <w:p>
      <w:pPr>
        <w:pStyle w:val="BodyText"/>
        <w:spacing w:line="300" w:lineRule="auto" w:before="63"/>
        <w:ind w:right="1126"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日，第四届董事会第九次会议审议通过了《关于</w:t>
      </w:r>
      <w:r>
        <w:rPr>
          <w:rFonts w:ascii="Times New Roman" w:hAnsi="Times New Roman" w:cs="Times New Roman" w:eastAsia="Times New Roman" w:hint="default"/>
        </w:rPr>
        <w:t>2016</w:t>
      </w:r>
      <w:r>
        <w:rPr/>
        <w:t>年股权激励计划首次授予部分第二个行权期</w:t>
      </w:r>
      <w:r>
        <w:rPr>
          <w:rFonts w:ascii="Times New Roman" w:hAnsi="Times New Roman" w:cs="Times New Roman" w:eastAsia="Times New Roman" w:hint="default"/>
        </w:rPr>
        <w:t>/</w:t>
      </w:r>
      <w:r>
        <w:rPr/>
        <w:t>解 </w:t>
      </w:r>
      <w:r>
        <w:rPr>
          <w:spacing w:val="-1"/>
        </w:rPr>
        <w:t>锁期行权</w:t>
      </w:r>
      <w:r>
        <w:rPr>
          <w:rFonts w:ascii="Times New Roman" w:hAnsi="Times New Roman" w:cs="Times New Roman" w:eastAsia="Times New Roman" w:hint="default"/>
          <w:spacing w:val="-1"/>
        </w:rPr>
        <w:t>/</w:t>
      </w:r>
      <w:r>
        <w:rPr>
          <w:spacing w:val="-1"/>
        </w:rPr>
        <w:t>解锁条件成就的议案》，同意</w:t>
      </w:r>
      <w:r>
        <w:rPr>
          <w:rFonts w:ascii="Times New Roman" w:hAnsi="Times New Roman" w:cs="Times New Roman" w:eastAsia="Times New Roman" w:hint="default"/>
          <w:spacing w:val="-1"/>
        </w:rPr>
        <w:t>492</w:t>
      </w:r>
      <w:r>
        <w:rPr>
          <w:spacing w:val="-1"/>
        </w:rPr>
        <w:t>名首次授予限制性股票的激励对象可解锁</w:t>
      </w:r>
      <w:r>
        <w:rPr>
          <w:rFonts w:ascii="Times New Roman" w:hAnsi="Times New Roman" w:cs="Times New Roman" w:eastAsia="Times New Roman" w:hint="default"/>
          <w:spacing w:val="-1"/>
        </w:rPr>
        <w:t>7,157,490</w:t>
      </w:r>
      <w:r>
        <w:rPr>
          <w:spacing w:val="-1"/>
        </w:rPr>
        <w:t>股限制性股票。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日，第四届董事会第十九次会议审议通过了《关于</w:t>
      </w:r>
      <w:r>
        <w:rPr>
          <w:rFonts w:ascii="Times New Roman" w:hAnsi="Times New Roman" w:cs="Times New Roman" w:eastAsia="Times New Roman" w:hint="default"/>
        </w:rPr>
        <w:t>2016</w:t>
      </w:r>
      <w:r>
        <w:rPr/>
        <w:t>年股权激励计划预留授予部分第二个行权期</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 就的议案》，同意</w:t>
      </w:r>
      <w:r>
        <w:rPr>
          <w:rFonts w:ascii="Times New Roman" w:hAnsi="Times New Roman" w:cs="Times New Roman" w:eastAsia="Times New Roman" w:hint="default"/>
        </w:rPr>
        <w:t>246</w:t>
      </w:r>
      <w:r>
        <w:rPr/>
        <w:t>名预留授予限制性股票的激励对象可解锁</w:t>
      </w:r>
      <w:r>
        <w:rPr>
          <w:rFonts w:ascii="Times New Roman" w:hAnsi="Times New Roman" w:cs="Times New Roman" w:eastAsia="Times New Roman" w:hint="default"/>
        </w:rPr>
        <w:t>2,878,700</w:t>
      </w:r>
      <w:r>
        <w:rPr/>
        <w:t>股限制性股票。</w:t>
      </w:r>
    </w:p>
    <w:p>
      <w:pPr>
        <w:pStyle w:val="BodyText"/>
        <w:spacing w:line="340" w:lineRule="auto" w:before="13"/>
        <w:ind w:right="4724" w:firstLine="360"/>
        <w:jc w:val="left"/>
      </w:pPr>
      <w:r>
        <w:rPr/>
        <w:t>报告期内，因股权激励限制性股票解锁引起股份性质变动</w:t>
      </w:r>
      <w:r>
        <w:rPr>
          <w:rFonts w:ascii="Times New Roman" w:hAnsi="Times New Roman" w:cs="Times New Roman" w:eastAsia="Times New Roman" w:hint="default"/>
        </w:rPr>
        <w:t>10,036,190</w:t>
      </w:r>
      <w:r>
        <w:rPr/>
        <w:t>股。 股份变动的过户情况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1034"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年股权激励计划首次授予期权第四个行权期、</w:t>
      </w:r>
      <w:r>
        <w:rPr>
          <w:rFonts w:ascii="Times New Roman" w:hAnsi="Times New Roman" w:cs="Times New Roman" w:eastAsia="Times New Roman" w:hint="default"/>
        </w:rPr>
        <w:t>2016</w:t>
      </w:r>
      <w:r>
        <w:rPr/>
        <w:t>年股权激励计划首次授予期权第二个行权期、</w:t>
      </w:r>
      <w:r>
        <w:rPr>
          <w:rFonts w:ascii="Times New Roman" w:hAnsi="Times New Roman" w:cs="Times New Roman" w:eastAsia="Times New Roman" w:hint="default"/>
        </w:rPr>
        <w:t>2016</w:t>
      </w:r>
      <w:r>
        <w:rPr/>
        <w:t>年股权 激励计划预留授予期权第一个行权期及第二个行权期均采用自主行权模式，行权期分别为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日及</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日。报告期内，共</w:t>
      </w:r>
      <w:r>
        <w:rPr>
          <w:spacing w:val="-39"/>
        </w:rPr>
        <w:t> </w:t>
      </w:r>
      <w:r>
        <w:rPr>
          <w:spacing w:val="-39"/>
        </w:rPr>
      </w:r>
      <w:r>
        <w:rPr/>
        <w:t>计行权</w:t>
      </w:r>
      <w:r>
        <w:rPr>
          <w:rFonts w:ascii="Times New Roman" w:hAnsi="Times New Roman" w:cs="Times New Roman" w:eastAsia="Times New Roman" w:hint="default"/>
        </w:rPr>
        <w:t>3,247,946</w:t>
      </w:r>
      <w:r>
        <w:rPr/>
        <w:t>份股票期权。</w:t>
      </w:r>
    </w:p>
    <w:p>
      <w:pPr>
        <w:pStyle w:val="BodyText"/>
        <w:spacing w:line="300" w:lineRule="auto" w:before="13"/>
        <w:ind w:right="1132" w:firstLine="360"/>
        <w:jc w:val="both"/>
      </w:pPr>
      <w:r>
        <w:rPr>
          <w:spacing w:val="-2"/>
        </w:rPr>
        <w:t>（</w:t>
      </w:r>
      <w:r>
        <w:rPr>
          <w:rFonts w:ascii="Times New Roman" w:hAnsi="Times New Roman" w:cs="Times New Roman" w:eastAsia="Times New Roman" w:hint="default"/>
          <w:spacing w:val="-2"/>
        </w:rPr>
        <w:t>2</w:t>
      </w:r>
      <w:r>
        <w:rPr>
          <w:spacing w:val="-2"/>
        </w:rPr>
        <w:t>）经中国证券登记结算有限责任公司深圳分公司确认，</w:t>
      </w:r>
      <w:r>
        <w:rPr>
          <w:rFonts w:ascii="Times New Roman" w:hAnsi="Times New Roman" w:cs="Times New Roman" w:eastAsia="Times New Roman" w:hint="default"/>
          <w:spacing w:val="-2"/>
        </w:rPr>
        <w:t>2019</w:t>
      </w:r>
      <w:r>
        <w:rPr>
          <w:spacing w:val="-2"/>
        </w:rPr>
        <w:t>年股权激励计划所涉</w:t>
      </w:r>
      <w:r>
        <w:rPr>
          <w:rFonts w:ascii="Times New Roman" w:hAnsi="Times New Roman" w:cs="Times New Roman" w:eastAsia="Times New Roman" w:hint="default"/>
          <w:spacing w:val="-2"/>
        </w:rPr>
        <w:t>16,396,800</w:t>
      </w:r>
      <w:r>
        <w:rPr>
          <w:spacing w:val="-2"/>
        </w:rPr>
        <w:t>股限制性股票完成授予登</w:t>
      </w:r>
      <w:r>
        <w:rPr/>
        <w:t> 记手续，上市日为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p>
    <w:p>
      <w:pPr>
        <w:pStyle w:val="BodyText"/>
        <w:spacing w:line="300" w:lineRule="auto" w:before="13"/>
        <w:ind w:right="1051" w:firstLine="360"/>
        <w:jc w:val="both"/>
      </w:pPr>
      <w:r>
        <w:rPr/>
        <w:t>（</w:t>
      </w:r>
      <w:r>
        <w:rPr>
          <w:rFonts w:ascii="Times New Roman" w:hAnsi="Times New Roman" w:cs="Times New Roman" w:eastAsia="Times New Roman" w:hint="default"/>
        </w:rPr>
        <w:t>3</w:t>
      </w:r>
      <w:r>
        <w:rPr/>
        <w:t>）中国证券登记结算有限责任公司深圳分公司于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日出具了《注销股份明细表》，</w:t>
      </w:r>
      <w:r>
        <w:rPr>
          <w:rFonts w:ascii="Times New Roman" w:hAnsi="Times New Roman" w:cs="Times New Roman" w:eastAsia="Times New Roman" w:hint="default"/>
        </w:rPr>
        <w:t>451,480</w:t>
      </w:r>
      <w:r>
        <w:rPr/>
        <w:t>股限制性股票 </w:t>
      </w:r>
      <w:r>
        <w:rPr>
          <w:spacing w:val="-2"/>
        </w:rPr>
        <w:t>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日完成回购注销手续；中国证券登记结算有限责任公司深圳分公司于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日出具了《注销股份明细</w:t>
      </w:r>
      <w:r>
        <w:rPr>
          <w:spacing w:val="-57"/>
        </w:rPr>
        <w:t> </w:t>
      </w:r>
      <w:r>
        <w:rPr>
          <w:spacing w:val="-57"/>
        </w:rPr>
      </w:r>
      <w:r>
        <w:rPr/>
        <w:t>表》，</w:t>
      </w:r>
      <w:r>
        <w:rPr>
          <w:rFonts w:ascii="Times New Roman" w:hAnsi="Times New Roman" w:cs="Times New Roman" w:eastAsia="Times New Roman" w:hint="default"/>
        </w:rPr>
        <w:t>328,410</w:t>
      </w:r>
      <w:r>
        <w:rPr/>
        <w:t>股限制性股票于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日完成回购注销手续。报告期内，共计</w:t>
      </w:r>
      <w:r>
        <w:rPr>
          <w:rFonts w:ascii="Times New Roman" w:hAnsi="Times New Roman" w:cs="Times New Roman" w:eastAsia="Times New Roman" w:hint="default"/>
        </w:rPr>
        <w:t>779,890</w:t>
      </w:r>
      <w:r>
        <w:rPr/>
        <w:t>股限制性股票完成回购注销手续。</w:t>
      </w:r>
    </w:p>
    <w:p>
      <w:pPr>
        <w:pStyle w:val="BodyText"/>
        <w:spacing w:line="300" w:lineRule="auto" w:before="13"/>
        <w:ind w:right="1130"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2016</w:t>
      </w:r>
      <w:r>
        <w:rPr>
          <w:spacing w:val="-2"/>
        </w:rPr>
        <w:t>年股权激励计划首次授予限制性股票第二个解锁期届满解锁手续已在中国结算深圳分公司办理完</w:t>
      </w:r>
      <w:r>
        <w:rPr/>
        <w:t> </w:t>
      </w:r>
      <w:r>
        <w:rPr>
          <w:spacing w:val="-2"/>
        </w:rPr>
        <w:t>毕，解锁</w:t>
      </w:r>
      <w:r>
        <w:rPr>
          <w:rFonts w:ascii="Times New Roman" w:hAnsi="Times New Roman" w:cs="Times New Roman" w:eastAsia="Times New Roman" w:hint="default"/>
          <w:spacing w:val="-2"/>
        </w:rPr>
        <w:t>7,157,490</w:t>
      </w:r>
      <w:r>
        <w:rPr>
          <w:spacing w:val="-2"/>
        </w:rPr>
        <w:t>股限制性股票，上市流通日为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2016</w:t>
      </w:r>
      <w:r>
        <w:rPr>
          <w:spacing w:val="-2"/>
        </w:rPr>
        <w:t>年股权激励计划预留授予限制性股票第二</w:t>
      </w:r>
      <w:r>
        <w:rPr>
          <w:spacing w:val="-50"/>
        </w:rPr>
        <w:t> </w:t>
      </w:r>
      <w:r>
        <w:rPr>
          <w:spacing w:val="-2"/>
        </w:rPr>
        <w:t>个解锁期届满解锁手续已在中国结算深圳分公司办理完毕，解锁</w:t>
      </w:r>
      <w:r>
        <w:rPr>
          <w:rFonts w:ascii="Times New Roman" w:hAnsi="Times New Roman" w:cs="Times New Roman" w:eastAsia="Times New Roman" w:hint="default"/>
          <w:spacing w:val="-2"/>
        </w:rPr>
        <w:t>2,878,700</w:t>
      </w:r>
      <w:r>
        <w:rPr>
          <w:spacing w:val="-2"/>
        </w:rPr>
        <w:t>股限制性股票，上市流通日为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日。报</w:t>
      </w:r>
      <w:r>
        <w:rPr>
          <w:spacing w:val="-54"/>
        </w:rPr>
        <w:t> </w:t>
      </w:r>
      <w:r>
        <w:rPr>
          <w:spacing w:val="-54"/>
        </w:rPr>
      </w:r>
      <w:r>
        <w:rPr/>
        <w:t>告期内，因限制性股票解锁，引起股份性质变化</w:t>
      </w:r>
      <w:r>
        <w:rPr>
          <w:rFonts w:ascii="Times New Roman" w:hAnsi="Times New Roman" w:cs="Times New Roman" w:eastAsia="Times New Roman" w:hint="default"/>
        </w:rPr>
        <w:t>10,036,190</w:t>
      </w:r>
      <w:r>
        <w:rPr/>
        <w:t>股。</w:t>
      </w:r>
    </w:p>
    <w:p>
      <w:pPr>
        <w:pStyle w:val="BodyText"/>
        <w:spacing w:line="240" w:lineRule="auto" w:before="54"/>
        <w:ind w:right="0"/>
        <w:jc w:val="left"/>
      </w:pPr>
      <w:r>
        <w:rPr/>
        <w:t>股份回购的实施进展情况</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38" w:lineRule="auto" w:before="44"/>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采用集中竞价方式减持回购股份的实施进展情况</w:t>
      </w:r>
    </w:p>
    <w:p>
      <w:pPr>
        <w:pStyle w:val="BodyText"/>
        <w:spacing w:line="340" w:lineRule="auto" w:before="43"/>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股份变动对最近一年和最近一期基本每股收益和稀释每股收益、归属于公司普通股股东的每股净资产等财务指标的影响</w:t>
      </w:r>
    </w:p>
    <w:p>
      <w:pPr>
        <w:pStyle w:val="BodyText"/>
        <w:spacing w:line="340" w:lineRule="auto" w:before="39"/>
        <w:ind w:left="472" w:right="112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公司总股本由期初</w:t>
      </w:r>
      <w:r>
        <w:rPr>
          <w:rFonts w:ascii="Times New Roman" w:hAnsi="Times New Roman" w:cs="Times New Roman" w:eastAsia="Times New Roman" w:hint="default"/>
        </w:rPr>
        <w:t>1,622,318,880</w:t>
      </w:r>
      <w:r>
        <w:rPr/>
        <w:t>股增加至期末</w:t>
      </w:r>
      <w:r>
        <w:rPr>
          <w:rFonts w:ascii="Times New Roman" w:hAnsi="Times New Roman" w:cs="Times New Roman" w:eastAsia="Times New Roman" w:hint="default"/>
        </w:rPr>
        <w:t>1,641,183,736</w:t>
      </w:r>
      <w:r>
        <w:rPr/>
        <w:t>股。若以期初总股本</w:t>
      </w:r>
      <w:r>
        <w:rPr>
          <w:rFonts w:ascii="Times New Roman" w:hAnsi="Times New Roman" w:cs="Times New Roman" w:eastAsia="Times New Roman" w:hint="default"/>
        </w:rPr>
        <w:t>1,622,318,880</w:t>
      </w:r>
      <w:r>
        <w:rPr/>
        <w:t>股计算，本报告期基本每</w:t>
      </w:r>
    </w:p>
    <w:p>
      <w:pPr>
        <w:pStyle w:val="BodyText"/>
        <w:spacing w:line="228" w:lineRule="exact"/>
        <w:ind w:right="0"/>
        <w:jc w:val="left"/>
        <w:rPr>
          <w:rFonts w:ascii="Times New Roman" w:hAnsi="Times New Roman" w:cs="Times New Roman" w:eastAsia="Times New Roman" w:hint="default"/>
        </w:rPr>
      </w:pPr>
      <w:r>
        <w:rPr/>
        <w:t>股收益为</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5</w:t>
      </w:r>
      <w:r>
        <w:rPr/>
        <w:t>元</w:t>
      </w:r>
      <w:r>
        <w:rPr>
          <w:spacing w:val="-89"/>
        </w:rPr>
        <w:t>，</w:t>
      </w:r>
      <w:r>
        <w:rPr/>
        <w:t>稀释每股收益为</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6</w:t>
      </w:r>
      <w:r>
        <w:rPr/>
        <w:t>元</w:t>
      </w:r>
      <w:r>
        <w:rPr>
          <w:spacing w:val="-89"/>
        </w:rPr>
        <w:t>，</w:t>
      </w:r>
      <w:r>
        <w:rPr/>
        <w:t>归属于公司普通股股东的每股净资产为</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元</w:t>
      </w:r>
      <w:r>
        <w:rPr>
          <w:spacing w:val="-89"/>
        </w:rPr>
        <w:t>；</w:t>
      </w:r>
      <w:r>
        <w:rPr/>
        <w:t>若以期末总股</w:t>
      </w:r>
      <w:r>
        <w:rPr>
          <w:spacing w:val="2"/>
        </w:rPr>
        <w:t>本</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3</w:t>
      </w:r>
      <w:r>
        <w:rPr>
          <w:rFonts w:ascii="Times New Roman" w:hAnsi="Times New Roman" w:cs="Times New Roman" w:eastAsia="Times New Roman" w:hint="default"/>
        </w:rPr>
        <w:t>6</w:t>
      </w:r>
    </w:p>
    <w:p>
      <w:pPr>
        <w:pStyle w:val="BodyText"/>
        <w:spacing w:line="340" w:lineRule="auto" w:before="63"/>
        <w:ind w:right="1169"/>
        <w:jc w:val="left"/>
      </w:pPr>
      <w:r>
        <w:rPr/>
        <w:t>股计算，本报告期基本每股收益为</w:t>
      </w:r>
      <w:r>
        <w:rPr>
          <w:rFonts w:ascii="Times New Roman" w:hAnsi="Times New Roman" w:cs="Times New Roman" w:eastAsia="Times New Roman" w:hint="default"/>
        </w:rPr>
        <w:t>0.2426</w:t>
      </w:r>
      <w:r>
        <w:rPr/>
        <w:t>元，稀释每股收益为</w:t>
      </w:r>
      <w:r>
        <w:rPr>
          <w:rFonts w:ascii="Times New Roman" w:hAnsi="Times New Roman" w:cs="Times New Roman" w:eastAsia="Times New Roman" w:hint="default"/>
        </w:rPr>
        <w:t>0.2428</w:t>
      </w:r>
      <w:r>
        <w:rPr/>
        <w:t>元，归属于公司普通股股东的每股净资产为</w:t>
      </w:r>
      <w:r>
        <w:rPr>
          <w:rFonts w:ascii="Times New Roman" w:hAnsi="Times New Roman" w:cs="Times New Roman" w:eastAsia="Times New Roman" w:hint="default"/>
        </w:rPr>
        <w:t>2.2748</w:t>
      </w:r>
      <w:r>
        <w:rPr/>
        <w:t>元。 公司认为必要或证券监管机构要求披露的其他内容</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714"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7" w:right="56" w:hanging="452"/>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1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161,363,504</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21,528,750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139,834,754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董事锁定</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按董事锁定规 定</w:t>
            </w:r>
          </w:p>
        </w:tc>
      </w:tr>
      <w:tr>
        <w:trPr>
          <w:trHeight w:val="71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98,111,467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16,980,150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81,131,317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董事锁定</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按董事锁定规 定</w:t>
            </w:r>
          </w:p>
        </w:tc>
      </w:tr>
      <w:tr>
        <w:trPr>
          <w:trHeight w:val="714"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91,055,388</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22,763,775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68,291,613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类高管锁定</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按高管锁定规 定</w:t>
            </w:r>
          </w:p>
        </w:tc>
      </w:tr>
      <w:tr>
        <w:trPr>
          <w:trHeight w:val="2586"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5,223,102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5,223,102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88"/>
              <w:jc w:val="left"/>
              <w:rPr>
                <w:rFonts w:ascii="宋体" w:hAnsi="宋体" w:cs="宋体" w:eastAsia="宋体" w:hint="default"/>
                <w:sz w:val="18"/>
                <w:szCs w:val="18"/>
              </w:rPr>
            </w:pPr>
            <w:r>
              <w:rPr>
                <w:rFonts w:ascii="宋体" w:hAnsi="宋体" w:cs="宋体" w:eastAsia="宋体" w:hint="default"/>
                <w:sz w:val="18"/>
                <w:szCs w:val="18"/>
              </w:rPr>
              <w:t>董事锁定及限 制性股票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1"/>
                <w:sz w:val="18"/>
                <w:szCs w:val="18"/>
              </w:rPr>
              <w:t>限售股按董事</w:t>
            </w:r>
            <w:r>
              <w:rPr>
                <w:rFonts w:ascii="宋体" w:hAnsi="宋体" w:cs="宋体" w:eastAsia="宋体" w:hint="default"/>
                <w:sz w:val="18"/>
                <w:szCs w:val="18"/>
              </w:rPr>
              <w:t> </w:t>
            </w:r>
            <w:r>
              <w:rPr>
                <w:rFonts w:ascii="宋体" w:hAnsi="宋体" w:cs="宋体" w:eastAsia="宋体" w:hint="default"/>
                <w:spacing w:val="11"/>
                <w:sz w:val="18"/>
                <w:szCs w:val="18"/>
              </w:rPr>
              <w:t>锁定规定；限</w:t>
            </w:r>
            <w:r>
              <w:rPr>
                <w:rFonts w:ascii="宋体" w:hAnsi="宋体" w:cs="宋体" w:eastAsia="宋体" w:hint="default"/>
                <w:sz w:val="18"/>
                <w:szCs w:val="18"/>
              </w:rPr>
              <w:t> 制</w:t>
            </w:r>
            <w:r>
              <w:rPr>
                <w:rFonts w:ascii="宋体" w:hAnsi="宋体" w:cs="宋体" w:eastAsia="宋体" w:hint="default"/>
                <w:spacing w:val="-28"/>
                <w:sz w:val="18"/>
                <w:szCs w:val="18"/>
              </w:rPr>
              <w:t> </w:t>
            </w:r>
            <w:r>
              <w:rPr>
                <w:rFonts w:ascii="宋体" w:hAnsi="宋体" w:cs="宋体" w:eastAsia="宋体" w:hint="default"/>
                <w:sz w:val="18"/>
                <w:szCs w:val="18"/>
              </w:rPr>
              <w:t>性</w:t>
            </w:r>
            <w:r>
              <w:rPr>
                <w:rFonts w:ascii="宋体" w:hAnsi="宋体" w:cs="宋体" w:eastAsia="宋体" w:hint="default"/>
                <w:spacing w:val="-28"/>
                <w:sz w:val="18"/>
                <w:szCs w:val="18"/>
              </w:rPr>
              <w:t> </w:t>
            </w:r>
            <w:r>
              <w:rPr>
                <w:rFonts w:ascii="宋体" w:hAnsi="宋体" w:cs="宋体" w:eastAsia="宋体" w:hint="default"/>
                <w:sz w:val="18"/>
                <w:szCs w:val="18"/>
              </w:rPr>
              <w:t>股</w:t>
            </w:r>
            <w:r>
              <w:rPr>
                <w:rFonts w:ascii="宋体" w:hAnsi="宋体" w:cs="宋体" w:eastAsia="宋体" w:hint="default"/>
                <w:spacing w:val="-30"/>
                <w:sz w:val="18"/>
                <w:szCs w:val="18"/>
              </w:rPr>
              <w:t> </w:t>
            </w:r>
            <w:r>
              <w:rPr>
                <w:rFonts w:ascii="宋体" w:hAnsi="宋体" w:cs="宋体" w:eastAsia="宋体" w:hint="default"/>
                <w:sz w:val="18"/>
                <w:szCs w:val="18"/>
              </w:rPr>
              <w:t>票</w:t>
            </w:r>
            <w:r>
              <w:rPr>
                <w:rFonts w:ascii="宋体" w:hAnsi="宋体" w:cs="宋体" w:eastAsia="宋体" w:hint="default"/>
                <w:spacing w:val="-28"/>
                <w:sz w:val="18"/>
                <w:szCs w:val="18"/>
              </w:rPr>
              <w:t> </w:t>
            </w:r>
            <w:r>
              <w:rPr>
                <w:rFonts w:ascii="宋体" w:hAnsi="宋体" w:cs="宋体" w:eastAsia="宋体" w:hint="default"/>
                <w:sz w:val="18"/>
                <w:szCs w:val="18"/>
              </w:rPr>
              <w:t>按</w:t>
            </w:r>
          </w:p>
          <w:p>
            <w:pPr>
              <w:pStyle w:val="TableParagraph"/>
              <w:spacing w:line="30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年股票</w:t>
            </w:r>
            <w:r>
              <w:rPr>
                <w:rFonts w:ascii="宋体" w:hAnsi="宋体" w:cs="宋体" w:eastAsia="宋体" w:hint="default"/>
                <w:sz w:val="18"/>
                <w:szCs w:val="18"/>
              </w:rPr>
              <w:t> </w:t>
            </w:r>
            <w:r>
              <w:rPr>
                <w:rFonts w:ascii="宋体" w:hAnsi="宋体" w:cs="宋体" w:eastAsia="宋体" w:hint="default"/>
                <w:spacing w:val="11"/>
                <w:sz w:val="18"/>
                <w:szCs w:val="18"/>
              </w:rPr>
              <w:t>期权与限制性</w:t>
            </w:r>
            <w:r>
              <w:rPr>
                <w:rFonts w:ascii="宋体" w:hAnsi="宋体" w:cs="宋体" w:eastAsia="宋体" w:hint="default"/>
                <w:sz w:val="18"/>
                <w:szCs w:val="18"/>
              </w:rPr>
              <w:t> </w:t>
            </w:r>
            <w:r>
              <w:rPr>
                <w:rFonts w:ascii="宋体" w:hAnsi="宋体" w:cs="宋体" w:eastAsia="宋体" w:hint="default"/>
                <w:spacing w:val="11"/>
                <w:sz w:val="18"/>
                <w:szCs w:val="18"/>
              </w:rPr>
              <w:t>股票激励计划</w:t>
            </w:r>
          </w:p>
          <w:p>
            <w:pPr>
              <w:pStyle w:val="TableParagraph"/>
              <w:spacing w:line="316" w:lineRule="auto" w:before="24"/>
              <w:ind w:left="22" w:right="20"/>
              <w:jc w:val="both"/>
              <w:rPr>
                <w:rFonts w:ascii="宋体" w:hAnsi="宋体" w:cs="宋体" w:eastAsia="宋体" w:hint="default"/>
                <w:sz w:val="18"/>
                <w:szCs w:val="18"/>
              </w:rPr>
            </w:pPr>
            <w:r>
              <w:rPr>
                <w:rFonts w:ascii="宋体" w:hAnsi="宋体" w:cs="宋体" w:eastAsia="宋体" w:hint="default"/>
                <w:spacing w:val="-16"/>
                <w:sz w:val="18"/>
                <w:szCs w:val="18"/>
              </w:rPr>
              <w:t>（草案）》约定</w:t>
            </w:r>
            <w:r>
              <w:rPr>
                <w:rFonts w:ascii="宋体" w:hAnsi="宋体" w:cs="宋体" w:eastAsia="宋体" w:hint="default"/>
                <w:sz w:val="18"/>
                <w:szCs w:val="18"/>
              </w:rPr>
              <w:t> 解锁</w:t>
            </w:r>
          </w:p>
        </w:tc>
      </w:tr>
      <w:tr>
        <w:trPr>
          <w:trHeight w:val="712"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2,805,468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935,156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3,040,312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按高管锁定规 定</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356"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11"/>
                <w:sz w:val="18"/>
                <w:szCs w:val="18"/>
              </w:rPr>
              <w:t>限售股按高管</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锁定规定；限</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28"/>
                <w:sz w:val="18"/>
                <w:szCs w:val="18"/>
              </w:rPr>
              <w:t> </w:t>
            </w:r>
            <w:r>
              <w:rPr>
                <w:rFonts w:ascii="宋体" w:hAnsi="宋体" w:cs="宋体" w:eastAsia="宋体" w:hint="default"/>
                <w:sz w:val="18"/>
                <w:szCs w:val="18"/>
              </w:rPr>
              <w:t>性</w:t>
            </w:r>
            <w:r>
              <w:rPr>
                <w:rFonts w:ascii="宋体" w:hAnsi="宋体" w:cs="宋体" w:eastAsia="宋体" w:hint="default"/>
                <w:spacing w:val="-28"/>
                <w:sz w:val="18"/>
                <w:szCs w:val="18"/>
              </w:rPr>
              <w:t> </w:t>
            </w:r>
            <w:r>
              <w:rPr>
                <w:rFonts w:ascii="宋体" w:hAnsi="宋体" w:cs="宋体" w:eastAsia="宋体" w:hint="default"/>
                <w:sz w:val="18"/>
                <w:szCs w:val="18"/>
              </w:rPr>
              <w:t>股</w:t>
            </w:r>
            <w:r>
              <w:rPr>
                <w:rFonts w:ascii="宋体" w:hAnsi="宋体" w:cs="宋体" w:eastAsia="宋体" w:hint="default"/>
                <w:spacing w:val="-30"/>
                <w:sz w:val="18"/>
                <w:szCs w:val="18"/>
              </w:rPr>
              <w:t> </w:t>
            </w:r>
            <w:r>
              <w:rPr>
                <w:rFonts w:ascii="宋体" w:hAnsi="宋体" w:cs="宋体" w:eastAsia="宋体" w:hint="default"/>
                <w:sz w:val="18"/>
                <w:szCs w:val="18"/>
              </w:rPr>
              <w:t>票</w:t>
            </w:r>
            <w:r>
              <w:rPr>
                <w:rFonts w:ascii="宋体" w:hAnsi="宋体" w:cs="宋体" w:eastAsia="宋体" w:hint="default"/>
                <w:spacing w:val="-28"/>
                <w:sz w:val="18"/>
                <w:szCs w:val="18"/>
              </w:rPr>
              <w:t> </w:t>
            </w:r>
            <w:r>
              <w:rPr>
                <w:rFonts w:ascii="宋体" w:hAnsi="宋体" w:cs="宋体" w:eastAsia="宋体" w:hint="default"/>
                <w:sz w:val="18"/>
                <w:szCs w:val="18"/>
              </w:rPr>
              <w:t>按</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年股票</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期权与限制性</w:t>
            </w:r>
          </w:p>
        </w:tc>
      </w:tr>
      <w:tr>
        <w:trPr>
          <w:trHeight w:val="62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1,783,967</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445,992</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1,837,975</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8"/>
              <w:jc w:val="left"/>
              <w:rPr>
                <w:rFonts w:ascii="宋体" w:hAnsi="宋体" w:cs="宋体" w:eastAsia="宋体" w:hint="default"/>
                <w:sz w:val="18"/>
                <w:szCs w:val="18"/>
              </w:rPr>
            </w:pPr>
            <w:r>
              <w:rPr>
                <w:rFonts w:ascii="宋体" w:hAnsi="宋体" w:cs="宋体" w:eastAsia="宋体" w:hint="default"/>
                <w:sz w:val="18"/>
                <w:szCs w:val="18"/>
              </w:rPr>
              <w:t>高管锁定及限 制性股票</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股票激励计划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草</w:t>
            </w:r>
            <w:r>
              <w:rPr>
                <w:rFonts w:ascii="宋体" w:hAnsi="宋体" w:cs="宋体" w:eastAsia="宋体" w:hint="default"/>
                <w:spacing w:val="-59"/>
                <w:sz w:val="18"/>
                <w:szCs w:val="18"/>
              </w:rPr>
              <w:t> </w:t>
            </w:r>
            <w:r>
              <w:rPr>
                <w:rFonts w:ascii="宋体" w:hAnsi="宋体" w:cs="宋体" w:eastAsia="宋体" w:hint="default"/>
                <w:sz w:val="18"/>
                <w:szCs w:val="18"/>
              </w:rPr>
              <w:t>案</w:t>
            </w:r>
            <w:r>
              <w:rPr>
                <w:rFonts w:ascii="宋体" w:hAnsi="宋体" w:cs="宋体" w:eastAsia="宋体" w:hint="default"/>
                <w:spacing w:val="-59"/>
                <w:sz w:val="18"/>
                <w:szCs w:val="18"/>
              </w:rPr>
              <w:t> </w:t>
            </w:r>
            <w:r>
              <w:rPr>
                <w:rFonts w:ascii="宋体" w:hAnsi="宋体" w:cs="宋体" w:eastAsia="宋体" w:hint="default"/>
                <w:spacing w:val="-29"/>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及</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年股票</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期权与限制性</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股票激励计划</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89"/>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约定</w:t>
            </w:r>
          </w:p>
        </w:tc>
      </w:tr>
      <w:tr>
        <w:trPr>
          <w:trHeight w:val="358"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362"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年股</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票期权与限制</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性股票激励计</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划（草案</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凌红</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971,280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400,000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485,640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885,640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年股票</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期权与限制性</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股票激励计划</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89"/>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约定</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361"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年股</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票期权与限制</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性股票激励计</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划（草案</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赵大平</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570,000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285,000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885,000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年股票</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期权与限制性</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股票激励计划</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89"/>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约定</w:t>
            </w:r>
          </w:p>
        </w:tc>
      </w:tr>
      <w:tr>
        <w:trPr>
          <w:trHeight w:val="358"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1"/>
                <w:sz w:val="18"/>
                <w:szCs w:val="18"/>
              </w:rPr>
              <w:t>限售股按董事</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锁定规定；限</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28"/>
                <w:sz w:val="18"/>
                <w:szCs w:val="18"/>
              </w:rPr>
              <w:t> </w:t>
            </w:r>
            <w:r>
              <w:rPr>
                <w:rFonts w:ascii="宋体" w:hAnsi="宋体" w:cs="宋体" w:eastAsia="宋体" w:hint="default"/>
                <w:sz w:val="18"/>
                <w:szCs w:val="18"/>
              </w:rPr>
              <w:t>性</w:t>
            </w:r>
            <w:r>
              <w:rPr>
                <w:rFonts w:ascii="宋体" w:hAnsi="宋体" w:cs="宋体" w:eastAsia="宋体" w:hint="default"/>
                <w:spacing w:val="-28"/>
                <w:sz w:val="18"/>
                <w:szCs w:val="18"/>
              </w:rPr>
              <w:t> </w:t>
            </w:r>
            <w:r>
              <w:rPr>
                <w:rFonts w:ascii="宋体" w:hAnsi="宋体" w:cs="宋体" w:eastAsia="宋体" w:hint="default"/>
                <w:sz w:val="18"/>
                <w:szCs w:val="18"/>
              </w:rPr>
              <w:t>股</w:t>
            </w:r>
            <w:r>
              <w:rPr>
                <w:rFonts w:ascii="宋体" w:hAnsi="宋体" w:cs="宋体" w:eastAsia="宋体" w:hint="default"/>
                <w:spacing w:val="-30"/>
                <w:sz w:val="18"/>
                <w:szCs w:val="18"/>
              </w:rPr>
              <w:t> </w:t>
            </w:r>
            <w:r>
              <w:rPr>
                <w:rFonts w:ascii="宋体" w:hAnsi="宋体" w:cs="宋体" w:eastAsia="宋体" w:hint="default"/>
                <w:sz w:val="18"/>
                <w:szCs w:val="18"/>
              </w:rPr>
              <w:t>票</w:t>
            </w:r>
            <w:r>
              <w:rPr>
                <w:rFonts w:ascii="宋体" w:hAnsi="宋体" w:cs="宋体" w:eastAsia="宋体" w:hint="default"/>
                <w:spacing w:val="-28"/>
                <w:sz w:val="18"/>
                <w:szCs w:val="18"/>
              </w:rPr>
              <w:t> </w:t>
            </w:r>
            <w:r>
              <w:rPr>
                <w:rFonts w:ascii="宋体" w:hAnsi="宋体" w:cs="宋体" w:eastAsia="宋体" w:hint="default"/>
                <w:sz w:val="18"/>
                <w:szCs w:val="18"/>
              </w:rPr>
              <w:t>按</w:t>
            </w:r>
          </w:p>
        </w:tc>
      </w:tr>
      <w:tr>
        <w:trPr>
          <w:trHeight w:val="62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spacing w:val="-3"/>
                <w:sz w:val="18"/>
              </w:rPr>
              <w:t> </w:t>
            </w:r>
            <w:r>
              <w:rPr>
                <w:rFonts w:ascii="Times New Roman"/>
                <w:spacing w:val="-5"/>
                <w:sz w:val="18"/>
              </w:rPr>
              <w:t>TAO</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8"/>
              <w:jc w:val="left"/>
              <w:rPr>
                <w:rFonts w:ascii="宋体" w:hAnsi="宋体" w:cs="宋体" w:eastAsia="宋体" w:hint="default"/>
                <w:sz w:val="18"/>
                <w:szCs w:val="18"/>
              </w:rPr>
            </w:pPr>
            <w:r>
              <w:rPr>
                <w:rFonts w:ascii="宋体" w:hAnsi="宋体" w:cs="宋体" w:eastAsia="宋体" w:hint="default"/>
                <w:sz w:val="18"/>
                <w:szCs w:val="18"/>
              </w:rPr>
              <w:t>董事锁定及限 制性股票</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年股票</w:t>
            </w:r>
            <w:r>
              <w:rPr>
                <w:rFonts w:ascii="宋体" w:hAnsi="宋体" w:cs="宋体" w:eastAsia="宋体" w:hint="default"/>
                <w:sz w:val="18"/>
                <w:szCs w:val="18"/>
              </w:rPr>
              <w:t> </w:t>
            </w:r>
            <w:r>
              <w:rPr>
                <w:rFonts w:ascii="宋体" w:hAnsi="宋体" w:cs="宋体" w:eastAsia="宋体" w:hint="default"/>
                <w:spacing w:val="11"/>
                <w:sz w:val="18"/>
                <w:szCs w:val="18"/>
              </w:rPr>
              <w:t>期权与限制性</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股票激励计划</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89"/>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约定</w:t>
            </w:r>
          </w:p>
        </w:tc>
      </w:tr>
      <w:tr>
        <w:trPr>
          <w:trHeight w:val="354"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361"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年股</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票期权与限制</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性股票激励计</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划</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及</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14,224,840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14,296,800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8,942,240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19,579,400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年股票</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期权与限制性</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股票激励计划</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89"/>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约定</w:t>
            </w:r>
          </w:p>
        </w:tc>
      </w:tr>
      <w:tr>
        <w:trPr>
          <w:trHeight w:val="358"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376,259,016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17,331,956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72,131,859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321,459,113</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1"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1" w:right="10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16,396,800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16,396,800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472" w:right="0" w:hanging="360"/>
        <w:jc w:val="left"/>
      </w:pPr>
      <w:r>
        <w:rPr/>
        <w:t>报告期内证券发行（不含优先股）情况的说明 </w:t>
      </w:r>
      <w:r>
        <w:rPr>
          <w:spacing w:val="8"/>
        </w:rPr>
        <w:t>报告期内，公司存在因股权激励计划自主行权引起股本增加</w:t>
      </w:r>
      <w:r>
        <w:rPr>
          <w:rFonts w:ascii="Times New Roman" w:hAnsi="Times New Roman" w:cs="Times New Roman" w:eastAsia="Times New Roman" w:hint="default"/>
          <w:spacing w:val="8"/>
        </w:rPr>
        <w:t>3,247,946</w:t>
      </w:r>
      <w:r>
        <w:rPr>
          <w:spacing w:val="8"/>
        </w:rPr>
        <w:t>股；限制性股票授予登记完成引起股本增加</w:t>
      </w:r>
    </w:p>
    <w:p>
      <w:pPr>
        <w:pStyle w:val="BodyText"/>
        <w:spacing w:line="214" w:lineRule="exact"/>
        <w:ind w:right="0"/>
        <w:jc w:val="left"/>
      </w:pPr>
      <w:r>
        <w:rPr>
          <w:rFonts w:ascii="Times New Roman" w:hAnsi="Times New Roman" w:cs="Times New Roman" w:eastAsia="Times New Roman" w:hint="default"/>
        </w:rPr>
        <w:t>16,396,800</w:t>
      </w:r>
      <w:r>
        <w:rPr/>
        <w:t>股。具体内容详见本报告</w:t>
      </w:r>
      <w:r>
        <w:rPr>
          <w:rFonts w:ascii="Times New Roman" w:hAnsi="Times New Roman" w:cs="Times New Roman" w:eastAsia="Times New Roman" w:hint="default"/>
        </w:rPr>
        <w:t>“</w:t>
      </w:r>
      <w:r>
        <w:rPr/>
        <w:t>第五节</w:t>
      </w:r>
      <w:r>
        <w:rPr>
          <w:spacing w:val="28"/>
        </w:rPr>
        <w:t> </w:t>
      </w:r>
      <w:r>
        <w:rPr/>
        <w:t>重要事项</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十四、公司股权激励计划、员工持股计划或其他员工激励措施的</w:t>
      </w:r>
    </w:p>
    <w:p>
      <w:pPr>
        <w:pStyle w:val="BodyText"/>
        <w:spacing w:line="240" w:lineRule="auto" w:before="63"/>
        <w:ind w:right="0"/>
        <w:jc w:val="left"/>
      </w:pPr>
      <w:r>
        <w:rPr/>
        <w:t>实施情况</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72" w:right="112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报告期内，公司因股票期权行权引起股本增加</w:t>
      </w:r>
      <w:r>
        <w:rPr>
          <w:rFonts w:ascii="Times New Roman" w:hAnsi="Times New Roman" w:cs="Times New Roman" w:eastAsia="Times New Roman" w:hint="default"/>
        </w:rPr>
        <w:t>3,247,946</w:t>
      </w:r>
      <w:r>
        <w:rPr/>
        <w:t>股、限制性股票授予登记完成引起股本增加</w:t>
      </w:r>
      <w:r>
        <w:rPr>
          <w:rFonts w:ascii="Times New Roman" w:hAnsi="Times New Roman" w:cs="Times New Roman" w:eastAsia="Times New Roman" w:hint="default"/>
        </w:rPr>
        <w:t>16,396,800</w:t>
      </w:r>
      <w:r>
        <w:rPr/>
        <w:t>股、限制</w:t>
      </w:r>
    </w:p>
    <w:p>
      <w:pPr>
        <w:pStyle w:val="BodyText"/>
        <w:spacing w:line="230" w:lineRule="exact"/>
        <w:ind w:right="0"/>
        <w:jc w:val="left"/>
      </w:pPr>
      <w:r>
        <w:rPr/>
        <w:t>性股票回购注销完成引起股本减少</w:t>
      </w:r>
      <w:r>
        <w:rPr>
          <w:rFonts w:ascii="Times New Roman" w:hAnsi="Times New Roman" w:cs="Times New Roman" w:eastAsia="Times New Roman" w:hint="default"/>
        </w:rPr>
        <w:t>779,890</w:t>
      </w:r>
      <w:r>
        <w:rPr/>
        <w:t>股原因，使公司总股本由期初的</w:t>
      </w:r>
      <w:r>
        <w:rPr>
          <w:rFonts w:ascii="Times New Roman" w:hAnsi="Times New Roman" w:cs="Times New Roman" w:eastAsia="Times New Roman" w:hint="default"/>
        </w:rPr>
        <w:t>1,622,318,880</w:t>
      </w:r>
      <w:r>
        <w:rPr/>
        <w:t>股增加至期末的</w:t>
      </w:r>
      <w:r>
        <w:rPr>
          <w:rFonts w:ascii="Times New Roman" w:hAnsi="Times New Roman" w:cs="Times New Roman" w:eastAsia="Times New Roman" w:hint="default"/>
        </w:rPr>
        <w:t>1,641,183,736</w:t>
      </w:r>
      <w:r>
        <w:rPr/>
        <w:t>股。</w:t>
      </w:r>
    </w:p>
    <w:p>
      <w:pPr>
        <w:pStyle w:val="BodyText"/>
        <w:spacing w:line="240" w:lineRule="auto" w:before="63"/>
        <w:ind w:left="472" w:right="0"/>
        <w:jc w:val="left"/>
      </w:pPr>
      <w:r>
        <w:rPr/>
        <w:t>上述变化，对公司资产和负债结构不构成重大影响。</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pict>
          <v:group style="position:absolute;margin-left:329.5pt;margin-top:19.721704pt;width:52.9pt;height:82.25pt;mso-position-horizontal-relative:page;mso-position-vertical-relative:paragraph;z-index:-1272376" coordorigin="6590,394" coordsize="1058,1645">
            <v:shape style="position:absolute;left:6590;top:394;width:1058;height:1645" coordorigin="6590,394" coordsize="1058,1645" path="m6590,394l7648,394,7648,2039,6590,2039,6590,394xe" filled="true" fillcolor="#ffffff" stroked="false">
              <v:path arrowok="t"/>
              <v:fill type="solid"/>
            </v:shape>
            <w10:wrap type="none"/>
          </v:group>
        </w:pict>
      </w:r>
      <w:r>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1196"/>
        <w:gridCol w:w="930"/>
        <w:gridCol w:w="1063"/>
        <w:gridCol w:w="1063"/>
        <w:gridCol w:w="1063"/>
        <w:gridCol w:w="926"/>
        <w:gridCol w:w="1068"/>
        <w:gridCol w:w="1059"/>
      </w:tblGrid>
      <w:tr>
        <w:trPr>
          <w:trHeight w:val="1650"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8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60,379</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75"/>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67,758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29"/>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4" w:right="76"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75" w:right="76"/>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7" w:right="9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186,446,339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139,834,754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46,611,585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108,175,090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81,131,317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27,043,773</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91,055,484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68,291,613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22,763,871</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上海云鑫创业 投资有限公司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8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81,696,900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81,696,900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6"/>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67,094,510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67,094,510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42,710,708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42,050,708</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香港中央结算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31,021,510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27,975,400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31,021,510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6"/>
              <w:jc w:val="both"/>
              <w:rPr>
                <w:rFonts w:ascii="宋体" w:hAnsi="宋体" w:cs="宋体" w:eastAsia="宋体" w:hint="default"/>
                <w:sz w:val="18"/>
                <w:szCs w:val="18"/>
              </w:rPr>
            </w:pPr>
            <w:r>
              <w:rPr>
                <w:rFonts w:ascii="宋体" w:hAnsi="宋体" w:cs="宋体" w:eastAsia="宋体" w:hint="default"/>
                <w:sz w:val="18"/>
                <w:szCs w:val="18"/>
              </w:rPr>
              <w:t>上海中植鑫荞 投资管理有限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24,151,139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-16,698,000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24,151,139</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26"/>
              <w:jc w:val="left"/>
              <w:rPr>
                <w:rFonts w:ascii="宋体" w:hAnsi="宋体" w:cs="宋体" w:eastAsia="宋体" w:hint="default"/>
                <w:sz w:val="18"/>
                <w:szCs w:val="18"/>
              </w:rPr>
            </w:pPr>
            <w:r>
              <w:rPr>
                <w:rFonts w:ascii="宋体" w:hAnsi="宋体" w:cs="宋体" w:eastAsia="宋体" w:hint="default"/>
                <w:sz w:val="18"/>
                <w:szCs w:val="18"/>
              </w:rPr>
              <w:t>中欧基金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 银行</w:t>
            </w:r>
            <w:r>
              <w:rPr>
                <w:rFonts w:ascii="Times New Roman" w:hAnsi="Times New Roman" w:cs="Times New Roman" w:eastAsia="Times New Roman" w:hint="default"/>
                <w:sz w:val="18"/>
                <w:szCs w:val="18"/>
              </w:rPr>
              <w:t>-</w:t>
            </w:r>
            <w:r>
              <w:rPr>
                <w:rFonts w:ascii="宋体" w:hAnsi="宋体" w:cs="宋体" w:eastAsia="宋体" w:hint="default"/>
                <w:sz w:val="18"/>
                <w:szCs w:val="18"/>
              </w:rPr>
              <w:t>中欧中证 金融资产管理 计划</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20,020,756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20,020,756</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2" w:right="26"/>
              <w:jc w:val="left"/>
              <w:rPr>
                <w:rFonts w:ascii="宋体" w:hAnsi="宋体" w:cs="宋体" w:eastAsia="宋体" w:hint="default"/>
                <w:sz w:val="18"/>
                <w:szCs w:val="18"/>
              </w:rPr>
            </w:pPr>
            <w:r>
              <w:rPr>
                <w:rFonts w:ascii="宋体" w:hAnsi="宋体" w:cs="宋体" w:eastAsia="宋体" w:hint="default"/>
                <w:sz w:val="18"/>
                <w:szCs w:val="18"/>
              </w:rPr>
              <w:t>博时基金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 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博时中证 金融资产管理 计划</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20,020,756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20,020,756</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23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上海中植鑫荞投资管理有限公司，参与认购公司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年非公开发行股票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15,356,819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购股份无锁定期，上市流通日为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7"/>
        <w:gridCol w:w="5045"/>
        <w:gridCol w:w="1068"/>
        <w:gridCol w:w="1059"/>
      </w:tblGrid>
      <w:tr>
        <w:trPr>
          <w:trHeight w:val="1026"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both"/>
              <w:rPr>
                <w:rFonts w:ascii="宋体" w:hAnsi="宋体" w:cs="宋体" w:eastAsia="宋体" w:hint="default"/>
                <w:sz w:val="18"/>
                <w:szCs w:val="18"/>
              </w:rPr>
            </w:pPr>
            <w:r>
              <w:rPr>
                <w:rFonts w:ascii="宋体" w:hAnsi="宋体" w:cs="宋体" w:eastAsia="宋体" w:hint="default"/>
                <w:spacing w:val="-3"/>
                <w:sz w:val="18"/>
                <w:szCs w:val="18"/>
              </w:rPr>
              <w:t>公司控股股东、实际控制人为周炜、王英夫妇；周成系周炜、王英夫妇之子，与周炜、王英</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为一致行动人。上述其他股东与公司控股股东、实际控制人均无关联关系，也不属于一致行</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动人，公司未知上述其他股东之间是否存在关联关系或属于一致行动人。</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397" w:type="dxa"/>
            <w:vMerge/>
            <w:tcBorders>
              <w:left w:val="single" w:sz="4" w:space="0" w:color="000000"/>
              <w:bottom w:val="single" w:sz="4" w:space="0" w:color="000000"/>
              <w:right w:val="single" w:sz="4" w:space="0" w:color="000000"/>
            </w:tcBorders>
            <w:shd w:val="clear" w:color="auto" w:fill="D2D2D2"/>
          </w:tcPr>
          <w:p>
            <w:pPr/>
          </w:p>
        </w:tc>
        <w:tc>
          <w:tcPr>
            <w:tcW w:w="5045"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81,696,900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81,696,900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中央汇金资产管理有限责任公 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67,094,510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67,094,510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周成</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48,500,000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46,611,585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46,611,585</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42,050,708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42,050,708</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31,021,510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31,021,510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27,043,773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27,043,773</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上海中植鑫荞投资管理有限公 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24,151,139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24,151,139</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22,763,871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22,763,871</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中欧基金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中欧中证 金融资产管理计划</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20,020,756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20,020,756</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博时基金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博时中证 金融资产管理计划</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20,020,756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33"/>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20,020,756</w:t>
            </w:r>
          </w:p>
        </w:tc>
      </w:tr>
      <w:tr>
        <w:trPr>
          <w:trHeight w:val="1338"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2" w:right="111"/>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pacing w:val="-3"/>
                <w:sz w:val="18"/>
                <w:szCs w:val="18"/>
              </w:rPr>
              <w:t>公司控股股东、实际控制人为周炜、王英夫妇；周成系周炜、王英夫妇之子，与周炜、王英</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为一致行动人。上述其他股东与公司控股股东、实际控制人均无关联关系，也不属于一致行</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动人，公司未知上述其他股东之间是否存在关联关系或属于一致行动人。</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117"/>
              <w:jc w:val="left"/>
              <w:rPr>
                <w:rFonts w:ascii="宋体" w:hAnsi="宋体" w:cs="宋体" w:eastAsia="宋体" w:hint="default"/>
                <w:sz w:val="18"/>
                <w:szCs w:val="18"/>
              </w:rPr>
            </w:pPr>
            <w:r>
              <w:rPr>
                <w:rFonts w:ascii="宋体" w:hAnsi="宋体" w:cs="宋体" w:eastAsia="宋体" w:hint="default"/>
                <w:sz w:val="18"/>
                <w:szCs w:val="18"/>
              </w:rPr>
              <w:t>公司股东周成持有的本公司全部股份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48,500,000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股均通过东兴证券股份有限公司客户信用 交易担保证券账户持有。</w:t>
            </w:r>
          </w:p>
        </w:tc>
      </w:tr>
    </w:tbl>
    <w:p>
      <w:pPr>
        <w:pStyle w:val="BodyText"/>
        <w:spacing w:line="240" w:lineRule="auto" w:before="51"/>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1"/>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both"/>
              <w:rPr>
                <w:rFonts w:ascii="宋体" w:hAnsi="宋体" w:cs="宋体" w:eastAsia="宋体" w:hint="default"/>
                <w:sz w:val="18"/>
                <w:szCs w:val="18"/>
              </w:rPr>
            </w:pPr>
            <w:r>
              <w:rPr>
                <w:rFonts w:ascii="宋体" w:hAnsi="宋体" w:cs="宋体" w:eastAsia="宋体" w:hint="default"/>
                <w:spacing w:val="-1"/>
                <w:sz w:val="18"/>
                <w:szCs w:val="18"/>
              </w:rPr>
              <w:t>周炜先生担任公司董事长，兼任上海金仕达卫宁软件科技有限公司董事长，上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海钥世圈云健康科技发展有限公司董事长，卫宁互联网科技有限公司董事长， 上海卫宁软件有限公司执行董事；王英女士已退休。</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7"/>
        <w:ind w:right="0"/>
        <w:jc w:val="left"/>
      </w:pPr>
      <w:r>
        <w:rPr/>
        <w:t>控股股东报告期内变更</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0"/>
      <w:bookmarkEnd w:id="110"/>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3"/>
                <w:sz w:val="18"/>
                <w:szCs w:val="18"/>
              </w:rPr>
              <w:t>周炜先生担任公司董事长，兼任上海金仕达卫宁软件科技有限公司董事长，上海钥世圈云健</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康科技发展有限公司董事长，卫宁互联网科技有限公司董事长，上海卫宁软件有限公司执行</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董事；王英女士已退休。</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7"/>
        <w:ind w:right="0"/>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 公司与实际控制人之间的产权及控制关系的方框图</w:t>
      </w:r>
    </w:p>
    <w:p>
      <w:pPr>
        <w:spacing w:after="0" w:line="348"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line="3495" w:lineRule="exact"/>
        <w:ind w:left="1329"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601970" cy="22193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4601970" cy="2219325"/>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0"/>
        <w:rPr>
          <w:rFonts w:ascii="宋体" w:hAnsi="宋体" w:cs="宋体" w:eastAsia="宋体" w:hint="default"/>
          <w:sz w:val="19"/>
          <w:szCs w:val="19"/>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28" w:right="0"/>
        <w:jc w:val="left"/>
        <w:rPr>
          <w:b w:val="0"/>
          <w:bCs w:val="0"/>
        </w:rPr>
      </w:pPr>
      <w:bookmarkStart w:name="第七节优先股相关情况" w:id="113"/>
      <w:bookmarkEnd w:id="113"/>
      <w:r>
        <w:rPr>
          <w:b w:val="0"/>
          <w:bCs w:val="0"/>
        </w:rPr>
      </w:r>
      <w:bookmarkStart w:name="_bookmark6" w:id="114"/>
      <w:bookmarkEnd w:id="114"/>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85" w:right="0"/>
        <w:jc w:val="left"/>
        <w:rPr>
          <w:b w:val="0"/>
          <w:bCs w:val="0"/>
        </w:rPr>
      </w:pPr>
      <w:bookmarkStart w:name="第八节可转换公司债券相关情况" w:id="115"/>
      <w:bookmarkEnd w:id="115"/>
      <w:r>
        <w:rPr>
          <w:b w:val="0"/>
          <w:bCs w:val="0"/>
        </w:rPr>
      </w:r>
      <w:bookmarkStart w:name="_bookmark7" w:id="116"/>
      <w:bookmarkEnd w:id="116"/>
      <w:r>
        <w:rPr>
          <w:b w:val="0"/>
          <w:bCs w:val="0"/>
        </w:rPr>
      </w:r>
      <w:r>
        <w:rPr/>
        <w:t>第八节可转换公司债券相关情况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报告期公司不存在可转换公司债券。</w:t>
      </w:r>
    </w:p>
    <w:p>
      <w:pPr>
        <w:spacing w:after="0" w:line="340" w:lineRule="auto"/>
        <w:jc w:val="left"/>
        <w:sectPr>
          <w:footerReference w:type="default" r:id="rId19"/>
          <w:pgSz w:w="11910" w:h="16840"/>
          <w:pgMar w:footer="978" w:header="746" w:top="1060" w:bottom="1160" w:left="1020" w:right="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723" w:right="0"/>
        <w:jc w:val="left"/>
        <w:rPr>
          <w:b w:val="0"/>
          <w:bCs w:val="0"/>
        </w:rPr>
      </w:pPr>
      <w:bookmarkStart w:name="第九节董事、监事、高级管理人员和员工情况" w:id="117"/>
      <w:bookmarkEnd w:id="117"/>
      <w:r>
        <w:rPr>
          <w:b w:val="0"/>
          <w:bCs w:val="0"/>
        </w:rPr>
      </w:r>
      <w:bookmarkStart w:name="_bookmark8" w:id="118"/>
      <w:bookmarkEnd w:id="118"/>
      <w:r>
        <w:rPr>
          <w:b w:val="0"/>
          <w:bCs w:val="0"/>
        </w:rPr>
      </w:r>
      <w:r>
        <w:rPr/>
        <w:t>第九节董事、监事、高级管理人员和员工情况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89.480011pt;margin-top:32.945606pt;width:45.75pt;height:50.9pt;mso-position-horizontal-relative:page;mso-position-vertical-relative:paragraph;z-index:-12723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32" w:firstLine="12"/>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186,446,3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186,446,3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pacing w:val="-6"/>
                <w:sz w:val="18"/>
              </w:rPr>
              <w:t>WANG</w:t>
            </w:r>
          </w:p>
          <w:p>
            <w:pPr>
              <w:pStyle w:val="TableParagraph"/>
              <w:spacing w:line="300" w:lineRule="auto" w:before="65"/>
              <w:ind w:left="22" w:right="4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TAO</w:t>
            </w:r>
            <w:r>
              <w:rPr>
                <w:rFonts w:ascii="宋体" w:hAnsi="宋体" w:cs="宋体" w:eastAsia="宋体" w:hint="default"/>
                <w:spacing w:val="-4"/>
                <w:sz w:val="18"/>
                <w:szCs w:val="18"/>
              </w:rPr>
              <w:t>（王</w:t>
            </w:r>
            <w:r>
              <w:rPr>
                <w:rFonts w:ascii="宋体" w:hAnsi="宋体" w:cs="宋体" w:eastAsia="宋体" w:hint="default"/>
                <w:spacing w:val="-87"/>
                <w:sz w:val="18"/>
                <w:szCs w:val="18"/>
              </w:rPr>
              <w:t> </w:t>
            </w:r>
            <w:r>
              <w:rPr>
                <w:rFonts w:ascii="宋体" w:hAnsi="宋体" w:cs="宋体" w:eastAsia="宋体" w:hint="default"/>
                <w:sz w:val="18"/>
                <w:szCs w:val="18"/>
              </w:rPr>
              <w:t>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董事、高 级副总 裁、董事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6,964,136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1,513,534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5,450,602</w:t>
            </w: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沈亦宁</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何卫红</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2,806,875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1,246,875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3,040,350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1,783,967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2,283,967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306,376,4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2,526,934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2,346,875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306,196,3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r>
    </w:tbl>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任职情况" w:id="121"/>
      <w:bookmarkEnd w:id="121"/>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16" w:lineRule="auto" w:before="117"/>
        <w:ind w:left="472" w:right="0" w:firstLine="2"/>
        <w:jc w:val="left"/>
      </w:pPr>
      <w:r>
        <w:rPr>
          <w:rFonts w:ascii="宋体" w:hAnsi="宋体" w:cs="宋体" w:eastAsia="宋体" w:hint="default"/>
          <w:b/>
          <w:bCs/>
        </w:rPr>
        <w:t>（一）董事会成员</w:t>
      </w:r>
      <w:r>
        <w:rPr>
          <w:rFonts w:ascii="宋体" w:hAnsi="宋体" w:cs="宋体" w:eastAsia="宋体" w:hint="default"/>
          <w:b/>
          <w:bCs/>
          <w:w w:val="99"/>
        </w:rPr>
        <w:t> </w:t>
      </w:r>
      <w:r>
        <w:rPr>
          <w:spacing w:val="-2"/>
        </w:rPr>
        <w:t>公司第四届董事会由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名。董事由公司董事会提名，经公司</w:t>
      </w:r>
      <w:r>
        <w:rPr>
          <w:rFonts w:ascii="Times New Roman" w:hAnsi="Times New Roman" w:cs="Times New Roman" w:eastAsia="Times New Roman" w:hint="default"/>
          <w:spacing w:val="-2"/>
        </w:rPr>
        <w:t>2018</w:t>
      </w:r>
      <w:r>
        <w:rPr>
          <w:spacing w:val="-2"/>
        </w:rPr>
        <w:t>年第一次临时股东大会选举</w:t>
      </w:r>
    </w:p>
    <w:p>
      <w:pPr>
        <w:pStyle w:val="BodyText"/>
        <w:spacing w:line="248" w:lineRule="exact"/>
        <w:ind w:right="0"/>
        <w:jc w:val="left"/>
      </w:pPr>
      <w:r>
        <w:rPr/>
        <w:t>产生，本届董事会任期自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w:t>
      </w:r>
    </w:p>
    <w:p>
      <w:pPr>
        <w:pStyle w:val="BodyText"/>
        <w:spacing w:line="304" w:lineRule="auto" w:before="63"/>
        <w:ind w:right="1034" w:firstLine="360"/>
        <w:jc w:val="left"/>
      </w:pPr>
      <w:r>
        <w:rPr>
          <w:rFonts w:ascii="Times New Roman" w:hAnsi="Times New Roman" w:cs="Times New Roman" w:eastAsia="Times New Roman" w:hint="default"/>
          <w:spacing w:val="-2"/>
        </w:rPr>
        <w:t>1</w:t>
      </w:r>
      <w:r>
        <w:rPr>
          <w:spacing w:val="-2"/>
        </w:rPr>
        <w:t>、周炜，男，</w:t>
      </w:r>
      <w:r>
        <w:rPr>
          <w:rFonts w:ascii="Times New Roman" w:hAnsi="Times New Roman" w:cs="Times New Roman" w:eastAsia="Times New Roman" w:hint="default"/>
          <w:spacing w:val="-2"/>
        </w:rPr>
        <w:t>1967</w:t>
      </w:r>
      <w:r>
        <w:rPr>
          <w:spacing w:val="-2"/>
        </w:rPr>
        <w:t>年出生，中国国籍，无境外永久居留权。中欧国际工商学院高层管理人员工商管理硕士（</w:t>
      </w:r>
      <w:r>
        <w:rPr>
          <w:rFonts w:ascii="Times New Roman" w:hAnsi="Times New Roman" w:cs="Times New Roman" w:eastAsia="Times New Roman" w:hint="default"/>
          <w:spacing w:val="-2"/>
        </w:rPr>
        <w:t>EMBA</w:t>
      </w:r>
      <w:r>
        <w:rPr>
          <w:spacing w:val="-2"/>
        </w:rPr>
        <w:t>）、</w:t>
      </w:r>
      <w:r>
        <w:rPr/>
        <w:t> </w:t>
      </w:r>
      <w:r>
        <w:rPr>
          <w:spacing w:val="-2"/>
        </w:rPr>
        <w:t>高级工程师、高级经济师。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2004</w:t>
      </w:r>
      <w:r>
        <w:rPr>
          <w:spacing w:val="-2"/>
        </w:rPr>
        <w:t>年，先后担任上海泰格新技术开发公司总经理、上海金仕达卫宁医疗信息技术有限</w:t>
      </w:r>
      <w:r>
        <w:rPr>
          <w:spacing w:val="-60"/>
        </w:rPr>
        <w:t> </w:t>
      </w:r>
      <w:r>
        <w:rPr>
          <w:spacing w:val="-60"/>
        </w:rPr>
      </w:r>
      <w:r>
        <w:rPr>
          <w:spacing w:val="-2"/>
        </w:rPr>
        <w:t>公司董事长、总裁。</w:t>
      </w:r>
      <w:r>
        <w:rPr>
          <w:rFonts w:ascii="Times New Roman" w:hAnsi="Times New Roman" w:cs="Times New Roman" w:eastAsia="Times New Roman" w:hint="default"/>
          <w:spacing w:val="-2"/>
        </w:rPr>
        <w:t>2004</w:t>
      </w:r>
      <w:r>
        <w:rPr>
          <w:spacing w:val="-2"/>
        </w:rPr>
        <w:t>年起加入本公司，历任董事长、总裁。现任本公司董事长，兼任上海金仕达卫宁软件科技有限公司</w:t>
      </w:r>
      <w:r>
        <w:rPr>
          <w:spacing w:val="-62"/>
        </w:rPr>
        <w:t> </w:t>
      </w:r>
      <w:r>
        <w:rPr>
          <w:spacing w:val="-62"/>
        </w:rPr>
      </w:r>
      <w:r>
        <w:rPr/>
        <w:t>董事长、上海钥世圈云健康科技发展有限公司董事长、卫宁互联网科技有限公司董事长、上海卫宁软件有限公司执行董事、 上海金仕达卫宁信息科技有限公司执行董事。</w:t>
      </w:r>
    </w:p>
    <w:p>
      <w:pPr>
        <w:pStyle w:val="BodyText"/>
        <w:spacing w:line="307" w:lineRule="auto" w:before="28"/>
        <w:ind w:right="1129" w:firstLine="360"/>
        <w:jc w:val="both"/>
      </w:pPr>
      <w:r>
        <w:rPr>
          <w:rFonts w:ascii="Times New Roman" w:hAnsi="Times New Roman" w:cs="Times New Roman" w:eastAsia="Times New Roman" w:hint="default"/>
        </w:rPr>
        <w:t>2</w:t>
      </w:r>
      <w:r>
        <w:rPr/>
        <w:t>、刘宁，男，</w:t>
      </w:r>
      <w:r>
        <w:rPr>
          <w:rFonts w:ascii="Times New Roman" w:hAnsi="Times New Roman" w:cs="Times New Roman" w:eastAsia="Times New Roman" w:hint="default"/>
        </w:rPr>
        <w:t>1963</w:t>
      </w:r>
      <w:r>
        <w:rPr/>
        <w:t>年出生，中国国籍，无境外永久居留权。复旦大学应用数学专业硕士，高级工程师。</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2004 </w:t>
      </w:r>
      <w:r>
        <w:rPr>
          <w:spacing w:val="-2"/>
        </w:rPr>
        <w:t>年，历任美国惠普</w:t>
      </w:r>
      <w:r>
        <w:rPr>
          <w:rFonts w:ascii="Times New Roman" w:hAnsi="Times New Roman" w:cs="Times New Roman" w:eastAsia="Times New Roman" w:hint="default"/>
          <w:spacing w:val="-2"/>
        </w:rPr>
        <w:t>(HP)</w:t>
      </w:r>
      <w:r>
        <w:rPr>
          <w:spacing w:val="-2"/>
        </w:rPr>
        <w:t>公司技术员，上海金仕达卫宁医疗信息技术有限公司董事，副总裁。</w:t>
      </w:r>
      <w:r>
        <w:rPr>
          <w:rFonts w:ascii="Times New Roman" w:hAnsi="Times New Roman" w:cs="Times New Roman" w:eastAsia="Times New Roman" w:hint="default"/>
          <w:spacing w:val="-2"/>
        </w:rPr>
        <w:t>2004</w:t>
      </w:r>
      <w:r>
        <w:rPr>
          <w:spacing w:val="-2"/>
        </w:rPr>
        <w:t>年起加入本公司，历任副总</w:t>
      </w:r>
      <w:r>
        <w:rPr>
          <w:spacing w:val="-50"/>
        </w:rPr>
        <w:t> </w:t>
      </w:r>
      <w:r>
        <w:rPr>
          <w:spacing w:val="-50"/>
        </w:rPr>
      </w:r>
      <w:r>
        <w:rPr>
          <w:spacing w:val="-2"/>
        </w:rPr>
        <w:t>裁，总裁。现任本公司副董事长，兼任快享医疗科技（上海）有限公司董事长、北京卫宁健康科技有限公司执行董事、上海</w:t>
      </w:r>
      <w:r>
        <w:rPr>
          <w:spacing w:val="-63"/>
        </w:rPr>
        <w:t> </w:t>
      </w:r>
      <w:r>
        <w:rPr>
          <w:spacing w:val="-63"/>
        </w:rPr>
      </w:r>
      <w:r>
        <w:rPr/>
        <w:t>卫心科技有限公司执行董事。</w:t>
      </w:r>
    </w:p>
    <w:p>
      <w:pPr>
        <w:pStyle w:val="BodyText"/>
        <w:spacing w:line="300" w:lineRule="auto" w:before="26"/>
        <w:ind w:right="1025"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WANG</w:t>
      </w:r>
      <w:r>
        <w:rPr>
          <w:rFonts w:ascii="Times New Roman" w:hAnsi="Times New Roman" w:cs="Times New Roman" w:eastAsia="Times New Roman" w:hint="default"/>
          <w:spacing w:val="15"/>
        </w:rPr>
        <w:t> </w:t>
      </w:r>
      <w:r>
        <w:rPr>
          <w:rFonts w:ascii="Times New Roman" w:hAnsi="Times New Roman" w:cs="Times New Roman" w:eastAsia="Times New Roman" w:hint="default"/>
        </w:rPr>
        <w:t>TAO</w:t>
      </w:r>
      <w:r>
        <w:rPr/>
        <w:t>（王涛</w:t>
      </w:r>
      <w:r>
        <w:rPr>
          <w:rFonts w:ascii="Times New Roman" w:hAnsi="Times New Roman" w:cs="Times New Roman" w:eastAsia="Times New Roman" w:hint="default"/>
        </w:rPr>
        <w:t>)</w:t>
      </w:r>
      <w:r>
        <w:rPr/>
        <w:t>，男，</w:t>
      </w:r>
      <w:r>
        <w:rPr>
          <w:rFonts w:ascii="Times New Roman" w:hAnsi="Times New Roman" w:cs="Times New Roman" w:eastAsia="Times New Roman" w:hint="default"/>
        </w:rPr>
        <w:t>1969</w:t>
      </w:r>
      <w:r>
        <w:rPr/>
        <w:t>年出生，加拿大国籍。上海交通大学计算机系硕士。先后担任上海计算机软件技术 开发中心软件工程师；</w:t>
      </w:r>
      <w:r>
        <w:rPr>
          <w:rFonts w:ascii="Times New Roman" w:hAnsi="Times New Roman" w:cs="Times New Roman" w:eastAsia="Times New Roman" w:hint="default"/>
        </w:rPr>
        <w:t>CA Technologies(NASDAQ:CA)</w:t>
      </w:r>
      <w:r>
        <w:rPr/>
        <w:t>中国华东区技术经理、</w:t>
      </w:r>
      <w:r>
        <w:rPr>
          <w:rFonts w:ascii="Times New Roman" w:hAnsi="Times New Roman" w:cs="Times New Roman" w:eastAsia="Times New Roman" w:hint="default"/>
        </w:rPr>
        <w:t>CA</w:t>
      </w:r>
      <w:r>
        <w:rPr>
          <w:rFonts w:ascii="Times New Roman" w:hAnsi="Times New Roman" w:cs="Times New Roman" w:eastAsia="Times New Roman" w:hint="default"/>
          <w:spacing w:val="-1"/>
        </w:rPr>
        <w:t> </w:t>
      </w:r>
      <w:r>
        <w:rPr>
          <w:rFonts w:ascii="Times New Roman" w:hAnsi="Times New Roman" w:cs="Times New Roman" w:eastAsia="Times New Roman" w:hint="default"/>
        </w:rPr>
        <w:t>Technologies</w:t>
      </w:r>
      <w:r>
        <w:rPr/>
        <w:t>加拿大资深技术顾问；东信冠 </w:t>
      </w:r>
      <w:r>
        <w:rPr>
          <w:spacing w:val="-3"/>
        </w:rPr>
        <w:t>群软件有限公司技术总监；万达信息股份有限公司事业部总经理、副总裁。</w:t>
      </w:r>
      <w:r>
        <w:rPr>
          <w:rFonts w:ascii="Times New Roman" w:hAnsi="Times New Roman" w:cs="Times New Roman" w:eastAsia="Times New Roman" w:hint="default"/>
          <w:spacing w:val="-3"/>
        </w:rPr>
        <w:t>2014</w:t>
      </w:r>
      <w:r>
        <w:rPr>
          <w:spacing w:val="-3"/>
        </w:rPr>
        <w:t>年加入本公司，任总经理。现任本公司董事、</w:t>
      </w:r>
      <w:r>
        <w:rPr/>
        <w:t> 总裁。</w:t>
      </w:r>
    </w:p>
    <w:p>
      <w:pPr>
        <w:pStyle w:val="BodyText"/>
        <w:spacing w:line="300" w:lineRule="auto" w:before="31"/>
        <w:ind w:right="0" w:firstLine="360"/>
        <w:jc w:val="left"/>
      </w:pPr>
      <w:r>
        <w:rPr>
          <w:rFonts w:ascii="Times New Roman" w:hAnsi="Times New Roman" w:cs="Times New Roman" w:eastAsia="Times New Roman" w:hint="default"/>
        </w:rPr>
        <w:t>4</w:t>
      </w:r>
      <w:r>
        <w:rPr/>
        <w:t>、靳茂，男，</w:t>
      </w:r>
      <w:r>
        <w:rPr>
          <w:rFonts w:ascii="Times New Roman" w:hAnsi="Times New Roman" w:cs="Times New Roman" w:eastAsia="Times New Roman" w:hint="default"/>
        </w:rPr>
        <w:t>1974</w:t>
      </w:r>
      <w:r>
        <w:rPr/>
        <w:t>年出生，中国国籍，无境外永久居留权。复旦大学工商管理硕士（</w:t>
      </w:r>
      <w:r>
        <w:rPr>
          <w:rFonts w:ascii="Times New Roman" w:hAnsi="Times New Roman" w:cs="Times New Roman" w:eastAsia="Times New Roman" w:hint="default"/>
        </w:rPr>
        <w:t>MBA</w:t>
      </w:r>
      <w:r>
        <w:rPr/>
        <w:t>）、中欧国际工商学院高层 </w:t>
      </w:r>
      <w:r>
        <w:rPr>
          <w:spacing w:val="-3"/>
        </w:rPr>
        <w:t>管理人员工商管理硕士（</w:t>
      </w:r>
      <w:r>
        <w:rPr>
          <w:rFonts w:ascii="Times New Roman" w:hAnsi="Times New Roman" w:cs="Times New Roman" w:eastAsia="Times New Roman" w:hint="default"/>
          <w:spacing w:val="-3"/>
        </w:rPr>
        <w:t>EMBA</w:t>
      </w:r>
      <w:r>
        <w:rPr>
          <w:spacing w:val="-3"/>
        </w:rPr>
        <w:t>）。</w:t>
      </w:r>
      <w:r>
        <w:rPr>
          <w:rFonts w:ascii="Times New Roman" w:hAnsi="Times New Roman" w:cs="Times New Roman" w:eastAsia="Times New Roman" w:hint="default"/>
          <w:spacing w:val="-3"/>
        </w:rPr>
        <w:t>1996</w:t>
      </w:r>
      <w:r>
        <w:rPr>
          <w:spacing w:val="-3"/>
        </w:rPr>
        <w:t>年至</w:t>
      </w:r>
      <w:r>
        <w:rPr>
          <w:rFonts w:ascii="Times New Roman" w:hAnsi="Times New Roman" w:cs="Times New Roman" w:eastAsia="Times New Roman" w:hint="default"/>
          <w:spacing w:val="-3"/>
        </w:rPr>
        <w:t>2004</w:t>
      </w:r>
      <w:r>
        <w:rPr>
          <w:spacing w:val="-3"/>
        </w:rPr>
        <w:t>年，历任万向集团公司发展部项目经理、上海超凡电子有限公司副总经理、</w:t>
      </w:r>
      <w:r>
        <w:rPr>
          <w:spacing w:val="-70"/>
        </w:rPr>
        <w:t> </w:t>
      </w:r>
      <w:r>
        <w:rPr>
          <w:spacing w:val="-70"/>
        </w:rPr>
      </w:r>
      <w:r>
        <w:rPr>
          <w:spacing w:val="-2"/>
        </w:rPr>
        <w:t>上海双威科技投资管理有限公司项目投资部副总监、上海金仕达卫宁医疗信息技术有限公司总裁办主任。</w:t>
      </w:r>
      <w:r>
        <w:rPr>
          <w:rFonts w:ascii="Times New Roman" w:hAnsi="Times New Roman" w:cs="Times New Roman" w:eastAsia="Times New Roman" w:hint="default"/>
          <w:spacing w:val="-2"/>
        </w:rPr>
        <w:t>2004</w:t>
      </w:r>
      <w:r>
        <w:rPr>
          <w:spacing w:val="-2"/>
        </w:rPr>
        <w:t>年起加入本公</w:t>
      </w:r>
      <w:r>
        <w:rPr>
          <w:spacing w:val="-62"/>
        </w:rPr>
        <w:t> </w:t>
      </w:r>
      <w:r>
        <w:rPr/>
        <w:t>司，历任总裁办主任、董事会秘书、董事、财务负责人。现任本公司董事、高级副总裁、董事会秘书。</w:t>
      </w:r>
    </w:p>
    <w:p>
      <w:pPr>
        <w:pStyle w:val="BodyText"/>
        <w:spacing w:line="300" w:lineRule="auto" w:before="31"/>
        <w:ind w:right="1130" w:firstLine="360"/>
        <w:jc w:val="both"/>
      </w:pPr>
      <w:r>
        <w:rPr>
          <w:rFonts w:ascii="Times New Roman" w:hAnsi="Times New Roman" w:cs="Times New Roman" w:eastAsia="Times New Roman" w:hint="default"/>
        </w:rPr>
        <w:t>5</w:t>
      </w:r>
      <w:r>
        <w:rPr/>
        <w:t>、姚宝敬，男，</w:t>
      </w:r>
      <w:r>
        <w:rPr>
          <w:rFonts w:ascii="Times New Roman" w:hAnsi="Times New Roman" w:cs="Times New Roman" w:eastAsia="Times New Roman" w:hint="default"/>
        </w:rPr>
        <w:t>1976</w:t>
      </w:r>
      <w:r>
        <w:rPr/>
        <w:t>年出生，中国国籍，无境外永久居留权。复旦大学软件工程专业硕士。</w:t>
      </w:r>
      <w:r>
        <w:rPr>
          <w:rFonts w:ascii="Times New Roman" w:hAnsi="Times New Roman" w:cs="Times New Roman" w:eastAsia="Times New Roman" w:hint="default"/>
        </w:rPr>
        <w:t>2001</w:t>
      </w:r>
      <w:r>
        <w:rPr/>
        <w:t>年至今，任上海市软 </w:t>
      </w:r>
      <w:r>
        <w:rPr>
          <w:spacing w:val="-2"/>
        </w:rPr>
        <w:t>件行业协会业务主管、副秘书长、常务副秘书长。</w:t>
      </w:r>
      <w:r>
        <w:rPr>
          <w:rFonts w:ascii="Times New Roman" w:hAnsi="Times New Roman" w:cs="Times New Roman" w:eastAsia="Times New Roman" w:hint="default"/>
          <w:spacing w:val="-2"/>
        </w:rPr>
        <w:t>2018</w:t>
      </w:r>
      <w:r>
        <w:rPr>
          <w:spacing w:val="-2"/>
        </w:rPr>
        <w:t>年起至今任本公司独立董事，兼任上海天玑科技股份有限公司独立董</w:t>
      </w:r>
      <w:r>
        <w:rPr>
          <w:spacing w:val="-62"/>
        </w:rPr>
        <w:t> </w:t>
      </w:r>
      <w:r>
        <w:rPr>
          <w:spacing w:val="-62"/>
        </w:rPr>
      </w:r>
      <w:r>
        <w:rPr/>
        <w:t>事。</w:t>
      </w:r>
    </w:p>
    <w:p>
      <w:pPr>
        <w:pStyle w:val="BodyText"/>
        <w:spacing w:line="300" w:lineRule="auto" w:before="31"/>
        <w:ind w:right="1130" w:firstLine="360"/>
        <w:jc w:val="both"/>
      </w:pPr>
      <w:r>
        <w:rPr>
          <w:rFonts w:ascii="Times New Roman" w:hAnsi="Times New Roman" w:cs="Times New Roman" w:eastAsia="Times New Roman" w:hint="default"/>
        </w:rPr>
        <w:t>6</w:t>
      </w:r>
      <w:r>
        <w:rPr/>
        <w:t>、于成磊，男，</w:t>
      </w:r>
      <w:r>
        <w:rPr>
          <w:rFonts w:ascii="Times New Roman" w:hAnsi="Times New Roman" w:cs="Times New Roman" w:eastAsia="Times New Roman" w:hint="default"/>
        </w:rPr>
        <w:t>1977</w:t>
      </w:r>
      <w:r>
        <w:rPr/>
        <w:t>年出生，中国国籍，无境外永久居留权。大学本科，非执业注册会计师。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2002</w:t>
      </w:r>
      <w:r>
        <w:rPr/>
        <w:t>年，任大 </w:t>
      </w:r>
      <w:r>
        <w:rPr>
          <w:spacing w:val="-2"/>
        </w:rPr>
        <w:t>华会计师事务所有限公司审计员；</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2004</w:t>
      </w:r>
      <w:r>
        <w:rPr>
          <w:spacing w:val="-2"/>
        </w:rPr>
        <w:t>年，任辽源市城市信用社股份有限公司财务顾问；</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年，任上海</w:t>
      </w:r>
      <w:r>
        <w:rPr>
          <w:spacing w:val="-56"/>
        </w:rPr>
        <w:t> </w:t>
      </w:r>
      <w:r>
        <w:rPr>
          <w:spacing w:val="-56"/>
        </w:rPr>
      </w:r>
      <w:r>
        <w:rPr>
          <w:spacing w:val="-2"/>
        </w:rPr>
        <w:t>华正会计师事务所有限公司合伙人；</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2011</w:t>
      </w:r>
      <w:r>
        <w:rPr>
          <w:spacing w:val="-2"/>
        </w:rPr>
        <w:t>年，任立信会计师事务所有限公司业务经理、立信大华会计师事务所有限</w:t>
      </w:r>
      <w:r>
        <w:rPr>
          <w:spacing w:val="-59"/>
        </w:rPr>
        <w:t> </w:t>
      </w:r>
      <w:r>
        <w:rPr>
          <w:spacing w:val="-59"/>
        </w:rPr>
      </w:r>
      <w:r>
        <w:rPr>
          <w:spacing w:val="-2"/>
        </w:rPr>
        <w:t>公司上海分所高级经理。</w:t>
      </w:r>
      <w:r>
        <w:rPr>
          <w:rFonts w:ascii="Times New Roman" w:hAnsi="Times New Roman" w:cs="Times New Roman" w:eastAsia="Times New Roman" w:hint="default"/>
          <w:spacing w:val="-2"/>
        </w:rPr>
        <w:t>2011</w:t>
      </w:r>
      <w:r>
        <w:rPr>
          <w:spacing w:val="-2"/>
        </w:rPr>
        <w:t>年至今，任上海永利带业股份有限公司财务总监、董事。</w:t>
      </w:r>
      <w:r>
        <w:rPr>
          <w:rFonts w:ascii="Times New Roman" w:hAnsi="Times New Roman" w:cs="Times New Roman" w:eastAsia="Times New Roman" w:hint="default"/>
          <w:spacing w:val="-2"/>
        </w:rPr>
        <w:t>2015</w:t>
      </w:r>
      <w:r>
        <w:rPr>
          <w:spacing w:val="-2"/>
        </w:rPr>
        <w:t>年至今任本公司独立董事，兼任</w:t>
      </w:r>
    </w:p>
    <w:p>
      <w:pPr>
        <w:spacing w:after="0" w:line="30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上海凯利泰医疗科技股份有限公司、新疆熙菱信息技术股份有限公司、山东赛托生物科技股份有限公司独立董事。</w:t>
      </w:r>
    </w:p>
    <w:p>
      <w:pPr>
        <w:pStyle w:val="BodyText"/>
        <w:spacing w:line="300" w:lineRule="auto" w:before="76"/>
        <w:ind w:right="1130" w:firstLine="360"/>
        <w:jc w:val="both"/>
      </w:pPr>
      <w:r>
        <w:rPr>
          <w:rFonts w:ascii="Times New Roman" w:hAnsi="Times New Roman" w:cs="Times New Roman" w:eastAsia="Times New Roman" w:hint="default"/>
        </w:rPr>
        <w:t>7</w:t>
      </w:r>
      <w:r>
        <w:rPr/>
        <w:t>、俞建春，男，</w:t>
      </w:r>
      <w:r>
        <w:rPr>
          <w:rFonts w:ascii="Times New Roman" w:hAnsi="Times New Roman" w:cs="Times New Roman" w:eastAsia="Times New Roman" w:hint="default"/>
        </w:rPr>
        <w:t>1962</w:t>
      </w:r>
      <w:r>
        <w:rPr/>
        <w:t>年出生，中国国籍，无境外永久居留权。大学本科，中国注册会计师、中国注册税务师、造价工 </w:t>
      </w:r>
      <w:r>
        <w:rPr>
          <w:spacing w:val="-2"/>
        </w:rPr>
        <w:t>程师、高级工程师。</w:t>
      </w:r>
      <w:r>
        <w:rPr>
          <w:rFonts w:ascii="Times New Roman" w:hAnsi="Times New Roman" w:cs="Times New Roman" w:eastAsia="Times New Roman" w:hint="default"/>
          <w:spacing w:val="-2"/>
        </w:rPr>
        <w:t>1984</w:t>
      </w:r>
      <w:r>
        <w:rPr>
          <w:spacing w:val="-2"/>
        </w:rPr>
        <w:t>年至</w:t>
      </w:r>
      <w:r>
        <w:rPr>
          <w:rFonts w:ascii="Times New Roman" w:hAnsi="Times New Roman" w:cs="Times New Roman" w:eastAsia="Times New Roman" w:hint="default"/>
          <w:spacing w:val="-2"/>
        </w:rPr>
        <w:t>1997</w:t>
      </w:r>
      <w:r>
        <w:rPr>
          <w:spacing w:val="-2"/>
        </w:rPr>
        <w:t>年，任上海远洋运输公司科员、副主任科员；</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年，任上海明方会计师事务有</w:t>
      </w:r>
      <w:r>
        <w:rPr>
          <w:spacing w:val="-56"/>
        </w:rPr>
        <w:t> </w:t>
      </w:r>
      <w:r>
        <w:rPr>
          <w:spacing w:val="-56"/>
        </w:rPr>
      </w:r>
      <w:r>
        <w:rPr>
          <w:spacing w:val="-2"/>
        </w:rPr>
        <w:t>限公司部门经理。</w:t>
      </w:r>
      <w:r>
        <w:rPr>
          <w:rFonts w:ascii="Times New Roman" w:hAnsi="Times New Roman" w:cs="Times New Roman" w:eastAsia="Times New Roman" w:hint="default"/>
          <w:spacing w:val="-2"/>
        </w:rPr>
        <w:t>2002</w:t>
      </w:r>
      <w:r>
        <w:rPr>
          <w:spacing w:val="-2"/>
        </w:rPr>
        <w:t>年至今，任上海沪港金茂会计师事务所有限公司总经理助理。</w:t>
      </w:r>
      <w:r>
        <w:rPr>
          <w:rFonts w:ascii="Times New Roman" w:hAnsi="Times New Roman" w:cs="Times New Roman" w:eastAsia="Times New Roman" w:hint="default"/>
          <w:spacing w:val="-2"/>
        </w:rPr>
        <w:t>2015</w:t>
      </w:r>
      <w:r>
        <w:rPr>
          <w:spacing w:val="-2"/>
        </w:rPr>
        <w:t>年至今任本公司独立董事，兼任上</w:t>
      </w:r>
      <w:r>
        <w:rPr>
          <w:spacing w:val="-60"/>
        </w:rPr>
        <w:t> </w:t>
      </w:r>
      <w:r>
        <w:rPr>
          <w:spacing w:val="-60"/>
        </w:rPr>
      </w:r>
      <w:r>
        <w:rPr/>
        <w:t>海贝岭股份有限公司独立董事、贵阳新天药业股份有限公司独立董事。</w:t>
      </w:r>
    </w:p>
    <w:p>
      <w:pPr>
        <w:pStyle w:val="BodyText"/>
        <w:spacing w:line="316" w:lineRule="auto" w:before="31"/>
        <w:ind w:left="472" w:right="1124" w:firstLine="2"/>
        <w:jc w:val="left"/>
      </w:pPr>
      <w:r>
        <w:rPr>
          <w:rFonts w:ascii="宋体" w:hAnsi="宋体" w:cs="宋体" w:eastAsia="宋体" w:hint="default"/>
          <w:b/>
          <w:bCs/>
        </w:rPr>
        <w:t>（二）监事会成员</w:t>
      </w:r>
      <w:r>
        <w:rPr>
          <w:rFonts w:ascii="宋体" w:hAnsi="宋体" w:cs="宋体" w:eastAsia="宋体" w:hint="default"/>
          <w:b/>
          <w:bCs/>
          <w:w w:val="99"/>
        </w:rPr>
        <w:t> </w:t>
      </w:r>
      <w:r>
        <w:rPr/>
        <w:t>公司第四届监事会由</w:t>
      </w:r>
      <w:r>
        <w:rPr>
          <w:rFonts w:ascii="Times New Roman" w:hAnsi="Times New Roman" w:cs="Times New Roman" w:eastAsia="Times New Roman" w:hint="default"/>
        </w:rPr>
        <w:t>3</w:t>
      </w:r>
      <w:r>
        <w:rPr/>
        <w:t>名监事组成，其中李琳为职工代表监事，由职工代表大会选派产生，沈亦宁和何卫红由公司监事</w:t>
      </w:r>
    </w:p>
    <w:p>
      <w:pPr>
        <w:pStyle w:val="BodyText"/>
        <w:spacing w:line="248" w:lineRule="exact"/>
        <w:ind w:right="0"/>
        <w:jc w:val="left"/>
      </w:pPr>
      <w:r>
        <w:rPr/>
        <w:t>会提名，经公司</w:t>
      </w:r>
      <w:r>
        <w:rPr>
          <w:rFonts w:ascii="Times New Roman" w:hAnsi="Times New Roman" w:cs="Times New Roman" w:eastAsia="Times New Roman" w:hint="default"/>
        </w:rPr>
        <w:t>2018</w:t>
      </w:r>
      <w:r>
        <w:rPr/>
        <w:t>年第一次临时股东大会选举产生，本届监事会任期自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w:t>
      </w:r>
    </w:p>
    <w:p>
      <w:pPr>
        <w:pStyle w:val="BodyText"/>
        <w:spacing w:line="300" w:lineRule="auto" w:before="63"/>
        <w:ind w:right="1130" w:firstLine="360"/>
        <w:jc w:val="both"/>
      </w:pPr>
      <w:r>
        <w:rPr>
          <w:rFonts w:ascii="Times New Roman" w:hAnsi="Times New Roman" w:cs="Times New Roman" w:eastAsia="Times New Roman" w:hint="default"/>
        </w:rPr>
        <w:t>1</w:t>
      </w:r>
      <w:r>
        <w:rPr/>
        <w:t>、李琳，女，</w:t>
      </w:r>
      <w:r>
        <w:rPr>
          <w:rFonts w:ascii="Times New Roman" w:hAnsi="Times New Roman" w:cs="Times New Roman" w:eastAsia="Times New Roman" w:hint="default"/>
        </w:rPr>
        <w:t>1983</w:t>
      </w:r>
      <w:r>
        <w:rPr/>
        <w:t>年出生，中国国籍，无境外永久居留权。大学本科。</w:t>
      </w:r>
      <w:r>
        <w:rPr>
          <w:rFonts w:ascii="Times New Roman" w:hAnsi="Times New Roman" w:cs="Times New Roman" w:eastAsia="Times New Roman" w:hint="default"/>
        </w:rPr>
        <w:t>2007</w:t>
      </w:r>
      <w:r>
        <w:rPr/>
        <w:t>年先后在公司全资子公司上海金仕达卫宁 </w:t>
      </w:r>
      <w:r>
        <w:rPr>
          <w:spacing w:val="-2"/>
        </w:rPr>
        <w:t>信息技术有限公司和江苏金仕达卫宁软件有限公司，任服务部总经理助理，</w:t>
      </w:r>
      <w:r>
        <w:rPr>
          <w:rFonts w:ascii="Times New Roman" w:hAnsi="Times New Roman" w:cs="Times New Roman" w:eastAsia="Times New Roman" w:hint="default"/>
          <w:spacing w:val="-2"/>
        </w:rPr>
        <w:t>2013</w:t>
      </w:r>
      <w:r>
        <w:rPr>
          <w:spacing w:val="-2"/>
        </w:rPr>
        <w:t>年起加入本公司任上海大区总经理助理。现</w:t>
      </w:r>
      <w:r>
        <w:rPr>
          <w:spacing w:val="-61"/>
        </w:rPr>
        <w:t> </w:t>
      </w:r>
      <w:r>
        <w:rPr>
          <w:spacing w:val="-61"/>
        </w:rPr>
      </w:r>
      <w:r>
        <w:rPr/>
        <w:t>任本公司上海大区综合管理部经理、监事会主席。</w:t>
      </w:r>
    </w:p>
    <w:p>
      <w:pPr>
        <w:pStyle w:val="BodyText"/>
        <w:spacing w:line="300" w:lineRule="auto" w:before="31"/>
        <w:ind w:right="1132" w:firstLine="360"/>
        <w:jc w:val="both"/>
      </w:pPr>
      <w:r>
        <w:rPr>
          <w:rFonts w:ascii="Times New Roman" w:hAnsi="Times New Roman" w:cs="Times New Roman" w:eastAsia="Times New Roman" w:hint="default"/>
        </w:rPr>
        <w:t>2</w:t>
      </w:r>
      <w:r>
        <w:rPr/>
        <w:t>、沈亦宁，女，</w:t>
      </w:r>
      <w:r>
        <w:rPr>
          <w:rFonts w:ascii="Times New Roman" w:hAnsi="Times New Roman" w:cs="Times New Roman" w:eastAsia="Times New Roman" w:hint="default"/>
        </w:rPr>
        <w:t>1966</w:t>
      </w:r>
      <w:r>
        <w:rPr/>
        <w:t>年出生，中国国籍，无境外永久居留权。大专、统计师。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2004</w:t>
      </w:r>
      <w:r>
        <w:rPr/>
        <w:t>年任上海金仕达卫宁医疗 信息技术有限公司会计。</w:t>
      </w:r>
      <w:r>
        <w:rPr>
          <w:rFonts w:ascii="Times New Roman" w:hAnsi="Times New Roman" w:cs="Times New Roman" w:eastAsia="Times New Roman" w:hint="default"/>
        </w:rPr>
        <w:t>2004</w:t>
      </w:r>
      <w:r>
        <w:rPr/>
        <w:t>年起加入本公司，任会计。现任本公司监事。</w:t>
      </w:r>
    </w:p>
    <w:p>
      <w:pPr>
        <w:pStyle w:val="BodyText"/>
        <w:spacing w:line="300" w:lineRule="auto" w:before="13"/>
        <w:ind w:right="1132" w:firstLine="360"/>
        <w:jc w:val="both"/>
      </w:pPr>
      <w:r>
        <w:rPr>
          <w:rFonts w:ascii="Times New Roman" w:hAnsi="Times New Roman" w:cs="Times New Roman" w:eastAsia="Times New Roman" w:hint="default"/>
        </w:rPr>
        <w:t>3</w:t>
      </w:r>
      <w:r>
        <w:rPr/>
        <w:t>、何卫红，女，</w:t>
      </w:r>
      <w:r>
        <w:rPr>
          <w:rFonts w:ascii="Times New Roman" w:hAnsi="Times New Roman" w:cs="Times New Roman" w:eastAsia="Times New Roman" w:hint="default"/>
        </w:rPr>
        <w:t>1982</w:t>
      </w:r>
      <w:r>
        <w:rPr/>
        <w:t>年出生，中国国籍，无境外永久居留权。大学本科。</w:t>
      </w:r>
      <w:r>
        <w:rPr>
          <w:rFonts w:ascii="Times New Roman" w:hAnsi="Times New Roman" w:cs="Times New Roman" w:eastAsia="Times New Roman" w:hint="default"/>
        </w:rPr>
        <w:t>2014</w:t>
      </w:r>
      <w:r>
        <w:rPr/>
        <w:t>年起加入上海金仕达卫宁软件股份有限 公司，任采购专员。现任本公司监事。</w:t>
      </w:r>
    </w:p>
    <w:p>
      <w:pPr>
        <w:pStyle w:val="Heading4"/>
        <w:spacing w:line="240" w:lineRule="auto" w:before="31"/>
        <w:ind w:right="0"/>
        <w:jc w:val="left"/>
        <w:rPr>
          <w:b w:val="0"/>
          <w:bCs w:val="0"/>
        </w:rPr>
      </w:pPr>
      <w:r>
        <w:rPr/>
        <w:t>（三）高级管理人员</w:t>
      </w:r>
      <w:r>
        <w:rPr>
          <w:b w:val="0"/>
          <w:bCs w:val="0"/>
        </w:rPr>
      </w:r>
    </w:p>
    <w:p>
      <w:pPr>
        <w:pStyle w:val="BodyText"/>
        <w:spacing w:line="240" w:lineRule="auto" w:before="76"/>
        <w:ind w:left="47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WANG</w:t>
      </w:r>
      <w:r>
        <w:rPr>
          <w:rFonts w:ascii="Times New Roman" w:hAnsi="Times New Roman" w:cs="Times New Roman" w:eastAsia="Times New Roman" w:hint="default"/>
          <w:spacing w:val="-2"/>
        </w:rPr>
        <w:t> </w:t>
      </w:r>
      <w:r>
        <w:rPr>
          <w:rFonts w:ascii="Times New Roman" w:hAnsi="Times New Roman" w:cs="Times New Roman" w:eastAsia="Times New Roman" w:hint="default"/>
        </w:rPr>
        <w:t>TAO</w:t>
      </w:r>
      <w:r>
        <w:rPr/>
        <w:t>（王涛</w:t>
      </w:r>
      <w:r>
        <w:rPr>
          <w:rFonts w:ascii="Times New Roman" w:hAnsi="Times New Roman" w:cs="Times New Roman" w:eastAsia="Times New Roman" w:hint="default"/>
        </w:rPr>
        <w:t>)</w:t>
      </w:r>
      <w:r>
        <w:rPr/>
        <w:t>，总裁，简历见上。</w:t>
      </w:r>
    </w:p>
    <w:p>
      <w:pPr>
        <w:pStyle w:val="BodyText"/>
        <w:spacing w:line="240" w:lineRule="auto" w:before="63"/>
        <w:ind w:left="472" w:right="0"/>
        <w:jc w:val="left"/>
      </w:pPr>
      <w:r>
        <w:rPr>
          <w:rFonts w:ascii="Times New Roman" w:hAnsi="Times New Roman" w:cs="Times New Roman" w:eastAsia="Times New Roman" w:hint="default"/>
        </w:rPr>
        <w:t>2</w:t>
      </w:r>
      <w:r>
        <w:rPr/>
        <w:t>、靳茂，高级副总裁、董事会秘书兼董事，简历见上。</w:t>
      </w:r>
    </w:p>
    <w:p>
      <w:pPr>
        <w:pStyle w:val="BodyText"/>
        <w:spacing w:line="300" w:lineRule="auto" w:before="63"/>
        <w:ind w:right="1130" w:firstLine="360"/>
        <w:jc w:val="both"/>
      </w:pPr>
      <w:r>
        <w:rPr>
          <w:rFonts w:ascii="Times New Roman" w:hAnsi="Times New Roman" w:cs="Times New Roman" w:eastAsia="Times New Roman" w:hint="default"/>
        </w:rPr>
        <w:t>3</w:t>
      </w:r>
      <w:r>
        <w:rPr/>
        <w:t>、孙嘉明，男，</w:t>
      </w:r>
      <w:r>
        <w:rPr>
          <w:rFonts w:ascii="Times New Roman" w:hAnsi="Times New Roman" w:cs="Times New Roman" w:eastAsia="Times New Roman" w:hint="default"/>
        </w:rPr>
        <w:t>1976</w:t>
      </w:r>
      <w:r>
        <w:rPr/>
        <w:t>年出生，中国国籍，无境外永久居留权。上海交通大学计算机及应用专业学士学位，应用数学专 </w:t>
      </w:r>
      <w:r>
        <w:rPr>
          <w:spacing w:val="-2"/>
        </w:rPr>
        <w:t>业第二学科学士学位，工程师。</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2014</w:t>
      </w:r>
      <w:r>
        <w:rPr>
          <w:spacing w:val="-2"/>
        </w:rPr>
        <w:t>年，先后担任万达信息股份有限公司社会保障事业部工程师、项目经理，卫生</w:t>
      </w:r>
      <w:r>
        <w:rPr>
          <w:spacing w:val="-60"/>
        </w:rPr>
        <w:t> </w:t>
      </w:r>
      <w:r>
        <w:rPr>
          <w:spacing w:val="-60"/>
        </w:rPr>
      </w:r>
      <w:r>
        <w:rPr>
          <w:spacing w:val="-2"/>
        </w:rPr>
        <w:t>服务事业部咨询总监、副总经理、常务副总经理。</w:t>
      </w:r>
      <w:r>
        <w:rPr>
          <w:rFonts w:ascii="Times New Roman" w:hAnsi="Times New Roman" w:cs="Times New Roman" w:eastAsia="Times New Roman" w:hint="default"/>
          <w:spacing w:val="-2"/>
        </w:rPr>
        <w:t>2014</w:t>
      </w:r>
      <w:r>
        <w:rPr>
          <w:spacing w:val="-2"/>
        </w:rPr>
        <w:t>年加入本公司，现任本公司高级副总裁，兼任重庆卫宁软件有限公司</w:t>
      </w:r>
      <w:r>
        <w:rPr>
          <w:spacing w:val="-61"/>
        </w:rPr>
        <w:t> </w:t>
      </w:r>
      <w:r>
        <w:rPr>
          <w:spacing w:val="-61"/>
        </w:rPr>
      </w:r>
      <w:r>
        <w:rPr/>
        <w:t>董事长、合肥汉思信息技术有限责任公司董事长。</w:t>
      </w:r>
    </w:p>
    <w:p>
      <w:pPr>
        <w:pStyle w:val="BodyText"/>
        <w:spacing w:line="307" w:lineRule="auto" w:before="31"/>
        <w:ind w:right="1123" w:firstLine="360"/>
        <w:jc w:val="both"/>
      </w:pPr>
      <w:r>
        <w:rPr>
          <w:rFonts w:ascii="Times New Roman" w:hAnsi="Times New Roman" w:cs="Times New Roman" w:eastAsia="Times New Roman" w:hint="default"/>
        </w:rPr>
        <w:t>4</w:t>
      </w:r>
      <w:r>
        <w:rPr/>
        <w:t>、王利，男，</w:t>
      </w:r>
      <w:r>
        <w:rPr>
          <w:rFonts w:ascii="Times New Roman" w:hAnsi="Times New Roman" w:cs="Times New Roman" w:eastAsia="Times New Roman" w:hint="default"/>
        </w:rPr>
        <w:t>1976</w:t>
      </w:r>
      <w:r>
        <w:rPr/>
        <w:t>年出生，中国国籍，无境外永久居留权。上海财经大学会计学本科，伦敦大学会计理学硕士学位， </w:t>
      </w:r>
      <w:r>
        <w:rPr>
          <w:spacing w:val="-1"/>
        </w:rPr>
        <w:t>高级会计师、中国注册会计师、中国注册税务师、特许公认会计师公会会员（</w:t>
      </w:r>
      <w:r>
        <w:rPr>
          <w:rFonts w:ascii="Times New Roman" w:hAnsi="Times New Roman" w:cs="Times New Roman" w:eastAsia="Times New Roman" w:hint="default"/>
          <w:spacing w:val="-1"/>
        </w:rPr>
        <w:t>ACCA</w:t>
      </w:r>
      <w:r>
        <w:rPr>
          <w:spacing w:val="-1"/>
        </w:rPr>
        <w:t>）资格。</w:t>
      </w:r>
      <w:r>
        <w:rPr>
          <w:rFonts w:ascii="Times New Roman" w:hAnsi="Times New Roman" w:cs="Times New Roman" w:eastAsia="Times New Roman" w:hint="default"/>
          <w:spacing w:val="-1"/>
        </w:rPr>
        <w:t>1999</w:t>
      </w:r>
      <w:r>
        <w:rPr>
          <w:spacing w:val="-1"/>
        </w:rPr>
        <w:t>年至</w:t>
      </w:r>
      <w:r>
        <w:rPr>
          <w:rFonts w:ascii="Times New Roman" w:hAnsi="Times New Roman" w:cs="Times New Roman" w:eastAsia="Times New Roman" w:hint="default"/>
          <w:spacing w:val="-1"/>
        </w:rPr>
        <w:t>2013</w:t>
      </w:r>
      <w:r>
        <w:rPr>
          <w:spacing w:val="-1"/>
        </w:rPr>
        <w:t>年，历任上海金</w:t>
      </w:r>
      <w:r>
        <w:rPr>
          <w:spacing w:val="-73"/>
        </w:rPr>
        <w:t> </w:t>
      </w:r>
      <w:r>
        <w:rPr>
          <w:spacing w:val="-73"/>
        </w:rPr>
      </w:r>
      <w:r>
        <w:rPr>
          <w:spacing w:val="-2"/>
        </w:rPr>
        <w:t>佰汇科技有限公司财务主管、上海东华会计师事务所高级审计师、德勤华永会计师事务所高级审计经理、昆明寰基生物芯片</w:t>
      </w:r>
      <w:r>
        <w:rPr>
          <w:spacing w:val="-63"/>
        </w:rPr>
        <w:t> </w:t>
      </w:r>
      <w:r>
        <w:rPr>
          <w:spacing w:val="-63"/>
        </w:rPr>
      </w:r>
      <w:r>
        <w:rPr/>
        <w:t>开发有限公司财务总监。</w:t>
      </w:r>
      <w:r>
        <w:rPr>
          <w:rFonts w:ascii="Times New Roman" w:hAnsi="Times New Roman" w:cs="Times New Roman" w:eastAsia="Times New Roman" w:hint="default"/>
        </w:rPr>
        <w:t>2013</w:t>
      </w:r>
      <w:r>
        <w:rPr/>
        <w:t>年加入本公司，任财务副总监、财务总监。现任本公司财务总监。</w:t>
      </w:r>
    </w:p>
    <w:p>
      <w:pPr>
        <w:pStyle w:val="BodyText"/>
        <w:spacing w:line="240" w:lineRule="auto" w:before="45"/>
        <w:ind w:right="0"/>
        <w:jc w:val="left"/>
      </w:pPr>
      <w:r>
        <w:rPr/>
        <w:t>在股东单位任职情况</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在其他单位任职情况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上海沪港金茂会计师事务所有限公司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上海贝岭股份有限公司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贵阳新天药业股份有限公司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上海永利带业股份有限公司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3"/>
                <w:sz w:val="18"/>
                <w:szCs w:val="18"/>
              </w:rPr>
              <w:t>董事、财务总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上海凯利泰医疗科技股份有限公司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新疆熙菱信息技术股份有限公司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山东赛托生物科技股份有限公司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left"/>
              <w:rPr>
                <w:rFonts w:ascii="宋体" w:hAnsi="宋体" w:cs="宋体" w:eastAsia="宋体" w:hint="default"/>
                <w:sz w:val="18"/>
                <w:szCs w:val="18"/>
              </w:rPr>
            </w:pPr>
            <w:r>
              <w:rPr>
                <w:rFonts w:ascii="宋体" w:hAnsi="宋体" w:cs="宋体" w:eastAsia="宋体" w:hint="default"/>
                <w:sz w:val="18"/>
                <w:szCs w:val="18"/>
              </w:rPr>
              <w:t>常务副秘书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7"/>
        <w:ind w:right="1124" w:firstLine="360"/>
        <w:jc w:val="left"/>
      </w:pPr>
      <w:r>
        <w:rPr>
          <w:rFonts w:ascii="Times New Roman" w:hAnsi="Times New Roman" w:cs="Times New Roman" w:eastAsia="Times New Roman" w:hint="default"/>
        </w:rPr>
        <w:t>1</w:t>
      </w:r>
      <w:r>
        <w:rPr/>
        <w:t>、公司董事、监事报酬由股东大会决定，高级管理人员报酬由董事会决定；在公司担任职务的董事、监事、高级管理 人员报酬由公司支付。独立董事津贴依据股东大会决议支付。</w:t>
      </w:r>
    </w:p>
    <w:p>
      <w:pPr>
        <w:pStyle w:val="BodyText"/>
        <w:spacing w:line="300" w:lineRule="auto" w:before="31"/>
        <w:ind w:right="1124" w:firstLine="360"/>
        <w:jc w:val="left"/>
      </w:pPr>
      <w:r>
        <w:rPr>
          <w:rFonts w:ascii="Times New Roman" w:hAnsi="Times New Roman" w:cs="Times New Roman" w:eastAsia="Times New Roman" w:hint="default"/>
        </w:rPr>
        <w:t>2</w:t>
      </w:r>
      <w:r>
        <w:rPr/>
        <w:t>、董事、监事及高级管理人员的报酬按照公司《董事会薪酬与考核委员会实施细则》等规定，结合其经营绩效、工作 能力、岗位职责等考核确定并发放。</w:t>
      </w:r>
    </w:p>
    <w:p>
      <w:pPr>
        <w:pStyle w:val="BodyText"/>
        <w:spacing w:line="338" w:lineRule="auto" w:before="31"/>
        <w:ind w:right="1349" w:firstLine="360"/>
        <w:jc w:val="left"/>
      </w:pPr>
      <w:r>
        <w:rPr>
          <w:rFonts w:ascii="Times New Roman" w:hAnsi="Times New Roman" w:cs="Times New Roman" w:eastAsia="Times New Roman" w:hint="default"/>
        </w:rPr>
        <w:t>3</w:t>
      </w:r>
      <w:r>
        <w:rPr/>
        <w:t>、工资、津贴次月发放；奖金根据年度业绩考核结果延后发放。</w:t>
      </w:r>
      <w:r>
        <w:rPr>
          <w:rFonts w:ascii="Times New Roman" w:hAnsi="Times New Roman" w:cs="Times New Roman" w:eastAsia="Times New Roman" w:hint="default"/>
        </w:rPr>
        <w:t>2019</w:t>
      </w:r>
      <w:r>
        <w:rPr/>
        <w:t>年度公司实际支付的薪酬总额为</w:t>
      </w:r>
      <w:r>
        <w:rPr>
          <w:rFonts w:ascii="Times New Roman" w:hAnsi="Times New Roman" w:cs="Times New Roman" w:eastAsia="Times New Roman" w:hint="default"/>
        </w:rPr>
        <w:t>474.06</w:t>
      </w:r>
      <w:r>
        <w:rPr/>
        <w:t>万元。 公司报告期内董事、监事和高级管理人员报酬情况</w:t>
      </w:r>
    </w:p>
    <w:p>
      <w:pPr>
        <w:pStyle w:val="BodyText"/>
        <w:spacing w:line="240" w:lineRule="auto" w:before="43"/>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WANG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TAO</w:t>
            </w:r>
            <w:r>
              <w:rPr>
                <w:rFonts w:ascii="宋体" w:hAnsi="宋体" w:cs="宋体" w:eastAsia="宋体" w:hint="default"/>
                <w:spacing w:val="-3"/>
                <w:sz w:val="18"/>
                <w:szCs w:val="18"/>
              </w:rPr>
              <w:t>（王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1"/>
              <w:jc w:val="left"/>
              <w:rPr>
                <w:rFonts w:ascii="宋体" w:hAnsi="宋体" w:cs="宋体" w:eastAsia="宋体" w:hint="default"/>
                <w:sz w:val="18"/>
                <w:szCs w:val="18"/>
              </w:rPr>
            </w:pPr>
            <w:r>
              <w:rPr>
                <w:rFonts w:ascii="宋体" w:hAnsi="宋体" w:cs="宋体" w:eastAsia="宋体" w:hint="default"/>
                <w:sz w:val="18"/>
                <w:szCs w:val="18"/>
              </w:rPr>
              <w:t>董事、高级副总 裁、董事会秘书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沈亦宁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何卫红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1"/>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616"/>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474.06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pict>
          <v:shape style="position:absolute;margin-left:267.959015pt;margin-top:17.441711pt;width:49.3pt;height:66.5pt;mso-position-horizontal-relative:page;mso-position-vertical-relative:paragraph;z-index:-127232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t>单位：股</w:t>
      </w:r>
    </w:p>
    <w:p>
      <w:pPr>
        <w:spacing w:after="0" w:line="240" w:lineRule="auto"/>
        <w:jc w:val="left"/>
        <w:sectPr>
          <w:type w:val="continuous"/>
          <w:pgSz w:w="11910" w:h="16840"/>
          <w:pgMar w:top="1060" w:bottom="1160" w:left="1020" w:right="0"/>
          <w:cols w:num="2" w:equalWidth="0">
            <w:col w:w="4613" w:space="4305"/>
            <w:col w:w="197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left="0" w:right="1137"/>
        <w:jc w:val="right"/>
      </w:pPr>
      <w:r>
        <w:rPr/>
        <w:pict>
          <v:shape style="position:absolute;margin-left:56.459999pt;margin-top:-292.997284pt;width:478.9pt;height:344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8" w:right="69"/>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7" w:firstLine="48"/>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9" w:lineRule="auto"/>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9" w:right="69"/>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0" w:right="67"/>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45" w:right="43"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6"/>
                            <w:sz w:val="18"/>
                          </w:rPr>
                          <w:t>WANG</w:t>
                        </w:r>
                      </w:p>
                      <w:p>
                        <w:pPr>
                          <w:pStyle w:val="TableParagraph"/>
                          <w:spacing w:line="300" w:lineRule="auto" w:before="65"/>
                          <w:ind w:left="22" w:right="11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TAO</w:t>
                        </w:r>
                        <w:r>
                          <w:rPr>
                            <w:rFonts w:ascii="宋体" w:hAnsi="宋体" w:cs="宋体" w:eastAsia="宋体" w:hint="default"/>
                            <w:spacing w:val="-4"/>
                            <w:sz w:val="18"/>
                            <w:szCs w:val="18"/>
                          </w:rPr>
                          <w:t>（王</w:t>
                        </w:r>
                        <w:r>
                          <w:rPr>
                            <w:rFonts w:ascii="宋体" w:hAnsi="宋体" w:cs="宋体" w:eastAsia="宋体" w:hint="default"/>
                            <w:spacing w:val="-87"/>
                            <w:sz w:val="18"/>
                            <w:szCs w:val="18"/>
                          </w:rPr>
                          <w:t> </w:t>
                        </w:r>
                        <w:r>
                          <w:rPr>
                            <w:rFonts w:ascii="宋体" w:hAnsi="宋体" w:cs="宋体" w:eastAsia="宋体" w:hint="default"/>
                            <w:sz w:val="18"/>
                            <w:szCs w:val="18"/>
                          </w:rPr>
                          <w:t>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0"/>
                          <w:jc w:val="both"/>
                          <w:rPr>
                            <w:rFonts w:ascii="宋体" w:hAnsi="宋体" w:cs="宋体" w:eastAsia="宋体" w:hint="default"/>
                            <w:sz w:val="18"/>
                            <w:szCs w:val="18"/>
                          </w:rPr>
                        </w:pP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4"/>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1,246,875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1,246,875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6.835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14.98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980,400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990,200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1,246,875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1,246,875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2,103,200</w:t>
                        </w:r>
                      </w:p>
                    </w:tc>
                  </w:tr>
                  <w:tr>
                    <w:trPr>
                      <w:trHeight w:val="196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年股权激励计划首次授予限制性股票第二个解锁期解锁条件成就，靳茂、王利持有的限制性</w:t>
                        </w:r>
                      </w:p>
                      <w:p>
                        <w:pPr>
                          <w:pStyle w:val="TableParagraph"/>
                          <w:spacing w:line="300" w:lineRule="auto" w:before="63"/>
                          <w:ind w:left="24" w:right="15"/>
                          <w:jc w:val="both"/>
                          <w:rPr>
                            <w:rFonts w:ascii="宋体" w:hAnsi="宋体" w:cs="宋体" w:eastAsia="宋体" w:hint="default"/>
                            <w:sz w:val="18"/>
                            <w:szCs w:val="18"/>
                          </w:rPr>
                        </w:pPr>
                        <w:r>
                          <w:rPr>
                            <w:rFonts w:ascii="宋体" w:hAnsi="宋体" w:cs="宋体" w:eastAsia="宋体" w:hint="default"/>
                            <w:sz w:val="18"/>
                            <w:szCs w:val="18"/>
                          </w:rPr>
                          <w:t>股票分别解锁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49.02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万股，上市流通日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年股权激励计划预 留授予限制性股票第二个解锁期解锁条件成就，</w:t>
                        </w:r>
                        <w:r>
                          <w:rPr>
                            <w:rFonts w:ascii="Times New Roman" w:hAnsi="Times New Roman" w:cs="Times New Roman" w:eastAsia="Times New Roman" w:hint="default"/>
                            <w:sz w:val="18"/>
                            <w:szCs w:val="18"/>
                          </w:rPr>
                          <w:t>WANG TAO</w:t>
                        </w:r>
                        <w:r>
                          <w:rPr>
                            <w:rFonts w:ascii="宋体" w:hAnsi="宋体" w:cs="宋体" w:eastAsia="宋体" w:hint="default"/>
                            <w:sz w:val="18"/>
                            <w:szCs w:val="18"/>
                          </w:rPr>
                          <w:t>（王涛）持有的限制性股票解锁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万股，上市流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日。</w:t>
                        </w:r>
                        <w:r>
                          <w:rPr>
                            <w:rFonts w:ascii="Times New Roman" w:hAnsi="Times New Roman" w:cs="Times New Roman" w:eastAsia="Times New Roman" w:hint="default"/>
                            <w:spacing w:val="-9"/>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月，</w:t>
                        </w:r>
                        <w:r>
                          <w:rPr>
                            <w:rFonts w:ascii="Times New Roman" w:hAnsi="Times New Roman" w:cs="Times New Roman" w:eastAsia="Times New Roman" w:hint="default"/>
                            <w:spacing w:val="-9"/>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w w:val="99"/>
                            <w:sz w:val="18"/>
                            <w:szCs w:val="18"/>
                          </w:rPr>
                          <w:t>年股权激励计划限制性股票授予并完成登记，</w:t>
                        </w:r>
                        <w:r>
                          <w:rPr>
                            <w:rFonts w:ascii="Times New Roman" w:hAnsi="Times New Roman" w:cs="Times New Roman" w:eastAsia="Times New Roman" w:hint="default"/>
                            <w:spacing w:val="-3"/>
                            <w:w w:val="99"/>
                            <w:sz w:val="18"/>
                            <w:szCs w:val="18"/>
                          </w:rPr>
                          <w:t>WANG</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23"/>
                            <w:w w:val="99"/>
                            <w:sz w:val="18"/>
                            <w:szCs w:val="18"/>
                          </w:rPr>
                          <w:t>TAO</w:t>
                        </w:r>
                        <w:r>
                          <w:rPr>
                            <w:rFonts w:ascii="宋体" w:hAnsi="宋体" w:cs="宋体" w:eastAsia="宋体" w:hint="default"/>
                            <w:spacing w:val="-23"/>
                            <w:w w:val="99"/>
                            <w:sz w:val="18"/>
                            <w:szCs w:val="18"/>
                          </w:rPr>
                          <w:t>（王涛）</w:t>
                        </w:r>
                        <w:r>
                          <w:rPr>
                            <w:rFonts w:ascii="宋体" w:hAnsi="宋体" w:cs="宋体" w:eastAsia="宋体" w:hint="default"/>
                            <w:w w:val="99"/>
                            <w:sz w:val="18"/>
                            <w:szCs w:val="18"/>
                          </w:rPr>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王利被授予限制性股票分别为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万股、</w:t>
                        </w:r>
                        <w:r>
                          <w:rPr>
                            <w:rFonts w:ascii="Times New Roman" w:hAnsi="Times New Roman" w:cs="Times New Roman" w:eastAsia="Times New Roman" w:hint="default"/>
                            <w:spacing w:val="-5"/>
                            <w:sz w:val="18"/>
                            <w:szCs w:val="18"/>
                          </w:rPr>
                          <w:t>50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万股。截至报告期末，靳茂持有未解锁限制性股票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51.30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万股，王利</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持有未解锁限制性股票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99.02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万股，</w:t>
                        </w:r>
                        <w:r>
                          <w:rPr>
                            <w:rFonts w:ascii="Times New Roman" w:hAnsi="Times New Roman" w:cs="Times New Roman" w:eastAsia="Times New Roman" w:hint="default"/>
                            <w:spacing w:val="-3"/>
                            <w:sz w:val="18"/>
                            <w:szCs w:val="18"/>
                          </w:rPr>
                          <w:t>WANG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TAO</w:t>
                        </w:r>
                        <w:r>
                          <w:rPr>
                            <w:rFonts w:ascii="宋体" w:hAnsi="宋体" w:cs="宋体" w:eastAsia="宋体" w:hint="default"/>
                            <w:sz w:val="18"/>
                            <w:szCs w:val="18"/>
                          </w:rPr>
                          <w:t>（王涛）持有未解锁限制性股票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26"/>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4,852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实施、二次开发人员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4,852</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4,852</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0" w:firstLine="360"/>
        <w:jc w:val="left"/>
      </w:pPr>
      <w:r>
        <w:rPr>
          <w:spacing w:val="-2"/>
        </w:rPr>
        <w:t>公司建立了合理的薪酬福利体系和科学完善的绩效考核体系，将绩效考核结果作为员工的奖惩、晋升的依据；并根据员</w:t>
      </w:r>
      <w:r>
        <w:rPr/>
        <w:t> </w:t>
      </w:r>
      <w:r>
        <w:rPr>
          <w:spacing w:val="-2"/>
        </w:rPr>
        <w:t>工的工作业绩和表现态度实行年度调薪，共同达到劳资双方的和谐与共赢。尊重、关爱员工成长是公司的用人态度。公司竭</w:t>
      </w:r>
      <w:r>
        <w:rPr>
          <w:spacing w:val="-64"/>
        </w:rPr>
        <w:t> </w:t>
      </w:r>
      <w:r>
        <w:rPr>
          <w:spacing w:val="-64"/>
        </w:rPr>
      </w:r>
      <w:r>
        <w:rPr>
          <w:spacing w:val="-2"/>
        </w:rPr>
        <w:t>尽所能为员工提供更加丰富的利益，认真执行员工带薪年休假、婚假、丧假、产假、工伤假等制度，对孕哺期的女职工在薪</w:t>
      </w:r>
      <w:r>
        <w:rPr>
          <w:spacing w:val="-63"/>
        </w:rPr>
        <w:t> </w:t>
      </w:r>
      <w:r>
        <w:rPr>
          <w:spacing w:val="-63"/>
        </w:rPr>
      </w:r>
      <w:r>
        <w:rPr>
          <w:spacing w:val="-2"/>
        </w:rPr>
        <w:t>酬待遇、劳动时间、劳动保护等方面给予特殊照顾政策，每逢重要节日发放过节礼物、生日贺礼、组织员工活动等。在创建</w:t>
      </w:r>
      <w:r>
        <w:rPr>
          <w:spacing w:val="-64"/>
        </w:rPr>
        <w:t> </w:t>
      </w:r>
      <w:r>
        <w:rPr>
          <w:spacing w:val="-64"/>
        </w:rPr>
      </w:r>
      <w:r>
        <w:rPr>
          <w:spacing w:val="-3"/>
        </w:rPr>
        <w:t>和谐卫宁、阳光卫宁的同时提高了企业团队凝聚力。为进一步吸引和保留核心骨干人才，依托卫宁</w:t>
      </w:r>
      <w:r>
        <w:rPr>
          <w:rFonts w:ascii="Times New Roman" w:hAnsi="Times New Roman" w:cs="Times New Roman" w:eastAsia="Times New Roman" w:hint="default"/>
          <w:spacing w:val="-3"/>
        </w:rPr>
        <w:t>“</w:t>
      </w:r>
      <w:r>
        <w:rPr>
          <w:spacing w:val="-3"/>
        </w:rPr>
        <w:t>高新技术企业</w:t>
      </w:r>
      <w:r>
        <w:rPr>
          <w:rFonts w:ascii="Times New Roman" w:hAnsi="Times New Roman" w:cs="Times New Roman" w:eastAsia="Times New Roman" w:hint="default"/>
          <w:spacing w:val="-3"/>
        </w:rPr>
        <w:t>”</w:t>
      </w:r>
      <w:r>
        <w:rPr>
          <w:spacing w:val="-3"/>
        </w:rPr>
        <w:t>荣誉平台，</w:t>
      </w:r>
      <w:r>
        <w:rPr>
          <w:spacing w:val="-74"/>
        </w:rPr>
        <w:t> </w:t>
      </w:r>
      <w:r>
        <w:rPr/>
        <w:t>给予符合条件员工落实</w:t>
      </w:r>
      <w:r>
        <w:rPr>
          <w:rFonts w:ascii="Times New Roman" w:hAnsi="Times New Roman" w:cs="Times New Roman" w:eastAsia="Times New Roman" w:hint="default"/>
        </w:rPr>
        <w:t>“</w:t>
      </w:r>
      <w:r>
        <w:rPr/>
        <w:t>人才引进落户政策</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2019</w:t>
      </w:r>
      <w:r>
        <w:rPr/>
        <w:t>年底，公司先后推出了四期股权激励计划，共激励</w:t>
      </w:r>
      <w:r>
        <w:rPr>
          <w:rFonts w:ascii="Times New Roman" w:hAnsi="Times New Roman" w:cs="Times New Roman" w:eastAsia="Times New Roman" w:hint="default"/>
        </w:rPr>
        <w:t>2,000</w:t>
      </w:r>
      <w:r>
        <w:rPr/>
        <w:t>多人次，鼓</w:t>
      </w:r>
      <w:r>
        <w:rPr>
          <w:spacing w:val="-34"/>
        </w:rPr>
        <w:t> </w:t>
      </w:r>
      <w:r>
        <w:rPr>
          <w:spacing w:val="-34"/>
        </w:rPr>
      </w:r>
      <w:r>
        <w:rPr/>
        <w:t>励员工和企业共成长。</w:t>
      </w:r>
    </w:p>
    <w:p>
      <w:pPr>
        <w:pStyle w:val="BodyText"/>
        <w:spacing w:line="340" w:lineRule="auto" w:before="63"/>
        <w:ind w:left="472"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报告期内，公司职工薪酬总额（计入营业总成本部分）为</w:t>
      </w:r>
      <w:r>
        <w:rPr>
          <w:rFonts w:ascii="Times New Roman" w:hAnsi="Times New Roman" w:cs="Times New Roman" w:eastAsia="Times New Roman" w:hint="default"/>
        </w:rPr>
        <w:t>24,771.45</w:t>
      </w:r>
      <w:r>
        <w:rPr/>
        <w:t>万元，占公司营业总成本的</w:t>
      </w:r>
      <w:r>
        <w:rPr>
          <w:rFonts w:ascii="Times New Roman" w:hAnsi="Times New Roman" w:cs="Times New Roman" w:eastAsia="Times New Roman" w:hint="default"/>
        </w:rPr>
        <w:t>26.73%</w:t>
      </w:r>
      <w:r>
        <w:rPr/>
        <w:t>，公司利润对职</w:t>
      </w:r>
    </w:p>
    <w:p>
      <w:pPr>
        <w:pStyle w:val="BodyText"/>
        <w:spacing w:line="215" w:lineRule="exact"/>
        <w:ind w:right="0"/>
        <w:jc w:val="left"/>
      </w:pPr>
      <w:r>
        <w:rPr/>
        <w:t>工薪酬变化较为敏感。</w:t>
      </w:r>
    </w:p>
    <w:p>
      <w:pPr>
        <w:pStyle w:val="BodyText"/>
        <w:spacing w:line="300" w:lineRule="auto" w:before="76"/>
        <w:ind w:right="1130" w:firstLine="360"/>
        <w:jc w:val="both"/>
      </w:pPr>
      <w:r>
        <w:rPr>
          <w:spacing w:val="-1"/>
        </w:rPr>
        <w:t>截至</w:t>
      </w:r>
      <w:r>
        <w:rPr>
          <w:rFonts w:ascii="Times New Roman" w:hAnsi="Times New Roman" w:cs="Times New Roman" w:eastAsia="Times New Roman" w:hint="default"/>
          <w:spacing w:val="-1"/>
        </w:rPr>
        <w:t>2019</w:t>
      </w:r>
      <w:r>
        <w:rPr>
          <w:spacing w:val="-1"/>
        </w:rPr>
        <w:t>年末公司核心技术人员占员工总数的</w:t>
      </w:r>
      <w:r>
        <w:rPr>
          <w:rFonts w:ascii="Times New Roman" w:hAnsi="Times New Roman" w:cs="Times New Roman" w:eastAsia="Times New Roman" w:hint="default"/>
          <w:spacing w:val="-1"/>
        </w:rPr>
        <w:t>6.16%</w:t>
      </w:r>
      <w:r>
        <w:rPr>
          <w:spacing w:val="-1"/>
        </w:rPr>
        <w:t>，核心技术人员薪酬占薪酬总额的</w:t>
      </w:r>
      <w:r>
        <w:rPr>
          <w:rFonts w:ascii="Times New Roman" w:hAnsi="Times New Roman" w:cs="Times New Roman" w:eastAsia="Times New Roman" w:hint="default"/>
          <w:spacing w:val="-1"/>
        </w:rPr>
        <w:t>12.13%</w:t>
      </w:r>
      <w:r>
        <w:rPr>
          <w:spacing w:val="-1"/>
        </w:rPr>
        <w:t>，与上年同期相比无重大</w:t>
      </w:r>
      <w:r>
        <w:rPr/>
        <w:t> 变动。</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29" w:firstLine="360"/>
        <w:jc w:val="both"/>
      </w:pPr>
      <w:r>
        <w:rPr>
          <w:spacing w:val="-2"/>
        </w:rPr>
        <w:t>公司致力于全体员工的培训和职业规划，重视人才梯队建设，建立了系统化的培训机制，制定了《培训管理制度》，创</w:t>
      </w:r>
      <w:r>
        <w:rPr/>
        <w:t> </w:t>
      </w:r>
      <w:r>
        <w:rPr>
          <w:spacing w:val="-2"/>
        </w:rPr>
        <w:t>设了管理技能培训、职业技能培训、销售技能培训及专业技能培训等，激发员工学习知识技能、提高素质，实现员工发展和</w:t>
      </w:r>
      <w:r>
        <w:rPr>
          <w:spacing w:val="-63"/>
        </w:rPr>
        <w:t> </w:t>
      </w:r>
      <w:r>
        <w:rPr>
          <w:spacing w:val="-63"/>
        </w:rPr>
      </w:r>
      <w:r>
        <w:rPr>
          <w:spacing w:val="-2"/>
        </w:rPr>
        <w:t>公司发展的有机统一。</w:t>
      </w:r>
      <w:r>
        <w:rPr>
          <w:rFonts w:ascii="Times New Roman" w:hAnsi="Times New Roman" w:cs="Times New Roman" w:eastAsia="Times New Roman" w:hint="default"/>
          <w:spacing w:val="-2"/>
        </w:rPr>
        <w:t>2019</w:t>
      </w:r>
      <w:r>
        <w:rPr>
          <w:spacing w:val="-2"/>
        </w:rPr>
        <w:t>年公司持续完善多维度、多层次的员工培训体系，通过新员工入职培训、日常业务产品培训、专</w:t>
      </w:r>
      <w:r>
        <w:rPr>
          <w:spacing w:val="-63"/>
        </w:rPr>
        <w:t> </w:t>
      </w:r>
      <w:r>
        <w:rPr>
          <w:spacing w:val="-63"/>
        </w:rPr>
      </w:r>
      <w:r>
        <w:rPr>
          <w:spacing w:val="-2"/>
        </w:rPr>
        <w:t>项讲座、职工自主培训、线上培训和组织参观学习相结合等多种学习形式，强化员工基础能力培养，支持和帮助员工获取职</w:t>
      </w:r>
      <w:r>
        <w:rPr>
          <w:spacing w:val="-64"/>
        </w:rPr>
        <w:t> </w:t>
      </w:r>
      <w:r>
        <w:rPr>
          <w:spacing w:val="-64"/>
        </w:rPr>
      </w:r>
      <w:r>
        <w:rPr>
          <w:spacing w:val="-2"/>
        </w:rPr>
        <w:t>业生涯阶段所需的知识和技能，为公司的持续健康发展打下良好的人力资源基础。通过培训讲师积分制度，提升内部讲师培</w:t>
      </w:r>
      <w:r>
        <w:rPr>
          <w:spacing w:val="-63"/>
        </w:rPr>
        <w:t> </w:t>
      </w:r>
      <w:r>
        <w:rPr>
          <w:spacing w:val="-63"/>
        </w:rPr>
      </w:r>
      <w:r>
        <w:rPr>
          <w:spacing w:val="-1"/>
        </w:rPr>
        <w:t>训水平。</w:t>
      </w:r>
      <w:r>
        <w:rPr>
          <w:rFonts w:ascii="Times New Roman" w:hAnsi="Times New Roman" w:cs="Times New Roman" w:eastAsia="Times New Roman" w:hint="default"/>
          <w:spacing w:val="-1"/>
        </w:rPr>
        <w:t>“</w:t>
      </w:r>
      <w:r>
        <w:rPr>
          <w:spacing w:val="-1"/>
        </w:rPr>
        <w:t>高潜培训计划</w:t>
      </w:r>
      <w:r>
        <w:rPr>
          <w:rFonts w:ascii="Times New Roman" w:hAnsi="Times New Roman" w:cs="Times New Roman" w:eastAsia="Times New Roman" w:hint="default"/>
          <w:spacing w:val="-1"/>
        </w:rPr>
        <w:t>”</w:t>
      </w:r>
      <w:r>
        <w:rPr>
          <w:spacing w:val="-1"/>
        </w:rPr>
        <w:t>锻炼骨干员工，并挖掘面向未来的能力。</w:t>
      </w:r>
      <w:r>
        <w:rPr>
          <w:rFonts w:ascii="Times New Roman" w:hAnsi="Times New Roman" w:cs="Times New Roman" w:eastAsia="Times New Roman" w:hint="default"/>
          <w:spacing w:val="-1"/>
        </w:rPr>
        <w:t>“19</w:t>
      </w:r>
      <w:r>
        <w:rPr>
          <w:spacing w:val="-1"/>
        </w:rPr>
        <w:t>届新兵启航营培训计划</w:t>
      </w:r>
      <w:r>
        <w:rPr>
          <w:rFonts w:ascii="Times New Roman" w:hAnsi="Times New Roman" w:cs="Times New Roman" w:eastAsia="Times New Roman" w:hint="default"/>
          <w:spacing w:val="-1"/>
        </w:rPr>
        <w:t>”</w:t>
      </w:r>
      <w:r>
        <w:rPr>
          <w:spacing w:val="-1"/>
        </w:rPr>
        <w:t>提升应届毕业生快速适应工作</w:t>
      </w:r>
      <w:r>
        <w:rPr>
          <w:spacing w:val="-75"/>
        </w:rPr>
        <w:t> </w:t>
      </w:r>
      <w:r>
        <w:rPr/>
        <w:t>能力，从知识</w:t>
      </w:r>
      <w:r>
        <w:rPr>
          <w:rFonts w:ascii="Times New Roman" w:hAnsi="Times New Roman" w:cs="Times New Roman" w:eastAsia="Times New Roman" w:hint="default"/>
        </w:rPr>
        <w:t>+</w:t>
      </w:r>
      <w:r>
        <w:rPr/>
        <w:t>心理双通道帮助应届毕业生成长。</w:t>
      </w:r>
    </w:p>
    <w:p>
      <w:pPr>
        <w:pStyle w:val="BodyText"/>
        <w:spacing w:line="300" w:lineRule="auto" w:before="3"/>
        <w:ind w:right="1129" w:firstLine="360"/>
        <w:jc w:val="both"/>
      </w:pPr>
      <w:r>
        <w:rPr>
          <w:rFonts w:ascii="Times New Roman" w:hAnsi="Times New Roman" w:cs="Times New Roman" w:eastAsia="Times New Roman" w:hint="default"/>
          <w:spacing w:val="-2"/>
        </w:rPr>
        <w:t>2020</w:t>
      </w:r>
      <w:r>
        <w:rPr>
          <w:spacing w:val="-2"/>
        </w:rPr>
        <w:t>年，公司将继续深化培训发展体系的建设，进一步完善培训课程及培训发展项目，不断优化培训管理及激励相关制</w:t>
      </w:r>
      <w:r>
        <w:rPr/>
        <w:t> </w:t>
      </w:r>
      <w:r>
        <w:rPr>
          <w:spacing w:val="-2"/>
        </w:rPr>
        <w:t>度，坚持内部培训师精英队伍建设，打造一个坚实、完备的员工发展平台。打造</w:t>
      </w:r>
      <w:r>
        <w:rPr>
          <w:rFonts w:ascii="Times New Roman" w:hAnsi="Times New Roman" w:cs="Times New Roman" w:eastAsia="Times New Roman" w:hint="default"/>
          <w:spacing w:val="-2"/>
        </w:rPr>
        <w:t>“20</w:t>
      </w:r>
      <w:r>
        <w:rPr>
          <w:spacing w:val="-2"/>
        </w:rPr>
        <w:t>届高潜培训项目</w:t>
      </w:r>
      <w:r>
        <w:rPr>
          <w:rFonts w:ascii="Times New Roman" w:hAnsi="Times New Roman" w:cs="Times New Roman" w:eastAsia="Times New Roman" w:hint="default"/>
          <w:spacing w:val="-2"/>
        </w:rPr>
        <w:t>”</w:t>
      </w:r>
      <w:r>
        <w:rPr>
          <w:spacing w:val="-2"/>
        </w:rPr>
        <w:t>，大力发展线上培训模</w:t>
      </w:r>
      <w:r>
        <w:rPr>
          <w:spacing w:val="-39"/>
        </w:rPr>
        <w:t> </w:t>
      </w:r>
      <w:r>
        <w:rPr>
          <w:spacing w:val="-39"/>
        </w:rPr>
      </w:r>
      <w:r>
        <w:rPr/>
        <w:t>式，提供更加灵活，贴合需求的培训内容和体系。</w:t>
      </w:r>
    </w:p>
    <w:p>
      <w:pPr>
        <w:spacing w:after="0" w:line="300"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0"/>
        <w:jc w:val="center"/>
        <w:rPr>
          <w:b w:val="0"/>
          <w:bCs w:val="0"/>
        </w:rPr>
      </w:pPr>
      <w:bookmarkStart w:name="第十节公司治理" w:id="128"/>
      <w:bookmarkEnd w:id="128"/>
      <w:r>
        <w:rPr>
          <w:b w:val="0"/>
          <w:bCs w:val="0"/>
        </w:rPr>
      </w:r>
      <w:bookmarkStart w:name="_bookmark9" w:id="129"/>
      <w:bookmarkEnd w:id="129"/>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0"/>
        <w:jc w:val="left"/>
      </w:pPr>
      <w:r>
        <w:rPr/>
        <w:t>报告期内，公司严格按照《公司法》、《证券法》、《上市公司治理准则》、《深圳证券交易所创业板股票上市规则》、</w:t>
      </w:r>
    </w:p>
    <w:p>
      <w:pPr>
        <w:pStyle w:val="BodyText"/>
        <w:spacing w:line="316" w:lineRule="auto" w:before="76"/>
        <w:ind w:right="1034"/>
        <w:jc w:val="left"/>
      </w:pPr>
      <w:r>
        <w:rPr>
          <w:spacing w:val="-2"/>
        </w:rPr>
        <w:t>《深圳证券交易所创业板上市公司规范运作指引》和其他有关法律法规、规范性文件的要求，不断完善公司治理结构，进一</w:t>
      </w:r>
      <w:r>
        <w:rPr>
          <w:spacing w:val="-64"/>
        </w:rPr>
        <w:t> </w:t>
      </w:r>
      <w:r>
        <w:rPr>
          <w:spacing w:val="-64"/>
        </w:rPr>
      </w:r>
      <w:r>
        <w:rPr/>
        <w:t>步提高公司治理水平。公司确立了由股东大会、董事会、监事会和经营管理层组成的公司治理结构，建立健全了股东大会、 </w:t>
      </w:r>
      <w:r>
        <w:rPr>
          <w:spacing w:val="-2"/>
        </w:rPr>
        <w:t>董事会、监事会、独立董事、董事会秘书等相关制度，并在公司董事会下设立了审计、提名、薪酬与考核专门委员会。公司</w:t>
      </w:r>
      <w:r>
        <w:rPr>
          <w:spacing w:val="-62"/>
        </w:rPr>
        <w:t> </w:t>
      </w:r>
      <w:r>
        <w:rPr>
          <w:spacing w:val="-62"/>
        </w:rPr>
      </w:r>
      <w:r>
        <w:rPr/>
        <w:t>治理的实际状况符合《上市公司治理准则》和《深圳证券交易所创业板上市公司规范运作指引》的要求。</w:t>
      </w:r>
    </w:p>
    <w:p>
      <w:pPr>
        <w:pStyle w:val="BodyText"/>
        <w:spacing w:line="300" w:lineRule="auto" w:before="19"/>
        <w:ind w:left="472" w:right="0"/>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公司严格按照《上市公司股东大会规则》、《公司章程》、《股东大会议事规则》等规定召集、召开股东大会，平等对</w:t>
      </w:r>
    </w:p>
    <w:p>
      <w:pPr>
        <w:pStyle w:val="BodyText"/>
        <w:spacing w:line="316" w:lineRule="auto" w:before="31"/>
        <w:ind w:right="0"/>
        <w:jc w:val="left"/>
      </w:pPr>
      <w:r>
        <w:rPr>
          <w:spacing w:val="-2"/>
        </w:rPr>
        <w:t>待所有股东，并尽可能为股东参加股东大会提供便利，使其充分行使股东权利。同时，公司聘请专业律师见证股东大会，确</w:t>
      </w:r>
      <w:r>
        <w:rPr>
          <w:spacing w:val="-63"/>
        </w:rPr>
        <w:t> </w:t>
      </w:r>
      <w:r>
        <w:rPr>
          <w:spacing w:val="-63"/>
        </w:rPr>
      </w:r>
      <w:r>
        <w:rPr/>
        <w:t>保会议召集召开以及表决程序符合相关法律规定，维护股东的合法权益。</w:t>
      </w:r>
    </w:p>
    <w:p>
      <w:pPr>
        <w:spacing w:line="300" w:lineRule="auto" w:before="19"/>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公司控股股东、实际控制人严格规范自己的行为，没有超越股东大会直接或间接干预公司的决策和经营活动，未损害公</w:t>
      </w:r>
    </w:p>
    <w:p>
      <w:pPr>
        <w:pStyle w:val="BodyText"/>
        <w:spacing w:line="316" w:lineRule="auto" w:before="31"/>
        <w:ind w:right="0"/>
        <w:jc w:val="left"/>
      </w:pPr>
      <w:r>
        <w:rPr>
          <w:spacing w:val="-2"/>
        </w:rPr>
        <w:t>司及其他股东的利益，不存在控股股东占用公司资金的现象，公司亦无为控股股东提供担保的情形。公司拥有独立完整的业</w:t>
      </w:r>
      <w:r>
        <w:rPr>
          <w:spacing w:val="-63"/>
        </w:rPr>
        <w:t> </w:t>
      </w:r>
      <w:r>
        <w:rPr>
          <w:spacing w:val="-63"/>
        </w:rPr>
      </w:r>
      <w:r>
        <w:rPr/>
        <w:t>务和自主经营能力，在业务、人员、资产、机构、财务上独立于控股股东，公司董事会、监事会和内部机构独立运作。</w:t>
      </w:r>
    </w:p>
    <w:p>
      <w:pPr>
        <w:pStyle w:val="BodyText"/>
        <w:spacing w:line="300" w:lineRule="auto" w:before="19"/>
        <w:ind w:left="472" w:right="0"/>
        <w:jc w:val="left"/>
      </w:pPr>
      <w:r>
        <w:rPr>
          <w:rFonts w:ascii="Times New Roman" w:hAnsi="Times New Roman" w:cs="Times New Roman" w:eastAsia="Times New Roman" w:hint="default"/>
          <w:b/>
          <w:bCs/>
        </w:rPr>
        <w:t>3</w:t>
      </w:r>
      <w:r>
        <w:rPr>
          <w:rFonts w:ascii="宋体" w:hAnsi="宋体" w:cs="宋体" w:eastAsia="宋体" w:hint="default"/>
          <w:b/>
          <w:bCs/>
        </w:rPr>
        <w:t>、关于董事和董事会</w:t>
      </w:r>
      <w:r>
        <w:rPr>
          <w:rFonts w:ascii="宋体" w:hAnsi="宋体" w:cs="宋体" w:eastAsia="宋体" w:hint="default"/>
          <w:b/>
          <w:bCs/>
          <w:w w:val="99"/>
        </w:rPr>
        <w:t>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w:t>
      </w:r>
    </w:p>
    <w:p>
      <w:pPr>
        <w:pStyle w:val="BodyText"/>
        <w:spacing w:line="316" w:lineRule="auto" w:before="13"/>
        <w:ind w:right="0"/>
        <w:jc w:val="left"/>
      </w:pPr>
      <w:r>
        <w:rPr>
          <w:spacing w:val="-2"/>
        </w:rPr>
        <w:t>能够依据《深圳证券交易所创业板上市公司规范运作指引》、《董事会议事规则》、《独立董事工作制度》等开展工作，出</w:t>
      </w:r>
      <w:r>
        <w:rPr>
          <w:spacing w:val="-58"/>
        </w:rPr>
        <w:t> </w:t>
      </w:r>
      <w:r>
        <w:rPr>
          <w:spacing w:val="-58"/>
        </w:rPr>
      </w:r>
      <w:r>
        <w:rPr/>
        <w:t>席董事会和股东大会，勤勉尽责地履行职责和义务，同时积极参加相关培训，熟悉相关法律法规。</w:t>
      </w:r>
    </w:p>
    <w:p>
      <w:pPr>
        <w:pStyle w:val="BodyText"/>
        <w:spacing w:line="316" w:lineRule="auto" w:before="19"/>
        <w:ind w:right="1051" w:firstLine="360"/>
        <w:jc w:val="both"/>
      </w:pPr>
      <w:r>
        <w:rPr>
          <w:spacing w:val="-2"/>
        </w:rPr>
        <w:t>公司董事会下设审计委员会、提名委员会和薪酬与考核委员会三个专门委员会。专门委员会委员全部由董事组成，主任</w:t>
      </w:r>
      <w:r>
        <w:rPr/>
        <w:t> </w:t>
      </w:r>
      <w:r>
        <w:rPr>
          <w:spacing w:val="-2"/>
        </w:rPr>
        <w:t>委员全部由独立董事担任，且独立董事人数占其他专门委员会委员的比例均达到三分之二，为董事会的决策提供了科学和专</w:t>
      </w:r>
      <w:r>
        <w:rPr>
          <w:spacing w:val="-64"/>
        </w:rPr>
        <w:t> </w:t>
      </w:r>
      <w:r>
        <w:rPr>
          <w:spacing w:val="-64"/>
        </w:rPr>
      </w:r>
      <w:r>
        <w:rPr/>
        <w:t>业的意见和参考。各委员会依据《公司章程》和各委员会议事规则的规定履行职权，不受公司任何其他部门和个人的干预。</w:t>
      </w:r>
    </w:p>
    <w:p>
      <w:pPr>
        <w:pStyle w:val="BodyText"/>
        <w:spacing w:line="300" w:lineRule="auto" w:before="19"/>
        <w:ind w:left="472" w:right="0"/>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名，监事会的人数和构成符合法律、法规的要求。公司监事能够按照《深圳证券</w:t>
      </w:r>
    </w:p>
    <w:p>
      <w:pPr>
        <w:pStyle w:val="BodyText"/>
        <w:spacing w:line="316" w:lineRule="auto" w:before="13"/>
        <w:ind w:right="1034"/>
        <w:jc w:val="left"/>
      </w:pPr>
      <w:r>
        <w:rPr/>
        <w:t>交易所创业板上市公司规范运作指引》、《监事会议事规则》的要求，认真履行自己的职责，对公司重大事项、财务状况、 董事和高级管理人员的履行职责的合法合规性进行监督，维护公司及股东的合法权益。</w:t>
      </w:r>
    </w:p>
    <w:p>
      <w:pPr>
        <w:spacing w:line="300" w:lineRule="auto" w:before="19"/>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公司建立并逐步完善公正、有效的高级管理人员绩效评价标准和激励约束机制，公司高级管理人员实行基本年薪与年终</w:t>
      </w:r>
    </w:p>
    <w:p>
      <w:pPr>
        <w:pStyle w:val="BodyText"/>
        <w:spacing w:line="240" w:lineRule="auto" w:before="31"/>
        <w:ind w:right="0"/>
        <w:jc w:val="left"/>
      </w:pPr>
      <w:r>
        <w:rPr/>
        <w:t>绩效考核相结合的薪酬制度。高级管理人员的聘任公开、通明，符合法律、法规的规定。</w:t>
      </w:r>
    </w:p>
    <w:p>
      <w:pPr>
        <w:pStyle w:val="BodyText"/>
        <w:spacing w:line="300" w:lineRule="auto" w:before="76"/>
        <w:ind w:left="472" w:right="0"/>
        <w:jc w:val="left"/>
      </w:pP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公司严格按照《上市公司信息披露管理办法》、深圳证券交易所创业板上市公司的信息披露格式指引等规定以及公司制</w:t>
      </w:r>
    </w:p>
    <w:p>
      <w:pPr>
        <w:pStyle w:val="BodyText"/>
        <w:spacing w:line="316" w:lineRule="auto" w:before="31"/>
        <w:ind w:right="1125"/>
        <w:jc w:val="both"/>
      </w:pPr>
      <w:r>
        <w:rPr>
          <w:spacing w:val="-2"/>
        </w:rPr>
        <w:t>定的《信息披露制度》等要求，真实、准确、及时、公平、完整地披露有关信息；董事会秘书负责信息披露工作，协调公司</w:t>
      </w:r>
      <w:r>
        <w:rPr>
          <w:spacing w:val="-62"/>
        </w:rPr>
        <w:t> </w:t>
      </w:r>
      <w:r>
        <w:rPr>
          <w:spacing w:val="-62"/>
        </w:rPr>
      </w:r>
      <w:r>
        <w:rPr>
          <w:spacing w:val="-2"/>
        </w:rPr>
        <w:t>与投资者的关系，接待股东来访，回答投资者咨询；《证券时报》、《上海证券报》、《中国证券报》等法定报纸和巨潮资</w:t>
      </w:r>
      <w:r>
        <w:rPr>
          <w:spacing w:val="-64"/>
        </w:rPr>
        <w:t> </w:t>
      </w:r>
      <w:r>
        <w:rPr>
          <w:spacing w:val="-64"/>
        </w:rPr>
      </w:r>
      <w:r>
        <w:rPr/>
        <w:t>讯网（</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300" w:lineRule="auto"/>
        <w:ind w:left="472" w:right="0"/>
        <w:jc w:val="left"/>
      </w:pPr>
      <w:r>
        <w:rPr>
          <w:rFonts w:ascii="Times New Roman" w:hAnsi="Times New Roman" w:cs="Times New Roman" w:eastAsia="Times New Roman" w:hint="default"/>
          <w:b/>
          <w:bCs/>
        </w:rPr>
        <w:t>7</w:t>
      </w:r>
      <w:r>
        <w:rPr>
          <w:rFonts w:ascii="宋体" w:hAnsi="宋体" w:cs="宋体" w:eastAsia="宋体" w:hint="default"/>
          <w:b/>
          <w:bCs/>
        </w:rPr>
        <w:t>、关于相关利益者</w:t>
      </w:r>
      <w:r>
        <w:rPr>
          <w:rFonts w:ascii="宋体" w:hAnsi="宋体" w:cs="宋体" w:eastAsia="宋体" w:hint="default"/>
          <w:b/>
          <w:bCs/>
          <w:w w:val="99"/>
        </w:rPr>
        <w:t> </w:t>
      </w:r>
      <w:r>
        <w:rPr>
          <w:spacing w:val="-2"/>
        </w:rPr>
        <w:t>公司充分尊重和维护相关利益者的合法权益，实现社会、股东、公司、员工等各方面利益的协调平衡，诚信对待供应商</w:t>
      </w:r>
    </w:p>
    <w:p>
      <w:pPr>
        <w:pStyle w:val="BodyText"/>
        <w:spacing w:line="360" w:lineRule="auto" w:before="31"/>
        <w:ind w:right="3554"/>
        <w:jc w:val="left"/>
      </w:pPr>
      <w:r>
        <w:rPr/>
        <w:t>和客户，坚持与相关利益者互利共赢的原则，共同推动公司持续、稳健发展。 公司治理的实际状况与中国证监会发布的有关上市公司治理的规范性文件是否存在重大差异</w:t>
      </w:r>
    </w:p>
    <w:p>
      <w:pPr>
        <w:pStyle w:val="BodyText"/>
        <w:spacing w:line="338" w:lineRule="auto" w:before="2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after="0" w:line="338" w:lineRule="auto"/>
        <w:jc w:val="left"/>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360"/>
        <w:jc w:val="left"/>
      </w:pPr>
      <w:r>
        <w:rPr>
          <w:spacing w:val="-2"/>
        </w:rPr>
        <w:t>公司控股股东根据法律法规依法行使自身合法权利并承担相应义务。报告期内，未发生直接或间接干预公司决策和经营</w:t>
      </w:r>
      <w:r>
        <w:rPr/>
        <w:t> 活动及利用其它控制地位侵害其它股东利益的行为。公司拥有独立完整的主营业务和自主经营能力，在业务、人员、资产、 机构以及财务等方面均独立于控股股东和实际控制人。</w:t>
      </w:r>
    </w:p>
    <w:p>
      <w:pPr>
        <w:pStyle w:val="BodyText"/>
        <w:spacing w:line="300" w:lineRule="auto" w:before="19"/>
        <w:ind w:left="472" w:right="1120"/>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99"/>
        </w:rPr>
        <w:t> </w:t>
      </w:r>
      <w:r>
        <w:rPr>
          <w:spacing w:val="-2"/>
        </w:rPr>
        <w:t>公司拥有独立的生产经营场所，拥有独立的产、供、销体系，独立开展各项业务。不存在对公司控股股东、实际控制人</w:t>
      </w:r>
    </w:p>
    <w:p>
      <w:pPr>
        <w:pStyle w:val="BodyText"/>
        <w:spacing w:line="309" w:lineRule="auto" w:before="31"/>
        <w:ind w:left="472" w:right="1120" w:hanging="360"/>
        <w:jc w:val="left"/>
      </w:pPr>
      <w:r>
        <w:rPr/>
        <w:t>及其控制的其他企业或者第三方重大依赖的情形，与控股股东、实际控制人及其控制的其他企业不存在同业竞争。 </w:t>
      </w: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w w:val="99"/>
        </w:rPr>
        <w:t> </w:t>
      </w:r>
      <w:r>
        <w:rPr>
          <w:spacing w:val="-2"/>
        </w:rPr>
        <w:t>公司建立了独立的人事和劳资管理体系，公司总经理及其他高级管理人员专职在本公司工作、领取薪酬，不存在在控股</w:t>
      </w:r>
    </w:p>
    <w:p>
      <w:pPr>
        <w:pStyle w:val="BodyText"/>
        <w:spacing w:line="316" w:lineRule="auto" w:before="24"/>
        <w:ind w:right="0"/>
        <w:jc w:val="left"/>
      </w:pPr>
      <w:r>
        <w:rPr>
          <w:spacing w:val="-2"/>
        </w:rPr>
        <w:t>股东、实际控制人及其控制的其他企业中兼任除董事、监事之外职务及领取薪酬的情形。公司的财务人员均不存在在控股股</w:t>
      </w:r>
      <w:r>
        <w:rPr>
          <w:spacing w:val="-63"/>
        </w:rPr>
        <w:t> </w:t>
      </w:r>
      <w:r>
        <w:rPr>
          <w:spacing w:val="-63"/>
        </w:rPr>
      </w:r>
      <w:r>
        <w:rPr/>
        <w:t>东、实际控制人及其控制的其他企业中兼职的情形。</w:t>
      </w:r>
    </w:p>
    <w:p>
      <w:pPr>
        <w:pStyle w:val="BodyText"/>
        <w:spacing w:line="300" w:lineRule="auto" w:before="19"/>
        <w:ind w:left="472" w:right="1120"/>
        <w:jc w:val="left"/>
      </w:pPr>
      <w:r>
        <w:rPr>
          <w:rFonts w:ascii="Times New Roman" w:hAnsi="Times New Roman" w:cs="Times New Roman" w:eastAsia="Times New Roman" w:hint="default"/>
          <w:b/>
          <w:bCs/>
        </w:rPr>
        <w:t>3</w:t>
      </w:r>
      <w:r>
        <w:rPr>
          <w:rFonts w:ascii="宋体" w:hAnsi="宋体" w:cs="宋体" w:eastAsia="宋体" w:hint="default"/>
          <w:b/>
          <w:bCs/>
        </w:rPr>
        <w:t>、资产独立</w:t>
      </w:r>
      <w:r>
        <w:rPr>
          <w:rFonts w:ascii="宋体" w:hAnsi="宋体" w:cs="宋体" w:eastAsia="宋体" w:hint="default"/>
          <w:b/>
          <w:bCs/>
          <w:w w:val="99"/>
        </w:rPr>
        <w:t> </w:t>
      </w:r>
      <w:r>
        <w:rPr>
          <w:spacing w:val="-2"/>
        </w:rPr>
        <w:t>公司对所有生产经营所需的资产有完全的控制支配权，不存在资产、资金被控股股东和实际控制人占用的情形，不存在</w:t>
      </w:r>
    </w:p>
    <w:p>
      <w:pPr>
        <w:pStyle w:val="BodyText"/>
        <w:spacing w:line="316" w:lineRule="auto" w:before="31"/>
        <w:ind w:right="0"/>
        <w:jc w:val="left"/>
      </w:pPr>
      <w:r>
        <w:rPr>
          <w:spacing w:val="-2"/>
        </w:rPr>
        <w:t>以资产、权益为控股股东和实际控制人担保的情形，本公司现有的资产独立、完整。没有以其资产为股东或个人债务以及其</w:t>
      </w:r>
      <w:r>
        <w:rPr>
          <w:spacing w:val="-64"/>
        </w:rPr>
        <w:t> </w:t>
      </w:r>
      <w:r>
        <w:rPr>
          <w:spacing w:val="-64"/>
        </w:rPr>
      </w:r>
      <w:r>
        <w:rPr/>
        <w:t>他法人或自然人提供任何形式的担保。</w:t>
      </w:r>
    </w:p>
    <w:p>
      <w:pPr>
        <w:pStyle w:val="BodyText"/>
        <w:spacing w:line="300" w:lineRule="auto" w:before="19"/>
        <w:ind w:left="472" w:right="1120"/>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99"/>
        </w:rPr>
        <w:t> </w:t>
      </w:r>
      <w:r>
        <w:rPr>
          <w:spacing w:val="-2"/>
        </w:rPr>
        <w:t>公司依法设立了股东大会、董事会、监事会等决策、执行、监督机构，并制定相应会议制度及议事规则。公司各机构均</w:t>
      </w:r>
    </w:p>
    <w:p>
      <w:pPr>
        <w:pStyle w:val="BodyText"/>
        <w:spacing w:line="240" w:lineRule="auto" w:before="31"/>
        <w:ind w:right="0"/>
        <w:jc w:val="left"/>
      </w:pPr>
      <w:r>
        <w:rPr/>
        <w:t>独立于控股股东及其他股东，各项规章制度完善，法人治理结构规范有效。</w:t>
      </w:r>
    </w:p>
    <w:p>
      <w:pPr>
        <w:pStyle w:val="BodyText"/>
        <w:spacing w:line="300" w:lineRule="auto" w:before="76"/>
        <w:ind w:left="472" w:right="1120"/>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99"/>
        </w:rPr>
        <w:t> </w:t>
      </w:r>
      <w:r>
        <w:rPr>
          <w:spacing w:val="-2"/>
        </w:rPr>
        <w:t>公司设置了独立的财务部门，并根据现行的会计准则及相关法规、条例，结合公司实际情况制定了财务管理制度，建立</w:t>
      </w:r>
    </w:p>
    <w:p>
      <w:pPr>
        <w:pStyle w:val="BodyText"/>
        <w:spacing w:line="316" w:lineRule="auto" w:before="31"/>
        <w:ind w:right="0"/>
        <w:jc w:val="left"/>
      </w:pPr>
      <w:r>
        <w:rPr>
          <w:spacing w:val="-2"/>
        </w:rPr>
        <w:t>了独立、完整的财务核算体系，能够独立作出财务决策。公司配备了必要财务人员从事公司财务核算工作，并在银行独立开</w:t>
      </w:r>
      <w:r>
        <w:rPr>
          <w:spacing w:val="-64"/>
        </w:rPr>
        <w:t> </w:t>
      </w:r>
      <w:r>
        <w:rPr>
          <w:spacing w:val="-64"/>
        </w:rPr>
      </w:r>
      <w:r>
        <w:rPr/>
        <w:t>设账户，依法独立纳税，不存在股东干预公司财务的情况。</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2019-019</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21.06%</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18"/>
              <w:jc w:val="left"/>
              <w:rPr>
                <w:rFonts w:ascii="宋体" w:hAnsi="宋体" w:cs="宋体" w:eastAsia="宋体" w:hint="default"/>
                <w:sz w:val="18"/>
                <w:szCs w:val="18"/>
              </w:rPr>
            </w:pPr>
            <w:r>
              <w:rPr>
                <w:rFonts w:ascii="宋体" w:hAnsi="宋体" w:cs="宋体" w:eastAsia="宋体" w:hint="default"/>
                <w:sz w:val="18"/>
                <w:szCs w:val="18"/>
              </w:rPr>
              <w:t>第一次临时股东大 </w:t>
            </w:r>
            <w:r>
              <w:rPr>
                <w:rFonts w:ascii="宋体" w:hAnsi="宋体" w:cs="宋体" w:eastAsia="宋体" w:hint="default"/>
                <w:spacing w:val="-14"/>
                <w:sz w:val="18"/>
                <w:szCs w:val="18"/>
              </w:rPr>
              <w:t>会决议公告》，</w:t>
            </w: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84"/>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2019-034</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18"/>
              <w:jc w:val="left"/>
              <w:rPr>
                <w:rFonts w:ascii="宋体" w:hAnsi="宋体" w:cs="宋体" w:eastAsia="宋体" w:hint="default"/>
                <w:sz w:val="18"/>
                <w:szCs w:val="18"/>
              </w:rPr>
            </w:pPr>
            <w:r>
              <w:rPr>
                <w:rFonts w:ascii="宋体" w:hAnsi="宋体" w:cs="宋体" w:eastAsia="宋体" w:hint="default"/>
                <w:sz w:val="18"/>
                <w:szCs w:val="18"/>
              </w:rPr>
              <w:t>度股东大会决议公 </w:t>
            </w:r>
            <w:r>
              <w:rPr>
                <w:rFonts w:ascii="宋体" w:hAnsi="宋体" w:cs="宋体" w:eastAsia="宋体" w:hint="default"/>
                <w:spacing w:val="-31"/>
                <w:sz w:val="18"/>
                <w:szCs w:val="18"/>
              </w:rPr>
              <w:t>告》，</w:t>
            </w:r>
          </w:p>
        </w:tc>
      </w:tr>
      <w:tr>
        <w:trPr>
          <w:trHeight w:val="35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84"/>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2019-063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p>
          <w:p>
            <w:pPr>
              <w:pStyle w:val="TableParagraph"/>
              <w:spacing w:line="338" w:lineRule="auto" w:before="63"/>
              <w:ind w:left="23"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第二次临时股东大 </w:t>
            </w:r>
            <w:r>
              <w:rPr>
                <w:rFonts w:ascii="宋体" w:hAnsi="宋体" w:cs="宋体" w:eastAsia="宋体" w:hint="default"/>
                <w:spacing w:val="-14"/>
                <w:sz w:val="18"/>
                <w:szCs w:val="18"/>
              </w:rPr>
              <w:t>会决议公告》，</w:t>
            </w:r>
            <w:r>
              <w:rPr>
                <w:rFonts w:ascii="宋体" w:hAnsi="宋体" w:cs="宋体" w:eastAsia="宋体" w:hint="default"/>
                <w:spacing w:val="-84"/>
                <w:sz w:val="18"/>
                <w:szCs w:val="18"/>
              </w:rPr>
              <w:t> </w:t>
            </w:r>
            <w:r>
              <w:rPr>
                <w:rFonts w:ascii="宋体" w:hAnsi="宋体" w:cs="宋体" w:eastAsia="宋体" w:hint="default"/>
                <w:spacing w:val="-84"/>
                <w:sz w:val="18"/>
                <w:szCs w:val="18"/>
              </w:rPr>
            </w:r>
            <w:hyperlink r:id="rId11">
              <w:r>
                <w:rPr>
                  <w:rFonts w:ascii="Times New Roman" w:hAnsi="Times New Roman" w:cs="Times New Roman" w:eastAsia="Times New Roman" w:hint="default"/>
                  <w:spacing w:val="-2"/>
                  <w:sz w:val="18"/>
                  <w:szCs w:val="18"/>
                </w:rPr>
                <w:t>www.cninfo.com.cn</w:t>
              </w:r>
            </w:hyperlink>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2019-087</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18"/>
              <w:jc w:val="left"/>
              <w:rPr>
                <w:rFonts w:ascii="宋体" w:hAnsi="宋体" w:cs="宋体" w:eastAsia="宋体" w:hint="default"/>
                <w:sz w:val="18"/>
                <w:szCs w:val="18"/>
              </w:rPr>
            </w:pPr>
            <w:r>
              <w:rPr>
                <w:rFonts w:ascii="宋体" w:hAnsi="宋体" w:cs="宋体" w:eastAsia="宋体" w:hint="default"/>
                <w:sz w:val="18"/>
                <w:szCs w:val="18"/>
              </w:rPr>
              <w:t>第三次临时股东大 </w:t>
            </w:r>
            <w:r>
              <w:rPr>
                <w:rFonts w:ascii="宋体" w:hAnsi="宋体" w:cs="宋体" w:eastAsia="宋体" w:hint="default"/>
                <w:spacing w:val="-14"/>
                <w:sz w:val="18"/>
                <w:szCs w:val="18"/>
              </w:rPr>
              <w:t>会决议公告》，</w:t>
            </w: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4" w:lineRule="auto" w:before="43"/>
        <w:ind w:right="1130" w:firstLine="360"/>
        <w:jc w:val="both"/>
      </w:pPr>
      <w:r>
        <w:rPr>
          <w:spacing w:val="-2"/>
        </w:rPr>
        <w:t>报告期内，公司独立董事积极了解公司的整体情况，在公司配合下，能够及时获悉相关重大事项的进展，重点关注公司</w:t>
      </w:r>
      <w:r>
        <w:rPr/>
        <w:t> </w:t>
      </w:r>
      <w:r>
        <w:rPr>
          <w:spacing w:val="-2"/>
        </w:rPr>
        <w:t>的主营业务经营状况和发展趋势；并通过现场、通讯等方式与公司其他董事、高级管理人员及相关人员进行沟通，密切关注</w:t>
      </w:r>
      <w:r>
        <w:rPr>
          <w:spacing w:val="-64"/>
        </w:rPr>
        <w:t> </w:t>
      </w:r>
      <w:r>
        <w:rPr>
          <w:spacing w:val="-64"/>
        </w:rPr>
      </w:r>
      <w:r>
        <w:rPr>
          <w:spacing w:val="-2"/>
        </w:rPr>
        <w:t>公司动态。独立董事在报告期内充分履行职责，对公司内部控制、公司治理、</w:t>
      </w:r>
      <w:r>
        <w:rPr>
          <w:rFonts w:ascii="Times New Roman" w:hAnsi="Times New Roman" w:cs="Times New Roman" w:eastAsia="Times New Roman" w:hint="default"/>
          <w:spacing w:val="-2"/>
        </w:rPr>
        <w:t>2018</w:t>
      </w:r>
      <w:r>
        <w:rPr>
          <w:spacing w:val="-2"/>
        </w:rPr>
        <w:t>年度利润分配方案、股权激励计划、关联</w:t>
      </w:r>
      <w:r>
        <w:rPr>
          <w:spacing w:val="-61"/>
        </w:rPr>
        <w:t> </w:t>
      </w:r>
      <w:r>
        <w:rPr>
          <w:spacing w:val="-61"/>
        </w:rPr>
      </w:r>
      <w:r>
        <w:rPr>
          <w:spacing w:val="-2"/>
        </w:rPr>
        <w:t>交易、对外投资等相关事项提出了重要意见、建议和要求，公司积极采纳独立董事意见。报告期内，独立董事为完善公司监</w:t>
      </w:r>
      <w:r>
        <w:rPr>
          <w:spacing w:val="-63"/>
        </w:rPr>
        <w:t> </w:t>
      </w:r>
      <w:r>
        <w:rPr>
          <w:spacing w:val="-63"/>
        </w:rPr>
      </w:r>
      <w:r>
        <w:rPr/>
        <w:t>督机制，维护公司和全体股东的合法权益发挥了重要的作用。</w:t>
      </w:r>
    </w:p>
    <w:p>
      <w:pPr>
        <w:spacing w:after="0" w:line="314" w:lineRule="auto"/>
        <w:jc w:val="both"/>
        <w:sectPr>
          <w:footerReference w:type="default" r:id="rId20"/>
          <w:pgSz w:w="11910" w:h="16840"/>
          <w:pgMar w:footer="978" w:header="746" w:top="1060" w:bottom="1160" w:left="1020" w:right="0"/>
          <w:pgNumType w:start="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472" w:right="1120" w:hanging="360"/>
        <w:jc w:val="left"/>
      </w:pPr>
      <w:r>
        <w:rPr/>
        <w:t>公司董事会下设审计委员会、提名委员会及薪酬与考核委员会三个专门委员会。其履职情况如下： </w:t>
      </w:r>
      <w:r>
        <w:rPr>
          <w:rFonts w:ascii="Times New Roman" w:hAnsi="Times New Roman" w:cs="Times New Roman" w:eastAsia="Times New Roman" w:hint="default"/>
        </w:rPr>
        <w:t>1</w:t>
      </w:r>
      <w:r>
        <w:rPr/>
        <w:t>、董事会审计委员会的履职情况 </w:t>
      </w:r>
      <w:r>
        <w:rPr>
          <w:spacing w:val="-2"/>
        </w:rPr>
        <w:t>报告期内，董事会审计委员会根据《公司章程》、《董事会审计委员会实施细则》的相关规定，充分发挥审计委员会在</w:t>
      </w:r>
    </w:p>
    <w:p>
      <w:pPr>
        <w:pStyle w:val="BodyText"/>
        <w:spacing w:line="316" w:lineRule="auto" w:before="24"/>
        <w:ind w:right="1130"/>
        <w:jc w:val="both"/>
      </w:pPr>
      <w:r>
        <w:rPr>
          <w:spacing w:val="-2"/>
        </w:rPr>
        <w:t>公司经营发展中的审核与监督作用，主要负责监督公司内部控制实施情况、内部审计制度及其实施情况以及外部审计机构的</w:t>
      </w:r>
      <w:r>
        <w:rPr>
          <w:spacing w:val="-64"/>
        </w:rPr>
        <w:t> </w:t>
      </w:r>
      <w:r>
        <w:rPr>
          <w:spacing w:val="-64"/>
        </w:rPr>
      </w:r>
      <w:r>
        <w:rPr>
          <w:spacing w:val="-2"/>
        </w:rPr>
        <w:t>沟通协调工作。通过对公司内部审计制度进行核查，认为公司内部审计制度体系符合相关法律法规规定，能够发现并有效防</w:t>
      </w:r>
      <w:r>
        <w:rPr>
          <w:spacing w:val="-63"/>
        </w:rPr>
        <w:t> </w:t>
      </w:r>
      <w:r>
        <w:rPr>
          <w:spacing w:val="-63"/>
        </w:rPr>
      </w:r>
      <w:r>
        <w:rPr>
          <w:spacing w:val="-2"/>
        </w:rPr>
        <w:t>范相关风险。报告期内，公司重点对内部审计制度及其实施、会计政策变更、募集资金存放和使用情况、定期报告等进行核</w:t>
      </w:r>
      <w:r>
        <w:rPr>
          <w:spacing w:val="-63"/>
        </w:rPr>
        <w:t> </w:t>
      </w:r>
      <w:r>
        <w:rPr>
          <w:spacing w:val="-63"/>
        </w:rPr>
      </w:r>
      <w:r>
        <w:rPr/>
        <w:t>查和审议，并在年度审计期间组织现场座谈会，充分沟通年报审计相关工作。</w:t>
      </w:r>
    </w:p>
    <w:p>
      <w:pPr>
        <w:pStyle w:val="BodyText"/>
        <w:spacing w:line="300" w:lineRule="auto" w:before="19"/>
        <w:ind w:left="472" w:right="0"/>
        <w:jc w:val="left"/>
      </w:pPr>
      <w:r>
        <w:rPr>
          <w:rFonts w:ascii="Times New Roman" w:hAnsi="Times New Roman" w:cs="Times New Roman" w:eastAsia="Times New Roman" w:hint="default"/>
        </w:rPr>
        <w:t>2</w:t>
      </w:r>
      <w:r>
        <w:rPr/>
        <w:t>、董事会提名委员会的履职情况 </w:t>
      </w:r>
      <w:r>
        <w:rPr>
          <w:spacing w:val="-2"/>
        </w:rPr>
        <w:t>报告期内，董事会提名委员会根据《公司章程》、《董事会提名委员会实施细则》的相关规定，重点对董事会规模及人</w:t>
      </w:r>
    </w:p>
    <w:p>
      <w:pPr>
        <w:pStyle w:val="BodyText"/>
        <w:spacing w:line="240" w:lineRule="auto" w:before="31"/>
        <w:ind w:right="0"/>
        <w:jc w:val="left"/>
      </w:pPr>
      <w:r>
        <w:rPr/>
        <w:t>员构成进行调研和审议。</w:t>
      </w:r>
    </w:p>
    <w:p>
      <w:pPr>
        <w:pStyle w:val="BodyText"/>
        <w:spacing w:line="300" w:lineRule="auto" w:before="76"/>
        <w:ind w:left="472" w:right="0"/>
        <w:jc w:val="left"/>
      </w:pPr>
      <w:r>
        <w:rPr>
          <w:rFonts w:ascii="Times New Roman" w:hAnsi="Times New Roman" w:cs="Times New Roman" w:eastAsia="Times New Roman" w:hint="default"/>
        </w:rPr>
        <w:t>3</w:t>
      </w:r>
      <w:r>
        <w:rPr/>
        <w:t>、董事会薪酬与考核委员会的履职情况 </w:t>
      </w:r>
      <w:r>
        <w:rPr>
          <w:spacing w:val="-2"/>
        </w:rPr>
        <w:t>报告期内，董事会薪酬与考核委员会根据《公司章程》、《董事会薪酬与考核委员会实施细则》的相关规定，重点对公</w:t>
      </w:r>
    </w:p>
    <w:p>
      <w:pPr>
        <w:pStyle w:val="BodyText"/>
        <w:spacing w:line="240" w:lineRule="auto" w:before="31"/>
        <w:ind w:right="0"/>
        <w:jc w:val="left"/>
      </w:pPr>
      <w:r>
        <w:rPr/>
        <w:t>司董事及高级管理人员的薪酬政策及执行情况</w:t>
      </w:r>
      <w:r>
        <w:rPr>
          <w:spacing w:val="-84"/>
        </w:rPr>
        <w:t>、</w:t>
      </w:r>
      <w:r>
        <w:rPr/>
        <w:t>股权激励计划执行情况进行审查</w:t>
      </w:r>
      <w:r>
        <w:rPr>
          <w:spacing w:val="-87"/>
        </w:rPr>
        <w:t>，</w:t>
      </w:r>
      <w:r>
        <w:rPr/>
        <w:t>积极履行了薪酬与考核委员会的相应职责。</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3"/>
        <w:ind w:left="472" w:right="0"/>
        <w:jc w:val="left"/>
      </w:pPr>
      <w:r>
        <w:rPr/>
        <w:t>公司监事会对报告期内的监督事项无异议。</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公司根据年度业务经营目标确定高级管理人员所分管业务的绩效任务和目标，根据公司年度经营计划和高级管理人员分</w:t>
      </w:r>
      <w:r>
        <w:rPr/>
        <w:t> 管工作的职责，进行综合考核，根据考核结果确定高级管理人员的年度薪酬水平。</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61"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2"/>
                <w:sz w:val="18"/>
                <w:szCs w:val="18"/>
              </w:rPr>
              <w:t>财</w:t>
            </w:r>
            <w:r>
              <w:rPr>
                <w:rFonts w:ascii="宋体" w:hAnsi="宋体" w:cs="宋体" w:eastAsia="宋体" w:hint="default"/>
                <w:sz w:val="18"/>
                <w:szCs w:val="18"/>
              </w:rPr>
              <w:t>务</w:t>
            </w:r>
            <w:r>
              <w:rPr>
                <w:rFonts w:ascii="宋体" w:hAnsi="宋体" w:cs="宋体" w:eastAsia="宋体" w:hint="default"/>
                <w:spacing w:val="2"/>
                <w:sz w:val="18"/>
                <w:szCs w:val="18"/>
              </w:rPr>
              <w:t>报</w:t>
            </w:r>
            <w:r>
              <w:rPr>
                <w:rFonts w:ascii="宋体" w:hAnsi="宋体" w:cs="宋体" w:eastAsia="宋体" w:hint="default"/>
                <w:sz w:val="18"/>
                <w:szCs w:val="18"/>
              </w:rPr>
              <w:t>告</w:t>
            </w:r>
            <w:r>
              <w:rPr>
                <w:rFonts w:ascii="宋体" w:hAnsi="宋体" w:cs="宋体" w:eastAsia="宋体" w:hint="default"/>
                <w:spacing w:val="2"/>
                <w:sz w:val="18"/>
                <w:szCs w:val="18"/>
              </w:rPr>
              <w:t>重大</w:t>
            </w:r>
            <w:r>
              <w:rPr>
                <w:rFonts w:ascii="宋体" w:hAnsi="宋体" w:cs="宋体" w:eastAsia="宋体" w:hint="default"/>
                <w:sz w:val="18"/>
                <w:szCs w:val="18"/>
              </w:rPr>
              <w:t>缺</w:t>
            </w:r>
            <w:r>
              <w:rPr>
                <w:rFonts w:ascii="宋体" w:hAnsi="宋体" w:cs="宋体" w:eastAsia="宋体" w:hint="default"/>
                <w:spacing w:val="2"/>
                <w:sz w:val="18"/>
                <w:szCs w:val="18"/>
              </w:rPr>
              <w:t>陷的</w:t>
            </w:r>
            <w:r>
              <w:rPr>
                <w:rFonts w:ascii="宋体" w:hAnsi="宋体" w:cs="宋体" w:eastAsia="宋体" w:hint="default"/>
                <w:sz w:val="18"/>
                <w:szCs w:val="18"/>
              </w:rPr>
              <w:t>迹</w:t>
            </w:r>
            <w:r>
              <w:rPr>
                <w:rFonts w:ascii="宋体" w:hAnsi="宋体" w:cs="宋体" w:eastAsia="宋体" w:hint="default"/>
                <w:spacing w:val="2"/>
                <w:sz w:val="18"/>
                <w:szCs w:val="18"/>
              </w:rPr>
              <w:t>象</w:t>
            </w:r>
            <w:r>
              <w:rPr>
                <w:rFonts w:ascii="宋体" w:hAnsi="宋体" w:cs="宋体" w:eastAsia="宋体" w:hint="default"/>
                <w:sz w:val="18"/>
                <w:szCs w:val="18"/>
              </w:rPr>
              <w:t>包</w:t>
            </w:r>
            <w:r>
              <w:rPr>
                <w:rFonts w:ascii="宋体" w:hAnsi="宋体" w:cs="宋体" w:eastAsia="宋体" w:hint="default"/>
                <w:spacing w:val="2"/>
                <w:sz w:val="18"/>
                <w:szCs w:val="18"/>
              </w:rPr>
              <w:t>括</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控制</w:t>
            </w:r>
          </w:p>
        </w:tc>
        <w:tc>
          <w:tcPr>
            <w:tcW w:w="3051" w:type="dxa"/>
            <w:tcBorders>
              <w:top w:val="single" w:sz="4" w:space="0" w:color="000000"/>
              <w:left w:val="single" w:sz="4" w:space="0" w:color="000000"/>
              <w:bottom w:val="nil" w:sz="6" w:space="0" w:color="auto"/>
              <w:right w:val="single" w:sz="4" w:space="0" w:color="000000"/>
            </w:tcBorders>
          </w:tcPr>
          <w:p>
            <w:pPr/>
          </w:p>
        </w:tc>
      </w:tr>
      <w:tr>
        <w:trPr>
          <w:trHeight w:val="405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3" w:right="21"/>
              <w:jc w:val="both"/>
              <w:rPr>
                <w:rFonts w:ascii="宋体" w:hAnsi="宋体" w:cs="宋体" w:eastAsia="宋体" w:hint="default"/>
                <w:sz w:val="18"/>
                <w:szCs w:val="18"/>
              </w:rPr>
            </w:pPr>
            <w:r>
              <w:rPr>
                <w:rFonts w:ascii="宋体" w:hAnsi="宋体" w:cs="宋体" w:eastAsia="宋体" w:hint="default"/>
                <w:spacing w:val="-4"/>
                <w:sz w:val="18"/>
                <w:szCs w:val="18"/>
              </w:rPr>
              <w:t>环境无效；（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）公司董事、监事和高级管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理人员的舞弊行为；（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的却未被公司内部控制识别的当期财务报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告中的重大错报；（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部门对公司的对外财务报告和财务报告内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部控制监督无效。财务报告重要缺陷的迹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象包括：（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应用会计政策；（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控制措施；（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账务处理没有建立相应的控制机制或没有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实施且没有相应的补偿性控制；（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期末财务报告过程的控制存在一项或多项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缺陷且不能合理保证编制的财务报表达到</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20"/>
              <w:jc w:val="both"/>
              <w:rPr>
                <w:rFonts w:ascii="宋体" w:hAnsi="宋体" w:cs="宋体" w:eastAsia="宋体" w:hint="default"/>
                <w:sz w:val="18"/>
                <w:szCs w:val="18"/>
              </w:rPr>
            </w:pPr>
            <w:r>
              <w:rPr>
                <w:rFonts w:ascii="宋体" w:hAnsi="宋体" w:cs="宋体" w:eastAsia="宋体" w:hint="default"/>
                <w:spacing w:val="6"/>
                <w:sz w:val="18"/>
                <w:szCs w:val="18"/>
              </w:rPr>
              <w:t>非财务报告缺陷认定主要以缺陷对业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务流程有效性的影响程度、发生的可能</w:t>
            </w:r>
            <w:r>
              <w:rPr>
                <w:rFonts w:ascii="宋体" w:hAnsi="宋体" w:cs="宋体" w:eastAsia="宋体" w:hint="default"/>
                <w:sz w:val="18"/>
                <w:szCs w:val="18"/>
              </w:rPr>
              <w:t> </w:t>
            </w:r>
            <w:r>
              <w:rPr>
                <w:rFonts w:ascii="宋体" w:hAnsi="宋体" w:cs="宋体" w:eastAsia="宋体" w:hint="default"/>
                <w:spacing w:val="6"/>
                <w:sz w:val="18"/>
                <w:szCs w:val="18"/>
              </w:rPr>
              <w:t>性作判定。如果缺陷发生的可能性较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小，会降低工作效率或效果、或加大效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z w:val="18"/>
                <w:szCs w:val="18"/>
              </w:rPr>
              <w:t> </w:t>
            </w:r>
            <w:r>
              <w:rPr>
                <w:rFonts w:ascii="宋体" w:hAnsi="宋体" w:cs="宋体" w:eastAsia="宋体" w:hint="default"/>
                <w:spacing w:val="6"/>
                <w:sz w:val="18"/>
                <w:szCs w:val="18"/>
              </w:rPr>
              <w:t>一般缺陷；如果缺陷发生的可能性较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高，会显著降低工作效率或效果、或显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z w:val="18"/>
                <w:szCs w:val="18"/>
              </w:rPr>
              <w:t> </w:t>
            </w:r>
            <w:r>
              <w:rPr>
                <w:rFonts w:ascii="宋体" w:hAnsi="宋体" w:cs="宋体" w:eastAsia="宋体" w:hint="default"/>
                <w:spacing w:val="-4"/>
                <w:sz w:val="18"/>
                <w:szCs w:val="18"/>
              </w:rPr>
              <w:t>离预期目标为重要缺陷；如果缺陷发生</w:t>
            </w:r>
            <w:r>
              <w:rPr>
                <w:rFonts w:ascii="宋体" w:hAnsi="宋体" w:cs="宋体" w:eastAsia="宋体" w:hint="default"/>
                <w:sz w:val="18"/>
                <w:szCs w:val="18"/>
              </w:rPr>
              <w:t> </w:t>
            </w:r>
            <w:r>
              <w:rPr>
                <w:rFonts w:ascii="宋体" w:hAnsi="宋体" w:cs="宋体" w:eastAsia="宋体" w:hint="default"/>
                <w:spacing w:val="-4"/>
                <w:sz w:val="18"/>
                <w:szCs w:val="18"/>
              </w:rPr>
              <w:t>的可能性高，会严重降低工作效率或效</w:t>
            </w:r>
            <w:r>
              <w:rPr>
                <w:rFonts w:ascii="宋体" w:hAnsi="宋体" w:cs="宋体" w:eastAsia="宋体" w:hint="default"/>
                <w:sz w:val="18"/>
                <w:szCs w:val="18"/>
              </w:rPr>
              <w:t> </w:t>
            </w:r>
            <w:r>
              <w:rPr>
                <w:rFonts w:ascii="宋体" w:hAnsi="宋体" w:cs="宋体" w:eastAsia="宋体" w:hint="default"/>
                <w:spacing w:val="-5"/>
                <w:sz w:val="18"/>
                <w:szCs w:val="18"/>
              </w:rPr>
              <w:t>果、或严重加大效果的不确定性、或使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之严重偏离预期目标为重大缺陷。</w:t>
            </w:r>
          </w:p>
        </w:tc>
      </w:tr>
      <w:tr>
        <w:trPr>
          <w:trHeight w:val="358"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真实、完整的目标。</w:t>
            </w:r>
          </w:p>
        </w:tc>
        <w:tc>
          <w:tcPr>
            <w:tcW w:w="305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公司以营业收入总额的</w:t>
            </w:r>
            <w:r>
              <w:rPr>
                <w:rFonts w:ascii="宋体" w:hAnsi="宋体" w:cs="宋体" w:eastAsia="宋体" w:hint="default"/>
                <w:spacing w:val="-24"/>
                <w:sz w:val="18"/>
                <w:szCs w:val="18"/>
              </w:rPr>
              <w:t> </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作为利润表</w:t>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9"/>
                <w:sz w:val="18"/>
                <w:szCs w:val="18"/>
              </w:rPr>
              <w:t>公司以直接损失占公司资产总额的</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整体重要性水平的衡量指标。当潜在错报</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作为非财务报告重要性水平的衡</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金额大于或等于营业收入总额的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，则</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量指标。当直接缺失金额大于或等于资</w:t>
            </w:r>
          </w:p>
        </w:tc>
      </w:tr>
      <w:tr>
        <w:trPr>
          <w:trHeight w:val="624"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9"/>
              <w:jc w:val="left"/>
              <w:rPr>
                <w:rFonts w:ascii="宋体" w:hAnsi="宋体" w:cs="宋体" w:eastAsia="宋体" w:hint="default"/>
                <w:sz w:val="18"/>
                <w:szCs w:val="18"/>
              </w:rPr>
            </w:pPr>
            <w:r>
              <w:rPr>
                <w:rFonts w:ascii="宋体" w:hAnsi="宋体" w:cs="宋体" w:eastAsia="宋体" w:hint="default"/>
                <w:sz w:val="18"/>
                <w:szCs w:val="18"/>
              </w:rPr>
              <w:t>认定为重大缺陷；当潜在错报金额小于营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8"/>
                <w:sz w:val="18"/>
                <w:szCs w:val="18"/>
              </w:rPr>
              <w:t>业收入总额的</w:t>
            </w:r>
            <w:r>
              <w:rPr>
                <w:rFonts w:ascii="宋体" w:hAnsi="宋体" w:cs="宋体" w:eastAsia="宋体" w:hint="default"/>
                <w:spacing w:val="-33"/>
                <w:sz w:val="18"/>
                <w:szCs w:val="18"/>
              </w:rPr>
              <w:t> </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但大于或等于营业收</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产总额的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，则认定为重大缺陷；</w:t>
            </w:r>
            <w:r>
              <w:rPr>
                <w:rFonts w:ascii="宋体" w:hAnsi="宋体" w:cs="宋体" w:eastAsia="宋体" w:hint="default"/>
                <w:sz w:val="18"/>
                <w:szCs w:val="18"/>
              </w:rPr>
              <w:t> </w:t>
            </w:r>
            <w:r>
              <w:rPr>
                <w:rFonts w:ascii="宋体" w:hAnsi="宋体" w:cs="宋体" w:eastAsia="宋体" w:hint="default"/>
                <w:spacing w:val="3"/>
                <w:sz w:val="18"/>
                <w:szCs w:val="18"/>
              </w:rPr>
              <w:t>当直接缺失金额小于资产总额的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入总额的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，则认定为重要缺陷；当潜在</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但大于或等于资产总额的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错报金额小于营业收入总额的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时</w:t>
            </w:r>
            <w:r>
              <w:rPr>
                <w:rFonts w:ascii="宋体" w:hAnsi="宋体" w:cs="宋体" w:eastAsia="宋体" w:hint="default"/>
                <w:spacing w:val="-80"/>
                <w:sz w:val="18"/>
                <w:szCs w:val="18"/>
              </w:rPr>
              <w:t>，</w:t>
            </w:r>
            <w:r>
              <w:rPr>
                <w:rFonts w:ascii="宋体" w:hAnsi="宋体" w:cs="宋体" w:eastAsia="宋体" w:hint="default"/>
                <w:sz w:val="18"/>
                <w:szCs w:val="18"/>
              </w:rPr>
              <w:t>则认</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为重要缺陷；当直接缺失金额小于资产</w:t>
            </w:r>
          </w:p>
        </w:tc>
      </w:tr>
      <w:tr>
        <w:trPr>
          <w:trHeight w:val="352"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定为一般缺陷。</w:t>
            </w:r>
          </w:p>
        </w:tc>
        <w:tc>
          <w:tcPr>
            <w:tcW w:w="3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
                <w:sz w:val="18"/>
                <w:szCs w:val="18"/>
              </w:rPr>
              <w:t>容诚会计师事务所（特殊普通合伙）认为：卫宁健康公司根据财政部颁发的《企业内部控制基本规范》及相关规范建立的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与财务报告相关的内部控制于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日在所有重大方面是有效的。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0"/>
        <w:ind w:right="0"/>
        <w:jc w:val="left"/>
      </w:pPr>
      <w:r>
        <w:rPr/>
        <w:t>会计师事务所是否出具非标准意见的内部控制鉴证报告</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38" w:lineRule="auto" w:before="44"/>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07" w:right="0"/>
        <w:jc w:val="left"/>
        <w:rPr>
          <w:b w:val="0"/>
          <w:bCs w:val="0"/>
        </w:rPr>
      </w:pPr>
      <w:bookmarkStart w:name="第十一节公司债券相关情况" w:id="147"/>
      <w:bookmarkEnd w:id="147"/>
      <w:r>
        <w:rPr>
          <w:b w:val="0"/>
          <w:bCs w:val="0"/>
        </w:rPr>
      </w:r>
      <w:bookmarkStart w:name="_bookmark10" w:id="148"/>
      <w:bookmarkEnd w:id="148"/>
      <w:r>
        <w:rPr>
          <w:b w:val="0"/>
          <w:bCs w:val="0"/>
        </w:rPr>
      </w:r>
      <w:r>
        <w:rPr/>
        <w:t>第十一节公司债券相关情况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0"/>
        <w:jc w:val="center"/>
        <w:rPr>
          <w:b w:val="0"/>
          <w:bCs w:val="0"/>
        </w:rPr>
      </w:pPr>
      <w:bookmarkStart w:name="第十二节财务报告" w:id="149"/>
      <w:bookmarkEnd w:id="149"/>
      <w:r>
        <w:rPr>
          <w:b w:val="0"/>
          <w:bCs w:val="0"/>
        </w:rPr>
      </w:r>
      <w:bookmarkStart w:name="_bookmark11" w:id="150"/>
      <w:bookmarkEnd w:id="150"/>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1"/>
      <w:bookmarkEnd w:id="151"/>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容诚审字</w:t>
            </w:r>
            <w:r>
              <w:rPr>
                <w:rFonts w:ascii="Times New Roman" w:hAnsi="Times New Roman" w:cs="Times New Roman" w:eastAsia="Times New Roman" w:hint="default"/>
                <w:sz w:val="18"/>
                <w:szCs w:val="18"/>
              </w:rPr>
              <w:t>[2020]200Z0316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王柏东，孔晶晶，胡玥</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spacing w:line="316" w:lineRule="auto" w:before="0"/>
        <w:ind w:left="472" w:right="-20" w:hanging="36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50"/>
        <w:ind w:right="0"/>
        <w:jc w:val="left"/>
      </w:pPr>
      <w:r>
        <w:rPr/>
        <w:br w:type="column"/>
      </w:r>
      <w:r>
        <w:rPr/>
        <w:t>审计报告正文</w:t>
      </w:r>
    </w:p>
    <w:p>
      <w:pPr>
        <w:spacing w:after="0" w:line="240" w:lineRule="auto"/>
        <w:jc w:val="left"/>
        <w:sectPr>
          <w:type w:val="continuous"/>
          <w:pgSz w:w="11910" w:h="16840"/>
          <w:pgMar w:top="1060" w:bottom="1160" w:left="1020" w:right="0"/>
          <w:cols w:num="2" w:equalWidth="0">
            <w:col w:w="3533" w:space="746"/>
            <w:col w:w="6611"/>
          </w:cols>
        </w:sectPr>
      </w:pPr>
    </w:p>
    <w:p>
      <w:pPr>
        <w:pStyle w:val="BodyText"/>
        <w:spacing w:line="300" w:lineRule="auto" w:before="19"/>
        <w:ind w:right="1130" w:firstLine="360"/>
        <w:jc w:val="both"/>
      </w:pPr>
      <w:r>
        <w:rPr>
          <w:spacing w:val="-2"/>
        </w:rPr>
        <w:t>我们审计了卫宁健康科技集团股份有限公司（以下简称</w:t>
      </w:r>
      <w:r>
        <w:rPr>
          <w:rFonts w:ascii="Times New Roman" w:hAnsi="Times New Roman" w:cs="Times New Roman" w:eastAsia="Times New Roman" w:hint="default"/>
          <w:spacing w:val="-2"/>
        </w:rPr>
        <w:t>“</w:t>
      </w:r>
      <w:r>
        <w:rPr>
          <w:spacing w:val="-2"/>
        </w:rPr>
        <w:t>卫宁健康</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w:t>
      </w:r>
      <w:r>
        <w:rPr/>
        <w:t> </w:t>
      </w:r>
      <w:r>
        <w:rPr>
          <w:spacing w:val="-2"/>
        </w:rPr>
        <w:t>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年度的合并及母公司利润表、合并及母公司现金流量表、合并及母公司所有者权益变动表以及相关财务报表</w:t>
      </w:r>
      <w:r>
        <w:rPr>
          <w:spacing w:val="-61"/>
        </w:rPr>
        <w:t> </w:t>
      </w:r>
      <w:r>
        <w:rPr>
          <w:spacing w:val="-61"/>
        </w:rPr>
      </w:r>
      <w:r>
        <w:rPr/>
        <w:t>附注。</w:t>
      </w:r>
    </w:p>
    <w:p>
      <w:pPr>
        <w:pStyle w:val="BodyText"/>
        <w:spacing w:line="300" w:lineRule="auto" w:before="31"/>
        <w:ind w:right="0" w:firstLine="360"/>
        <w:jc w:val="left"/>
      </w:pPr>
      <w:r>
        <w:rPr>
          <w:spacing w:val="-2"/>
        </w:rPr>
        <w:t>我们认为，后附的财务报表在所有重大方面按照企业会计准则的规定编制，公允反映了卫宁健康</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472" w:right="0"/>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130"/>
        <w:jc w:val="both"/>
      </w:pPr>
      <w:r>
        <w:rPr>
          <w:spacing w:val="-2"/>
        </w:rPr>
        <w:t>阐述了我们在这些准则下的责任。按照中国注册会计师职业道德守则，我们独立于卫宁健康，并履行了职业道德方面的其他</w:t>
      </w:r>
      <w:r>
        <w:rPr>
          <w:spacing w:val="-63"/>
        </w:rPr>
        <w:t> </w:t>
      </w:r>
      <w:r>
        <w:rPr>
          <w:spacing w:val="-63"/>
        </w:rPr>
      </w:r>
      <w:r>
        <w:rPr/>
        <w:t>责任。我们相信，我们获取的审计证据是充分、适当的，为发表审计意见提供了基础。</w:t>
      </w:r>
    </w:p>
    <w:p>
      <w:pPr>
        <w:pStyle w:val="BodyText"/>
        <w:spacing w:line="316" w:lineRule="auto" w:before="19"/>
        <w:ind w:left="472"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both"/>
      </w:pPr>
      <w:r>
        <w:rPr/>
        <w:t>审计并形成审计意见为背景，我们不对这些事项单独发表意见。</w:t>
      </w:r>
    </w:p>
    <w:p>
      <w:pPr>
        <w:pStyle w:val="BodyText"/>
        <w:spacing w:line="240" w:lineRule="auto" w:before="76"/>
        <w:ind w:left="472" w:right="0"/>
        <w:jc w:val="left"/>
      </w:pPr>
      <w:r>
        <w:rPr/>
        <w:t>（一）定制软件销售收入确认</w:t>
      </w:r>
    </w:p>
    <w:p>
      <w:pPr>
        <w:pStyle w:val="BodyText"/>
        <w:spacing w:line="240" w:lineRule="auto" w:before="76"/>
        <w:ind w:left="472" w:right="0"/>
        <w:jc w:val="left"/>
      </w:pPr>
      <w:r>
        <w:rPr>
          <w:rFonts w:ascii="Times New Roman" w:hAnsi="Times New Roman" w:cs="Times New Roman" w:eastAsia="Times New Roman" w:hint="default"/>
        </w:rPr>
        <w:t>1.</w:t>
      </w:r>
      <w:r>
        <w:rPr/>
        <w:t>事项描述</w:t>
      </w:r>
    </w:p>
    <w:p>
      <w:pPr>
        <w:pStyle w:val="BodyText"/>
        <w:spacing w:line="240" w:lineRule="auto" w:before="63"/>
        <w:ind w:left="472" w:right="0"/>
        <w:jc w:val="left"/>
      </w:pPr>
      <w:r>
        <w:rPr>
          <w:rFonts w:ascii="Times New Roman" w:hAnsi="Times New Roman" w:cs="Times New Roman" w:eastAsia="Times New Roman" w:hint="default"/>
        </w:rPr>
        <w:t>2019</w:t>
      </w:r>
      <w:r>
        <w:rPr/>
        <w:t>年度卫宁健康实现营业收入</w:t>
      </w:r>
      <w:r>
        <w:rPr>
          <w:rFonts w:ascii="Times New Roman" w:hAnsi="Times New Roman" w:cs="Times New Roman" w:eastAsia="Times New Roman" w:hint="default"/>
        </w:rPr>
        <w:t>1,908,007,949.00</w:t>
      </w:r>
      <w:r>
        <w:rPr/>
        <w:t>元，其中定制软件销售实现营业收入</w:t>
      </w:r>
      <w:r>
        <w:rPr>
          <w:rFonts w:ascii="Times New Roman" w:hAnsi="Times New Roman" w:cs="Times New Roman" w:eastAsia="Times New Roman" w:hint="default"/>
        </w:rPr>
        <w:t>1,065,522,567.21</w:t>
      </w:r>
      <w:r>
        <w:rPr/>
        <w:t>元，占营业收入的</w:t>
      </w:r>
    </w:p>
    <w:p>
      <w:pPr>
        <w:pStyle w:val="BodyText"/>
        <w:spacing w:line="309" w:lineRule="auto" w:before="63"/>
        <w:ind w:right="1130"/>
        <w:jc w:val="both"/>
      </w:pPr>
      <w:r>
        <w:rPr>
          <w:rFonts w:ascii="Times New Roman" w:hAnsi="Times New Roman" w:cs="Times New Roman" w:eastAsia="Times New Roman" w:hint="default"/>
        </w:rPr>
        <w:t>55.84%</w:t>
      </w:r>
      <w:r>
        <w:rPr/>
        <w:t>，根据卫宁健康财务报表附注三、</w:t>
      </w:r>
      <w:r>
        <w:rPr>
          <w:rFonts w:ascii="Times New Roman" w:hAnsi="Times New Roman" w:cs="Times New Roman" w:eastAsia="Times New Roman" w:hint="default"/>
        </w:rPr>
        <w:t>26.</w:t>
      </w:r>
      <w:r>
        <w:rPr/>
        <w:t>收入确认原则和计量方法，与财务报表附注十四、其他重要事项</w:t>
      </w:r>
      <w:r>
        <w:rPr>
          <w:rFonts w:ascii="Times New Roman" w:hAnsi="Times New Roman" w:cs="Times New Roman" w:eastAsia="Times New Roman" w:hint="default"/>
        </w:rPr>
        <w:t>1.</w:t>
      </w:r>
      <w:r>
        <w:rPr/>
        <w:t>分部信息，</w:t>
      </w:r>
      <w:r>
        <w:rPr>
          <w:spacing w:val="-24"/>
        </w:rPr>
        <w:t> </w:t>
      </w:r>
      <w:r>
        <w:rPr>
          <w:spacing w:val="-24"/>
        </w:rPr>
      </w:r>
      <w:r>
        <w:rPr>
          <w:spacing w:val="-2"/>
        </w:rPr>
        <w:t>定制软件销售收入确认采用完工百分比法确认收入。因为采用完工百分比法确认收入涉及管理层的会计估计判断，因此我们</w:t>
      </w:r>
      <w:r>
        <w:rPr>
          <w:spacing w:val="-64"/>
        </w:rPr>
        <w:t> </w:t>
      </w:r>
      <w:r>
        <w:rPr>
          <w:spacing w:val="-64"/>
        </w:rPr>
      </w:r>
      <w:r>
        <w:rPr/>
        <w:t>把采用完工百分比法确认的定制软件销售收入列为关键审计事项。</w:t>
      </w:r>
    </w:p>
    <w:p>
      <w:pPr>
        <w:pStyle w:val="BodyText"/>
        <w:spacing w:line="240" w:lineRule="auto" w:before="24"/>
        <w:ind w:left="472" w:right="0"/>
        <w:jc w:val="left"/>
      </w:pPr>
      <w:r>
        <w:rPr>
          <w:rFonts w:ascii="Times New Roman" w:hAnsi="Times New Roman" w:cs="Times New Roman" w:eastAsia="Times New Roman" w:hint="default"/>
        </w:rPr>
        <w:t>2.</w:t>
      </w:r>
      <w:r>
        <w:rPr/>
        <w:t>审计应对</w:t>
      </w:r>
    </w:p>
    <w:p>
      <w:pPr>
        <w:pStyle w:val="BodyText"/>
        <w:spacing w:line="240" w:lineRule="auto" w:before="63"/>
        <w:ind w:left="472" w:right="0"/>
        <w:jc w:val="left"/>
      </w:pPr>
      <w:r>
        <w:rPr/>
        <w:t>（</w:t>
      </w:r>
      <w:r>
        <w:rPr>
          <w:rFonts w:ascii="Times New Roman" w:hAnsi="Times New Roman" w:cs="Times New Roman" w:eastAsia="Times New Roman" w:hint="default"/>
        </w:rPr>
        <w:t>1</w:t>
      </w:r>
      <w:r>
        <w:rPr/>
        <w:t>）了解公司定制软件销售收入确认相关的内部控制，并对内部控制设计及执行有效性进行了评估和测试；</w:t>
      </w:r>
    </w:p>
    <w:p>
      <w:pPr>
        <w:pStyle w:val="BodyText"/>
        <w:spacing w:line="300" w:lineRule="auto" w:before="63"/>
        <w:ind w:right="0" w:firstLine="360"/>
        <w:jc w:val="left"/>
      </w:pPr>
      <w:r>
        <w:rPr>
          <w:spacing w:val="-2"/>
        </w:rPr>
        <w:t>（</w:t>
      </w:r>
      <w:r>
        <w:rPr>
          <w:rFonts w:ascii="Times New Roman" w:hAnsi="Times New Roman" w:cs="Times New Roman" w:eastAsia="Times New Roman" w:hint="default"/>
          <w:spacing w:val="-2"/>
        </w:rPr>
        <w:t>2</w:t>
      </w:r>
      <w:r>
        <w:rPr>
          <w:spacing w:val="-2"/>
        </w:rPr>
        <w:t>）对本期定制软件收入进行抽样检查，检查销售合同、客户签字盖章的进度单、资金收付凭证等收入确认相关依据，</w:t>
      </w:r>
      <w:r>
        <w:rPr/>
        <w:t> 核实交易的真实性；</w:t>
      </w:r>
    </w:p>
    <w:p>
      <w:pPr>
        <w:pStyle w:val="BodyText"/>
        <w:spacing w:line="240" w:lineRule="auto" w:before="31"/>
        <w:ind w:left="472" w:right="0"/>
        <w:jc w:val="left"/>
      </w:pPr>
      <w:r>
        <w:rPr/>
        <w:t>（</w:t>
      </w:r>
      <w:r>
        <w:rPr>
          <w:rFonts w:ascii="Times New Roman" w:hAnsi="Times New Roman" w:cs="Times New Roman" w:eastAsia="Times New Roman" w:hint="default"/>
        </w:rPr>
        <w:t>3</w:t>
      </w:r>
      <w:r>
        <w:rPr/>
        <w:t>）核对管理层确认的完工进度与客户签收的项目进度确认单，并测算在完工进度下计算的收入准确性；</w:t>
      </w:r>
    </w:p>
    <w:p>
      <w:pPr>
        <w:pStyle w:val="BodyText"/>
        <w:spacing w:line="240" w:lineRule="auto" w:before="63"/>
        <w:ind w:left="472" w:right="0"/>
        <w:jc w:val="left"/>
      </w:pPr>
      <w:r>
        <w:rPr/>
        <w:t>（</w:t>
      </w:r>
      <w:r>
        <w:rPr>
          <w:rFonts w:ascii="Times New Roman" w:hAnsi="Times New Roman" w:cs="Times New Roman" w:eastAsia="Times New Roman" w:hint="default"/>
        </w:rPr>
        <w:t>4</w:t>
      </w:r>
      <w:r>
        <w:rPr/>
        <w:t>）结合应收账款函证，向客户函证完工进度，核对客户回函确认完工进度与管理层确认的完工进度一致性；</w:t>
      </w:r>
    </w:p>
    <w:p>
      <w:pPr>
        <w:pStyle w:val="BodyText"/>
        <w:spacing w:line="240" w:lineRule="auto" w:before="63"/>
        <w:ind w:left="472" w:right="0"/>
        <w:jc w:val="left"/>
      </w:pPr>
      <w:r>
        <w:rPr/>
        <w:t>（</w:t>
      </w:r>
      <w:r>
        <w:rPr>
          <w:rFonts w:ascii="Times New Roman" w:hAnsi="Times New Roman" w:cs="Times New Roman" w:eastAsia="Times New Roman" w:hint="default"/>
        </w:rPr>
        <w:t>5</w:t>
      </w:r>
      <w:r>
        <w:rPr/>
        <w:t>）对重大项目进行现场</w:t>
      </w:r>
      <w:r>
        <w:rPr>
          <w:rFonts w:ascii="Times New Roman" w:hAnsi="Times New Roman" w:cs="Times New Roman" w:eastAsia="Times New Roman" w:hint="default"/>
        </w:rPr>
        <w:t>/</w:t>
      </w:r>
      <w:r>
        <w:rPr/>
        <w:t>视频勘察并访谈相关负责人，复核完工进度准确性。</w:t>
      </w:r>
    </w:p>
    <w:p>
      <w:pPr>
        <w:pStyle w:val="BodyText"/>
        <w:spacing w:line="240" w:lineRule="auto" w:before="63"/>
        <w:ind w:left="472" w:right="0"/>
        <w:jc w:val="left"/>
      </w:pPr>
      <w:r>
        <w:rPr/>
        <w:t>（二）商誉减值</w:t>
      </w:r>
    </w:p>
    <w:p>
      <w:pPr>
        <w:pStyle w:val="BodyText"/>
        <w:spacing w:line="300" w:lineRule="auto" w:before="76"/>
        <w:ind w:left="472" w:right="1079"/>
        <w:jc w:val="left"/>
      </w:pP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日，卫宁健康合并报表中商誉账面余额为</w:t>
      </w:r>
      <w:r>
        <w:rPr>
          <w:rFonts w:ascii="Times New Roman" w:hAnsi="Times New Roman" w:cs="Times New Roman" w:eastAsia="Times New Roman" w:hint="default"/>
        </w:rPr>
        <w:t>474,895,869.15</w:t>
      </w:r>
      <w:r>
        <w:rPr/>
        <w:t>元，减值准备为</w:t>
      </w:r>
      <w:r>
        <w:rPr>
          <w:rFonts w:ascii="Times New Roman" w:hAnsi="Times New Roman" w:cs="Times New Roman" w:eastAsia="Times New Roman" w:hint="default"/>
        </w:rPr>
        <w:t>0</w:t>
      </w:r>
      <w:r>
        <w:rPr/>
        <w:t>元。根据财务报表附注三、</w:t>
      </w:r>
    </w:p>
    <w:p>
      <w:pPr>
        <w:spacing w:after="0" w:line="300" w:lineRule="auto"/>
        <w:jc w:val="left"/>
        <w:sectPr>
          <w:type w:val="continuous"/>
          <w:pgSz w:w="11910" w:h="16840"/>
          <w:pgMar w:top="1060" w:bottom="1160" w:left="1020" w:right="0"/>
        </w:sectPr>
      </w:pPr>
    </w:p>
    <w:p>
      <w:pPr>
        <w:spacing w:line="240" w:lineRule="auto" w:before="12"/>
        <w:rPr>
          <w:rFonts w:ascii="宋体" w:hAnsi="宋体" w:cs="宋体" w:eastAsia="宋体" w:hint="default"/>
          <w:sz w:val="25"/>
          <w:szCs w:val="25"/>
        </w:rPr>
      </w:pPr>
    </w:p>
    <w:p>
      <w:pPr>
        <w:pStyle w:val="BodyText"/>
        <w:spacing w:line="312" w:lineRule="auto" w:before="44"/>
        <w:ind w:right="1132"/>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）非同一控制下的企业合并，附注三、</w:t>
      </w:r>
      <w:r>
        <w:rPr>
          <w:rFonts w:ascii="Times New Roman" w:hAnsi="Times New Roman" w:cs="Times New Roman" w:eastAsia="Times New Roman" w:hint="default"/>
        </w:rPr>
        <w:t>21.</w:t>
      </w:r>
      <w:r>
        <w:rPr/>
        <w:t>长期资产减值与财务报表附注五、</w:t>
      </w:r>
      <w:r>
        <w:rPr>
          <w:rFonts w:ascii="Times New Roman" w:hAnsi="Times New Roman" w:cs="Times New Roman" w:eastAsia="Times New Roman" w:hint="default"/>
        </w:rPr>
        <w:t>16.</w:t>
      </w:r>
      <w:r>
        <w:rPr/>
        <w:t>商誉，商誉减值测试的结果很大程度上</w:t>
      </w:r>
      <w:r>
        <w:rPr>
          <w:spacing w:val="-87"/>
        </w:rPr>
        <w:t> </w:t>
      </w:r>
      <w:r>
        <w:rPr>
          <w:spacing w:val="-87"/>
        </w:rPr>
      </w:r>
      <w:r>
        <w:rPr>
          <w:spacing w:val="-2"/>
        </w:rPr>
        <w:t>依赖于管理层所做的估计、聘请的外部评估专家编制的估值报告和采用的假设。该等估计受到管理层对未来市场以及对经济</w:t>
      </w:r>
      <w:r>
        <w:rPr>
          <w:spacing w:val="-64"/>
        </w:rPr>
        <w:t> </w:t>
      </w:r>
      <w:r>
        <w:rPr>
          <w:spacing w:val="-64"/>
        </w:rPr>
      </w:r>
      <w:r>
        <w:rPr>
          <w:spacing w:val="-2"/>
        </w:rPr>
        <w:t>环境判断的影响，采用不同的估计和假设会对评估的商誉之可收回价值有很大的影响，因此我们将商誉减值列为关键审计事</w:t>
      </w:r>
      <w:r>
        <w:rPr>
          <w:spacing w:val="-64"/>
        </w:rPr>
        <w:t> </w:t>
      </w:r>
      <w:r>
        <w:rPr>
          <w:spacing w:val="-64"/>
        </w:rPr>
      </w:r>
      <w:r>
        <w:rPr/>
        <w:t>项。</w:t>
      </w:r>
    </w:p>
    <w:p>
      <w:pPr>
        <w:pStyle w:val="BodyText"/>
        <w:spacing w:line="240" w:lineRule="auto" w:before="22"/>
        <w:ind w:left="472" w:right="0"/>
        <w:jc w:val="left"/>
      </w:pPr>
      <w:r>
        <w:rPr>
          <w:rFonts w:ascii="Times New Roman" w:hAnsi="Times New Roman" w:cs="Times New Roman" w:eastAsia="Times New Roman" w:hint="default"/>
        </w:rPr>
        <w:t>2.</w:t>
      </w:r>
      <w:r>
        <w:rPr/>
        <w:t>审计应对</w:t>
      </w:r>
    </w:p>
    <w:p>
      <w:pPr>
        <w:pStyle w:val="BodyText"/>
        <w:spacing w:line="240" w:lineRule="auto" w:before="63"/>
        <w:ind w:left="472" w:right="0"/>
        <w:jc w:val="left"/>
      </w:pPr>
      <w:r>
        <w:rPr/>
        <w:t>（</w:t>
      </w:r>
      <w:r>
        <w:rPr>
          <w:rFonts w:ascii="Times New Roman" w:hAnsi="Times New Roman" w:cs="Times New Roman" w:eastAsia="Times New Roman" w:hint="default"/>
        </w:rPr>
        <w:t>1</w:t>
      </w:r>
      <w:r>
        <w:rPr/>
        <w:t>）评价管理层对商誉有关资产组的识别和确定资产组可回收金额时采用的方法的合理性；</w:t>
      </w:r>
    </w:p>
    <w:p>
      <w:pPr>
        <w:pStyle w:val="BodyText"/>
        <w:spacing w:line="300" w:lineRule="auto" w:before="63"/>
        <w:ind w:right="1124" w:firstLine="360"/>
        <w:jc w:val="left"/>
      </w:pPr>
      <w:r>
        <w:rPr/>
        <w:t>（</w:t>
      </w:r>
      <w:r>
        <w:rPr>
          <w:rFonts w:ascii="Times New Roman" w:hAnsi="Times New Roman" w:cs="Times New Roman" w:eastAsia="Times New Roman" w:hint="default"/>
        </w:rPr>
        <w:t>3</w:t>
      </w:r>
      <w:r>
        <w:rPr/>
        <w:t>）通过将关键参数，包括预测收入、长期平均增长率及利润率与相关资产组过往业绩进行比较，评价管理层在预计 未来现金流量现值时采用的假设和关键判断；</w:t>
      </w:r>
    </w:p>
    <w:p>
      <w:pPr>
        <w:pStyle w:val="BodyText"/>
        <w:spacing w:line="240" w:lineRule="auto" w:before="31"/>
        <w:ind w:left="472" w:right="0"/>
        <w:jc w:val="left"/>
      </w:pPr>
      <w:r>
        <w:rPr/>
        <w:t>（</w:t>
      </w:r>
      <w:r>
        <w:rPr>
          <w:rFonts w:ascii="Times New Roman" w:hAnsi="Times New Roman" w:cs="Times New Roman" w:eastAsia="Times New Roman" w:hint="default"/>
        </w:rPr>
        <w:t>4</w:t>
      </w:r>
      <w:r>
        <w:rPr/>
        <w:t>）测试未来现金流量净现值的计算是否准确；</w:t>
      </w:r>
    </w:p>
    <w:p>
      <w:pPr>
        <w:pStyle w:val="BodyText"/>
        <w:spacing w:line="240" w:lineRule="auto" w:before="63"/>
        <w:ind w:left="472" w:right="0"/>
        <w:jc w:val="left"/>
      </w:pPr>
      <w:r>
        <w:rPr/>
        <w:t>（</w:t>
      </w:r>
      <w:r>
        <w:rPr>
          <w:rFonts w:ascii="Times New Roman" w:hAnsi="Times New Roman" w:cs="Times New Roman" w:eastAsia="Times New Roman" w:hint="default"/>
        </w:rPr>
        <w:t>5</w:t>
      </w:r>
      <w:r>
        <w:rPr/>
        <w:t>）利用资产评估专家的工作并复核其工作成果；</w:t>
      </w:r>
    </w:p>
    <w:p>
      <w:pPr>
        <w:pStyle w:val="BodyText"/>
        <w:spacing w:line="240" w:lineRule="auto" w:before="63"/>
        <w:ind w:left="472" w:right="0"/>
        <w:jc w:val="left"/>
      </w:pPr>
      <w:r>
        <w:rPr/>
        <w:t>（</w:t>
      </w:r>
      <w:r>
        <w:rPr>
          <w:rFonts w:ascii="Times New Roman" w:hAnsi="Times New Roman" w:cs="Times New Roman" w:eastAsia="Times New Roman" w:hint="default"/>
        </w:rPr>
        <w:t>6</w:t>
      </w:r>
      <w:r>
        <w:rPr/>
        <w:t>）比较商誉所属资产组的账面价值与其可收回金额的差异，确认是否存在商誉减值情况。</w:t>
      </w:r>
    </w:p>
    <w:p>
      <w:pPr>
        <w:pStyle w:val="BodyText"/>
        <w:spacing w:line="240" w:lineRule="auto" w:before="63"/>
        <w:ind w:left="472" w:right="0"/>
        <w:jc w:val="left"/>
      </w:pPr>
      <w:r>
        <w:rPr/>
        <w:t>（三）应收账款坏账准备</w:t>
      </w:r>
    </w:p>
    <w:p>
      <w:pPr>
        <w:pStyle w:val="BodyText"/>
        <w:spacing w:line="300" w:lineRule="auto" w:before="76"/>
        <w:ind w:left="472" w:right="1120"/>
        <w:jc w:val="left"/>
      </w:pP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日，卫宁健康合并财务报表中应收账款余额</w:t>
      </w:r>
      <w:r>
        <w:rPr>
          <w:rFonts w:ascii="Times New Roman" w:hAnsi="Times New Roman" w:cs="Times New Roman" w:eastAsia="Times New Roman" w:hint="default"/>
        </w:rPr>
        <w:t>1,804,111,306.41</w:t>
      </w:r>
      <w:r>
        <w:rPr/>
        <w:t>元，坏账准备</w:t>
      </w:r>
      <w:r>
        <w:rPr>
          <w:rFonts w:ascii="Times New Roman" w:hAnsi="Times New Roman" w:cs="Times New Roman" w:eastAsia="Times New Roman" w:hint="default"/>
        </w:rPr>
        <w:t>320,904,608.76</w:t>
      </w:r>
      <w:r>
        <w:rPr/>
        <w:t>元，账面价</w:t>
      </w:r>
    </w:p>
    <w:p>
      <w:pPr>
        <w:pStyle w:val="BodyText"/>
        <w:spacing w:line="309" w:lineRule="auto" w:before="13"/>
        <w:ind w:right="1132"/>
        <w:jc w:val="both"/>
      </w:pPr>
      <w:r>
        <w:rPr/>
        <w:t>值</w:t>
      </w:r>
      <w:r>
        <w:rPr>
          <w:rFonts w:ascii="Times New Roman" w:hAnsi="Times New Roman" w:cs="Times New Roman" w:eastAsia="Times New Roman" w:hint="default"/>
        </w:rPr>
        <w:t>1,483,206,697.65</w:t>
      </w:r>
      <w:r>
        <w:rPr/>
        <w:t>元，占总资产的</w:t>
      </w:r>
      <w:r>
        <w:rPr>
          <w:rFonts w:ascii="Times New Roman" w:hAnsi="Times New Roman" w:cs="Times New Roman" w:eastAsia="Times New Roman" w:hint="default"/>
        </w:rPr>
        <w:t>28.98%</w:t>
      </w:r>
      <w:r>
        <w:rPr/>
        <w:t>。根据财务报表附注三、</w:t>
      </w:r>
      <w:r>
        <w:rPr>
          <w:rFonts w:ascii="Times New Roman" w:hAnsi="Times New Roman" w:cs="Times New Roman" w:eastAsia="Times New Roman" w:hint="default"/>
        </w:rPr>
        <w:t>10.</w:t>
      </w:r>
      <w:r>
        <w:rPr/>
        <w:t>金融工具与财务报表附注五、</w:t>
      </w:r>
      <w:r>
        <w:rPr>
          <w:rFonts w:ascii="Times New Roman" w:hAnsi="Times New Roman" w:cs="Times New Roman" w:eastAsia="Times New Roman" w:hint="default"/>
        </w:rPr>
        <w:t>3.</w:t>
      </w:r>
      <w:r>
        <w:rPr/>
        <w:t>应收账款，由于应收</w:t>
      </w:r>
      <w:r>
        <w:rPr>
          <w:spacing w:val="-33"/>
        </w:rPr>
        <w:t> </w:t>
      </w:r>
      <w:r>
        <w:rPr>
          <w:spacing w:val="-33"/>
        </w:rPr>
      </w:r>
      <w:r>
        <w:rPr>
          <w:spacing w:val="-2"/>
        </w:rPr>
        <w:t>账款坏账准备的确定涉及管理层运用重大会计估计和判断，且应收账款坏账准备对于财务报表具有重要性，我们将应收款项</w:t>
      </w:r>
      <w:r>
        <w:rPr>
          <w:spacing w:val="-64"/>
        </w:rPr>
        <w:t> </w:t>
      </w:r>
      <w:r>
        <w:rPr>
          <w:spacing w:val="-64"/>
        </w:rPr>
      </w:r>
      <w:r>
        <w:rPr/>
        <w:t>坏账准备列为关键审计事项。</w:t>
      </w:r>
    </w:p>
    <w:p>
      <w:pPr>
        <w:pStyle w:val="BodyText"/>
        <w:spacing w:line="240" w:lineRule="auto" w:before="24"/>
        <w:ind w:left="472" w:right="0"/>
        <w:jc w:val="left"/>
      </w:pPr>
      <w:r>
        <w:rPr>
          <w:rFonts w:ascii="Times New Roman" w:hAnsi="Times New Roman" w:cs="Times New Roman" w:eastAsia="Times New Roman" w:hint="default"/>
        </w:rPr>
        <w:t>2.</w:t>
      </w:r>
      <w:r>
        <w:rPr/>
        <w:t>审计应对</w:t>
      </w:r>
    </w:p>
    <w:p>
      <w:pPr>
        <w:pStyle w:val="BodyText"/>
        <w:spacing w:line="240" w:lineRule="auto" w:before="63"/>
        <w:ind w:left="472" w:right="0"/>
        <w:jc w:val="left"/>
      </w:pPr>
      <w:r>
        <w:rPr/>
        <w:t>（</w:t>
      </w:r>
      <w:r>
        <w:rPr>
          <w:rFonts w:ascii="Times New Roman" w:hAnsi="Times New Roman" w:cs="Times New Roman" w:eastAsia="Times New Roman" w:hint="default"/>
        </w:rPr>
        <w:t>1</w:t>
      </w:r>
      <w:r>
        <w:rPr/>
        <w:t>）了解公司与应收账款管理相关的内部控制，并对内部控制设计及执行有效性进行了评估和测试；</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）分析管理层有关应收账款坏账准备会计估计的合理性，包括确定应收账款组合的依据、坏账准备的计提比例、单 项计提坏账准备的判断等；</w:t>
      </w:r>
    </w:p>
    <w:p>
      <w:pPr>
        <w:pStyle w:val="BodyText"/>
        <w:spacing w:line="300" w:lineRule="auto" w:before="31"/>
        <w:ind w:right="1124" w:firstLine="360"/>
        <w:jc w:val="left"/>
      </w:pPr>
      <w:r>
        <w:rPr/>
        <w:t>（</w:t>
      </w:r>
      <w:r>
        <w:rPr>
          <w:rFonts w:ascii="Times New Roman" w:hAnsi="Times New Roman" w:cs="Times New Roman" w:eastAsia="Times New Roman" w:hint="default"/>
        </w:rPr>
        <w:t>3</w:t>
      </w:r>
      <w:r>
        <w:rPr/>
        <w:t>）获取公司应收账款坏账准备计提表，检查计提方法是否按照坏账准备会计政策执行，重新计算应收账款坏账准备 计提金额是否准确；</w:t>
      </w:r>
    </w:p>
    <w:p>
      <w:pPr>
        <w:pStyle w:val="BodyText"/>
        <w:spacing w:line="300" w:lineRule="auto" w:before="31"/>
        <w:ind w:left="472" w:right="4724"/>
        <w:jc w:val="left"/>
        <w:rPr>
          <w:rFonts w:ascii="宋体" w:hAnsi="宋体" w:cs="宋体" w:eastAsia="宋体" w:hint="default"/>
        </w:rPr>
      </w:pPr>
      <w:r>
        <w:rPr/>
        <w:t>（</w:t>
      </w:r>
      <w:r>
        <w:rPr>
          <w:rFonts w:ascii="Times New Roman" w:hAnsi="Times New Roman" w:cs="Times New Roman" w:eastAsia="Times New Roman" w:hint="default"/>
        </w:rPr>
        <w:t>4</w:t>
      </w:r>
      <w:r>
        <w:rPr/>
        <w:t>）执行应收账款函证程序，并检查资产负债表日后的客户回款情况。 </w:t>
      </w:r>
      <w:r>
        <w:rPr>
          <w:rFonts w:ascii="宋体" w:hAnsi="宋体" w:cs="宋体" w:eastAsia="宋体" w:hint="default"/>
          <w:b/>
          <w:bCs/>
        </w:rPr>
        <w:t>四、其他信息</w:t>
      </w:r>
      <w:r>
        <w:rPr>
          <w:rFonts w:ascii="宋体" w:hAnsi="宋体" w:cs="宋体" w:eastAsia="宋体" w:hint="default"/>
        </w:rPr>
      </w:r>
    </w:p>
    <w:p>
      <w:pPr>
        <w:pStyle w:val="BodyText"/>
        <w:spacing w:line="300" w:lineRule="auto" w:before="31"/>
        <w:ind w:right="0" w:firstLine="360"/>
        <w:jc w:val="left"/>
      </w:pPr>
      <w:r>
        <w:rPr>
          <w:spacing w:val="-2"/>
        </w:rPr>
        <w:t>卫宁健康管理层（以下简称</w:t>
      </w:r>
      <w:r>
        <w:rPr>
          <w:rFonts w:ascii="Times New Roman" w:hAnsi="Times New Roman" w:cs="Times New Roman" w:eastAsia="Times New Roman" w:hint="default"/>
          <w:spacing w:val="-2"/>
        </w:rPr>
        <w:t>“</w:t>
      </w:r>
      <w:r>
        <w:rPr>
          <w:spacing w:val="-2"/>
        </w:rPr>
        <w:t>管理层</w:t>
      </w:r>
      <w:r>
        <w:rPr>
          <w:rFonts w:ascii="Times New Roman" w:hAnsi="Times New Roman" w:cs="Times New Roman" w:eastAsia="Times New Roman" w:hint="default"/>
          <w:spacing w:val="-2"/>
        </w:rPr>
        <w:t>”</w:t>
      </w:r>
      <w:r>
        <w:rPr>
          <w:spacing w:val="-2"/>
        </w:rPr>
        <w:t>）对其他信息负责。其他信息包括卫宁健康</w:t>
      </w:r>
      <w:r>
        <w:rPr>
          <w:rFonts w:ascii="Times New Roman" w:hAnsi="Times New Roman" w:cs="Times New Roman" w:eastAsia="Times New Roman" w:hint="default"/>
          <w:spacing w:val="-2"/>
        </w:rPr>
        <w:t>2019</w:t>
      </w:r>
      <w:r>
        <w:rPr>
          <w:spacing w:val="-2"/>
        </w:rPr>
        <w:t>年度报告中涵盖的信息，但不包括</w:t>
      </w:r>
      <w:r>
        <w:rPr/>
        <w:t> 财务报表和我们的审计报告。</w:t>
      </w:r>
    </w:p>
    <w:p>
      <w:pPr>
        <w:pStyle w:val="BodyText"/>
        <w:spacing w:line="316" w:lineRule="auto" w:before="31"/>
        <w:ind w:left="472"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472"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spacing w:line="316" w:lineRule="auto" w:before="76"/>
        <w:ind w:left="472"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9"/>
        <w:ind w:left="472" w:right="0" w:hanging="360"/>
        <w:jc w:val="left"/>
      </w:pPr>
      <w:r>
        <w:rPr/>
        <w:t>务报表不存在由于舞弊或错误导致的重大错报。 </w:t>
      </w:r>
      <w:r>
        <w:rPr>
          <w:spacing w:val="-2"/>
        </w:rPr>
        <w:t>在编制财务报表时，管理层负责评估卫宁健康的持续经营能力，披露与持续经营相关的事项，并运用持续经营假设，除</w:t>
      </w:r>
    </w:p>
    <w:p>
      <w:pPr>
        <w:spacing w:line="316" w:lineRule="auto" w:before="19"/>
        <w:ind w:left="472" w:right="5714" w:hanging="360"/>
        <w:jc w:val="left"/>
        <w:rPr>
          <w:rFonts w:ascii="宋体" w:hAnsi="宋体" w:cs="宋体" w:eastAsia="宋体" w:hint="default"/>
          <w:sz w:val="18"/>
          <w:szCs w:val="18"/>
        </w:rPr>
      </w:pPr>
      <w:r>
        <w:rPr>
          <w:rFonts w:ascii="宋体" w:hAnsi="宋体" w:cs="宋体" w:eastAsia="宋体" w:hint="default"/>
          <w:sz w:val="18"/>
          <w:szCs w:val="18"/>
        </w:rPr>
        <w:t>非管理层计划清算卫宁健康、终止运营或别无其他现实的选择。 治理层负责监督卫宁健康的财务报告过程。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472" w:right="0"/>
        <w:jc w:val="left"/>
      </w:pPr>
      <w:r>
        <w:rPr/>
        <w:t>在按照审计准则执行审计工作的过程中，我们运用职业判断，并保持职业怀疑。同时，我们也执行以下工作：</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9" w:lineRule="auto" w:before="44"/>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472"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472"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0"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）对管理层使用持续经营假设的恰当性得出结论。同时，根据获取的审计证据，就可能导致对卫宁健康持续经营能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3"/>
        </w:rPr>
        <w:t> </w:t>
      </w:r>
      <w:r>
        <w:rPr>
          <w:spacing w:val="-63"/>
        </w:rPr>
      </w:r>
      <w:r>
        <w:rPr/>
        <w:t>于截至审计报告日可获得的信息。然而，未来的事项或情况可能导致卫宁健康不能持续经营。</w:t>
      </w:r>
    </w:p>
    <w:p>
      <w:pPr>
        <w:pStyle w:val="BodyText"/>
        <w:spacing w:line="240" w:lineRule="auto" w:before="22"/>
        <w:ind w:left="472" w:right="0"/>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00" w:lineRule="auto" w:before="63"/>
        <w:ind w:right="1041" w:firstLine="360"/>
        <w:jc w:val="both"/>
      </w:pPr>
      <w:r>
        <w:rPr>
          <w:spacing w:val="-2"/>
        </w:rPr>
        <w:t>（</w:t>
      </w:r>
      <w:r>
        <w:rPr>
          <w:rFonts w:ascii="Times New Roman" w:hAnsi="Times New Roman" w:cs="Times New Roman" w:eastAsia="Times New Roman" w:hint="default"/>
          <w:spacing w:val="-2"/>
        </w:rPr>
        <w:t>6</w:t>
      </w:r>
      <w:r>
        <w:rPr>
          <w:spacing w:val="-2"/>
        </w:rPr>
        <w:t>）就卫宁健康实体或业务活动的财务信息获取充分、适当的审计证据，以对财务报表发表审计意见。我们负责指导、</w:t>
      </w:r>
      <w:r>
        <w:rPr/>
        <w:t> 监督和执行集团审计，并对审计意见承担全部责任。</w:t>
      </w:r>
    </w:p>
    <w:p>
      <w:pPr>
        <w:pStyle w:val="BodyText"/>
        <w:spacing w:line="316"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二、财务报表" w:id="152"/>
      <w:bookmarkEnd w:id="152"/>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8" w:top="1060" w:bottom="1160" w:left="1020" w:right="0"/>
        </w:sectPr>
      </w:pPr>
    </w:p>
    <w:p>
      <w:pPr>
        <w:pStyle w:val="BodyText"/>
        <w:spacing w:line="240" w:lineRule="auto" w:before="44"/>
        <w:ind w:right="-20"/>
        <w:jc w:val="left"/>
      </w:pPr>
      <w:r>
        <w:rPr/>
        <w:t>编制单位：卫宁健康科技集团股份有限公司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0"/>
          <w:cols w:num="3" w:equalWidth="0">
            <w:col w:w="3533" w:space="544"/>
            <w:col w:w="1599" w:space="3242"/>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715,122,809.45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514,652,940.19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312"/>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4,380,779.34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4,635,400.00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1,483,206,697.65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1,184,042,150.03</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28,132,961.96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35,713,171.38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152,739,256.53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142,088,842.19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6,375,000.00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175,120,614.53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157,873,311.87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5,582,397.04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47,250,593.66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22,236,363.61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2,605,953,713.12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2,066,824,576.31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186,959,476.37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588,565,717.04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541,048,033.77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315,033,833.23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87,997,637.79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89,850,597.05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429,795,946.90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435,370,374.49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554,938.19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381,856,901.72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116,917,946.29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128,804,671.05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247,976,798.10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474,895,869.15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474,897,113.17</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3,835,161.56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2,435,451.36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100,461,687.42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74,482,807.99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1,702,000.00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2,512,949,425.86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2,170,493,536.78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5,118,903,138.98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4,237,318,113.09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224,271,083.35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151,135,000.00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2,244,376.00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286,748,447.02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194,754,625.51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176,502,742.62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204,929,609.94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70,412,764.39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66,987,144.10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133,426,856.05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98,520,411.20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212,442,483.55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145,440,641.64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199,616.67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1,106,194,376.98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882,251,808.39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19,132,385.57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15,840,385.10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6,373,543.67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3,386,877.00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77,848,102.56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61,305,750.03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104,614,031.80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80,533,012.13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1,210,808,408.78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962,784,820.52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1,641,069,856.00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1,621,867,400.00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751,615,777.40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535,182,079.93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155,370,284.57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95,390,524.08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157,812,932.57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113,501,457.21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1,338,202,473.95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959,024,092.67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3,733,330,755.35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3,134,184,505.73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174,763,974.85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140,348,786.84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3,908,094,730.20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3,274,533,292.57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5,118,903,138.98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4,237,318,113.09</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1231"/>
        <w:jc w:val="right"/>
      </w:pPr>
      <w:r>
        <w:rPr/>
        <w:t>法定代表人：周炜</w:t>
        <w:tab/>
        <w:t>主管会计工作负责人：王利</w:t>
        <w:tab/>
        <w:t>会计机构负责人：陈旭纹</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1"/>
          <w:pgSz w:w="11910" w:h="16840"/>
          <w:pgMar w:footer="978" w:header="746" w:top="1060" w:bottom="1160" w:left="1020" w:right="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342,021,611.34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269,992,711.15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3,642,480.00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4,575,400.00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1,153,897,697.13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853,110,706.74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30,372,979.17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41,805,313.36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312,317,437.94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231,872,273.44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21,375,000.00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131,344,123.90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124,723,331.46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5,582,397.04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45,346,025.74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19,042,676.57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2,018,942,355.22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1,550,704,809.76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192,016,231.03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1,174,477,026.11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1,044,219,725.06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319,095,745.89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170,733,445.11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174,610,506.27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336,053,484.85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341,148,532.48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231,818.19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300,437,019.98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82,529,960.09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106,979,170.96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200,139,182.51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53,740.87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150,189.89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37,519,786.78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25,931,719.78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2,445,349,420.55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2,060,977,865.30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4,464,291,775.77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3,611,682,675.06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224,271,083.35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2,244,376.00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490,430,046.65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332,711,272.93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128,090,584.54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151,808,878.67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18,441,748.58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16,270,107.77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64,171,000.56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39,904,524.32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196,008,018.89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145,296,836.46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199,616.67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1,123,802,482.57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856,475,996.15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14,811,944.03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10,917,213.36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5,671,666.67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29,468,629.88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13,174,987.85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51,212,240.58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27,217,201.21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1,175,014,723.15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883,693,197.36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1,641,069,856.00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1,621,867,400.00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761,495,765.48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570,087,929.42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155,370,284.57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95,390,524.08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157,812,932.57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113,501,457.21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884,268,783.14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517,923,215.15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3,289,277,052.62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2,727,989,477.70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4,464,291,775.77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3,611,682,675.06</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1,908,007,949.00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1,438,761,343.81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1,908,007,949.00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1,438,761,343.81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1,539,660,184.30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1,180,956,239.09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926,855,979.67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690,611,232.40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204.839996pt;margin-top:675.100037pt;width:166.3pt;height:19.7pt;mso-position-horizontal-relative:page;mso-position-vertical-relative:page;z-index:-1272280"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10.850006pt;margin-top:416.200012pt;width:160.25pt;height:19.850pt;mso-position-horizontal-relative:page;mso-position-vertical-relative:page;z-index:-1272256" coordorigin="4217,8324" coordsize="3205,397">
            <v:shape style="position:absolute;left:4217;top:8324;width:3205;height:397" coordorigin="4217,8324" coordsize="3205,397" path="m4217,8324l7422,8324,7422,8721,4217,8721,4217,8324xe" filled="true" fillcolor="#ffffff" stroked="false">
              <v:path arrowok="t"/>
              <v:fill type="solid"/>
            </v:shape>
            <w10:wrap type="none"/>
          </v:group>
        </w:pict>
      </w:r>
      <w:r>
        <w:rPr/>
        <w:pict>
          <v:group style="position:absolute;margin-left:210.850006pt;margin-top:675.100037pt;width:160.25pt;height:19.850pt;mso-position-horizontal-relative:page;mso-position-vertical-relative:page;z-index:-1272232" coordorigin="4217,13502" coordsize="3205,397">
            <v:shape style="position:absolute;left:4217;top:13502;width:3205;height:397" coordorigin="4217,13502" coordsize="3205,397" path="m4217,13502l7422,13502,7422,13899,4217,13899,4217,13502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22,069,026.17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16,195,732.48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241,740,797.38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200,844,773.63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140,154,759.92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118,079,752.60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205,633,105.31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147,208,167.90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3,206,515.85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8,016,580.08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8,824,448.72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9,826,390.73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6,336,700.02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2,764,152.34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143,209,711.66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120,118,523.89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-20,059,489.83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-8,087,299.44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-33,435,956.26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-11,513,749.66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12,901,132.90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5"/>
                <w:sz w:val="18"/>
                <w:szCs w:val="18"/>
              </w:rPr>
              <w:t>失</w:t>
            </w:r>
            <w:r>
              <w:rPr>
                <w:rFonts w:ascii="宋体" w:hAnsi="宋体" w:cs="宋体" w:eastAsia="宋体" w:hint="default"/>
                <w:spacing w:val="-3"/>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-91,799,813.69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5"/>
                <w:sz w:val="18"/>
                <w:szCs w:val="18"/>
              </w:rPr>
              <w:t>失</w:t>
            </w:r>
            <w:r>
              <w:rPr>
                <w:rFonts w:ascii="宋体" w:hAnsi="宋体" w:cs="宋体" w:eastAsia="宋体" w:hint="default"/>
                <w:spacing w:val="-3"/>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-59,582,304.87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5"/>
                <w:sz w:val="18"/>
                <w:szCs w:val="18"/>
              </w:rPr>
              <w:t>益</w:t>
            </w:r>
            <w:r>
              <w:rPr>
                <w:rFonts w:ascii="宋体" w:hAnsi="宋体" w:cs="宋体" w:eastAsia="宋体" w:hint="default"/>
                <w:spacing w:val="-3"/>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-85,417.86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27,467.21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412,513,887.88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310,281,491.51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351,284.98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89,455.39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240,029.52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847,682.69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412,625,143.34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309,523,264.21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17,053,382.11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2,694,227.57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395,571,761.23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306,829,036.64</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395,571,761.23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306,829,036.64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398,420,733.04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303,305,204.12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-2,848,971.81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3,523,832.52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395,571,761.23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306,829,036.64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398,420,733.04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303,305,204.12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-2,848,971.81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3,523,832.52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0.2451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0.1864</w:t>
            </w:r>
          </w:p>
        </w:tc>
      </w:tr>
    </w:tbl>
    <w:p>
      <w:pPr>
        <w:pStyle w:val="BodyText"/>
        <w:tabs>
          <w:tab w:pos="3532" w:val="left" w:leader="none"/>
          <w:tab w:pos="7672" w:val="left" w:leader="none"/>
        </w:tabs>
        <w:spacing w:line="595" w:lineRule="auto" w:before="51"/>
        <w:ind w:right="1231"/>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法定代表人：周炜</w:t>
        <w:tab/>
        <w:t>主管会计工作负责人：王利</w:t>
        <w:tab/>
        <w:t>会计机构负责人：陈旭纹 </w:t>
      </w:r>
      <w:bookmarkStart w:name="4、母公司利润表" w:id="156"/>
      <w:bookmarkEnd w:id="15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1,443,830,423.21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983,251,346.46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857,507,261.87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584,609,225.79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16,675,027.76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10,572,609.03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116,600,816.22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107,538,033.06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66,419,958.72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58,923,645.62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81,786,398.13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45,714,040.23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1,283,874.64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6,095,750.38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2"/>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8,650,102.35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10,567,914.70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7,965,954.98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4,731,078.38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112,227,521.27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93,979,628.16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26,851,930.13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33,275,854.52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-31,591,705.14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-11,150,595.70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2"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12,901,132.90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-66,139,842.61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-41,293,077.64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39,188.24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51,729.83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389,437,015.80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255,812,177.22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73,867.62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74,774.75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810,278.42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389,362,241.05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255,075,766.42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15,856,485.05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2,239,809.22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373,505,756.00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252,835,957.20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373,505,756.00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252,835,957.20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1" w:right="0"/>
              <w:jc w:val="left"/>
              <w:rPr>
                <w:rFonts w:ascii="Times New Roman" w:hAnsi="Times New Roman" w:cs="Times New Roman" w:eastAsia="Times New Roman" w:hint="default"/>
                <w:sz w:val="18"/>
                <w:szCs w:val="18"/>
              </w:rPr>
            </w:pPr>
            <w:r>
              <w:rPr>
                <w:rFonts w:ascii="Times New Roman"/>
                <w:sz w:val="18"/>
              </w:rPr>
              <w:t>373,505,756.00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252,835,957.20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1,704,708,209.55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1,474,493,720.57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111,815,919.34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76,720,103.22</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156,389,528.84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140,851,351.23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1,972,913,657.73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1,692,065,175.02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598,304,747.81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614,554,826.13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571,309,225.99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427,600,640.74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195,098,853.47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219,898,872.20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374,899,909.31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306,116,308.77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1,739,612,736.58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1,568,170,647.84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233,300,921.15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123,894,527.18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4,425,690.07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19,250,135.00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889,760.00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6,375,000.00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261,185.31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325,073.68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711,202.76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6,287,838.14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25,950,208.68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191,742,450.36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167,190,591.16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53,712,500.00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19,205,200.00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68,456,478.45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267,960,150.36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276,247,069.61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-261,672,312.22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-250,296,860.93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201,084,074.05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234,831,873.82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63,809,000.00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133,924,200.00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176,135,000.00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30,154,850.15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17,372,297.77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485,238,924.20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428,339,171.59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181,135,000.00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41,055,332.93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34,882,862.58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36,809,698.05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21,695,336.12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259,000,030.98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271,578,198.70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226,238,893.22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156,760,972.89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197,867,502.15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30,358,639.14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506,635,516.51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476,276,877.37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704,503,018.66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506,635,516.51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1,233,064,568.80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1,042,840,906.04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91,154,922.67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59,542,962.67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156,392,966.56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249,249,353.83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1,480,612,458.03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1,351,633,222.54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579,668,762.20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517,744,151.07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259,810,917.35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190,179,806.11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139,040,213.58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166,675,668.84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277,817,288.62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360,306,326.07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1,256,337,181.75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1,234,905,952.09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224,275,276.28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116,727,270.45</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2"/>
          <w:pgSz w:w="11910" w:h="16840"/>
          <w:pgMar w:footer="978" w:header="746" w:top="1060" w:bottom="1160" w:left="1020" w:right="0"/>
          <w:pgNumType w:start="1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4,425,690.07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19,250,135.00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34,889,760.00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32,375,000.00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137,310.31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313,306.85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23,575,655.93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4,190,686.57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63,028,416.31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56,129,128.42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154,271,349.75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118,925,694.83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151,305,407.00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72,130,000.00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68,456,478.45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78,350,000.00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383,926,756.75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259,512,173.28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-320,898,340.44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-203,383,044.86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137,275,074.05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100,907,673.82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29,754,850.15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17,372,297.77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421,029,924.20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293,279,971.59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41,036,674.40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34,882,862.58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33,756,539.16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19,895,336.12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254,793,213.56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269,778,198.70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166,236,710.64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23,501,772.89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69,613,646.48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-63,154,001.52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262,859,027.80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326,013,029.32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332,472,674.28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262,859,027.80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2"/>
        <w:jc w:val="right"/>
      </w:pPr>
      <w:r>
        <w:rPr/>
        <w:t>单位：元</w:t>
      </w:r>
    </w:p>
    <w:p>
      <w:pPr>
        <w:spacing w:after="0" w:line="240" w:lineRule="auto"/>
        <w:jc w:val="right"/>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402"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714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6" w:right="22" w:hanging="84"/>
              <w:jc w:val="left"/>
              <w:rPr>
                <w:rFonts w:ascii="宋体" w:hAnsi="宋体" w:cs="宋体" w:eastAsia="宋体" w:hint="default"/>
                <w:sz w:val="18"/>
                <w:szCs w:val="18"/>
              </w:rPr>
            </w:pPr>
            <w:r>
              <w:rPr>
                <w:rFonts w:ascii="宋体" w:hAnsi="宋体" w:cs="宋体" w:eastAsia="宋体" w:hint="default"/>
                <w:spacing w:val="-4"/>
                <w:sz w:val="18"/>
                <w:szCs w:val="18"/>
              </w:rPr>
              <w:t>减：库</w:t>
            </w:r>
            <w:r>
              <w:rPr>
                <w:rFonts w:ascii="宋体" w:hAnsi="宋体" w:cs="宋体" w:eastAsia="宋体" w:hint="default"/>
                <w:sz w:val="18"/>
                <w:szCs w:val="18"/>
              </w:rPr>
              <w:t> 存股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8" w:right="10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7"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6" w:right="10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8" w:right="104"/>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4"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21"/>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1,621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535,18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2,079.</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113,50</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1,457.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21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959,02</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4,092.</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67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3,134,</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184,50</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5.73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140,34</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8,786.</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3,274,</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533,29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2.57</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21"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6,960,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899.76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51,682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-692,0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92.66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,036.4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38"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同一</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控制下企业合</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-1,116,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295.27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-1,116,</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295.27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-661,3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64.39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-1,777,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659.66</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left"/>
              <w:rPr>
                <w:rFonts w:ascii="Times New Roman" w:hAnsi="Times New Roman" w:cs="Times New Roman" w:eastAsia="Times New Roman" w:hint="default"/>
                <w:sz w:val="18"/>
                <w:szCs w:val="18"/>
              </w:rPr>
            </w:pPr>
            <w:r>
              <w:rPr>
                <w:rFonts w:ascii="Times New Roman"/>
                <w:sz w:val="18"/>
              </w:rPr>
              <w:t>1,621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535,18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2,079.</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120,46</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2,356.</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97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1,009,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590,02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6.73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3,191,</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711,33</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9.55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138,99</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5,329.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79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3,330,</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706,66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9.34</w:t>
            </w:r>
          </w:p>
        </w:tc>
      </w:tr>
      <w:tr>
        <w:trPr>
          <w:trHeight w:val="3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
                <w:sz w:val="18"/>
                <w:szCs w:val="18"/>
              </w:rPr>
              <w:t>三、本期增减变</w:t>
            </w:r>
          </w:p>
        </w:tc>
        <w:tc>
          <w:tcPr>
            <w:tcW w:w="4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19,20</w:t>
            </w: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216,43</w:t>
            </w: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59,979</w:t>
            </w: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37,350</w:t>
            </w: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328,61</w:t>
            </w: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541,61</w:t>
            </w: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35,768</w:t>
            </w:r>
          </w:p>
        </w:tc>
        <w:tc>
          <w:tcPr>
            <w:tcW w:w="5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577,38</w:t>
            </w:r>
          </w:p>
        </w:tc>
      </w:tr>
      <w:tr>
        <w:trPr>
          <w:trHeight w:val="31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9"/>
                <w:sz w:val="18"/>
                <w:szCs w:val="18"/>
              </w:rPr>
              <w:t>动金额（减少以</w:t>
            </w:r>
          </w:p>
        </w:tc>
        <w:tc>
          <w:tcPr>
            <w:tcW w:w="49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2,456</w:t>
            </w: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3,697.</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,760.4</w:t>
            </w: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,575.6</w:t>
            </w: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2,447.</w:t>
            </w: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9,415.</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,645.0</w:t>
            </w:r>
          </w:p>
        </w:tc>
        <w:tc>
          <w:tcPr>
            <w:tcW w:w="5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8,060.</w:t>
            </w:r>
          </w:p>
        </w:tc>
      </w:tr>
      <w:tr>
        <w:trPr>
          <w:trHeight w:val="353"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.00</w:t>
            </w: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47</w:t>
            </w: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w:t>
            </w: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0</w:t>
            </w: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22</w:t>
            </w: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80</w:t>
            </w: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86</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398,42</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0,733.</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left"/>
              <w:rPr>
                <w:rFonts w:ascii="Times New Roman" w:hAnsi="Times New Roman" w:cs="Times New Roman" w:eastAsia="Times New Roman" w:hint="default"/>
                <w:sz w:val="18"/>
                <w:szCs w:val="18"/>
              </w:rPr>
            </w:pPr>
            <w:r>
              <w:rPr>
                <w:rFonts w:ascii="Times New Roman"/>
                <w:sz w:val="18"/>
              </w:rPr>
              <w:t>398,42</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0,733.</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-2,848,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971.81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395,57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1,761.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23</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2,456</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left"/>
              <w:rPr>
                <w:rFonts w:ascii="Times New Roman" w:hAnsi="Times New Roman" w:cs="Times New Roman" w:eastAsia="Times New Roman" w:hint="default"/>
                <w:sz w:val="18"/>
                <w:szCs w:val="18"/>
              </w:rPr>
            </w:pPr>
            <w:r>
              <w:rPr>
                <w:rFonts w:ascii="Times New Roman"/>
                <w:sz w:val="18"/>
              </w:rPr>
              <w:t>216,43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3,697.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47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175,45</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3,677.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18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,616.8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214,07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05</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2,456</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119,08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6,108.</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76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,616.8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116,72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3,705.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34</w:t>
            </w:r>
          </w:p>
        </w:tc>
      </w:tr>
      <w:tr>
        <w:trPr>
          <w:trHeight w:val="3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7"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,839.8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,839.8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,748.8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72,994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-202,7</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15.80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,575.6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8,285.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left"/>
              <w:rPr>
                <w:rFonts w:ascii="Times New Roman" w:hAnsi="Times New Roman" w:cs="Times New Roman" w:eastAsia="Times New Roman" w:hint="default"/>
                <w:sz w:val="18"/>
                <w:szCs w:val="18"/>
              </w:rPr>
            </w:pPr>
            <w:r>
              <w:rPr>
                <w:rFonts w:ascii="Times New Roman"/>
                <w:sz w:val="18"/>
              </w:rPr>
              <w:t>-32,25</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4,994.</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-32,25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4,994.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42</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,575.6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-37,35</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0,575.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60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-202,7</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15.80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-32,45</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7,710.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left"/>
              <w:rPr>
                <w:rFonts w:ascii="Times New Roman" w:hAnsi="Times New Roman" w:cs="Times New Roman" w:eastAsia="Times New Roman" w:hint="default"/>
                <w:sz w:val="18"/>
                <w:szCs w:val="18"/>
              </w:rPr>
            </w:pPr>
            <w:r>
              <w:rPr>
                <w:rFonts w:ascii="Times New Roman"/>
                <w:sz w:val="18"/>
              </w:rPr>
              <w:t>-32,25</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4,994.</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-32,25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4,994.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21"/>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1,641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,069,</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751,61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5,777.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40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155,37</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0,284.</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57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157,81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2,932.</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57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1,338,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202,47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3.95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3,733,</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330,75</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5.35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174,76</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3,974.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3,908,</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094,73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0.20</w:t>
            </w:r>
          </w:p>
        </w:tc>
      </w:tr>
    </w:tbl>
    <w:p>
      <w:pPr>
        <w:pStyle w:val="BodyText"/>
        <w:spacing w:line="240" w:lineRule="auto" w:before="51"/>
        <w:ind w:right="0"/>
        <w:jc w:val="left"/>
      </w:pPr>
      <w:r>
        <w:rPr/>
        <w:t>上期金额</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45" w:right="4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0"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2" w:right="21"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03"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03"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r>
      <w:tr>
        <w:trPr>
          <w:trHeight w:val="714"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7" w:right="3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0" w:right="3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 w:right="9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97" w:right="0"/>
              <w:jc w:val="left"/>
              <w:rPr>
                <w:rFonts w:ascii="Times New Roman" w:hAnsi="Times New Roman" w:cs="Times New Roman" w:eastAsia="Times New Roman" w:hint="default"/>
                <w:sz w:val="18"/>
                <w:szCs w:val="18"/>
              </w:rPr>
            </w:pPr>
            <w:r>
              <w:rPr>
                <w:rFonts w:ascii="Times New Roman"/>
                <w:sz w:val="18"/>
              </w:rPr>
              <w:t>,592,</w:t>
            </w:r>
          </w:p>
          <w:p>
            <w:pPr>
              <w:pStyle w:val="TableParagraph"/>
              <w:spacing w:line="240" w:lineRule="auto" w:before="105"/>
              <w:ind w:left="51" w:right="0"/>
              <w:jc w:val="left"/>
              <w:rPr>
                <w:rFonts w:ascii="Times New Roman" w:hAnsi="Times New Roman" w:cs="Times New Roman" w:eastAsia="Times New Roman" w:hint="default"/>
                <w:sz w:val="18"/>
                <w:szCs w:val="18"/>
              </w:rPr>
            </w:pPr>
            <w:r>
              <w:rPr>
                <w:rFonts w:ascii="Times New Roman"/>
                <w:sz w:val="18"/>
              </w:rPr>
              <w:t>175.0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380,04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6,685.</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15</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184,97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2,221.</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60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,861.4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705,24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0,582.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2,596,</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125,08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2.18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62,861,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451.14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86,533.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7"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97" w:right="0"/>
              <w:jc w:val="left"/>
              <w:rPr>
                <w:rFonts w:ascii="Times New Roman" w:hAnsi="Times New Roman" w:cs="Times New Roman" w:eastAsia="Times New Roman" w:hint="default"/>
                <w:sz w:val="18"/>
                <w:szCs w:val="18"/>
              </w:rPr>
            </w:pPr>
            <w:r>
              <w:rPr>
                <w:rFonts w:ascii="Times New Roman"/>
                <w:sz w:val="18"/>
              </w:rPr>
              <w:t>,592,</w:t>
            </w:r>
          </w:p>
          <w:p>
            <w:pPr>
              <w:pStyle w:val="TableParagraph"/>
              <w:spacing w:line="240" w:lineRule="auto" w:before="105"/>
              <w:ind w:left="51" w:right="0"/>
              <w:jc w:val="left"/>
              <w:rPr>
                <w:rFonts w:ascii="Times New Roman" w:hAnsi="Times New Roman" w:cs="Times New Roman" w:eastAsia="Times New Roman" w:hint="default"/>
                <w:sz w:val="18"/>
                <w:szCs w:val="18"/>
              </w:rPr>
            </w:pPr>
            <w:r>
              <w:rPr>
                <w:rFonts w:ascii="Times New Roman"/>
                <w:sz w:val="18"/>
              </w:rPr>
              <w:t>175.0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380,04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6,685.</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15</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184,97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2,221.</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60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,861.4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705,24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0,582.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2,596,</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125,08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2.18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62,861,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451.14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86,533.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9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5,225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155,13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5,394.</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78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-89,58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1,697.</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52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,595.7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253,78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3,510.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538,05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9,423.</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55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77,487,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335.70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615,546</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,759.25</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303,30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5,204.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303,30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5,204.</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12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3,523,8</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32.52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306,829</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,036.64</w:t>
            </w:r>
          </w:p>
        </w:tc>
      </w:tr>
      <w:tr>
        <w:trPr>
          <w:trHeight w:val="102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5,225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155,13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5,394.</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78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left"/>
              <w:rPr>
                <w:rFonts w:ascii="Times New Roman" w:hAnsi="Times New Roman" w:cs="Times New Roman" w:eastAsia="Times New Roman" w:hint="default"/>
                <w:sz w:val="18"/>
                <w:szCs w:val="18"/>
              </w:rPr>
            </w:pPr>
            <w:r>
              <w:rPr>
                <w:rFonts w:ascii="Times New Roman"/>
                <w:sz w:val="18"/>
              </w:rPr>
              <w:t>-89,91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7,924.</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02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259,32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8,543.</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80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73,963,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503.18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333,292</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,046.98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5,225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89,037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,898.5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-89,91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7,924.</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02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193,23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1,047.</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61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73,963,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503.18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267,194</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,550.79</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6,211,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822.34</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6,211,</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822.34</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6,211,8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22.34</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,673.8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59,885,</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673.85</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336,22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6.50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,595.7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-49,52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1,693.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-24,57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4,324.</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37</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-24,574</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,324.37</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,595.7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-25,28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3,595.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7"/>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336,22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6.50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-24,23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8,097.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-24,57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4,324.</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37</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-24,574</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,324.37</w:t>
            </w: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7"/>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left"/>
              <w:rPr>
                <w:rFonts w:ascii="Times New Roman" w:hAnsi="Times New Roman" w:cs="Times New Roman" w:eastAsia="Times New Roman" w:hint="default"/>
                <w:sz w:val="18"/>
                <w:szCs w:val="18"/>
              </w:rPr>
            </w:pPr>
            <w:r>
              <w:rPr>
                <w:rFonts w:ascii="Times New Roman"/>
                <w:sz w:val="18"/>
              </w:rPr>
              <w:t>1,621</w:t>
            </w:r>
          </w:p>
          <w:p>
            <w:pPr>
              <w:pStyle w:val="TableParagraph"/>
              <w:spacing w:line="240" w:lineRule="auto" w:before="105"/>
              <w:ind w:left="97" w:right="0"/>
              <w:jc w:val="left"/>
              <w:rPr>
                <w:rFonts w:ascii="Times New Roman" w:hAnsi="Times New Roman" w:cs="Times New Roman" w:eastAsia="Times New Roman" w:hint="default"/>
                <w:sz w:val="18"/>
                <w:szCs w:val="18"/>
              </w:rPr>
            </w:pPr>
            <w:r>
              <w:rPr>
                <w:rFonts w:ascii="Times New Roman"/>
                <w:sz w:val="18"/>
              </w:rPr>
              <w:t>,867,</w:t>
            </w:r>
          </w:p>
          <w:p>
            <w:pPr>
              <w:pStyle w:val="TableParagraph"/>
              <w:spacing w:line="240" w:lineRule="auto" w:before="105"/>
              <w:ind w:left="51"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535,18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2,079.</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93</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113,50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1,457.</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21</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959,02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4,092.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3,134,</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184,50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5.73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140,348</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,786.84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33,292.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6" w:right="8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22"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z w:val="18"/>
                <w:szCs w:val="18"/>
              </w:rPr>
              <w:t> 股</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88" w:right="8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7"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7" w:right="8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2" w:right="3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5" w:right="6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shd w:val="clear" w:color="auto" w:fill="D2D2D2"/>
          </w:tcPr>
          <w:p>
            <w:pP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67,400.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570,087,</w:t>
            </w:r>
          </w:p>
          <w:p>
            <w:pPr>
              <w:pStyle w:val="TableParagraph"/>
              <w:spacing w:line="240" w:lineRule="auto" w:before="105"/>
              <w:ind w:left="173" w:right="0"/>
              <w:jc w:val="center"/>
              <w:rPr>
                <w:rFonts w:ascii="Times New Roman" w:hAnsi="Times New Roman" w:cs="Times New Roman" w:eastAsia="Times New Roman" w:hint="default"/>
                <w:sz w:val="18"/>
                <w:szCs w:val="18"/>
              </w:rPr>
            </w:pPr>
            <w:r>
              <w:rPr>
                <w:rFonts w:ascii="Times New Roman"/>
                <w:sz w:val="18"/>
              </w:rPr>
              <w:t>929.42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95,390,5</w:t>
            </w:r>
          </w:p>
          <w:p>
            <w:pPr>
              <w:pStyle w:val="TableParagraph"/>
              <w:spacing w:line="240" w:lineRule="auto" w:before="105"/>
              <w:ind w:left="289" w:right="0"/>
              <w:jc w:val="left"/>
              <w:rPr>
                <w:rFonts w:ascii="Times New Roman" w:hAnsi="Times New Roman" w:cs="Times New Roman" w:eastAsia="Times New Roman" w:hint="default"/>
                <w:sz w:val="18"/>
                <w:szCs w:val="18"/>
              </w:rPr>
            </w:pPr>
            <w:r>
              <w:rPr>
                <w:rFonts w:ascii="Times New Roman"/>
                <w:sz w:val="18"/>
              </w:rPr>
              <w:t>24.08</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113,501,</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457.21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3,215.1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2,727,989,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477.70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6,960,89</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9.76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62,648,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097.81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69,608,99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7.57</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67,400.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570,087,</w:t>
            </w:r>
          </w:p>
          <w:p>
            <w:pPr>
              <w:pStyle w:val="TableParagraph"/>
              <w:spacing w:line="240" w:lineRule="auto" w:before="105"/>
              <w:ind w:left="173" w:right="0"/>
              <w:jc w:val="center"/>
              <w:rPr>
                <w:rFonts w:ascii="Times New Roman" w:hAnsi="Times New Roman" w:cs="Times New Roman" w:eastAsia="Times New Roman" w:hint="default"/>
                <w:sz w:val="18"/>
                <w:szCs w:val="18"/>
              </w:rPr>
            </w:pPr>
            <w:r>
              <w:rPr>
                <w:rFonts w:ascii="Times New Roman"/>
                <w:sz w:val="18"/>
              </w:rPr>
              <w:t>929.42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95,390,5</w:t>
            </w:r>
          </w:p>
          <w:p>
            <w:pPr>
              <w:pStyle w:val="TableParagraph"/>
              <w:spacing w:line="240" w:lineRule="auto" w:before="105"/>
              <w:ind w:left="289" w:right="0"/>
              <w:jc w:val="left"/>
              <w:rPr>
                <w:rFonts w:ascii="Times New Roman" w:hAnsi="Times New Roman" w:cs="Times New Roman" w:eastAsia="Times New Roman" w:hint="default"/>
                <w:sz w:val="18"/>
                <w:szCs w:val="18"/>
              </w:rPr>
            </w:pPr>
            <w:r>
              <w:rPr>
                <w:rFonts w:ascii="Times New Roman"/>
                <w:sz w:val="18"/>
              </w:rPr>
              <w:t>24.08</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120,462,</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356.97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1,312.9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2,797,598,</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475.27</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19,202,</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456.00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191,407,</w:t>
            </w:r>
          </w:p>
          <w:p>
            <w:pPr>
              <w:pStyle w:val="TableParagraph"/>
              <w:spacing w:line="240" w:lineRule="auto" w:before="105"/>
              <w:ind w:left="173" w:right="0"/>
              <w:jc w:val="center"/>
              <w:rPr>
                <w:rFonts w:ascii="Times New Roman" w:hAnsi="Times New Roman" w:cs="Times New Roman" w:eastAsia="Times New Roman" w:hint="default"/>
                <w:sz w:val="18"/>
                <w:szCs w:val="18"/>
              </w:rPr>
            </w:pPr>
            <w:r>
              <w:rPr>
                <w:rFonts w:ascii="Times New Roman"/>
                <w:sz w:val="18"/>
              </w:rPr>
              <w:t>836.06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59,979,7</w:t>
            </w:r>
          </w:p>
          <w:p>
            <w:pPr>
              <w:pStyle w:val="TableParagraph"/>
              <w:spacing w:line="240" w:lineRule="auto" w:before="105"/>
              <w:ind w:left="289" w:right="0"/>
              <w:jc w:val="left"/>
              <w:rPr>
                <w:rFonts w:ascii="Times New Roman" w:hAnsi="Times New Roman" w:cs="Times New Roman" w:eastAsia="Times New Roman" w:hint="default"/>
                <w:sz w:val="18"/>
                <w:szCs w:val="18"/>
              </w:rPr>
            </w:pPr>
            <w:r>
              <w:rPr>
                <w:rFonts w:ascii="Times New Roman"/>
                <w:sz w:val="18"/>
              </w:rPr>
              <w:t>60.49</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37,350,5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75.60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7,470.1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491,678,5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77.35</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5,756.0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373,505,7</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56.00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19,202,</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456.00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191,407,</w:t>
            </w:r>
          </w:p>
          <w:p>
            <w:pPr>
              <w:pStyle w:val="TableParagraph"/>
              <w:spacing w:line="240" w:lineRule="auto" w:before="105"/>
              <w:ind w:left="173" w:right="0"/>
              <w:jc w:val="center"/>
              <w:rPr>
                <w:rFonts w:ascii="Times New Roman" w:hAnsi="Times New Roman" w:cs="Times New Roman" w:eastAsia="Times New Roman" w:hint="default"/>
                <w:sz w:val="18"/>
                <w:szCs w:val="18"/>
              </w:rPr>
            </w:pPr>
            <w:r>
              <w:rPr>
                <w:rFonts w:ascii="Times New Roman"/>
                <w:sz w:val="18"/>
              </w:rPr>
              <w:t>836.06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60,182,4</w:t>
            </w:r>
          </w:p>
          <w:p>
            <w:pPr>
              <w:pStyle w:val="TableParagraph"/>
              <w:spacing w:line="240" w:lineRule="auto" w:before="105"/>
              <w:ind w:left="289" w:right="0"/>
              <w:jc w:val="left"/>
              <w:rPr>
                <w:rFonts w:ascii="Times New Roman" w:hAnsi="Times New Roman" w:cs="Times New Roman" w:eastAsia="Times New Roman" w:hint="default"/>
                <w:sz w:val="18"/>
                <w:szCs w:val="18"/>
              </w:rPr>
            </w:pPr>
            <w:r>
              <w:rPr>
                <w:rFonts w:ascii="Times New Roman"/>
                <w:sz w:val="18"/>
              </w:rPr>
              <w:t>76.29</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150,427,8</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15.77</w:t>
            </w:r>
          </w:p>
        </w:tc>
      </w:tr>
      <w:tr>
        <w:trPr>
          <w:trHeight w:val="71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19,202,</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456.00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119,086,</w:t>
            </w:r>
          </w:p>
          <w:p>
            <w:pPr>
              <w:pStyle w:val="TableParagraph"/>
              <w:spacing w:line="240" w:lineRule="auto" w:before="105"/>
              <w:ind w:left="173" w:right="0"/>
              <w:jc w:val="center"/>
              <w:rPr>
                <w:rFonts w:ascii="Times New Roman" w:hAnsi="Times New Roman" w:cs="Times New Roman" w:eastAsia="Times New Roman" w:hint="default"/>
                <w:sz w:val="18"/>
                <w:szCs w:val="18"/>
              </w:rPr>
            </w:pPr>
            <w:r>
              <w:rPr>
                <w:rFonts w:ascii="Times New Roman"/>
                <w:sz w:val="18"/>
              </w:rPr>
              <w:t>108.76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60,182,4</w:t>
            </w:r>
          </w:p>
          <w:p>
            <w:pPr>
              <w:pStyle w:val="TableParagraph"/>
              <w:spacing w:line="240" w:lineRule="auto" w:before="105"/>
              <w:ind w:left="289" w:right="0"/>
              <w:jc w:val="left"/>
              <w:rPr>
                <w:rFonts w:ascii="Times New Roman" w:hAnsi="Times New Roman" w:cs="Times New Roman" w:eastAsia="Times New Roman" w:hint="default"/>
                <w:sz w:val="18"/>
                <w:szCs w:val="18"/>
              </w:rPr>
            </w:pPr>
            <w:r>
              <w:rPr>
                <w:rFonts w:ascii="Times New Roman"/>
                <w:sz w:val="18"/>
              </w:rPr>
              <w:t>76.29</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78,106,08</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8.47</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20,871,3</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11.21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20,871,311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left"/>
              <w:rPr>
                <w:rFonts w:ascii="Times New Roman" w:hAnsi="Times New Roman" w:cs="Times New Roman" w:eastAsia="Times New Roman" w:hint="default"/>
                <w:sz w:val="18"/>
                <w:szCs w:val="18"/>
              </w:rPr>
            </w:pPr>
            <w:r>
              <w:rPr>
                <w:rFonts w:ascii="Times New Roman"/>
                <w:sz w:val="18"/>
              </w:rPr>
              <w:t>51,450,4</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16.09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51,450,41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6.09</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-202,715</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.80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left"/>
              <w:rPr>
                <w:rFonts w:ascii="Times New Roman" w:hAnsi="Times New Roman" w:cs="Times New Roman" w:eastAsia="Times New Roman" w:hint="default"/>
                <w:sz w:val="18"/>
                <w:szCs w:val="18"/>
              </w:rPr>
            </w:pPr>
            <w:r>
              <w:rPr>
                <w:rFonts w:ascii="Times New Roman"/>
                <w:sz w:val="18"/>
              </w:rPr>
              <w:t>37,350,5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75.60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-69,808</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,285.82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-32,254,99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4.42</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37,350,5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75.60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-37,350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,575.60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-202,715</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.80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-32,457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,710.22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-32,254,99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69,856.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761,495,</w:t>
            </w:r>
          </w:p>
          <w:p>
            <w:pPr>
              <w:pStyle w:val="TableParagraph"/>
              <w:spacing w:line="240" w:lineRule="auto" w:before="105"/>
              <w:ind w:left="173" w:right="0"/>
              <w:jc w:val="center"/>
              <w:rPr>
                <w:rFonts w:ascii="Times New Roman" w:hAnsi="Times New Roman" w:cs="Times New Roman" w:eastAsia="Times New Roman" w:hint="default"/>
                <w:sz w:val="18"/>
                <w:szCs w:val="18"/>
              </w:rPr>
            </w:pPr>
            <w:r>
              <w:rPr>
                <w:rFonts w:ascii="Times New Roman"/>
                <w:sz w:val="18"/>
              </w:rPr>
              <w:t>765.48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155,370,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284.57</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157,812,</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932.57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8,783.1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3,289,277,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052.62</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left"/>
      </w:pPr>
      <w:r>
        <w:rPr/>
        <w:t>上期金额</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402"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31" w:type="dxa"/>
            <w:vMerge/>
            <w:tcBorders>
              <w:left w:val="single" w:sz="4" w:space="0" w:color="000000"/>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48"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66" w:right="6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33"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90" w:right="9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2" w:right="9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1" w:right="10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5"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z w:val="18"/>
                <w:szCs w:val="18"/>
              </w:rPr>
              <w:t> 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592,17</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473,113,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231.46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184,972,</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221.60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88,217,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314,608,9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51.54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2,298,559,9</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97.89</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6"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z w:val="18"/>
                <w:szCs w:val="18"/>
              </w:rPr>
              <w:t> 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592,17</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473,113,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231.46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184,972,</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221.60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88,217,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314,608,9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51.54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2,298,559,9</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97.89</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z w:val="18"/>
                <w:szCs w:val="18"/>
              </w:rPr>
              <w:t> </w:t>
            </w:r>
            <w:r>
              <w:rPr>
                <w:rFonts w:ascii="宋体" w:hAnsi="宋体" w:cs="宋体" w:eastAsia="宋体" w:hint="default"/>
                <w:spacing w:val="-12"/>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96,974,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697.96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-89,581,</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697.52</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595.72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203,314,2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63.61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429,429,47</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9.81</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z w:val="18"/>
                <w:szCs w:val="18"/>
              </w:rPr>
              <w:t> 总额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252,835,9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57.20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left"/>
              <w:rPr>
                <w:rFonts w:ascii="Times New Roman" w:hAnsi="Times New Roman" w:cs="Times New Roman" w:eastAsia="Times New Roman" w:hint="default"/>
                <w:sz w:val="18"/>
                <w:szCs w:val="18"/>
              </w:rPr>
            </w:pPr>
            <w:r>
              <w:rPr>
                <w:rFonts w:ascii="Times New Roman"/>
                <w:sz w:val="18"/>
              </w:rPr>
              <w:t>252,835,95</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7.20</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z w:val="18"/>
                <w:szCs w:val="18"/>
              </w:rPr>
              <w:t> 入和减少资本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96,974,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697.96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-89,917,</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924.02</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201,167,84</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6.98</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89,037,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898.59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-89,917,</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924.02</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193,231,04</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7.61</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6,211,82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2.34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6,211,822.3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1,724,9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77.03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1,724,977.0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r>
      <w:tr>
        <w:trPr>
          <w:trHeight w:val="71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4"/>
                <w:sz w:val="18"/>
                <w:szCs w:val="18"/>
              </w:rPr>
              <w:t>）</w:t>
            </w:r>
            <w:r>
              <w:rPr>
                <w:rFonts w:ascii="宋体" w:hAnsi="宋体" w:cs="宋体" w:eastAsia="宋体" w:hint="default"/>
                <w:sz w:val="18"/>
                <w:szCs w:val="18"/>
              </w:rPr>
              <w:t>利润分配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336,226.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25,283,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595.72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-49,521,6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93.59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-24,574,324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25,283,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595.72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-25,283,5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95.72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z w:val="18"/>
                <w:szCs w:val="18"/>
              </w:rPr>
              <w:t> 股东）的分配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336,226.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-24,238,0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97.87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-24,574,324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.37</w:t>
            </w: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z w:val="18"/>
                <w:szCs w:val="18"/>
              </w:rPr>
              <w:t> 益内部结转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4"/>
                <w:sz w:val="18"/>
                <w:szCs w:val="18"/>
              </w:rPr>
              <w:t>）</w:t>
            </w:r>
            <w:r>
              <w:rPr>
                <w:rFonts w:ascii="宋体" w:hAnsi="宋体" w:cs="宋体" w:eastAsia="宋体" w:hint="default"/>
                <w:sz w:val="18"/>
                <w:szCs w:val="18"/>
              </w:rPr>
              <w:t>专项储备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z w:val="18"/>
                <w:szCs w:val="18"/>
              </w:rPr>
              <w:t> 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1,621,</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867,40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570,087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,929.42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95,390,5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24.08</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113,501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,457.21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517,923,2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15.15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2,727,989,4</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77.70</w:t>
            </w:r>
          </w:p>
        </w:tc>
      </w:tr>
    </w:tbl>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1"/>
      <w:bookmarkEnd w:id="161"/>
      <w:r>
        <w:rPr>
          <w:b w:val="0"/>
          <w:bCs w:val="0"/>
        </w:rPr>
      </w:r>
      <w:r>
        <w:rPr/>
        <w:t>三、公司基本情况</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0" w:firstLine="360"/>
        <w:jc w:val="left"/>
      </w:pPr>
      <w:r>
        <w:rPr/>
        <w:t>卫宁健康科技集团股份有限公司（以下简称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卫宁健康</w:t>
      </w:r>
      <w:r>
        <w:rPr>
          <w:rFonts w:ascii="Times New Roman" w:hAnsi="Times New Roman" w:cs="Times New Roman" w:eastAsia="Times New Roman" w:hint="default"/>
        </w:rPr>
        <w:t>”</w:t>
      </w:r>
      <w:r>
        <w:rPr/>
        <w:t>）前身为上海金仕达卫宁软件有限公司，系 </w:t>
      </w:r>
      <w:r>
        <w:rPr>
          <w:spacing w:val="-3"/>
        </w:rPr>
        <w:t>由英属维尔京群岛</w:t>
      </w:r>
      <w:r>
        <w:rPr>
          <w:rFonts w:ascii="Times New Roman" w:hAnsi="Times New Roman" w:cs="Times New Roman" w:eastAsia="Times New Roman" w:hint="default"/>
          <w:spacing w:val="-3"/>
        </w:rPr>
        <w:t>WINNINGINTERNATIONALTECHNOLOGYLTD</w:t>
      </w:r>
      <w:r>
        <w:rPr>
          <w:spacing w:val="-3"/>
        </w:rPr>
        <w:t>（</w:t>
      </w:r>
      <w:r>
        <w:rPr>
          <w:rFonts w:ascii="Times New Roman" w:hAnsi="Times New Roman" w:cs="Times New Roman" w:eastAsia="Times New Roman" w:hint="default"/>
          <w:spacing w:val="-3"/>
        </w:rPr>
        <w:t>90%</w:t>
      </w:r>
      <w:r>
        <w:rPr>
          <w:spacing w:val="-3"/>
        </w:rPr>
        <w:t>）和上海金仕达卫宁医疗信息技术有限公司（</w:t>
      </w:r>
      <w:r>
        <w:rPr>
          <w:rFonts w:ascii="Times New Roman" w:hAnsi="Times New Roman" w:cs="Times New Roman" w:eastAsia="Times New Roman" w:hint="default"/>
          <w:spacing w:val="-3"/>
        </w:rPr>
        <w:t>10%</w:t>
      </w:r>
      <w:r>
        <w:rPr>
          <w:spacing w:val="-3"/>
        </w:rPr>
        <w:t>）</w:t>
      </w:r>
      <w:r>
        <w:rPr>
          <w:spacing w:val="-53"/>
        </w:rPr>
        <w:t> </w:t>
      </w:r>
      <w:r>
        <w:rPr/>
        <w:t>合资设立的中外合资企业。经浦府项字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135</w:t>
      </w:r>
      <w:r>
        <w:rPr/>
        <w:t>号文批准，于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日取得商外资沪浦合资字</w:t>
      </w:r>
      <w:r>
        <w:rPr>
          <w:rFonts w:ascii="Times New Roman" w:hAnsi="Times New Roman" w:cs="Times New Roman" w:eastAsia="Times New Roman" w:hint="default"/>
        </w:rPr>
        <w:t>[2004]0841</w:t>
      </w:r>
      <w:r>
        <w:rPr/>
        <w:t>号外商投</w:t>
      </w:r>
      <w:r>
        <w:rPr>
          <w:spacing w:val="-65"/>
        </w:rPr>
        <w:t> </w:t>
      </w:r>
      <w:r>
        <w:rPr>
          <w:spacing w:val="-65"/>
        </w:rPr>
      </w:r>
      <w:r>
        <w:rPr/>
        <w:t>资企业批准证书，于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日取得企合沪浦总副字第</w:t>
      </w:r>
      <w:r>
        <w:rPr>
          <w:rFonts w:ascii="Times New Roman" w:hAnsi="Times New Roman" w:cs="Times New Roman" w:eastAsia="Times New Roman" w:hint="default"/>
        </w:rPr>
        <w:t>318540</w:t>
      </w:r>
      <w:r>
        <w:rPr/>
        <w:t>号（浦东）企业法人营业执照。投资总额</w:t>
      </w:r>
      <w:r>
        <w:rPr>
          <w:rFonts w:ascii="Times New Roman" w:hAnsi="Times New Roman" w:cs="Times New Roman" w:eastAsia="Times New Roman" w:hint="default"/>
        </w:rPr>
        <w:t>28.00</w:t>
      </w:r>
      <w:r>
        <w:rPr/>
        <w:t>万美元，注</w:t>
      </w:r>
      <w:r>
        <w:rPr>
          <w:spacing w:val="-53"/>
        </w:rPr>
        <w:t> </w:t>
      </w:r>
      <w:r>
        <w:rPr>
          <w:spacing w:val="-53"/>
        </w:rPr>
      </w:r>
      <w:r>
        <w:rPr/>
        <w:t>册资本</w:t>
      </w:r>
      <w:r>
        <w:rPr>
          <w:rFonts w:ascii="Times New Roman" w:hAnsi="Times New Roman" w:cs="Times New Roman" w:eastAsia="Times New Roman" w:hint="default"/>
        </w:rPr>
        <w:t>20.00</w:t>
      </w:r>
      <w:r>
        <w:rPr/>
        <w:t>万美元（实收资本</w:t>
      </w:r>
      <w:r>
        <w:rPr>
          <w:rFonts w:ascii="Times New Roman" w:hAnsi="Times New Roman" w:cs="Times New Roman" w:eastAsia="Times New Roman" w:hint="default"/>
        </w:rPr>
        <w:t>20.00</w:t>
      </w:r>
      <w:r>
        <w:rPr/>
        <w:t>万美元）。</w:t>
      </w:r>
    </w:p>
    <w:p>
      <w:pPr>
        <w:pStyle w:val="BodyText"/>
        <w:spacing w:line="300" w:lineRule="auto" w:before="13"/>
        <w:ind w:right="1130"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日，经上海金仕达卫宁软件有限公司第一届第四次董事会决议并经浦府项字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798</w:t>
      </w:r>
      <w:r>
        <w:rPr/>
        <w:t>号文批准，上海 </w:t>
      </w:r>
      <w:r>
        <w:rPr>
          <w:spacing w:val="-1"/>
        </w:rPr>
        <w:t>金仕达卫宁医疗信息技术有限公司将所持上海金仕达卫宁软件有限公司</w:t>
      </w:r>
      <w:r>
        <w:rPr>
          <w:rFonts w:ascii="Times New Roman" w:hAnsi="Times New Roman" w:cs="Times New Roman" w:eastAsia="Times New Roman" w:hint="default"/>
          <w:spacing w:val="-1"/>
        </w:rPr>
        <w:t>10%</w:t>
      </w:r>
      <w:r>
        <w:rPr>
          <w:spacing w:val="-1"/>
        </w:rPr>
        <w:t>股权转让给上海为宁信息技术有限公司，于</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日取得换发的商外资沪浦合资字</w:t>
      </w:r>
      <w:r>
        <w:rPr>
          <w:rFonts w:ascii="Times New Roman" w:hAnsi="Times New Roman" w:cs="Times New Roman" w:eastAsia="Times New Roman" w:hint="default"/>
        </w:rPr>
        <w:t>[2004]0841</w:t>
      </w:r>
      <w:r>
        <w:rPr/>
        <w:t>号外商投资企业批准证书，于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日取得</w:t>
      </w:r>
      <w:r>
        <w:rPr>
          <w:rFonts w:ascii="Times New Roman" w:hAnsi="Times New Roman" w:cs="Times New Roman" w:eastAsia="Times New Roman" w:hint="default"/>
        </w:rPr>
        <w:t>310115400147263</w:t>
      </w:r>
      <w:r>
        <w:rPr/>
        <w:t>号</w:t>
      </w:r>
    </w:p>
    <w:p>
      <w:pPr>
        <w:spacing w:after="0" w:line="30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企业法人营业执照，投资总额和注册资本不变。</w:t>
      </w:r>
    </w:p>
    <w:p>
      <w:pPr>
        <w:pStyle w:val="BodyText"/>
        <w:spacing w:line="300" w:lineRule="auto" w:before="76"/>
        <w:ind w:right="1101" w:firstLine="36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日，经上海金仕达卫宁软件有限公司董事会、股东会审议并经浦府项字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458</w:t>
      </w:r>
      <w:r>
        <w:rPr/>
        <w:t>号文批准，英属维尔京 群岛</w:t>
      </w:r>
      <w:r>
        <w:rPr>
          <w:rFonts w:ascii="Times New Roman" w:hAnsi="Times New Roman" w:cs="Times New Roman" w:eastAsia="Times New Roman" w:hint="default"/>
        </w:rPr>
        <w:t>WINNINGINTERNATIONALTECHNOLOGYLTD</w:t>
      </w:r>
      <w:r>
        <w:rPr/>
        <w:t>将所持上海金仕达卫宁软件有限公司</w:t>
      </w:r>
      <w:r>
        <w:rPr>
          <w:rFonts w:ascii="Times New Roman" w:hAnsi="Times New Roman" w:cs="Times New Roman" w:eastAsia="Times New Roman" w:hint="default"/>
        </w:rPr>
        <w:t>90%</w:t>
      </w:r>
      <w:r>
        <w:rPr/>
        <w:t>的股权转让给周炜、王英、</w:t>
      </w:r>
      <w:r>
        <w:rPr>
          <w:spacing w:val="-30"/>
        </w:rPr>
        <w:t> </w:t>
      </w:r>
      <w:r>
        <w:rPr>
          <w:spacing w:val="-30"/>
        </w:rPr>
      </w:r>
      <w:r>
        <w:rPr>
          <w:spacing w:val="-2"/>
        </w:rPr>
        <w:t>刘宁三位自然人，上海金仕达卫宁软件有限公司企业性质由中外合资企业变更为内资有限责任公司，注册资本由</w:t>
      </w:r>
      <w:r>
        <w:rPr>
          <w:rFonts w:ascii="Times New Roman" w:hAnsi="Times New Roman" w:cs="Times New Roman" w:eastAsia="Times New Roman" w:hint="default"/>
          <w:spacing w:val="-2"/>
        </w:rPr>
        <w:t>20</w:t>
      </w:r>
      <w:r>
        <w:rPr>
          <w:spacing w:val="-2"/>
        </w:rPr>
        <w:t>万美元变</w:t>
      </w:r>
      <w:r>
        <w:rPr>
          <w:spacing w:val="-63"/>
        </w:rPr>
        <w:t> </w:t>
      </w:r>
      <w:r>
        <w:rPr>
          <w:spacing w:val="-1"/>
        </w:rPr>
        <w:t>更为等额人民币注册资本，变更后的注册资本为人民币</w:t>
      </w:r>
      <w:r>
        <w:rPr>
          <w:rFonts w:ascii="Times New Roman" w:hAnsi="Times New Roman" w:cs="Times New Roman" w:eastAsia="Times New Roman" w:hint="default"/>
          <w:spacing w:val="-1"/>
        </w:rPr>
        <w:t>1,653,156.00</w:t>
      </w:r>
      <w:r>
        <w:rPr>
          <w:spacing w:val="-1"/>
        </w:rPr>
        <w:t>元。变更后，股东为周炜、王英、刘宁</w:t>
      </w:r>
      <w:r>
        <w:rPr>
          <w:rFonts w:ascii="Times New Roman" w:hAnsi="Times New Roman" w:cs="Times New Roman" w:eastAsia="Times New Roman" w:hint="default"/>
          <w:spacing w:val="-1"/>
        </w:rPr>
        <w:t>3</w:t>
      </w:r>
      <w:r>
        <w:rPr>
          <w:spacing w:val="-1"/>
        </w:rPr>
        <w:t>名自然人和上海</w:t>
      </w:r>
      <w:r>
        <w:rPr>
          <w:spacing w:val="-74"/>
        </w:rPr>
        <w:t> </w:t>
      </w:r>
      <w:r>
        <w:rPr/>
        <w:t>为宁信息技术有限公司。</w:t>
      </w:r>
    </w:p>
    <w:p>
      <w:pPr>
        <w:pStyle w:val="BodyText"/>
        <w:spacing w:line="300" w:lineRule="auto" w:before="31"/>
        <w:ind w:right="1132"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日，根据上海金仕达卫宁软件有限公司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日临时股东会决议，上海金仕达卫宁软件有限公司增</w:t>
      </w:r>
      <w:r>
        <w:rPr/>
        <w:t> 加注册资本人民币</w:t>
      </w:r>
      <w:r>
        <w:rPr>
          <w:rFonts w:ascii="Times New Roman" w:hAnsi="Times New Roman" w:cs="Times New Roman" w:eastAsia="Times New Roman" w:hint="default"/>
        </w:rPr>
        <w:t>8,346,844.00</w:t>
      </w:r>
      <w:r>
        <w:rPr/>
        <w:t>元，其中股东周炜、刘宁、王英和上海为宁信息技术有限公司以上海金仕达卫宁软件有限公</w:t>
      </w:r>
      <w:r>
        <w:rPr>
          <w:spacing w:val="-53"/>
        </w:rPr>
        <w:t> </w:t>
      </w:r>
      <w:r>
        <w:rPr>
          <w:spacing w:val="-53"/>
        </w:rPr>
      </w:r>
      <w:r>
        <w:rPr/>
        <w:t>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日未分配利润</w:t>
      </w:r>
      <w:r>
        <w:rPr>
          <w:rFonts w:ascii="Times New Roman" w:hAnsi="Times New Roman" w:cs="Times New Roman" w:eastAsia="Times New Roman" w:hint="default"/>
        </w:rPr>
        <w:t>4,498,523.80</w:t>
      </w:r>
      <w:r>
        <w:rPr/>
        <w:t>元转增资本，刘宁、孙凯等</w:t>
      </w:r>
      <w:r>
        <w:rPr>
          <w:rFonts w:ascii="Times New Roman" w:hAnsi="Times New Roman" w:cs="Times New Roman" w:eastAsia="Times New Roman" w:hint="default"/>
        </w:rPr>
        <w:t>24</w:t>
      </w:r>
      <w:r>
        <w:rPr/>
        <w:t>名自然人以货币资金增资</w:t>
      </w:r>
      <w:r>
        <w:rPr>
          <w:rFonts w:ascii="Times New Roman" w:hAnsi="Times New Roman" w:cs="Times New Roman" w:eastAsia="Times New Roman" w:hint="default"/>
        </w:rPr>
        <w:t>3,848,320.20</w:t>
      </w:r>
      <w:r>
        <w:rPr/>
        <w:t>元，变更后的 注册资本为人民币</w:t>
      </w:r>
      <w:r>
        <w:rPr>
          <w:rFonts w:ascii="Times New Roman" w:hAnsi="Times New Roman" w:cs="Times New Roman" w:eastAsia="Times New Roman" w:hint="default"/>
        </w:rPr>
        <w:t>10,000,000.00</w:t>
      </w:r>
      <w:r>
        <w:rPr/>
        <w:t>元。变更注册资本后，股东为周炜等</w:t>
      </w:r>
      <w:r>
        <w:rPr>
          <w:rFonts w:ascii="Times New Roman" w:hAnsi="Times New Roman" w:cs="Times New Roman" w:eastAsia="Times New Roman" w:hint="default"/>
        </w:rPr>
        <w:t>26</w:t>
      </w:r>
      <w:r>
        <w:rPr/>
        <w:t>名自然人和上海为宁信息技术有限公司。</w:t>
      </w:r>
    </w:p>
    <w:p>
      <w:pPr>
        <w:pStyle w:val="BodyText"/>
        <w:spacing w:line="300" w:lineRule="auto" w:before="13"/>
        <w:ind w:right="1130" w:firstLine="360"/>
        <w:jc w:val="both"/>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日，上海为宁信息技术有限公司将所持上海金仕达卫宁软件有限公司</w:t>
      </w:r>
      <w:r>
        <w:rPr>
          <w:rFonts w:ascii="Times New Roman" w:hAnsi="Times New Roman" w:cs="Times New Roman" w:eastAsia="Times New Roman" w:hint="default"/>
          <w:spacing w:val="-1"/>
        </w:rPr>
        <w:t>6.16%</w:t>
      </w:r>
      <w:r>
        <w:rPr>
          <w:spacing w:val="-1"/>
        </w:rPr>
        <w:t>股权转让给自然人孙凯。变更</w:t>
      </w:r>
      <w:r>
        <w:rPr/>
        <w:t> 后股东为周炜等</w:t>
      </w:r>
      <w:r>
        <w:rPr>
          <w:rFonts w:ascii="Times New Roman" w:hAnsi="Times New Roman" w:cs="Times New Roman" w:eastAsia="Times New Roman" w:hint="default"/>
        </w:rPr>
        <w:t>26</w:t>
      </w:r>
      <w:r>
        <w:rPr/>
        <w:t>名自然人。</w:t>
      </w:r>
    </w:p>
    <w:p>
      <w:pPr>
        <w:pStyle w:val="BodyText"/>
        <w:spacing w:line="300" w:lineRule="auto" w:before="13"/>
        <w:ind w:right="1130"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日，根据上海金仕达卫宁软件有限公司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日临时股东会决议，上海金仕达卫宁软件有限公司整</w:t>
      </w:r>
      <w:r>
        <w:rPr/>
        <w:t> </w:t>
      </w:r>
      <w:r>
        <w:rPr>
          <w:spacing w:val="-2"/>
        </w:rPr>
        <w:t>体变更为上海金仕达卫宁软件股份有限公司，上海金仕达卫宁软件有限公司全体股东以截至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日经审计后的净资</w:t>
      </w:r>
      <w:r>
        <w:rPr>
          <w:spacing w:val="-60"/>
        </w:rPr>
        <w:t> </w:t>
      </w:r>
      <w:r>
        <w:rPr/>
        <w:t>产</w:t>
      </w:r>
      <w:r>
        <w:rPr>
          <w:rFonts w:ascii="Times New Roman" w:hAnsi="Times New Roman" w:cs="Times New Roman" w:eastAsia="Times New Roman" w:hint="default"/>
        </w:rPr>
        <w:t>52,912,479.56</w:t>
      </w:r>
      <w:r>
        <w:rPr/>
        <w:t>元出资，其中以净资产出资</w:t>
      </w:r>
      <w:r>
        <w:rPr>
          <w:rFonts w:ascii="Times New Roman" w:hAnsi="Times New Roman" w:cs="Times New Roman" w:eastAsia="Times New Roman" w:hint="default"/>
        </w:rPr>
        <w:t>40,000,000.00</w:t>
      </w:r>
      <w:r>
        <w:rPr/>
        <w:t>元，折</w:t>
      </w:r>
      <w:r>
        <w:rPr>
          <w:rFonts w:ascii="Times New Roman" w:hAnsi="Times New Roman" w:cs="Times New Roman" w:eastAsia="Times New Roman" w:hint="default"/>
        </w:rPr>
        <w:t>40,000,000</w:t>
      </w:r>
      <w:r>
        <w:rPr/>
        <w:t>股，每股面值</w:t>
      </w:r>
      <w:r>
        <w:rPr>
          <w:rFonts w:ascii="Times New Roman" w:hAnsi="Times New Roman" w:cs="Times New Roman" w:eastAsia="Times New Roman" w:hint="default"/>
        </w:rPr>
        <w:t>1</w:t>
      </w:r>
      <w:r>
        <w:rPr/>
        <w:t>元，其余</w:t>
      </w:r>
      <w:r>
        <w:rPr>
          <w:rFonts w:ascii="Times New Roman" w:hAnsi="Times New Roman" w:cs="Times New Roman" w:eastAsia="Times New Roman" w:hint="default"/>
        </w:rPr>
        <w:t>12,912,479.56</w:t>
      </w:r>
      <w:r>
        <w:rPr/>
        <w:t>元转为资本</w:t>
      </w:r>
      <w:r>
        <w:rPr>
          <w:spacing w:val="-68"/>
        </w:rPr>
        <w:t> </w:t>
      </w:r>
      <w:r>
        <w:rPr>
          <w:spacing w:val="-68"/>
        </w:rPr>
      </w:r>
      <w:r>
        <w:rPr/>
        <w:t>公积，变更后的注册资本为人民币</w:t>
      </w:r>
      <w:r>
        <w:rPr>
          <w:rFonts w:ascii="Times New Roman" w:hAnsi="Times New Roman" w:cs="Times New Roman" w:eastAsia="Times New Roman" w:hint="default"/>
        </w:rPr>
        <w:t>40,000,000.00</w:t>
      </w:r>
      <w:r>
        <w:rPr/>
        <w:t>元，此次变更业经中磊会计师事务所有限责任公司中磊验字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7004</w:t>
      </w:r>
      <w:r>
        <w:rPr/>
        <w:t>号</w:t>
      </w:r>
      <w:r>
        <w:rPr>
          <w:spacing w:val="-80"/>
        </w:rPr>
        <w:t> </w:t>
      </w:r>
      <w:r>
        <w:rPr/>
        <w:t>验资报告验证。公司于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日取得上海市工商行政管理局换发的</w:t>
      </w:r>
      <w:r>
        <w:rPr>
          <w:rFonts w:ascii="Times New Roman" w:hAnsi="Times New Roman" w:cs="Times New Roman" w:eastAsia="Times New Roman" w:hint="default"/>
        </w:rPr>
        <w:t>310115400147263</w:t>
      </w:r>
      <w:r>
        <w:rPr/>
        <w:t>号企业法人营业执照，注册资本 为人民币</w:t>
      </w:r>
      <w:r>
        <w:rPr>
          <w:rFonts w:ascii="Times New Roman" w:hAnsi="Times New Roman" w:cs="Times New Roman" w:eastAsia="Times New Roman" w:hint="default"/>
        </w:rPr>
        <w:t>40,000,000.00</w:t>
      </w:r>
      <w:r>
        <w:rPr/>
        <w:t>元，股东为周炜等</w:t>
      </w:r>
      <w:r>
        <w:rPr>
          <w:rFonts w:ascii="Times New Roman" w:hAnsi="Times New Roman" w:cs="Times New Roman" w:eastAsia="Times New Roman" w:hint="default"/>
        </w:rPr>
        <w:t>26</w:t>
      </w:r>
      <w:r>
        <w:rPr/>
        <w:t>名自然人。</w:t>
      </w:r>
    </w:p>
    <w:p>
      <w:pPr>
        <w:pStyle w:val="BodyText"/>
        <w:spacing w:line="300" w:lineRule="auto" w:before="13"/>
        <w:ind w:right="0" w:firstLine="360"/>
        <w:jc w:val="left"/>
      </w:pPr>
      <w:r>
        <w:rPr/>
        <w:t>经中国证券监督管理委员会证监许可</w:t>
      </w:r>
      <w:r>
        <w:rPr>
          <w:rFonts w:ascii="Times New Roman" w:hAnsi="Times New Roman" w:cs="Times New Roman" w:eastAsia="Times New Roman" w:hint="default"/>
        </w:rPr>
        <w:t>[2011]1129</w:t>
      </w:r>
      <w:r>
        <w:rPr/>
        <w:t>号文《关于核准上海金仕达卫宁软件股份有限公司首次公开发行股票并 </w:t>
      </w:r>
      <w:r>
        <w:rPr>
          <w:spacing w:val="-2"/>
        </w:rPr>
        <w:t>在创业板上市的批复》，</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月本公司发行社会公众股</w:t>
      </w:r>
      <w:r>
        <w:rPr>
          <w:rFonts w:ascii="Times New Roman" w:hAnsi="Times New Roman" w:cs="Times New Roman" w:eastAsia="Times New Roman" w:hint="default"/>
          <w:spacing w:val="-2"/>
        </w:rPr>
        <w:t>13,500,000.00</w:t>
      </w:r>
      <w:r>
        <w:rPr>
          <w:spacing w:val="-2"/>
        </w:rPr>
        <w:t>股，每股面值</w:t>
      </w:r>
      <w:r>
        <w:rPr>
          <w:rFonts w:ascii="Times New Roman" w:hAnsi="Times New Roman" w:cs="Times New Roman" w:eastAsia="Times New Roman" w:hint="default"/>
          <w:spacing w:val="-2"/>
        </w:rPr>
        <w:t>1</w:t>
      </w:r>
      <w:r>
        <w:rPr>
          <w:spacing w:val="-2"/>
        </w:rPr>
        <w:t>元，发行后总股本为</w:t>
      </w:r>
      <w:r>
        <w:rPr>
          <w:rFonts w:ascii="Times New Roman" w:hAnsi="Times New Roman" w:cs="Times New Roman" w:eastAsia="Times New Roman" w:hint="default"/>
          <w:spacing w:val="-2"/>
        </w:rPr>
        <w:t>53,500,000.00</w:t>
      </w:r>
      <w:r>
        <w:rPr>
          <w:spacing w:val="-2"/>
        </w:rPr>
        <w:t>元。</w:t>
      </w:r>
      <w:r>
        <w:rPr>
          <w:spacing w:val="-43"/>
        </w:rPr>
        <w:t> </w:t>
      </w:r>
      <w:r>
        <w:rPr>
          <w:spacing w:val="-43"/>
        </w:rPr>
      </w:r>
      <w:r>
        <w:rPr/>
        <w:t>此次变更业经中磊会计师事务所有限责任公司中磊验字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0067</w:t>
      </w:r>
      <w:r>
        <w:rPr/>
        <w:t>号验资报告验证，并于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日换发相同注册号</w:t>
      </w:r>
      <w:r>
        <w:rPr>
          <w:spacing w:val="-37"/>
        </w:rPr>
        <w:t> </w:t>
      </w:r>
      <w:r>
        <w:rPr>
          <w:spacing w:val="-37"/>
        </w:rPr>
      </w:r>
      <w:r>
        <w:rPr/>
        <w:t>的企业法人营业执照，注册资本为人民币</w:t>
      </w:r>
      <w:r>
        <w:rPr>
          <w:rFonts w:ascii="Times New Roman" w:hAnsi="Times New Roman" w:cs="Times New Roman" w:eastAsia="Times New Roman" w:hint="default"/>
        </w:rPr>
        <w:t>53,500,000.00</w:t>
      </w:r>
      <w:r>
        <w:rPr/>
        <w:t>元。</w:t>
      </w:r>
    </w:p>
    <w:p>
      <w:pPr>
        <w:pStyle w:val="BodyText"/>
        <w:spacing w:line="300" w:lineRule="auto" w:before="13"/>
        <w:ind w:right="0" w:firstLine="360"/>
        <w:jc w:val="left"/>
      </w:pPr>
      <w:r>
        <w:rPr/>
        <w:t>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2011</w:t>
      </w:r>
      <w:r>
        <w:rPr/>
        <w:t>年度股东大会决议，以截至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日止公司总股本</w:t>
      </w:r>
      <w:r>
        <w:rPr>
          <w:rFonts w:ascii="Times New Roman" w:hAnsi="Times New Roman" w:cs="Times New Roman" w:eastAsia="Times New Roman" w:hint="default"/>
        </w:rPr>
        <w:t>5,350</w:t>
      </w:r>
      <w:r>
        <w:rPr/>
        <w:t>万股为基数，以资本公积向全 </w:t>
      </w:r>
      <w:r>
        <w:rPr>
          <w:spacing w:val="-1"/>
        </w:rPr>
        <w:t>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股，转增后注册资本为人民币</w:t>
      </w:r>
      <w:r>
        <w:rPr>
          <w:rFonts w:ascii="Times New Roman" w:hAnsi="Times New Roman" w:cs="Times New Roman" w:eastAsia="Times New Roman" w:hint="default"/>
          <w:spacing w:val="-1"/>
        </w:rPr>
        <w:t>107,000,000.00</w:t>
      </w:r>
      <w:r>
        <w:rPr>
          <w:spacing w:val="-1"/>
        </w:rPr>
        <w:t>元。此次变更业经中磊会计师事务所有限责任公司（</w:t>
      </w:r>
      <w:r>
        <w:rPr>
          <w:rFonts w:ascii="Times New Roman" w:hAnsi="Times New Roman" w:cs="Times New Roman" w:eastAsia="Times New Roman" w:hint="default"/>
          <w:spacing w:val="-1"/>
        </w:rPr>
        <w:t>2012</w:t>
      </w:r>
      <w:r>
        <w:rPr>
          <w:spacing w:val="-1"/>
        </w:rPr>
        <w:t>）</w:t>
      </w:r>
      <w:r>
        <w:rPr>
          <w:spacing w:val="-69"/>
        </w:rPr>
        <w:t> </w:t>
      </w:r>
      <w:r>
        <w:rPr>
          <w:spacing w:val="6"/>
        </w:rPr>
        <w:t>中磊（验</w:t>
      </w:r>
      <w:r>
        <w:rPr>
          <w:rFonts w:ascii="Times New Roman" w:hAnsi="Times New Roman" w:cs="Times New Roman" w:eastAsia="Times New Roman" w:hint="default"/>
          <w:spacing w:val="6"/>
        </w:rPr>
        <w:t>A</w:t>
      </w:r>
      <w:r>
        <w:rPr>
          <w:spacing w:val="6"/>
        </w:rPr>
        <w:t>）字第</w:t>
      </w:r>
      <w:r>
        <w:rPr>
          <w:rFonts w:ascii="Times New Roman" w:hAnsi="Times New Roman" w:cs="Times New Roman" w:eastAsia="Times New Roman" w:hint="default"/>
          <w:spacing w:val="6"/>
        </w:rPr>
        <w:t>0012</w:t>
      </w:r>
      <w:r>
        <w:rPr>
          <w:spacing w:val="6"/>
        </w:rPr>
        <w:t>号验资报告验证，并于</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20</w:t>
      </w:r>
      <w:r>
        <w:rPr>
          <w:spacing w:val="6"/>
        </w:rPr>
        <w:t>日换发相同注册号的企业法人营业执照，注册资本为人民币</w:t>
      </w:r>
      <w:r>
        <w:rPr>
          <w:spacing w:val="-36"/>
        </w:rPr>
        <w:t> </w:t>
      </w:r>
      <w:r>
        <w:rPr>
          <w:spacing w:val="-36"/>
        </w:rPr>
      </w:r>
      <w:r>
        <w:rPr>
          <w:rFonts w:ascii="Times New Roman" w:hAnsi="Times New Roman" w:cs="Times New Roman" w:eastAsia="Times New Roman" w:hint="default"/>
        </w:rPr>
        <w:t>107,000,000.00</w:t>
      </w:r>
      <w:r>
        <w:rPr/>
        <w:t>元。</w:t>
      </w:r>
    </w:p>
    <w:p>
      <w:pPr>
        <w:pStyle w:val="BodyText"/>
        <w:spacing w:line="240" w:lineRule="auto" w:before="13"/>
        <w:ind w:left="472" w:right="0"/>
        <w:jc w:val="left"/>
      </w:pPr>
      <w:r>
        <w:rPr>
          <w:spacing w:val="5"/>
        </w:rPr>
        <w:t>截至</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日止，公司股票期权激励计划首次授予股票期权第一批共计行权</w:t>
      </w:r>
      <w:r>
        <w:rPr>
          <w:rFonts w:ascii="Times New Roman" w:hAnsi="Times New Roman" w:cs="Times New Roman" w:eastAsia="Times New Roman" w:hint="default"/>
          <w:spacing w:val="5"/>
        </w:rPr>
        <w:t>967,100.00</w:t>
      </w:r>
      <w:r>
        <w:rPr>
          <w:spacing w:val="5"/>
        </w:rPr>
        <w:t>股，增加股本人民币</w:t>
      </w:r>
    </w:p>
    <w:p>
      <w:pPr>
        <w:pStyle w:val="BodyText"/>
        <w:spacing w:line="300" w:lineRule="auto" w:before="63"/>
        <w:ind w:left="472" w:right="0" w:hanging="360"/>
        <w:jc w:val="left"/>
      </w:pPr>
      <w:r>
        <w:rPr>
          <w:rFonts w:ascii="Times New Roman" w:hAnsi="Times New Roman" w:cs="Times New Roman" w:eastAsia="Times New Roman" w:hint="default"/>
        </w:rPr>
        <w:t>967,100.00</w:t>
      </w:r>
      <w:r>
        <w:rPr/>
        <w:t>元。上述变更于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日业经华普天健会计师事务所（特殊普通合伙）会验字</w:t>
      </w:r>
      <w:r>
        <w:rPr>
          <w:rFonts w:ascii="Times New Roman" w:hAnsi="Times New Roman" w:cs="Times New Roman" w:eastAsia="Times New Roman" w:hint="default"/>
        </w:rPr>
        <w:t>[2014]0292</w:t>
      </w:r>
      <w:r>
        <w:rPr/>
        <w:t>号验资报告验证。 </w:t>
      </w:r>
      <w:r>
        <w:rPr>
          <w:spacing w:val="-1"/>
        </w:rPr>
        <w:t>经公司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w:t>
      </w:r>
      <w:r>
        <w:rPr>
          <w:rFonts w:ascii="Times New Roman" w:hAnsi="Times New Roman" w:cs="Times New Roman" w:eastAsia="Times New Roman" w:hint="default"/>
          <w:spacing w:val="-1"/>
        </w:rPr>
        <w:t>2013</w:t>
      </w:r>
      <w:r>
        <w:rPr>
          <w:spacing w:val="-1"/>
        </w:rPr>
        <w:t>年度股东大会决议，以截至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日止公司总股本</w:t>
      </w:r>
      <w:r>
        <w:rPr>
          <w:rFonts w:ascii="Times New Roman" w:hAnsi="Times New Roman" w:cs="Times New Roman" w:eastAsia="Times New Roman" w:hint="default"/>
          <w:spacing w:val="-1"/>
        </w:rPr>
        <w:t>107,967,100.00</w:t>
      </w:r>
      <w:r>
        <w:rPr>
          <w:spacing w:val="-1"/>
        </w:rPr>
        <w:t>股为基数，以资本公</w:t>
      </w:r>
    </w:p>
    <w:p>
      <w:pPr>
        <w:pStyle w:val="BodyText"/>
        <w:spacing w:line="240" w:lineRule="auto" w:before="13"/>
        <w:ind w:right="0"/>
        <w:jc w:val="both"/>
      </w:pPr>
      <w:r>
        <w:rPr/>
        <w:t>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股，转增后股本为</w:t>
      </w:r>
      <w:r>
        <w:rPr>
          <w:rFonts w:ascii="Times New Roman" w:hAnsi="Times New Roman" w:cs="Times New Roman" w:eastAsia="Times New Roman" w:hint="default"/>
        </w:rPr>
        <w:t>215,934,198</w:t>
      </w:r>
      <w:r>
        <w:rPr/>
        <w:t>股。</w:t>
      </w:r>
    </w:p>
    <w:p>
      <w:pPr>
        <w:pStyle w:val="BodyText"/>
        <w:spacing w:line="240" w:lineRule="auto" w:before="63"/>
        <w:ind w:left="472" w:right="0"/>
        <w:jc w:val="left"/>
      </w:pPr>
      <w:r>
        <w:rPr>
          <w:rFonts w:ascii="Times New Roman" w:hAnsi="Times New Roman" w:cs="Times New Roman" w:eastAsia="Times New Roman" w:hint="default"/>
          <w:spacing w:val="6"/>
        </w:rPr>
        <w:t>2014</w:t>
      </w:r>
      <w:r>
        <w:rPr>
          <w:spacing w:val="6"/>
        </w:rPr>
        <w:t>年度公司股票期权激励计划首次授予股票期权及预留部分股票期权共计行权</w:t>
      </w:r>
      <w:r>
        <w:rPr>
          <w:rFonts w:ascii="Times New Roman" w:hAnsi="Times New Roman" w:cs="Times New Roman" w:eastAsia="Times New Roman" w:hint="default"/>
          <w:spacing w:val="6"/>
        </w:rPr>
        <w:t>2,561,170.00</w:t>
      </w:r>
      <w:r>
        <w:rPr>
          <w:spacing w:val="6"/>
        </w:rPr>
        <w:t>股，增加股本人民币</w:t>
      </w:r>
    </w:p>
    <w:p>
      <w:pPr>
        <w:pStyle w:val="BodyText"/>
        <w:spacing w:line="240" w:lineRule="auto" w:before="63"/>
        <w:ind w:right="0"/>
        <w:jc w:val="both"/>
      </w:pPr>
      <w:r>
        <w:rPr>
          <w:rFonts w:ascii="Times New Roman" w:hAnsi="Times New Roman" w:cs="Times New Roman" w:eastAsia="Times New Roman" w:hint="default"/>
        </w:rPr>
        <w:t>2,561,170.00</w:t>
      </w:r>
      <w:r>
        <w:rPr/>
        <w:t>元。</w:t>
      </w:r>
    </w:p>
    <w:p>
      <w:pPr>
        <w:pStyle w:val="BodyText"/>
        <w:spacing w:line="300" w:lineRule="auto" w:before="63"/>
        <w:ind w:right="1132" w:firstLine="360"/>
        <w:jc w:val="both"/>
      </w:pPr>
      <w:r>
        <w:rPr/>
        <w:t>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2014</w:t>
      </w:r>
      <w:r>
        <w:rPr/>
        <w:t>年度股东大会决议，以公司实施</w:t>
      </w:r>
      <w:r>
        <w:rPr>
          <w:rFonts w:ascii="Times New Roman" w:hAnsi="Times New Roman" w:cs="Times New Roman" w:eastAsia="Times New Roman" w:hint="default"/>
        </w:rPr>
        <w:t>2014</w:t>
      </w:r>
      <w:r>
        <w:rPr/>
        <w:t>年度权益分配方案时股权登记日的总股本为基数，向全体股 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股；共计送股</w:t>
      </w:r>
      <w:r>
        <w:rPr>
          <w:rFonts w:ascii="Times New Roman" w:hAnsi="Times New Roman" w:cs="Times New Roman" w:eastAsia="Times New Roman" w:hint="default"/>
        </w:rPr>
        <w:t>109,268,971</w:t>
      </w:r>
      <w:r>
        <w:rPr/>
        <w:t>股；同时，以资本公积金向全体股东每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218,537,943</w:t>
      </w:r>
      <w:r>
        <w:rPr/>
        <w:t>股，合计 增加股本人民币</w:t>
      </w:r>
      <w:r>
        <w:rPr>
          <w:rFonts w:ascii="Times New Roman" w:hAnsi="Times New Roman" w:cs="Times New Roman" w:eastAsia="Times New Roman" w:hint="default"/>
        </w:rPr>
        <w:t>327,806,914.00</w:t>
      </w:r>
      <w:r>
        <w:rPr/>
        <w:t>元，变更后股本总额</w:t>
      </w:r>
      <w:r>
        <w:rPr>
          <w:rFonts w:ascii="Times New Roman" w:hAnsi="Times New Roman" w:cs="Times New Roman" w:eastAsia="Times New Roman" w:hint="default"/>
        </w:rPr>
        <w:t>546,344,857.00</w:t>
      </w:r>
      <w:r>
        <w:rPr/>
        <w:t>元。此次变更同时换取相同注册号的企业法人营业执照， 注册资本人民币</w:t>
      </w:r>
      <w:r>
        <w:rPr>
          <w:rFonts w:ascii="Times New Roman" w:hAnsi="Times New Roman" w:cs="Times New Roman" w:eastAsia="Times New Roman" w:hint="default"/>
        </w:rPr>
        <w:t>546,344,857.00</w:t>
      </w:r>
      <w:r>
        <w:rPr/>
        <w:t>元。</w:t>
      </w:r>
    </w:p>
    <w:p>
      <w:pPr>
        <w:pStyle w:val="BodyText"/>
        <w:spacing w:line="300" w:lineRule="auto" w:before="13"/>
        <w:ind w:right="1132" w:firstLine="360"/>
        <w:jc w:val="both"/>
      </w:pPr>
      <w:r>
        <w:rPr>
          <w:rFonts w:ascii="Times New Roman" w:hAnsi="Times New Roman" w:cs="Times New Roman" w:eastAsia="Times New Roman" w:hint="default"/>
          <w:spacing w:val="-2"/>
        </w:rPr>
        <w:t>2015</w:t>
      </w:r>
      <w:r>
        <w:rPr>
          <w:spacing w:val="-2"/>
        </w:rPr>
        <w:t>年度公司</w:t>
      </w:r>
      <w:r>
        <w:rPr>
          <w:rFonts w:ascii="Times New Roman" w:hAnsi="Times New Roman" w:cs="Times New Roman" w:eastAsia="Times New Roman" w:hint="default"/>
          <w:spacing w:val="-2"/>
        </w:rPr>
        <w:t>2012</w:t>
      </w:r>
      <w:r>
        <w:rPr>
          <w:spacing w:val="-2"/>
        </w:rPr>
        <w:t>年股票期权激励计划首次授予股票期权及预留部分股票期权、</w:t>
      </w:r>
      <w:r>
        <w:rPr>
          <w:rFonts w:ascii="Times New Roman" w:hAnsi="Times New Roman" w:cs="Times New Roman" w:eastAsia="Times New Roman" w:hint="default"/>
          <w:spacing w:val="-2"/>
        </w:rPr>
        <w:t>2014</w:t>
      </w:r>
      <w:r>
        <w:rPr>
          <w:spacing w:val="-2"/>
        </w:rPr>
        <w:t>年股票期权激励计划首次授予股权</w:t>
      </w:r>
      <w:r>
        <w:rPr/>
        <w:t> 期权共计行权</w:t>
      </w:r>
      <w:r>
        <w:rPr>
          <w:rFonts w:ascii="Times New Roman" w:hAnsi="Times New Roman" w:cs="Times New Roman" w:eastAsia="Times New Roman" w:hint="default"/>
        </w:rPr>
        <w:t>8,893,754.00</w:t>
      </w:r>
      <w:r>
        <w:rPr/>
        <w:t>股，增加股本人民币</w:t>
      </w:r>
      <w:r>
        <w:rPr>
          <w:rFonts w:ascii="Times New Roman" w:hAnsi="Times New Roman" w:cs="Times New Roman" w:eastAsia="Times New Roman" w:hint="default"/>
        </w:rPr>
        <w:t>8,893,754.00</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日止公司股本总额为</w:t>
      </w:r>
      <w:r>
        <w:rPr>
          <w:rFonts w:ascii="Times New Roman" w:hAnsi="Times New Roman" w:cs="Times New Roman" w:eastAsia="Times New Roman" w:hint="default"/>
        </w:rPr>
        <w:t>555,196,036.00</w:t>
      </w:r>
      <w:r>
        <w:rPr/>
        <w:t>元。</w:t>
      </w:r>
    </w:p>
    <w:p>
      <w:pPr>
        <w:pStyle w:val="BodyText"/>
        <w:spacing w:line="300" w:lineRule="auto" w:before="13"/>
        <w:ind w:right="1132" w:firstLine="360"/>
        <w:jc w:val="both"/>
      </w:pPr>
      <w:r>
        <w:rPr/>
        <w:t>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2015</w:t>
      </w:r>
      <w:r>
        <w:rPr/>
        <w:t>年第二次临时股东大会决议，上海金仕达卫宁软件股份有限公司更名为卫宁健康科技集团股份有 限公司。</w:t>
      </w:r>
    </w:p>
    <w:p>
      <w:pPr>
        <w:pStyle w:val="BodyText"/>
        <w:spacing w:line="240" w:lineRule="auto" w:before="31"/>
        <w:ind w:left="472" w:right="0"/>
        <w:jc w:val="left"/>
      </w:pPr>
      <w:r>
        <w:rPr>
          <w:spacing w:val="2"/>
        </w:rPr>
        <w:t>根据公司</w:t>
      </w:r>
      <w:r>
        <w:rPr>
          <w:rFonts w:ascii="Times New Roman" w:hAnsi="Times New Roman" w:cs="Times New Roman" w:eastAsia="Times New Roman" w:hint="default"/>
          <w:spacing w:val="2"/>
        </w:rPr>
        <w:t>2015</w:t>
      </w:r>
      <w:r>
        <w:rPr>
          <w:spacing w:val="2"/>
        </w:rPr>
        <w:t>年第一次临时股东大会决议和修改后章程的规定，经中国证券监督管理委员会证监许可</w:t>
      </w:r>
      <w:r>
        <w:rPr>
          <w:rFonts w:ascii="Times New Roman" w:hAnsi="Times New Roman" w:cs="Times New Roman" w:eastAsia="Times New Roman" w:hint="default"/>
          <w:spacing w:val="2"/>
        </w:rPr>
        <w:t>[2015]2342</w:t>
      </w:r>
      <w:r>
        <w:rPr>
          <w:spacing w:val="2"/>
        </w:rPr>
        <w:t>号文</w:t>
      </w:r>
    </w:p>
    <w:p>
      <w:pPr>
        <w:pStyle w:val="BodyText"/>
        <w:spacing w:line="309" w:lineRule="auto" w:before="63"/>
        <w:ind w:right="1130"/>
        <w:jc w:val="both"/>
      </w:pPr>
      <w:r>
        <w:rPr>
          <w:spacing w:val="-2"/>
        </w:rPr>
        <w:t>《关于核准上海金仕达卫宁软件股份有限公司非公开发行股票的批复》核准，公司向上海中植鑫荞投资管理有限公司、周万</w:t>
      </w:r>
      <w:r>
        <w:rPr>
          <w:spacing w:val="-63"/>
        </w:rPr>
        <w:t> </w:t>
      </w:r>
      <w:r>
        <w:rPr>
          <w:spacing w:val="-63"/>
        </w:rPr>
      </w:r>
      <w:r>
        <w:rPr/>
        <w:t>沅、财通基金管理有限公司</w:t>
      </w:r>
      <w:r>
        <w:rPr>
          <w:rFonts w:ascii="Times New Roman" w:hAnsi="Times New Roman" w:cs="Times New Roman" w:eastAsia="Times New Roman" w:hint="default"/>
        </w:rPr>
        <w:t>3</w:t>
      </w:r>
      <w:r>
        <w:rPr/>
        <w:t>名特定投资者非公开发行股票</w:t>
      </w:r>
      <w:r>
        <w:rPr>
          <w:rFonts w:ascii="Times New Roman" w:hAnsi="Times New Roman" w:cs="Times New Roman" w:eastAsia="Times New Roman" w:hint="default"/>
        </w:rPr>
        <w:t>24,691,878</w:t>
      </w:r>
      <w:r>
        <w:rPr/>
        <w:t>股，每股面值</w:t>
      </w:r>
      <w:r>
        <w:rPr>
          <w:rFonts w:ascii="Times New Roman" w:hAnsi="Times New Roman" w:cs="Times New Roman" w:eastAsia="Times New Roman" w:hint="default"/>
        </w:rPr>
        <w:t>1</w:t>
      </w:r>
      <w:r>
        <w:rPr/>
        <w:t>元，增加股本人民币</w:t>
      </w:r>
      <w:r>
        <w:rPr>
          <w:rFonts w:ascii="Times New Roman" w:hAnsi="Times New Roman" w:cs="Times New Roman" w:eastAsia="Times New Roman" w:hint="default"/>
        </w:rPr>
        <w:t>24,691,878.00</w:t>
      </w:r>
      <w:r>
        <w:rPr/>
        <w:t>元；</w:t>
      </w:r>
      <w:r>
        <w:rPr>
          <w:spacing w:val="-59"/>
        </w:rPr>
        <w:t> </w:t>
      </w:r>
      <w:r>
        <w:rPr/>
        <w:t>此次变更已经华普天健会计师事务所（特殊普通合伙）会验字</w:t>
      </w:r>
      <w:r>
        <w:rPr>
          <w:rFonts w:ascii="Times New Roman" w:hAnsi="Times New Roman" w:cs="Times New Roman" w:eastAsia="Times New Roman" w:hint="default"/>
        </w:rPr>
        <w:t>[2016]1142</w:t>
      </w:r>
      <w:r>
        <w:rPr/>
        <w:t>号验资报告验证。</w:t>
      </w:r>
    </w:p>
    <w:p>
      <w:pPr>
        <w:spacing w:after="0" w:line="309" w:lineRule="auto"/>
        <w:jc w:val="both"/>
        <w:sectPr>
          <w:footerReference w:type="default" r:id="rId23"/>
          <w:pgSz w:w="11910" w:h="16840"/>
          <w:pgMar w:footer="978" w:header="746" w:top="1060" w:bottom="1160" w:left="1020" w:right="0"/>
          <w:pgNumType w:start="110"/>
        </w:sectPr>
      </w:pPr>
    </w:p>
    <w:p>
      <w:pPr>
        <w:spacing w:line="240" w:lineRule="auto" w:before="12"/>
        <w:rPr>
          <w:rFonts w:ascii="宋体" w:hAnsi="宋体" w:cs="宋体" w:eastAsia="宋体" w:hint="default"/>
          <w:sz w:val="25"/>
          <w:szCs w:val="25"/>
        </w:rPr>
      </w:pPr>
    </w:p>
    <w:p>
      <w:pPr>
        <w:pStyle w:val="BodyText"/>
        <w:spacing w:line="300" w:lineRule="auto" w:before="44"/>
        <w:ind w:right="1131" w:firstLine="360"/>
        <w:jc w:val="both"/>
      </w:pPr>
      <w:r>
        <w:rPr/>
        <w:t>根据公司</w:t>
      </w:r>
      <w:r>
        <w:rPr>
          <w:rFonts w:ascii="Times New Roman" w:hAnsi="Times New Roman" w:cs="Times New Roman" w:eastAsia="Times New Roman" w:hint="default"/>
        </w:rPr>
        <w:t>2015</w:t>
      </w:r>
      <w:r>
        <w:rPr/>
        <w:t>年度股东大会审议通过的《关于公司</w:t>
      </w:r>
      <w:r>
        <w:rPr>
          <w:rFonts w:ascii="Times New Roman" w:hAnsi="Times New Roman" w:cs="Times New Roman" w:eastAsia="Times New Roman" w:hint="default"/>
        </w:rPr>
        <w:t>2015</w:t>
      </w:r>
      <w:r>
        <w:rPr/>
        <w:t>年度利润分配及资本公积转增股本方案的议案》，公司以</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日总股本</w:t>
      </w:r>
      <w:r>
        <w:rPr>
          <w:rFonts w:ascii="Times New Roman" w:hAnsi="Times New Roman" w:cs="Times New Roman" w:eastAsia="Times New Roman" w:hint="default"/>
        </w:rPr>
        <w:t>580,306,696</w:t>
      </w:r>
      <w:r>
        <w:rPr/>
        <w:t>股为基数，向全体股东每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w:t>
      </w:r>
      <w:r>
        <w:rPr/>
        <w:t>股，共计增加 股本</w:t>
      </w:r>
      <w:r>
        <w:rPr>
          <w:rFonts w:ascii="Times New Roman" w:hAnsi="Times New Roman" w:cs="Times New Roman" w:eastAsia="Times New Roman" w:hint="default"/>
        </w:rPr>
        <w:t>232,122,678</w:t>
      </w:r>
      <w:r>
        <w:rPr/>
        <w:t>股。</w:t>
      </w:r>
    </w:p>
    <w:p>
      <w:pPr>
        <w:pStyle w:val="BodyText"/>
        <w:spacing w:line="300" w:lineRule="auto" w:before="13"/>
        <w:ind w:right="1129" w:firstLine="360"/>
        <w:jc w:val="right"/>
        <w:rPr>
          <w:rFonts w:ascii="Times New Roman" w:hAnsi="Times New Roman" w:cs="Times New Roman" w:eastAsia="Times New Roman" w:hint="default"/>
        </w:rPr>
      </w:pPr>
      <w:r>
        <w:rPr>
          <w:rFonts w:ascii="Times New Roman" w:hAnsi="Times New Roman" w:cs="Times New Roman" w:eastAsia="Times New Roman" w:hint="default"/>
          <w:spacing w:val="-2"/>
        </w:rPr>
        <w:t>2016</w:t>
      </w:r>
      <w:r>
        <w:rPr>
          <w:spacing w:val="-2"/>
        </w:rPr>
        <w:t>年度公司</w:t>
      </w:r>
      <w:r>
        <w:rPr>
          <w:rFonts w:ascii="Times New Roman" w:hAnsi="Times New Roman" w:cs="Times New Roman" w:eastAsia="Times New Roman" w:hint="default"/>
          <w:spacing w:val="-2"/>
        </w:rPr>
        <w:t>2012</w:t>
      </w:r>
      <w:r>
        <w:rPr>
          <w:spacing w:val="-2"/>
        </w:rPr>
        <w:t>年股票期权激励计划首次授予股票期权及预留部分股票期权、</w:t>
      </w:r>
      <w:r>
        <w:rPr>
          <w:rFonts w:ascii="Times New Roman" w:hAnsi="Times New Roman" w:cs="Times New Roman" w:eastAsia="Times New Roman" w:hint="default"/>
          <w:spacing w:val="-2"/>
        </w:rPr>
        <w:t>2014</w:t>
      </w:r>
      <w:r>
        <w:rPr>
          <w:spacing w:val="-2"/>
        </w:rPr>
        <w:t>年股票期权激励计划首次授予股权</w:t>
      </w:r>
      <w:r>
        <w:rPr/>
        <w:t> </w:t>
      </w:r>
      <w:r>
        <w:rPr>
          <w:spacing w:val="-1"/>
        </w:rPr>
        <w:t>期权共计行权</w:t>
      </w:r>
      <w:r>
        <w:rPr>
          <w:rFonts w:ascii="Times New Roman" w:hAnsi="Times New Roman" w:cs="Times New Roman" w:eastAsia="Times New Roman" w:hint="default"/>
          <w:spacing w:val="-1"/>
        </w:rPr>
        <w:t>12,904,979</w:t>
      </w:r>
      <w:r>
        <w:rPr>
          <w:spacing w:val="-1"/>
        </w:rPr>
        <w:t>股，增加股本人民币</w:t>
      </w:r>
      <w:r>
        <w:rPr>
          <w:rFonts w:ascii="Times New Roman" w:hAnsi="Times New Roman" w:cs="Times New Roman" w:eastAsia="Times New Roman" w:hint="default"/>
          <w:spacing w:val="-1"/>
        </w:rPr>
        <w:t>12,904,979.00</w:t>
      </w:r>
      <w:r>
        <w:rPr>
          <w:spacing w:val="-1"/>
        </w:rPr>
        <w:t>元，截至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日止公司总股本变更为</w:t>
      </w:r>
      <w:r>
        <w:rPr>
          <w:rFonts w:ascii="Times New Roman" w:hAnsi="Times New Roman" w:cs="Times New Roman" w:eastAsia="Times New Roman" w:hint="default"/>
          <w:spacing w:val="-1"/>
        </w:rPr>
        <w:t>824,915,571.00</w:t>
      </w:r>
      <w:r>
        <w:rPr>
          <w:spacing w:val="-1"/>
        </w:rPr>
        <w:t>元。</w:t>
      </w:r>
      <w:r>
        <w:rPr>
          <w:spacing w:val="-75"/>
        </w:rPr>
        <w:t> </w:t>
      </w:r>
      <w:r>
        <w:rPr>
          <w:spacing w:val="-2"/>
        </w:rPr>
        <w:t>根据公司</w:t>
      </w:r>
      <w:r>
        <w:rPr>
          <w:rFonts w:ascii="Times New Roman" w:hAnsi="Times New Roman" w:cs="Times New Roman" w:eastAsia="Times New Roman" w:hint="default"/>
          <w:spacing w:val="-2"/>
        </w:rPr>
        <w:t>2016</w:t>
      </w:r>
      <w:r>
        <w:rPr>
          <w:spacing w:val="-2"/>
        </w:rPr>
        <w:t>年第二次临时股东大会审议通过的《关于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2016</w:t>
      </w:r>
      <w:r>
        <w:rPr>
          <w:spacing w:val="-2"/>
        </w:rPr>
        <w:t>年股票期权与限制性股票激励计划（草案）及其摘要</w:t>
      </w:r>
      <w:r>
        <w:rPr>
          <w:rFonts w:ascii="Times New Roman" w:hAnsi="Times New Roman" w:cs="Times New Roman" w:eastAsia="Times New Roman" w:hint="default"/>
          <w:spacing w:val="-2"/>
        </w:rPr>
        <w:t>&gt;</w:t>
      </w:r>
      <w:r>
        <w:rPr>
          <w:rFonts w:ascii="Times New Roman" w:hAnsi="Times New Roman" w:cs="Times New Roman" w:eastAsia="Times New Roman" w:hint="default"/>
          <w:w w:val="99"/>
        </w:rPr>
        <w:t> </w:t>
      </w:r>
      <w:r>
        <w:rPr>
          <w:spacing w:val="-2"/>
        </w:rPr>
        <w:t>的议案》、第三届董事会第二十四次会议审议通过的《关于调整公司</w:t>
      </w:r>
      <w:r>
        <w:rPr>
          <w:rFonts w:ascii="Times New Roman" w:hAnsi="Times New Roman" w:cs="Times New Roman" w:eastAsia="Times New Roman" w:hint="default"/>
          <w:spacing w:val="-2"/>
        </w:rPr>
        <w:t>2016</w:t>
      </w:r>
      <w:r>
        <w:rPr>
          <w:spacing w:val="-2"/>
        </w:rPr>
        <w:t>年股票期权与限制性股票激励计划首次授予所涉激</w:t>
      </w:r>
      <w:r>
        <w:rPr>
          <w:spacing w:val="-75"/>
        </w:rPr>
        <w:t> </w:t>
      </w:r>
      <w:r>
        <w:rPr>
          <w:spacing w:val="-2"/>
        </w:rPr>
        <w:t>励对象及授予权益数量的议案》，向</w:t>
      </w:r>
      <w:r>
        <w:rPr>
          <w:rFonts w:ascii="Times New Roman" w:hAnsi="Times New Roman" w:cs="Times New Roman" w:eastAsia="Times New Roman" w:hint="default"/>
          <w:spacing w:val="-2"/>
        </w:rPr>
        <w:t>589</w:t>
      </w:r>
      <w:r>
        <w:rPr>
          <w:spacing w:val="-2"/>
        </w:rPr>
        <w:t>名公司员工授予限制性股票</w:t>
      </w:r>
      <w:r>
        <w:rPr>
          <w:rFonts w:ascii="Times New Roman" w:hAnsi="Times New Roman" w:cs="Times New Roman" w:eastAsia="Times New Roman" w:hint="default"/>
          <w:spacing w:val="-2"/>
        </w:rPr>
        <w:t>15,282,000</w:t>
      </w:r>
      <w:r>
        <w:rPr>
          <w:spacing w:val="-2"/>
        </w:rPr>
        <w:t>股，每股面值为</w:t>
      </w:r>
      <w:r>
        <w:rPr>
          <w:rFonts w:ascii="Times New Roman" w:hAnsi="Times New Roman" w:cs="Times New Roman" w:eastAsia="Times New Roman" w:hint="default"/>
          <w:spacing w:val="-2"/>
        </w:rPr>
        <w:t>1</w:t>
      </w:r>
      <w:r>
        <w:rPr>
          <w:spacing w:val="-2"/>
        </w:rPr>
        <w:t>元，授予价格</w:t>
      </w:r>
      <w:r>
        <w:rPr>
          <w:rFonts w:ascii="Times New Roman" w:hAnsi="Times New Roman" w:cs="Times New Roman" w:eastAsia="Times New Roman" w:hint="default"/>
          <w:spacing w:val="-2"/>
        </w:rPr>
        <w:t>11.23</w:t>
      </w:r>
      <w:r>
        <w:rPr>
          <w:spacing w:val="-2"/>
        </w:rPr>
        <w:t>元</w:t>
      </w:r>
      <w:r>
        <w:rPr>
          <w:rFonts w:ascii="Times New Roman" w:hAnsi="Times New Roman" w:cs="Times New Roman" w:eastAsia="Times New Roman" w:hint="default"/>
          <w:spacing w:val="-2"/>
        </w:rPr>
        <w:t>/</w:t>
      </w:r>
      <w:r>
        <w:rPr>
          <w:spacing w:val="-2"/>
        </w:rPr>
        <w:t>股，增</w:t>
      </w:r>
      <w:r>
        <w:rPr>
          <w:spacing w:val="-71"/>
        </w:rPr>
        <w:t> </w:t>
      </w:r>
      <w:r>
        <w:rPr>
          <w:spacing w:val="-71"/>
        </w:rPr>
      </w:r>
      <w:r>
        <w:rPr>
          <w:spacing w:val="-1"/>
        </w:rPr>
        <w:t>加股本人民币</w:t>
      </w:r>
      <w:r>
        <w:rPr>
          <w:rFonts w:ascii="Times New Roman" w:hAnsi="Times New Roman" w:cs="Times New Roman" w:eastAsia="Times New Roman" w:hint="default"/>
          <w:spacing w:val="-1"/>
        </w:rPr>
        <w:t>15,282,000.00</w:t>
      </w:r>
      <w:r>
        <w:rPr>
          <w:spacing w:val="-1"/>
        </w:rPr>
        <w:t>元。此次变更已经华普天健会计师事务所（特殊普通合伙）会验字</w:t>
      </w:r>
      <w:r>
        <w:rPr>
          <w:rFonts w:ascii="Times New Roman" w:hAnsi="Times New Roman" w:cs="Times New Roman" w:eastAsia="Times New Roman" w:hint="default"/>
          <w:spacing w:val="-1"/>
        </w:rPr>
        <w:t>[2017]0525</w:t>
      </w:r>
      <w:r>
        <w:rPr>
          <w:spacing w:val="-1"/>
        </w:rPr>
        <w:t>号验资报告验证。</w:t>
      </w:r>
      <w:r>
        <w:rPr>
          <w:spacing w:val="-79"/>
        </w:rPr>
        <w:t> </w:t>
      </w:r>
      <w:r>
        <w:rPr/>
        <w:t>根据公司</w:t>
      </w:r>
      <w:r>
        <w:rPr>
          <w:rFonts w:ascii="Times New Roman" w:hAnsi="Times New Roman" w:cs="Times New Roman" w:eastAsia="Times New Roman" w:hint="default"/>
        </w:rPr>
        <w:t>2016</w:t>
      </w:r>
      <w:r>
        <w:rPr/>
        <w:t>年度股东大会审议通过的《关于公司</w:t>
      </w:r>
      <w:r>
        <w:rPr>
          <w:rFonts w:ascii="Times New Roman" w:hAnsi="Times New Roman" w:cs="Times New Roman" w:eastAsia="Times New Roman" w:hint="default"/>
        </w:rPr>
        <w:t>2016</w:t>
      </w:r>
      <w:r>
        <w:rPr/>
        <w:t>年度利润分配及资本公积转增股本方案的议案》，公司以</w:t>
      </w:r>
      <w:r>
        <w:rPr>
          <w:rFonts w:ascii="Times New Roman" w:hAnsi="Times New Roman" w:cs="Times New Roman" w:eastAsia="Times New Roman" w:hint="default"/>
        </w:rPr>
        <w:t>2017</w:t>
      </w:r>
    </w:p>
    <w:p>
      <w:pPr>
        <w:pStyle w:val="BodyText"/>
        <w:spacing w:line="240" w:lineRule="auto" w:before="13"/>
        <w:ind w:right="0"/>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日总股本</w:t>
      </w:r>
      <w:r>
        <w:rPr>
          <w:rFonts w:ascii="Times New Roman" w:hAnsi="Times New Roman" w:cs="Times New Roman" w:eastAsia="Times New Roman" w:hint="default"/>
        </w:rPr>
        <w:t>841,603,075</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股，共计增加股本</w:t>
      </w:r>
      <w:r>
        <w:rPr>
          <w:rFonts w:ascii="Times New Roman" w:hAnsi="Times New Roman" w:cs="Times New Roman" w:eastAsia="Times New Roman" w:hint="default"/>
        </w:rPr>
        <w:t>757,442,767</w:t>
      </w:r>
      <w:r>
        <w:rPr/>
        <w:t>股。</w:t>
      </w:r>
    </w:p>
    <w:p>
      <w:pPr>
        <w:pStyle w:val="BodyText"/>
        <w:spacing w:line="300" w:lineRule="auto" w:before="63"/>
        <w:ind w:right="1132" w:firstLine="360"/>
        <w:jc w:val="both"/>
      </w:pPr>
      <w:r>
        <w:rPr>
          <w:rFonts w:ascii="Times New Roman" w:hAnsi="Times New Roman" w:cs="Times New Roman" w:eastAsia="Times New Roman" w:hint="default"/>
          <w:spacing w:val="-2"/>
        </w:rPr>
        <w:t>2017</w:t>
      </w:r>
      <w:r>
        <w:rPr>
          <w:spacing w:val="-2"/>
        </w:rPr>
        <w:t>年度公司</w:t>
      </w:r>
      <w:r>
        <w:rPr>
          <w:rFonts w:ascii="Times New Roman" w:hAnsi="Times New Roman" w:cs="Times New Roman" w:eastAsia="Times New Roman" w:hint="default"/>
          <w:spacing w:val="-2"/>
        </w:rPr>
        <w:t>2012</w:t>
      </w:r>
      <w:r>
        <w:rPr>
          <w:spacing w:val="-2"/>
        </w:rPr>
        <w:t>年股票期权激励计划首次授予股票期权及预留部分股票期权、</w:t>
      </w:r>
      <w:r>
        <w:rPr>
          <w:rFonts w:ascii="Times New Roman" w:hAnsi="Times New Roman" w:cs="Times New Roman" w:eastAsia="Times New Roman" w:hint="default"/>
          <w:spacing w:val="-2"/>
        </w:rPr>
        <w:t>2014</w:t>
      </w:r>
      <w:r>
        <w:rPr>
          <w:spacing w:val="-2"/>
        </w:rPr>
        <w:t>年股票期权激励计划首次授予股权</w:t>
      </w:r>
      <w:r>
        <w:rPr/>
        <w:t> 期权共计行权</w:t>
      </w:r>
      <w:r>
        <w:rPr>
          <w:rFonts w:ascii="Times New Roman" w:hAnsi="Times New Roman" w:cs="Times New Roman" w:eastAsia="Times New Roman" w:hint="default"/>
        </w:rPr>
        <w:t>5,147,537</w:t>
      </w:r>
      <w:r>
        <w:rPr/>
        <w:t>股，增加股本人民币</w:t>
      </w:r>
      <w:r>
        <w:rPr>
          <w:rFonts w:ascii="Times New Roman" w:hAnsi="Times New Roman" w:cs="Times New Roman" w:eastAsia="Times New Roman" w:hint="default"/>
        </w:rPr>
        <w:t>5,147,537.00</w:t>
      </w:r>
      <w:r>
        <w:rPr/>
        <w:t>元。</w:t>
      </w:r>
    </w:p>
    <w:p>
      <w:pPr>
        <w:pStyle w:val="BodyText"/>
        <w:spacing w:line="300" w:lineRule="auto" w:before="13"/>
        <w:ind w:right="1051" w:firstLine="360"/>
        <w:jc w:val="both"/>
      </w:pPr>
      <w:r>
        <w:rPr/>
        <w:t>根据公司第三届董事会第二十九次会议通过的《关于回购注销</w:t>
      </w:r>
      <w:r>
        <w:rPr>
          <w:rFonts w:ascii="Times New Roman" w:hAnsi="Times New Roman" w:cs="Times New Roman" w:eastAsia="Times New Roman" w:hint="default"/>
        </w:rPr>
        <w:t>2016</w:t>
      </w:r>
      <w:r>
        <w:rPr/>
        <w:t>年股权激励计划部分首次授予限制性股票的议案》， 向</w:t>
      </w:r>
      <w:r>
        <w:rPr>
          <w:rFonts w:ascii="Times New Roman" w:hAnsi="Times New Roman" w:cs="Times New Roman" w:eastAsia="Times New Roman" w:hint="default"/>
        </w:rPr>
        <w:t>37</w:t>
      </w:r>
      <w:r>
        <w:rPr/>
        <w:t>名不再具备激励对象资格的离职员工回购股票</w:t>
      </w:r>
      <w:r>
        <w:rPr>
          <w:rFonts w:ascii="Times New Roman" w:hAnsi="Times New Roman" w:cs="Times New Roman" w:eastAsia="Times New Roman" w:hint="default"/>
        </w:rPr>
        <w:t>1,459,200</w:t>
      </w:r>
      <w:r>
        <w:rPr/>
        <w:t>股，回购价格</w:t>
      </w:r>
      <w:r>
        <w:rPr>
          <w:rFonts w:ascii="Times New Roman" w:hAnsi="Times New Roman" w:cs="Times New Roman" w:eastAsia="Times New Roman" w:hint="default"/>
        </w:rPr>
        <w:t>5.877</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1,459,200.00</w:t>
      </w:r>
      <w:r>
        <w:rPr/>
        <w:t>元。</w:t>
      </w:r>
    </w:p>
    <w:p>
      <w:pPr>
        <w:pStyle w:val="BodyText"/>
        <w:spacing w:line="300" w:lineRule="auto" w:before="13"/>
        <w:ind w:right="1130" w:firstLine="360"/>
        <w:jc w:val="both"/>
      </w:pPr>
      <w:r>
        <w:rPr>
          <w:spacing w:val="-2"/>
        </w:rPr>
        <w:t>根据公司第三届董事会第三十次会议审议通过的《关于公司</w:t>
      </w:r>
      <w:r>
        <w:rPr>
          <w:rFonts w:ascii="Times New Roman" w:hAnsi="Times New Roman" w:cs="Times New Roman" w:eastAsia="Times New Roman" w:hint="default"/>
          <w:spacing w:val="-2"/>
        </w:rPr>
        <w:t>2016</w:t>
      </w:r>
      <w:r>
        <w:rPr>
          <w:spacing w:val="-2"/>
        </w:rPr>
        <w:t>年股权激励计划预留授予相关事项的议案》、第三届董</w:t>
      </w:r>
      <w:r>
        <w:rPr/>
        <w:t> 事会第三十一次会议审议通过的《关于公司</w:t>
      </w:r>
      <w:r>
        <w:rPr>
          <w:rFonts w:ascii="Times New Roman" w:hAnsi="Times New Roman" w:cs="Times New Roman" w:eastAsia="Times New Roman" w:hint="default"/>
        </w:rPr>
        <w:t>2016</w:t>
      </w:r>
      <w:r>
        <w:rPr/>
        <w:t>年股权激励计划预留授予相关事项调整的议案》，向</w:t>
      </w:r>
      <w:r>
        <w:rPr>
          <w:rFonts w:ascii="Times New Roman" w:hAnsi="Times New Roman" w:cs="Times New Roman" w:eastAsia="Times New Roman" w:hint="default"/>
        </w:rPr>
        <w:t>294</w:t>
      </w:r>
      <w:r>
        <w:rPr/>
        <w:t>名公司员工授予限 </w:t>
      </w:r>
      <w:r>
        <w:rPr>
          <w:spacing w:val="-1"/>
        </w:rPr>
        <w:t>制性股票</w:t>
      </w:r>
      <w:r>
        <w:rPr>
          <w:rFonts w:ascii="Times New Roman" w:hAnsi="Times New Roman" w:cs="Times New Roman" w:eastAsia="Times New Roman" w:hint="default"/>
          <w:spacing w:val="-1"/>
        </w:rPr>
        <w:t>6,263,500</w:t>
      </w:r>
      <w:r>
        <w:rPr>
          <w:spacing w:val="-1"/>
        </w:rPr>
        <w:t>股，每股面值为</w:t>
      </w:r>
      <w:r>
        <w:rPr>
          <w:rFonts w:ascii="Times New Roman" w:hAnsi="Times New Roman" w:cs="Times New Roman" w:eastAsia="Times New Roman" w:hint="default"/>
          <w:spacing w:val="-1"/>
        </w:rPr>
        <w:t>1</w:t>
      </w:r>
      <w:r>
        <w:rPr>
          <w:spacing w:val="-1"/>
        </w:rPr>
        <w:t>元，授予价格</w:t>
      </w:r>
      <w:r>
        <w:rPr>
          <w:rFonts w:ascii="Times New Roman" w:hAnsi="Times New Roman" w:cs="Times New Roman" w:eastAsia="Times New Roman" w:hint="default"/>
          <w:spacing w:val="-1"/>
        </w:rPr>
        <w:t>3.66</w:t>
      </w:r>
      <w:r>
        <w:rPr>
          <w:spacing w:val="-1"/>
        </w:rPr>
        <w:t>元</w:t>
      </w:r>
      <w:r>
        <w:rPr>
          <w:rFonts w:ascii="Times New Roman" w:hAnsi="Times New Roman" w:cs="Times New Roman" w:eastAsia="Times New Roman" w:hint="default"/>
          <w:spacing w:val="-1"/>
        </w:rPr>
        <w:t>/</w:t>
      </w:r>
      <w:r>
        <w:rPr>
          <w:spacing w:val="-1"/>
        </w:rPr>
        <w:t>股，增加股本人民币</w:t>
      </w:r>
      <w:r>
        <w:rPr>
          <w:rFonts w:ascii="Times New Roman" w:hAnsi="Times New Roman" w:cs="Times New Roman" w:eastAsia="Times New Roman" w:hint="default"/>
          <w:spacing w:val="-1"/>
        </w:rPr>
        <w:t>6,263,500.00</w:t>
      </w:r>
      <w:r>
        <w:rPr>
          <w:spacing w:val="-1"/>
        </w:rPr>
        <w:t>元。此次变更已经华普天健会计师</w:t>
      </w:r>
      <w:r>
        <w:rPr>
          <w:spacing w:val="-77"/>
        </w:rPr>
        <w:t> </w:t>
      </w:r>
      <w:r>
        <w:rPr>
          <w:spacing w:val="-77"/>
        </w:rPr>
      </w:r>
      <w:r>
        <w:rPr/>
        <w:t>事务所（特殊普通合伙）会验字</w:t>
      </w:r>
      <w:r>
        <w:rPr>
          <w:rFonts w:ascii="Times New Roman" w:hAnsi="Times New Roman" w:cs="Times New Roman" w:eastAsia="Times New Roman" w:hint="default"/>
        </w:rPr>
        <w:t>[2017]5458</w:t>
      </w:r>
      <w:r>
        <w:rPr/>
        <w:t>号验资报告验证。</w:t>
      </w:r>
    </w:p>
    <w:p>
      <w:pPr>
        <w:pStyle w:val="BodyText"/>
        <w:spacing w:line="240" w:lineRule="auto" w:before="13"/>
        <w:ind w:left="472" w:right="0"/>
        <w:jc w:val="left"/>
      </w:pPr>
      <w:r>
        <w:rPr>
          <w:rFonts w:ascii="Times New Roman" w:hAnsi="Times New Roman" w:cs="Times New Roman" w:eastAsia="Times New Roman" w:hint="default"/>
          <w:spacing w:val="7"/>
        </w:rPr>
        <w:t>2018</w:t>
      </w:r>
      <w:r>
        <w:rPr>
          <w:spacing w:val="7"/>
        </w:rPr>
        <w:t>年度公司</w:t>
      </w:r>
      <w:r>
        <w:rPr>
          <w:rFonts w:ascii="Times New Roman" w:hAnsi="Times New Roman" w:cs="Times New Roman" w:eastAsia="Times New Roman" w:hint="default"/>
          <w:spacing w:val="7"/>
        </w:rPr>
        <w:t>2014</w:t>
      </w:r>
      <w:r>
        <w:rPr>
          <w:spacing w:val="7"/>
        </w:rPr>
        <w:t>年股票期权激励计划首次授予股票期权、</w:t>
      </w:r>
      <w:r>
        <w:rPr>
          <w:rFonts w:ascii="Times New Roman" w:hAnsi="Times New Roman" w:cs="Times New Roman" w:eastAsia="Times New Roman" w:hint="default"/>
          <w:spacing w:val="7"/>
        </w:rPr>
        <w:t>2016</w:t>
      </w:r>
      <w:r>
        <w:rPr>
          <w:spacing w:val="7"/>
        </w:rPr>
        <w:t>年股票期权激励计划首次授予股权期权共计行权</w:t>
      </w:r>
    </w:p>
    <w:p>
      <w:pPr>
        <w:pStyle w:val="BodyText"/>
        <w:spacing w:line="300" w:lineRule="auto" w:before="63"/>
        <w:ind w:left="472" w:right="0" w:hanging="360"/>
        <w:jc w:val="left"/>
      </w:pPr>
      <w:r>
        <w:rPr>
          <w:rFonts w:ascii="Times New Roman" w:hAnsi="Times New Roman" w:cs="Times New Roman" w:eastAsia="Times New Roman" w:hint="default"/>
        </w:rPr>
        <w:t>16,882,585</w:t>
      </w:r>
      <w:r>
        <w:rPr/>
        <w:t>股，增加股本人民币</w:t>
      </w:r>
      <w:r>
        <w:rPr>
          <w:rFonts w:ascii="Times New Roman" w:hAnsi="Times New Roman" w:cs="Times New Roman" w:eastAsia="Times New Roman" w:hint="default"/>
        </w:rPr>
        <w:t>16,882,585.00</w:t>
      </w:r>
      <w:r>
        <w:rPr/>
        <w:t>元。 </w:t>
      </w:r>
      <w:r>
        <w:rPr>
          <w:spacing w:val="-2"/>
        </w:rPr>
        <w:t>根据公司第三届董事会第三十二次会议通过的《关于回购注销</w:t>
      </w:r>
      <w:r>
        <w:rPr>
          <w:rFonts w:ascii="Times New Roman" w:hAnsi="Times New Roman" w:cs="Times New Roman" w:eastAsia="Times New Roman" w:hint="default"/>
          <w:spacing w:val="-2"/>
        </w:rPr>
        <w:t>2016</w:t>
      </w:r>
      <w:r>
        <w:rPr>
          <w:spacing w:val="-2"/>
        </w:rPr>
        <w:t>年股权激励计划所涉部分限制性股票的议案》，公司</w:t>
      </w:r>
    </w:p>
    <w:p>
      <w:pPr>
        <w:pStyle w:val="BodyText"/>
        <w:spacing w:line="300" w:lineRule="auto" w:before="13"/>
        <w:ind w:right="1130"/>
        <w:jc w:val="both"/>
      </w:pPr>
      <w:r>
        <w:rPr>
          <w:spacing w:val="-1"/>
        </w:rPr>
        <w:t>向</w:t>
      </w:r>
      <w:r>
        <w:rPr>
          <w:rFonts w:ascii="Times New Roman" w:hAnsi="Times New Roman" w:cs="Times New Roman" w:eastAsia="Times New Roman" w:hint="default"/>
          <w:spacing w:val="-1"/>
        </w:rPr>
        <w:t>14</w:t>
      </w:r>
      <w:r>
        <w:rPr>
          <w:spacing w:val="-1"/>
        </w:rPr>
        <w:t>名不再具备激励对象资格的离职员工回购股票</w:t>
      </w:r>
      <w:r>
        <w:rPr>
          <w:rFonts w:ascii="Times New Roman" w:hAnsi="Times New Roman" w:cs="Times New Roman" w:eastAsia="Times New Roman" w:hint="default"/>
          <w:spacing w:val="-1"/>
        </w:rPr>
        <w:t>615,600</w:t>
      </w:r>
      <w:r>
        <w:rPr>
          <w:spacing w:val="-1"/>
        </w:rPr>
        <w:t>股，回购价格</w:t>
      </w:r>
      <w:r>
        <w:rPr>
          <w:rFonts w:ascii="Times New Roman" w:hAnsi="Times New Roman" w:cs="Times New Roman" w:eastAsia="Times New Roman" w:hint="default"/>
          <w:spacing w:val="-1"/>
        </w:rPr>
        <w:t>5.877</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615,600.00</w:t>
      </w:r>
      <w:r>
        <w:rPr>
          <w:spacing w:val="-1"/>
        </w:rPr>
        <w:t>元；向</w:t>
      </w:r>
      <w:r>
        <w:rPr>
          <w:rFonts w:ascii="Times New Roman" w:hAnsi="Times New Roman" w:cs="Times New Roman" w:eastAsia="Times New Roman" w:hint="default"/>
          <w:spacing w:val="-1"/>
        </w:rPr>
        <w:t>3</w:t>
      </w:r>
      <w:r>
        <w:rPr>
          <w:spacing w:val="-1"/>
        </w:rPr>
        <w:t>名不</w:t>
      </w:r>
      <w:r>
        <w:rPr>
          <w:spacing w:val="-78"/>
        </w:rPr>
        <w:t> </w:t>
      </w:r>
      <w:r>
        <w:rPr/>
        <w:t>再具备激励对象资格的离职员工回购股票</w:t>
      </w:r>
      <w:r>
        <w:rPr>
          <w:rFonts w:ascii="Times New Roman" w:hAnsi="Times New Roman" w:cs="Times New Roman" w:eastAsia="Times New Roman" w:hint="default"/>
        </w:rPr>
        <w:t>25,000</w:t>
      </w:r>
      <w:r>
        <w:rPr/>
        <w:t>股，回购价格</w:t>
      </w:r>
      <w:r>
        <w:rPr>
          <w:rFonts w:ascii="Times New Roman" w:hAnsi="Times New Roman" w:cs="Times New Roman" w:eastAsia="Times New Roman" w:hint="default"/>
        </w:rPr>
        <w:t>3.66</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25,000.00</w:t>
      </w:r>
      <w:r>
        <w:rPr/>
        <w:t>元。</w:t>
      </w:r>
    </w:p>
    <w:p>
      <w:pPr>
        <w:pStyle w:val="BodyText"/>
        <w:spacing w:line="300" w:lineRule="auto" w:before="13"/>
        <w:ind w:right="1129" w:firstLine="360"/>
        <w:jc w:val="both"/>
      </w:pPr>
      <w:r>
        <w:rPr>
          <w:spacing w:val="-2"/>
        </w:rPr>
        <w:t>根据公司第四届董事会第三次会议通过的《关于公司回购注销</w:t>
      </w:r>
      <w:r>
        <w:rPr>
          <w:rFonts w:ascii="Times New Roman" w:hAnsi="Times New Roman" w:cs="Times New Roman" w:eastAsia="Times New Roman" w:hint="default"/>
          <w:spacing w:val="-2"/>
        </w:rPr>
        <w:t>2016</w:t>
      </w:r>
      <w:r>
        <w:rPr>
          <w:spacing w:val="-2"/>
        </w:rPr>
        <w:t>年股权激励计划所涉部分限制性股票的议案》，向</w:t>
      </w:r>
      <w:r>
        <w:rPr>
          <w:rFonts w:ascii="Times New Roman" w:hAnsi="Times New Roman" w:cs="Times New Roman" w:eastAsia="Times New Roman" w:hint="default"/>
          <w:spacing w:val="-2"/>
        </w:rPr>
        <w:t>20</w:t>
      </w:r>
      <w:r>
        <w:rPr>
          <w:rFonts w:ascii="Times New Roman" w:hAnsi="Times New Roman" w:cs="Times New Roman" w:eastAsia="Times New Roman" w:hint="default"/>
        </w:rPr>
        <w:t> </w:t>
      </w:r>
      <w:r>
        <w:rPr>
          <w:spacing w:val="-1"/>
        </w:rPr>
        <w:t>名不再具备激励对象资格的离职员工回购股票</w:t>
      </w:r>
      <w:r>
        <w:rPr>
          <w:rFonts w:ascii="Times New Roman" w:hAnsi="Times New Roman" w:cs="Times New Roman" w:eastAsia="Times New Roman" w:hint="default"/>
          <w:spacing w:val="-1"/>
        </w:rPr>
        <w:t>1,432,980</w:t>
      </w:r>
      <w:r>
        <w:rPr>
          <w:spacing w:val="-1"/>
        </w:rPr>
        <w:t>股，回购价格</w:t>
      </w:r>
      <w:r>
        <w:rPr>
          <w:rFonts w:ascii="Times New Roman" w:hAnsi="Times New Roman" w:cs="Times New Roman" w:eastAsia="Times New Roman" w:hint="default"/>
          <w:spacing w:val="-1"/>
        </w:rPr>
        <w:t>5.862</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1,432,980.00</w:t>
      </w:r>
      <w:r>
        <w:rPr>
          <w:spacing w:val="-1"/>
        </w:rPr>
        <w:t>元；向</w:t>
      </w:r>
      <w:r>
        <w:rPr>
          <w:rFonts w:ascii="Times New Roman" w:hAnsi="Times New Roman" w:cs="Times New Roman" w:eastAsia="Times New Roman" w:hint="default"/>
          <w:spacing w:val="-1"/>
        </w:rPr>
        <w:t>12</w:t>
      </w:r>
      <w:r>
        <w:rPr>
          <w:spacing w:val="-1"/>
        </w:rPr>
        <w:t>名不</w:t>
      </w:r>
      <w:r>
        <w:rPr>
          <w:spacing w:val="-78"/>
        </w:rPr>
        <w:t> </w:t>
      </w:r>
      <w:r>
        <w:rPr/>
        <w:t>再具备激励对象资格的离职员工回购股票</w:t>
      </w:r>
      <w:r>
        <w:rPr>
          <w:rFonts w:ascii="Times New Roman" w:hAnsi="Times New Roman" w:cs="Times New Roman" w:eastAsia="Times New Roman" w:hint="default"/>
        </w:rPr>
        <w:t>82,300</w:t>
      </w:r>
      <w:r>
        <w:rPr/>
        <w:t>股，回购价格</w:t>
      </w:r>
      <w:r>
        <w:rPr>
          <w:rFonts w:ascii="Times New Roman" w:hAnsi="Times New Roman" w:cs="Times New Roman" w:eastAsia="Times New Roman" w:hint="default"/>
        </w:rPr>
        <w:t>3.645</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82,300.00</w:t>
      </w:r>
      <w:r>
        <w:rPr/>
        <w:t>元。</w:t>
      </w:r>
    </w:p>
    <w:p>
      <w:pPr>
        <w:pStyle w:val="BodyText"/>
        <w:spacing w:line="300" w:lineRule="auto" w:before="13"/>
        <w:ind w:right="1130" w:firstLine="360"/>
        <w:jc w:val="both"/>
      </w:pPr>
      <w:r>
        <w:rPr/>
        <w:t>根据公司第四届董事会第六次会议通过的《关于回购注销</w:t>
      </w:r>
      <w:r>
        <w:rPr>
          <w:rFonts w:ascii="Times New Roman" w:hAnsi="Times New Roman" w:cs="Times New Roman" w:eastAsia="Times New Roman" w:hint="default"/>
        </w:rPr>
        <w:t>2016</w:t>
      </w:r>
      <w:r>
        <w:rPr/>
        <w:t>年股权激励计划所涉部分限制性股票的议案》，向</w:t>
      </w:r>
      <w:r>
        <w:rPr>
          <w:rFonts w:ascii="Times New Roman" w:hAnsi="Times New Roman" w:cs="Times New Roman" w:eastAsia="Times New Roman" w:hint="default"/>
        </w:rPr>
        <w:t>6</w:t>
      </w:r>
      <w:r>
        <w:rPr/>
        <w:t>名不 </w:t>
      </w:r>
      <w:r>
        <w:rPr>
          <w:spacing w:val="-1"/>
        </w:rPr>
        <w:t>再具备激励对象资格的离职员工回购股票</w:t>
      </w:r>
      <w:r>
        <w:rPr>
          <w:rFonts w:ascii="Times New Roman" w:hAnsi="Times New Roman" w:cs="Times New Roman" w:eastAsia="Times New Roman" w:hint="default"/>
          <w:spacing w:val="-1"/>
        </w:rPr>
        <w:t>156,180</w:t>
      </w:r>
      <w:r>
        <w:rPr>
          <w:spacing w:val="-1"/>
        </w:rPr>
        <w:t>股，回购价格</w:t>
      </w:r>
      <w:r>
        <w:rPr>
          <w:rFonts w:ascii="Times New Roman" w:hAnsi="Times New Roman" w:cs="Times New Roman" w:eastAsia="Times New Roman" w:hint="default"/>
          <w:spacing w:val="-1"/>
        </w:rPr>
        <w:t>5.862</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156,180.00</w:t>
      </w:r>
      <w:r>
        <w:rPr>
          <w:spacing w:val="-1"/>
        </w:rPr>
        <w:t>元；向</w:t>
      </w:r>
      <w:r>
        <w:rPr>
          <w:rFonts w:ascii="Times New Roman" w:hAnsi="Times New Roman" w:cs="Times New Roman" w:eastAsia="Times New Roman" w:hint="default"/>
          <w:spacing w:val="-1"/>
        </w:rPr>
        <w:t>5</w:t>
      </w:r>
      <w:r>
        <w:rPr>
          <w:spacing w:val="-1"/>
        </w:rPr>
        <w:t>名不再具备激</w:t>
      </w:r>
      <w:r>
        <w:rPr>
          <w:spacing w:val="-77"/>
        </w:rPr>
        <w:t> </w:t>
      </w:r>
      <w:r>
        <w:rPr/>
        <w:t>励对象资格的离职员工回购股票</w:t>
      </w:r>
      <w:r>
        <w:rPr>
          <w:rFonts w:ascii="Times New Roman" w:hAnsi="Times New Roman" w:cs="Times New Roman" w:eastAsia="Times New Roman" w:hint="default"/>
        </w:rPr>
        <w:t>66,000</w:t>
      </w:r>
      <w:r>
        <w:rPr/>
        <w:t>股，回购价格</w:t>
      </w:r>
      <w:r>
        <w:rPr>
          <w:rFonts w:ascii="Times New Roman" w:hAnsi="Times New Roman" w:cs="Times New Roman" w:eastAsia="Times New Roman" w:hint="default"/>
        </w:rPr>
        <w:t>3.645</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66,000.00</w:t>
      </w:r>
      <w:r>
        <w:rPr/>
        <w:t>元；</w:t>
      </w:r>
    </w:p>
    <w:p>
      <w:pPr>
        <w:pStyle w:val="BodyText"/>
        <w:spacing w:line="300" w:lineRule="auto" w:before="13"/>
        <w:ind w:right="1130" w:firstLine="360"/>
        <w:jc w:val="both"/>
      </w:pPr>
      <w:r>
        <w:rPr>
          <w:spacing w:val="-2"/>
        </w:rPr>
        <w:t>根据公司第四届董事会第七次会议通过的《关于回购注销</w:t>
      </w:r>
      <w:r>
        <w:rPr>
          <w:rFonts w:ascii="Times New Roman" w:hAnsi="Times New Roman" w:cs="Times New Roman" w:eastAsia="Times New Roman" w:hint="default"/>
          <w:spacing w:val="-2"/>
        </w:rPr>
        <w:t>2016</w:t>
      </w:r>
      <w:r>
        <w:rPr>
          <w:spacing w:val="-2"/>
        </w:rPr>
        <w:t>年股权激励计划所涉部分限制性股票的议案》，向</w:t>
      </w:r>
      <w:r>
        <w:rPr>
          <w:rFonts w:ascii="Times New Roman" w:hAnsi="Times New Roman" w:cs="Times New Roman" w:eastAsia="Times New Roman" w:hint="default"/>
          <w:spacing w:val="-2"/>
        </w:rPr>
        <w:t>14</w:t>
      </w:r>
      <w:r>
        <w:rPr>
          <w:spacing w:val="-2"/>
        </w:rPr>
        <w:t>名不</w:t>
      </w:r>
      <w:r>
        <w:rPr/>
        <w:t> </w:t>
      </w:r>
      <w:r>
        <w:rPr>
          <w:spacing w:val="-1"/>
        </w:rPr>
        <w:t>再具备激励对象资格的离职员工回购股票</w:t>
      </w:r>
      <w:r>
        <w:rPr>
          <w:rFonts w:ascii="Times New Roman" w:hAnsi="Times New Roman" w:cs="Times New Roman" w:eastAsia="Times New Roman" w:hint="default"/>
          <w:spacing w:val="-1"/>
        </w:rPr>
        <w:t>193,800</w:t>
      </w:r>
      <w:r>
        <w:rPr>
          <w:spacing w:val="-1"/>
        </w:rPr>
        <w:t>股，回购价格</w:t>
      </w:r>
      <w:r>
        <w:rPr>
          <w:rFonts w:ascii="Times New Roman" w:hAnsi="Times New Roman" w:cs="Times New Roman" w:eastAsia="Times New Roman" w:hint="default"/>
          <w:spacing w:val="-1"/>
        </w:rPr>
        <w:t>5.862</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193,800.00</w:t>
      </w:r>
      <w:r>
        <w:rPr>
          <w:spacing w:val="-1"/>
        </w:rPr>
        <w:t>元；向</w:t>
      </w:r>
      <w:r>
        <w:rPr>
          <w:rFonts w:ascii="Times New Roman" w:hAnsi="Times New Roman" w:cs="Times New Roman" w:eastAsia="Times New Roman" w:hint="default"/>
          <w:spacing w:val="-1"/>
        </w:rPr>
        <w:t>3</w:t>
      </w:r>
      <w:r>
        <w:rPr>
          <w:spacing w:val="-1"/>
        </w:rPr>
        <w:t>名不再具备激</w:t>
      </w:r>
      <w:r>
        <w:rPr>
          <w:spacing w:val="-77"/>
        </w:rPr>
        <w:t> </w:t>
      </w:r>
      <w:r>
        <w:rPr/>
        <w:t>励对象资格的离职员工回购股票</w:t>
      </w:r>
      <w:r>
        <w:rPr>
          <w:rFonts w:ascii="Times New Roman" w:hAnsi="Times New Roman" w:cs="Times New Roman" w:eastAsia="Times New Roman" w:hint="default"/>
        </w:rPr>
        <w:t>35,500</w:t>
      </w:r>
      <w:r>
        <w:rPr/>
        <w:t>股，回购价格</w:t>
      </w:r>
      <w:r>
        <w:rPr>
          <w:rFonts w:ascii="Times New Roman" w:hAnsi="Times New Roman" w:cs="Times New Roman" w:eastAsia="Times New Roman" w:hint="default"/>
        </w:rPr>
        <w:t>3.645</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35,500.00</w:t>
      </w:r>
      <w:r>
        <w:rPr/>
        <w:t>元。</w:t>
      </w:r>
    </w:p>
    <w:p>
      <w:pPr>
        <w:pStyle w:val="BodyText"/>
        <w:spacing w:line="240" w:lineRule="auto" w:before="13"/>
        <w:ind w:left="472" w:right="0"/>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t>年度公司</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t>年股票期权激励计划首次授予股票期权</w:t>
      </w:r>
      <w:r>
        <w:rPr>
          <w:spacing w:val="-8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t>年股票期权激励计划首次及预留授予股票期权共计行权</w:t>
      </w:r>
    </w:p>
    <w:p>
      <w:pPr>
        <w:pStyle w:val="BodyText"/>
        <w:spacing w:line="300" w:lineRule="auto" w:before="63"/>
        <w:ind w:left="472" w:right="1124" w:hanging="360"/>
        <w:jc w:val="left"/>
      </w:pPr>
      <w:r>
        <w:rPr>
          <w:rFonts w:ascii="Times New Roman" w:hAnsi="Times New Roman" w:cs="Times New Roman" w:eastAsia="Times New Roman" w:hint="default"/>
        </w:rPr>
        <w:t>3,247,946</w:t>
      </w:r>
      <w:r>
        <w:rPr/>
        <w:t>股，增加股本人民币</w:t>
      </w:r>
      <w:r>
        <w:rPr>
          <w:rFonts w:ascii="Times New Roman" w:hAnsi="Times New Roman" w:cs="Times New Roman" w:eastAsia="Times New Roman" w:hint="default"/>
        </w:rPr>
        <w:t>3,247,946.00</w:t>
      </w:r>
      <w:r>
        <w:rPr/>
        <w:t>元。 根据公司第四届董事会第八次会议通过的《关于回购注销</w:t>
      </w:r>
      <w:r>
        <w:rPr>
          <w:rFonts w:ascii="Times New Roman" w:hAnsi="Times New Roman" w:cs="Times New Roman" w:eastAsia="Times New Roman" w:hint="default"/>
        </w:rPr>
        <w:t>2016</w:t>
      </w:r>
      <w:r>
        <w:rPr/>
        <w:t>年股权激励计划所涉部分限制性股票的议案》，向</w:t>
      </w:r>
      <w:r>
        <w:rPr>
          <w:rFonts w:ascii="Times New Roman" w:hAnsi="Times New Roman" w:cs="Times New Roman" w:eastAsia="Times New Roman" w:hint="default"/>
        </w:rPr>
        <w:t>1</w:t>
      </w:r>
      <w:r>
        <w:rPr/>
        <w:t>名不</w:t>
      </w:r>
    </w:p>
    <w:p>
      <w:pPr>
        <w:pStyle w:val="BodyText"/>
        <w:spacing w:line="300" w:lineRule="auto" w:before="13"/>
        <w:ind w:left="472" w:right="1124" w:hanging="360"/>
        <w:jc w:val="left"/>
      </w:pPr>
      <w:r>
        <w:rPr/>
        <w:t>再具备激励对象资格的离职员工回购股票</w:t>
      </w:r>
      <w:r>
        <w:rPr>
          <w:rFonts w:ascii="Times New Roman" w:hAnsi="Times New Roman" w:cs="Times New Roman" w:eastAsia="Times New Roman" w:hint="default"/>
        </w:rPr>
        <w:t>100</w:t>
      </w:r>
      <w:r>
        <w:rPr/>
        <w:t>股，回购价格</w:t>
      </w:r>
      <w:r>
        <w:rPr>
          <w:rFonts w:ascii="Times New Roman" w:hAnsi="Times New Roman" w:cs="Times New Roman" w:eastAsia="Times New Roman" w:hint="default"/>
        </w:rPr>
        <w:t>3.645</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100.00</w:t>
      </w:r>
      <w:r>
        <w:rPr/>
        <w:t>元。 根据公司第四届董事会第九次会议通过的《关于回购注销</w:t>
      </w:r>
      <w:r>
        <w:rPr>
          <w:rFonts w:ascii="Times New Roman" w:hAnsi="Times New Roman" w:cs="Times New Roman" w:eastAsia="Times New Roman" w:hint="default"/>
        </w:rPr>
        <w:t>2016</w:t>
      </w:r>
      <w:r>
        <w:rPr/>
        <w:t>年股权激励计划所涉部分限制性股票的议案》，向</w:t>
      </w:r>
      <w:r>
        <w:rPr>
          <w:rFonts w:ascii="Times New Roman" w:hAnsi="Times New Roman" w:cs="Times New Roman" w:eastAsia="Times New Roman" w:hint="default"/>
        </w:rPr>
        <w:t>6</w:t>
      </w:r>
      <w:r>
        <w:rPr/>
        <w:t>名不</w:t>
      </w:r>
    </w:p>
    <w:p>
      <w:pPr>
        <w:pStyle w:val="BodyText"/>
        <w:spacing w:line="300" w:lineRule="auto" w:before="13"/>
        <w:ind w:right="1130"/>
        <w:jc w:val="both"/>
      </w:pPr>
      <w:r>
        <w:rPr>
          <w:spacing w:val="-1"/>
        </w:rPr>
        <w:t>再具备激励对象资格的离职员工回购股票</w:t>
      </w:r>
      <w:r>
        <w:rPr>
          <w:rFonts w:ascii="Times New Roman" w:hAnsi="Times New Roman" w:cs="Times New Roman" w:eastAsia="Times New Roman" w:hint="default"/>
          <w:spacing w:val="-1"/>
        </w:rPr>
        <w:t>78,660</w:t>
      </w:r>
      <w:r>
        <w:rPr>
          <w:spacing w:val="-1"/>
        </w:rPr>
        <w:t>股，回购价格</w:t>
      </w:r>
      <w:r>
        <w:rPr>
          <w:rFonts w:ascii="Times New Roman" w:hAnsi="Times New Roman" w:cs="Times New Roman" w:eastAsia="Times New Roman" w:hint="default"/>
          <w:spacing w:val="-1"/>
        </w:rPr>
        <w:t>5.862</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78,660.00</w:t>
      </w:r>
      <w:r>
        <w:rPr>
          <w:spacing w:val="-1"/>
        </w:rPr>
        <w:t>元；向</w:t>
      </w:r>
      <w:r>
        <w:rPr>
          <w:rFonts w:ascii="Times New Roman" w:hAnsi="Times New Roman" w:cs="Times New Roman" w:eastAsia="Times New Roman" w:hint="default"/>
          <w:spacing w:val="-1"/>
        </w:rPr>
        <w:t>5</w:t>
      </w:r>
      <w:r>
        <w:rPr>
          <w:spacing w:val="-1"/>
        </w:rPr>
        <w:t>名不再具备激励</w:t>
      </w:r>
      <w:r>
        <w:rPr>
          <w:spacing w:val="-77"/>
        </w:rPr>
        <w:t> </w:t>
      </w:r>
      <w:r>
        <w:rPr/>
        <w:t>对象资格的离职员工回购股票</w:t>
      </w:r>
      <w:r>
        <w:rPr>
          <w:rFonts w:ascii="Times New Roman" w:hAnsi="Times New Roman" w:cs="Times New Roman" w:eastAsia="Times New Roman" w:hint="default"/>
        </w:rPr>
        <w:t>49,000</w:t>
      </w:r>
      <w:r>
        <w:rPr/>
        <w:t>股，回购价格</w:t>
      </w:r>
      <w:r>
        <w:rPr>
          <w:rFonts w:ascii="Times New Roman" w:hAnsi="Times New Roman" w:cs="Times New Roman" w:eastAsia="Times New Roman" w:hint="default"/>
        </w:rPr>
        <w:t>3.645</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49,000.00</w:t>
      </w:r>
      <w:r>
        <w:rPr/>
        <w:t>元。根据公司第四届董事会第十次</w:t>
      </w:r>
      <w:r>
        <w:rPr>
          <w:spacing w:val="-61"/>
        </w:rPr>
        <w:t> </w:t>
      </w:r>
      <w:r>
        <w:rPr>
          <w:spacing w:val="-61"/>
        </w:rPr>
      </w:r>
      <w:r>
        <w:rPr>
          <w:spacing w:val="-2"/>
        </w:rPr>
        <w:t>会议通过的《关于回购注销</w:t>
      </w:r>
      <w:r>
        <w:rPr>
          <w:rFonts w:ascii="Times New Roman" w:hAnsi="Times New Roman" w:cs="Times New Roman" w:eastAsia="Times New Roman" w:hint="default"/>
          <w:spacing w:val="-2"/>
        </w:rPr>
        <w:t>2016</w:t>
      </w:r>
      <w:r>
        <w:rPr>
          <w:spacing w:val="-2"/>
        </w:rPr>
        <w:t>年股权激励计划所涉部分限制性股票的议案》，向</w:t>
      </w:r>
      <w:r>
        <w:rPr>
          <w:rFonts w:ascii="Times New Roman" w:hAnsi="Times New Roman" w:cs="Times New Roman" w:eastAsia="Times New Roman" w:hint="default"/>
          <w:spacing w:val="-2"/>
        </w:rPr>
        <w:t>11</w:t>
      </w:r>
      <w:r>
        <w:rPr>
          <w:spacing w:val="-2"/>
        </w:rPr>
        <w:t>名不再具备激励对象资格的离职员工回</w:t>
      </w:r>
      <w:r>
        <w:rPr>
          <w:spacing w:val="-60"/>
        </w:rPr>
        <w:t> </w:t>
      </w:r>
      <w:r>
        <w:rPr/>
        <w:t>购股票</w:t>
      </w:r>
      <w:r>
        <w:rPr>
          <w:rFonts w:ascii="Times New Roman" w:hAnsi="Times New Roman" w:cs="Times New Roman" w:eastAsia="Times New Roman" w:hint="default"/>
        </w:rPr>
        <w:t>188,100</w:t>
      </w:r>
      <w:r>
        <w:rPr/>
        <w:t>股，回购价格</w:t>
      </w:r>
      <w:r>
        <w:rPr>
          <w:rFonts w:ascii="Times New Roman" w:hAnsi="Times New Roman" w:cs="Times New Roman" w:eastAsia="Times New Roman" w:hint="default"/>
        </w:rPr>
        <w:t>5.842</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188,100.00</w:t>
      </w:r>
      <w:r>
        <w:rPr/>
        <w:t>元；向</w:t>
      </w:r>
      <w:r>
        <w:rPr>
          <w:rFonts w:ascii="Times New Roman" w:hAnsi="Times New Roman" w:cs="Times New Roman" w:eastAsia="Times New Roman" w:hint="default"/>
        </w:rPr>
        <w:t>3</w:t>
      </w:r>
      <w:r>
        <w:rPr/>
        <w:t>名不再具备激励对象资格的离职员工回购股票</w:t>
      </w:r>
      <w:r>
        <w:rPr>
          <w:spacing w:val="17"/>
        </w:rPr>
        <w:t> </w:t>
      </w:r>
      <w:r>
        <w:rPr>
          <w:spacing w:val="17"/>
        </w:rPr>
      </w:r>
      <w:r>
        <w:rPr>
          <w:rFonts w:ascii="Times New Roman" w:hAnsi="Times New Roman" w:cs="Times New Roman" w:eastAsia="Times New Roman" w:hint="default"/>
        </w:rPr>
        <w:t>12,550</w:t>
      </w:r>
      <w:r>
        <w:rPr/>
        <w:t>股，回购价格</w:t>
      </w:r>
      <w:r>
        <w:rPr>
          <w:rFonts w:ascii="Times New Roman" w:hAnsi="Times New Roman" w:cs="Times New Roman" w:eastAsia="Times New Roman" w:hint="default"/>
        </w:rPr>
        <w:t>3.625</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12,550.00</w:t>
      </w:r>
      <w:r>
        <w:rPr/>
        <w:t>元。</w:t>
      </w:r>
    </w:p>
    <w:p>
      <w:pPr>
        <w:pStyle w:val="BodyText"/>
        <w:spacing w:line="240" w:lineRule="auto" w:before="13"/>
        <w:ind w:left="472" w:right="0"/>
        <w:jc w:val="left"/>
      </w:pPr>
      <w:r>
        <w:rPr/>
        <w:t>根据公司第四届董事会第十二次会议通过的《关于回购注销</w:t>
      </w:r>
      <w:r>
        <w:rPr>
          <w:rFonts w:ascii="Times New Roman" w:hAnsi="Times New Roman" w:cs="Times New Roman" w:eastAsia="Times New Roman" w:hint="default"/>
        </w:rPr>
        <w:t>2016</w:t>
      </w:r>
      <w:r>
        <w:rPr/>
        <w:t>年股权激励计划所涉部分限制性股票的议案》，向</w:t>
      </w:r>
      <w:r>
        <w:rPr>
          <w:rFonts w:ascii="Times New Roman" w:hAnsi="Times New Roman" w:cs="Times New Roman" w:eastAsia="Times New Roman" w:hint="default"/>
        </w:rPr>
        <w:t>8</w:t>
      </w:r>
      <w:r>
        <w:rPr/>
        <w:t>名</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left="132" w:right="1130"/>
        <w:jc w:val="both"/>
      </w:pPr>
      <w:r>
        <w:rPr>
          <w:spacing w:val="-1"/>
        </w:rPr>
        <w:t>不再具备激励对象资格的离职员工回购股票</w:t>
      </w:r>
      <w:r>
        <w:rPr>
          <w:rFonts w:ascii="Times New Roman" w:hAnsi="Times New Roman" w:cs="Times New Roman" w:eastAsia="Times New Roman" w:hint="default"/>
          <w:spacing w:val="-1"/>
        </w:rPr>
        <w:t>55,860</w:t>
      </w:r>
      <w:r>
        <w:rPr>
          <w:spacing w:val="-1"/>
        </w:rPr>
        <w:t>股，回购价格</w:t>
      </w:r>
      <w:r>
        <w:rPr>
          <w:rFonts w:ascii="Times New Roman" w:hAnsi="Times New Roman" w:cs="Times New Roman" w:eastAsia="Times New Roman" w:hint="default"/>
          <w:spacing w:val="-1"/>
        </w:rPr>
        <w:t>5.842</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55,860.00</w:t>
      </w:r>
      <w:r>
        <w:rPr>
          <w:spacing w:val="-1"/>
        </w:rPr>
        <w:t>元；向</w:t>
      </w:r>
      <w:r>
        <w:rPr>
          <w:rFonts w:ascii="Times New Roman" w:hAnsi="Times New Roman" w:cs="Times New Roman" w:eastAsia="Times New Roman" w:hint="default"/>
          <w:spacing w:val="-1"/>
        </w:rPr>
        <w:t>8</w:t>
      </w:r>
      <w:r>
        <w:rPr>
          <w:spacing w:val="-1"/>
        </w:rPr>
        <w:t>名不再具备激</w:t>
      </w:r>
      <w:r>
        <w:rPr>
          <w:spacing w:val="-77"/>
        </w:rPr>
        <w:t> </w:t>
      </w:r>
      <w:r>
        <w:rPr/>
        <w:t>励对象资格的离职员工回购股票</w:t>
      </w:r>
      <w:r>
        <w:rPr>
          <w:rFonts w:ascii="Times New Roman" w:hAnsi="Times New Roman" w:cs="Times New Roman" w:eastAsia="Times New Roman" w:hint="default"/>
        </w:rPr>
        <w:t>37,500</w:t>
      </w:r>
      <w:r>
        <w:rPr/>
        <w:t>股，回购价格</w:t>
      </w:r>
      <w:r>
        <w:rPr>
          <w:rFonts w:ascii="Times New Roman" w:hAnsi="Times New Roman" w:cs="Times New Roman" w:eastAsia="Times New Roman" w:hint="default"/>
        </w:rPr>
        <w:t>3.625</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37,500.00</w:t>
      </w:r>
      <w:r>
        <w:rPr/>
        <w:t>元。根据公司第四届董事会第十</w:t>
      </w:r>
      <w:r>
        <w:rPr>
          <w:spacing w:val="-59"/>
        </w:rPr>
        <w:t> </w:t>
      </w:r>
      <w:r>
        <w:rPr>
          <w:spacing w:val="-59"/>
        </w:rPr>
      </w:r>
      <w:r>
        <w:rPr/>
        <w:t>九次会议通过的《关于回购注销</w:t>
      </w:r>
      <w:r>
        <w:rPr>
          <w:rFonts w:ascii="Times New Roman" w:hAnsi="Times New Roman" w:cs="Times New Roman" w:eastAsia="Times New Roman" w:hint="default"/>
        </w:rPr>
        <w:t>2016</w:t>
      </w:r>
      <w:r>
        <w:rPr/>
        <w:t>年股权激励计划所涉部分限制性股票的议案》，向</w:t>
      </w:r>
      <w:r>
        <w:rPr>
          <w:rFonts w:ascii="Times New Roman" w:hAnsi="Times New Roman" w:cs="Times New Roman" w:eastAsia="Times New Roman" w:hint="default"/>
        </w:rPr>
        <w:t>2</w:t>
      </w:r>
      <w:r>
        <w:rPr/>
        <w:t>名不再具备激励对象资格的离职员</w:t>
      </w:r>
      <w:r>
        <w:rPr>
          <w:spacing w:val="-86"/>
        </w:rPr>
        <w:t> </w:t>
      </w:r>
      <w:r>
        <w:rPr>
          <w:spacing w:val="-86"/>
        </w:rPr>
      </w:r>
      <w:r>
        <w:rPr/>
        <w:t>工回购股票</w:t>
      </w:r>
      <w:r>
        <w:rPr>
          <w:rFonts w:ascii="Times New Roman" w:hAnsi="Times New Roman" w:cs="Times New Roman" w:eastAsia="Times New Roman" w:hint="default"/>
        </w:rPr>
        <w:t>20,520</w:t>
      </w:r>
      <w:r>
        <w:rPr/>
        <w:t>股，回购价格</w:t>
      </w:r>
      <w:r>
        <w:rPr>
          <w:rFonts w:ascii="Times New Roman" w:hAnsi="Times New Roman" w:cs="Times New Roman" w:eastAsia="Times New Roman" w:hint="default"/>
        </w:rPr>
        <w:t>5.842</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20,520.00</w:t>
      </w:r>
      <w:r>
        <w:rPr/>
        <w:t>元。</w:t>
      </w:r>
    </w:p>
    <w:p>
      <w:pPr>
        <w:pStyle w:val="BodyText"/>
        <w:spacing w:line="300" w:lineRule="auto" w:before="13"/>
        <w:ind w:left="132" w:right="1130" w:firstLine="360"/>
        <w:jc w:val="both"/>
      </w:pPr>
      <w:r>
        <w:rPr/>
        <w:t>根据公司</w:t>
      </w:r>
      <w:r>
        <w:rPr>
          <w:rFonts w:ascii="Times New Roman" w:hAnsi="Times New Roman" w:cs="Times New Roman" w:eastAsia="Times New Roman" w:hint="default"/>
        </w:rPr>
        <w:t>2019</w:t>
      </w:r>
      <w:r>
        <w:rPr/>
        <w:t>年第二次临时股东大会审议通过的《关于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2019</w:t>
      </w:r>
      <w:r>
        <w:rPr/>
        <w:t>年股票期权与限制性股票激励计划（草案）</w:t>
      </w:r>
      <w:r>
        <w:rPr>
          <w:rFonts w:ascii="Times New Roman" w:hAnsi="Times New Roman" w:cs="Times New Roman" w:eastAsia="Times New Roman" w:hint="default"/>
        </w:rPr>
        <w:t>&gt;</w:t>
      </w:r>
      <w:r>
        <w:rPr/>
        <w:t>及其摘 要的议案》及《关于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2019</w:t>
      </w:r>
      <w:r>
        <w:rPr/>
        <w:t>年股票期权与限制性股票激励计划实施考核办法</w:t>
      </w:r>
      <w:r>
        <w:rPr>
          <w:rFonts w:ascii="Times New Roman" w:hAnsi="Times New Roman" w:cs="Times New Roman" w:eastAsia="Times New Roman" w:hint="default"/>
        </w:rPr>
        <w:t>&gt;</w:t>
      </w:r>
      <w:r>
        <w:rPr/>
        <w:t>的议案》、第四届董事会第十五次会议审</w:t>
      </w:r>
      <w:r>
        <w:rPr>
          <w:spacing w:val="-31"/>
        </w:rPr>
        <w:t> </w:t>
      </w:r>
      <w:r>
        <w:rPr>
          <w:spacing w:val="-31"/>
        </w:rPr>
      </w:r>
      <w:r>
        <w:rPr>
          <w:spacing w:val="-2"/>
        </w:rPr>
        <w:t>议通过的《关于调整</w:t>
      </w:r>
      <w:r>
        <w:rPr>
          <w:rFonts w:ascii="Times New Roman" w:hAnsi="Times New Roman" w:cs="Times New Roman" w:eastAsia="Times New Roman" w:hint="default"/>
          <w:spacing w:val="-2"/>
        </w:rPr>
        <w:t>2019</w:t>
      </w:r>
      <w:r>
        <w:rPr>
          <w:spacing w:val="-2"/>
        </w:rPr>
        <w:t>年股票期权与限制性股票激励计划激励对象名单及授予权益数量的议案》、第四届董事会第十六次</w:t>
      </w:r>
      <w:r>
        <w:rPr>
          <w:spacing w:val="-61"/>
        </w:rPr>
        <w:t> </w:t>
      </w:r>
      <w:r>
        <w:rPr>
          <w:spacing w:val="-61"/>
        </w:rPr>
      </w:r>
      <w:r>
        <w:rPr/>
        <w:t>会议审议通过的《关于调整</w:t>
      </w:r>
      <w:r>
        <w:rPr>
          <w:rFonts w:ascii="Times New Roman" w:hAnsi="Times New Roman" w:cs="Times New Roman" w:eastAsia="Times New Roman" w:hint="default"/>
        </w:rPr>
        <w:t>2019</w:t>
      </w:r>
      <w:r>
        <w:rPr/>
        <w:t>年股权激励计划所涉限制性股票激励对象名单及授予权益数量的议案》，向</w:t>
      </w:r>
      <w:r>
        <w:rPr>
          <w:rFonts w:ascii="Times New Roman" w:hAnsi="Times New Roman" w:cs="Times New Roman" w:eastAsia="Times New Roman" w:hint="default"/>
        </w:rPr>
        <w:t>523</w:t>
      </w:r>
      <w:r>
        <w:rPr/>
        <w:t>名公司员工</w:t>
      </w:r>
      <w:r>
        <w:rPr>
          <w:spacing w:val="-86"/>
        </w:rPr>
        <w:t> </w:t>
      </w:r>
      <w:r>
        <w:rPr>
          <w:spacing w:val="-1"/>
        </w:rPr>
        <w:t>授予限制性股票</w:t>
      </w:r>
      <w:r>
        <w:rPr>
          <w:rFonts w:ascii="Times New Roman" w:hAnsi="Times New Roman" w:cs="Times New Roman" w:eastAsia="Times New Roman" w:hint="default"/>
          <w:spacing w:val="-1"/>
        </w:rPr>
        <w:t>16,396,800</w:t>
      </w:r>
      <w:r>
        <w:rPr>
          <w:spacing w:val="-1"/>
        </w:rPr>
        <w:t>股，每股面值为</w:t>
      </w:r>
      <w:r>
        <w:rPr>
          <w:rFonts w:ascii="Times New Roman" w:hAnsi="Times New Roman" w:cs="Times New Roman" w:eastAsia="Times New Roman" w:hint="default"/>
          <w:spacing w:val="-1"/>
        </w:rPr>
        <w:t>1</w:t>
      </w:r>
      <w:r>
        <w:rPr>
          <w:spacing w:val="-1"/>
        </w:rPr>
        <w:t>元，授予价格</w:t>
      </w:r>
      <w:r>
        <w:rPr>
          <w:rFonts w:ascii="Times New Roman" w:hAnsi="Times New Roman" w:cs="Times New Roman" w:eastAsia="Times New Roman" w:hint="default"/>
          <w:spacing w:val="-1"/>
        </w:rPr>
        <w:t>7.01</w:t>
      </w:r>
      <w:r>
        <w:rPr>
          <w:spacing w:val="-1"/>
        </w:rPr>
        <w:t>元</w:t>
      </w:r>
      <w:r>
        <w:rPr>
          <w:rFonts w:ascii="Times New Roman" w:hAnsi="Times New Roman" w:cs="Times New Roman" w:eastAsia="Times New Roman" w:hint="default"/>
          <w:spacing w:val="-1"/>
        </w:rPr>
        <w:t>/</w:t>
      </w:r>
      <w:r>
        <w:rPr>
          <w:spacing w:val="-1"/>
        </w:rPr>
        <w:t>股，增加股本人民币</w:t>
      </w:r>
      <w:r>
        <w:rPr>
          <w:rFonts w:ascii="Times New Roman" w:hAnsi="Times New Roman" w:cs="Times New Roman" w:eastAsia="Times New Roman" w:hint="default"/>
          <w:spacing w:val="-1"/>
        </w:rPr>
        <w:t>16,396,800.00</w:t>
      </w:r>
      <w:r>
        <w:rPr>
          <w:spacing w:val="-1"/>
        </w:rPr>
        <w:t>元。此次变更已经瑞华会</w:t>
      </w:r>
      <w:r>
        <w:rPr>
          <w:spacing w:val="-75"/>
        </w:rPr>
        <w:t> </w:t>
      </w:r>
      <w:r>
        <w:rPr>
          <w:spacing w:val="-75"/>
        </w:rPr>
      </w:r>
      <w:r>
        <w:rPr/>
        <w:t>计师事务所（特殊普通合伙）瑞华验字</w:t>
      </w:r>
      <w:r>
        <w:rPr>
          <w:rFonts w:ascii="Times New Roman" w:hAnsi="Times New Roman" w:cs="Times New Roman" w:eastAsia="Times New Roman" w:hint="default"/>
        </w:rPr>
        <w:t>[2019]31200002</w:t>
      </w:r>
      <w:r>
        <w:rPr/>
        <w:t>号验资报告验证。</w:t>
      </w:r>
    </w:p>
    <w:p>
      <w:pPr>
        <w:pStyle w:val="BodyText"/>
        <w:spacing w:line="300" w:lineRule="auto" w:before="13"/>
        <w:ind w:left="492" w:right="5518"/>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日止公司总股本变更为</w:t>
      </w:r>
      <w:r>
        <w:rPr>
          <w:rFonts w:ascii="Times New Roman" w:hAnsi="Times New Roman" w:cs="Times New Roman" w:eastAsia="Times New Roman" w:hint="default"/>
        </w:rPr>
        <w:t>1,641,069,856.00</w:t>
      </w:r>
      <w:r>
        <w:rPr/>
        <w:t>元。 公司总部的注册地址：上海市浦东新区东育路</w:t>
      </w:r>
      <w:r>
        <w:rPr>
          <w:rFonts w:ascii="Times New Roman" w:hAnsi="Times New Roman" w:cs="Times New Roman" w:eastAsia="Times New Roman" w:hint="default"/>
        </w:rPr>
        <w:t>255</w:t>
      </w:r>
      <w:r>
        <w:rPr/>
        <w:t>弄</w:t>
      </w:r>
      <w:r>
        <w:rPr>
          <w:rFonts w:ascii="Times New Roman" w:hAnsi="Times New Roman" w:cs="Times New Roman" w:eastAsia="Times New Roman" w:hint="default"/>
        </w:rPr>
        <w:t>4</w:t>
      </w:r>
      <w:r>
        <w:rPr/>
        <w:t>号</w:t>
      </w:r>
      <w:r>
        <w:rPr>
          <w:rFonts w:ascii="Times New Roman" w:hAnsi="Times New Roman" w:cs="Times New Roman" w:eastAsia="Times New Roman" w:hint="default"/>
        </w:rPr>
        <w:t>3</w:t>
      </w:r>
      <w:r>
        <w:rPr/>
        <w:t>楼</w:t>
      </w:r>
      <w:r>
        <w:rPr>
          <w:rFonts w:ascii="Times New Roman" w:hAnsi="Times New Roman" w:cs="Times New Roman" w:eastAsia="Times New Roman" w:hint="default"/>
        </w:rPr>
        <w:t>B29 </w:t>
      </w:r>
      <w:r>
        <w:rPr/>
        <w:t>法定代表人：周炜</w:t>
      </w:r>
    </w:p>
    <w:p>
      <w:pPr>
        <w:pStyle w:val="BodyText"/>
        <w:spacing w:line="307" w:lineRule="auto" w:before="31"/>
        <w:ind w:left="132" w:right="1034" w:firstLine="360"/>
        <w:jc w:val="left"/>
      </w:pPr>
      <w:r>
        <w:rPr/>
        <w:t>经营范围：从事健康科技领域内的技术开发、技术转让、技术咨询、技术服务，医疗器械生产</w:t>
      </w:r>
      <w:r>
        <w:rPr>
          <w:rFonts w:ascii="Times New Roman" w:hAnsi="Times New Roman" w:cs="Times New Roman" w:eastAsia="Times New Roman" w:hint="default"/>
        </w:rPr>
        <w:t>(II</w:t>
      </w:r>
      <w:r>
        <w:rPr/>
        <w:t>类</w:t>
      </w:r>
      <w:r>
        <w:rPr>
          <w:rFonts w:ascii="Times New Roman" w:hAnsi="Times New Roman" w:cs="Times New Roman" w:eastAsia="Times New Roman" w:hint="default"/>
        </w:rPr>
        <w:t>6870</w:t>
      </w:r>
      <w:r>
        <w:rPr/>
        <w:t>影像档案传输、 处理系统软件</w:t>
      </w:r>
      <w:r>
        <w:rPr>
          <w:rFonts w:ascii="Times New Roman" w:hAnsi="Times New Roman" w:cs="Times New Roman" w:eastAsia="Times New Roman" w:hint="default"/>
        </w:rPr>
        <w:t>)</w:t>
      </w:r>
      <w:r>
        <w:rPr/>
        <w:t>，医疗器械经营</w:t>
      </w:r>
      <w:r>
        <w:rPr>
          <w:rFonts w:ascii="Times New Roman" w:hAnsi="Times New Roman" w:cs="Times New Roman" w:eastAsia="Times New Roman" w:hint="default"/>
        </w:rPr>
        <w:t>,</w:t>
      </w:r>
      <w:r>
        <w:rPr/>
        <w:t>实业投资，自有房屋租赁，计算机软件的开发、设计和制作，计算机软、硬件及辅助设备的 </w:t>
      </w:r>
      <w:r>
        <w:rPr>
          <w:spacing w:val="-2"/>
        </w:rPr>
        <w:t>销售，计算机网络信息系统集成的维护，并提供相关的技术咨询和技术服务。【依法须经批准的项目，经相关部门批准后方</w:t>
      </w:r>
      <w:r>
        <w:rPr>
          <w:spacing w:val="-63"/>
        </w:rPr>
        <w:t> </w:t>
      </w:r>
      <w:r>
        <w:rPr>
          <w:spacing w:val="-63"/>
        </w:rPr>
      </w:r>
      <w:r>
        <w:rPr/>
        <w:t>可开展经营活动】</w:t>
      </w:r>
    </w:p>
    <w:p>
      <w:pPr>
        <w:pStyle w:val="BodyText"/>
        <w:spacing w:line="240" w:lineRule="auto" w:before="26"/>
        <w:ind w:left="492" w:right="1034"/>
        <w:jc w:val="left"/>
      </w:pPr>
      <w:r>
        <w:rPr/>
        <w:t>财务报告批准报出日：本财务报表业经本公司董事会于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日决议批准报出。</w:t>
      </w:r>
    </w:p>
    <w:p>
      <w:pPr>
        <w:spacing w:line="240" w:lineRule="auto" w:before="13"/>
        <w:rPr>
          <w:rFonts w:ascii="宋体" w:hAnsi="宋体" w:cs="宋体" w:eastAsia="宋体" w:hint="default"/>
          <w:sz w:val="13"/>
          <w:szCs w:val="13"/>
        </w:rPr>
      </w:pPr>
    </w:p>
    <w:p>
      <w:pPr>
        <w:pStyle w:val="BodyText"/>
        <w:spacing w:line="240" w:lineRule="auto"/>
        <w:ind w:left="612" w:right="1034"/>
        <w:jc w:val="left"/>
      </w:pPr>
      <w:r>
        <w:rPr/>
        <w:t>（</w:t>
      </w:r>
      <w:r>
        <w:rPr>
          <w:rFonts w:ascii="Times New Roman" w:hAnsi="Times New Roman" w:cs="Times New Roman" w:eastAsia="Times New Roman" w:hint="default"/>
        </w:rPr>
        <w:t>1</w:t>
      </w:r>
      <w:r>
        <w:rPr/>
        <w:t>）本公司本期纳入合并范围的子公司</w:t>
      </w:r>
    </w:p>
    <w:p>
      <w:pPr>
        <w:spacing w:line="240" w:lineRule="auto" w:before="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097"/>
        <w:gridCol w:w="3911"/>
        <w:gridCol w:w="2034"/>
        <w:gridCol w:w="1252"/>
        <w:gridCol w:w="1364"/>
      </w:tblGrid>
      <w:tr>
        <w:trPr>
          <w:trHeight w:val="347" w:hRule="exact"/>
        </w:trPr>
        <w:tc>
          <w:tcPr>
            <w:tcW w:w="1097" w:type="dxa"/>
            <w:vMerge w:val="restart"/>
            <w:tcBorders>
              <w:top w:val="single" w:sz="6" w:space="0" w:color="000000"/>
              <w:left w:val="single" w:sz="6" w:space="0" w:color="000000"/>
              <w:right w:val="single" w:sz="6" w:space="0" w:color="000000"/>
            </w:tcBorders>
            <w:shd w:val="clear" w:color="auto" w:fill="D7D7D7"/>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序  号</w:t>
            </w:r>
          </w:p>
        </w:tc>
        <w:tc>
          <w:tcPr>
            <w:tcW w:w="3911" w:type="dxa"/>
            <w:vMerge w:val="restart"/>
            <w:tcBorders>
              <w:top w:val="single" w:sz="6" w:space="0" w:color="000000"/>
              <w:left w:val="single" w:sz="6" w:space="0" w:color="000000"/>
              <w:right w:val="single" w:sz="6" w:space="0" w:color="000000"/>
            </w:tcBorders>
            <w:shd w:val="clear" w:color="auto" w:fill="D7D7D7"/>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2034" w:type="dxa"/>
            <w:vMerge w:val="restart"/>
            <w:tcBorders>
              <w:top w:val="single" w:sz="6" w:space="0" w:color="000000"/>
              <w:left w:val="single" w:sz="6" w:space="0" w:color="000000"/>
              <w:right w:val="single" w:sz="6" w:space="0" w:color="000000"/>
            </w:tcBorders>
            <w:shd w:val="clear" w:color="auto" w:fill="D7D7D7"/>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子公司简称</w:t>
            </w:r>
          </w:p>
        </w:tc>
        <w:tc>
          <w:tcPr>
            <w:tcW w:w="2616"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8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47" w:hRule="exact"/>
        </w:trPr>
        <w:tc>
          <w:tcPr>
            <w:tcW w:w="1097" w:type="dxa"/>
            <w:vMerge/>
            <w:tcBorders>
              <w:left w:val="single" w:sz="6" w:space="0" w:color="000000"/>
              <w:bottom w:val="single" w:sz="6" w:space="0" w:color="000000"/>
              <w:right w:val="single" w:sz="6" w:space="0" w:color="000000"/>
            </w:tcBorders>
            <w:shd w:val="clear" w:color="auto" w:fill="D7D7D7"/>
          </w:tcPr>
          <w:p>
            <w:pPr/>
          </w:p>
        </w:tc>
        <w:tc>
          <w:tcPr>
            <w:tcW w:w="3911" w:type="dxa"/>
            <w:vMerge/>
            <w:tcBorders>
              <w:left w:val="single" w:sz="6" w:space="0" w:color="000000"/>
              <w:bottom w:val="single" w:sz="6" w:space="0" w:color="000000"/>
              <w:right w:val="single" w:sz="6" w:space="0" w:color="000000"/>
            </w:tcBorders>
            <w:shd w:val="clear" w:color="auto" w:fill="D7D7D7"/>
          </w:tcPr>
          <w:p>
            <w:pPr/>
          </w:p>
        </w:tc>
        <w:tc>
          <w:tcPr>
            <w:tcW w:w="2034" w:type="dxa"/>
            <w:vMerge/>
            <w:tcBorders>
              <w:left w:val="single" w:sz="6" w:space="0" w:color="000000"/>
              <w:bottom w:val="single" w:sz="6" w:space="0" w:color="000000"/>
              <w:right w:val="single" w:sz="6" w:space="0" w:color="000000"/>
            </w:tcBorders>
            <w:shd w:val="clear" w:color="auto" w:fill="D7D7D7"/>
          </w:tcPr>
          <w:p>
            <w:pPr/>
          </w:p>
        </w:tc>
        <w:tc>
          <w:tcPr>
            <w:tcW w:w="125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间接</w:t>
            </w: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江苏卫宁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西安卫宁软件有限公司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西安卫宁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新疆卫宁软件有限公司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新疆卫宁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4</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山西卫宁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北京卫宁健康科技有限公司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北京卫宁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6</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杭州东联软件有限公司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杭州东联</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浙江万鼎信息技术有限公司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浙江万鼎</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92.76</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宁波金仕达卫宁软件有限公司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宁波卫宁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重庆卫宁软件有限公司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重庆卫宁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黑龙江卫宁软件有限公司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黑龙江卫宁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11</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合肥汉思信息技术有限责任公司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合肥汉思</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51.00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深圳卫宁中天软件有限公司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深圳卫宁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13</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四川卫宁软件有限公司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四川卫宁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51.00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广东卫宁软件有限公司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广东卫宁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卫宁互联网科技有限公司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卫宁互联网</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16</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上海卫宁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天津卫宁软件有限公司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天津卫宁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18</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快享医疗科技（上海）有限公司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快享医疗</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74.71</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宣城卫宁软件科技有限公司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宣城卫宁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陕西卫宁互联网科技有限公司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陕西卫宁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51.00</w:t>
            </w:r>
          </w:p>
        </w:tc>
        <w:tc>
          <w:tcPr>
            <w:tcW w:w="136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6" w:footer="978" w:top="1060" w:bottom="1160" w:left="1000" w:right="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097"/>
        <w:gridCol w:w="3911"/>
        <w:gridCol w:w="2034"/>
        <w:gridCol w:w="1252"/>
        <w:gridCol w:w="1364"/>
      </w:tblGrid>
      <w:tr>
        <w:trPr>
          <w:trHeight w:val="347"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21</w:t>
            </w:r>
          </w:p>
        </w:tc>
        <w:tc>
          <w:tcPr>
            <w:tcW w:w="3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7" w:right="0"/>
              <w:jc w:val="left"/>
              <w:rPr>
                <w:rFonts w:ascii="宋体" w:hAnsi="宋体" w:cs="宋体" w:eastAsia="宋体" w:hint="default"/>
                <w:sz w:val="18"/>
                <w:szCs w:val="18"/>
              </w:rPr>
            </w:pPr>
            <w:r>
              <w:rPr>
                <w:rFonts w:ascii="宋体" w:hAnsi="宋体" w:cs="宋体" w:eastAsia="宋体" w:hint="default"/>
                <w:sz w:val="18"/>
                <w:szCs w:val="18"/>
              </w:rPr>
              <w:t>上海卫心科技有限公司</w:t>
            </w:r>
          </w:p>
        </w:tc>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0" w:right="0"/>
              <w:jc w:val="left"/>
              <w:rPr>
                <w:rFonts w:ascii="宋体" w:hAnsi="宋体" w:cs="宋体" w:eastAsia="宋体" w:hint="default"/>
                <w:sz w:val="18"/>
                <w:szCs w:val="18"/>
              </w:rPr>
            </w:pPr>
            <w:r>
              <w:rPr>
                <w:rFonts w:ascii="宋体" w:hAnsi="宋体" w:cs="宋体" w:eastAsia="宋体" w:hint="default"/>
                <w:sz w:val="18"/>
                <w:szCs w:val="18"/>
              </w:rPr>
              <w:t>上海卫心</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740" w:right="0"/>
              <w:jc w:val="left"/>
              <w:rPr>
                <w:rFonts w:ascii="Times New Roman" w:hAnsi="Times New Roman" w:cs="Times New Roman" w:eastAsia="Times New Roman" w:hint="default"/>
                <w:sz w:val="18"/>
                <w:szCs w:val="18"/>
              </w:rPr>
            </w:pPr>
            <w:r>
              <w:rPr>
                <w:rFonts w:ascii="Times New Roman"/>
                <w:sz w:val="18"/>
              </w:rPr>
              <w:t>100.00</w:t>
            </w:r>
          </w:p>
        </w:tc>
        <w:tc>
          <w:tcPr>
            <w:tcW w:w="13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6"/>
          <w:szCs w:val="6"/>
        </w:rPr>
      </w:pPr>
    </w:p>
    <w:p>
      <w:pPr>
        <w:pStyle w:val="BodyText"/>
        <w:spacing w:line="415" w:lineRule="auto" w:before="44"/>
        <w:ind w:left="612" w:right="7124"/>
        <w:jc w:val="left"/>
      </w:pPr>
      <w:r>
        <w:rPr/>
        <w:pict>
          <v:shape style="position:absolute;margin-left:55.84pt;margin-top:38.921715pt;width:484pt;height:52.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6"/>
                    <w:gridCol w:w="3839"/>
                    <w:gridCol w:w="2150"/>
                    <w:gridCol w:w="2523"/>
                  </w:tblGrid>
                  <w:tr>
                    <w:trPr>
                      <w:trHeight w:val="347" w:hRule="exact"/>
                    </w:trPr>
                    <w:tc>
                      <w:tcPr>
                        <w:tcW w:w="114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90"/>
                            <w:sz w:val="18"/>
                            <w:szCs w:val="18"/>
                          </w:rPr>
                          <w:t> </w:t>
                        </w:r>
                        <w:r>
                          <w:rPr>
                            <w:rFonts w:ascii="宋体" w:hAnsi="宋体" w:cs="宋体" w:eastAsia="宋体" w:hint="default"/>
                            <w:sz w:val="18"/>
                            <w:szCs w:val="18"/>
                          </w:rPr>
                          <w:t>号</w:t>
                        </w:r>
                      </w:p>
                    </w:tc>
                    <w:tc>
                      <w:tcPr>
                        <w:tcW w:w="383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215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子公司简称</w:t>
                        </w:r>
                      </w:p>
                    </w:tc>
                    <w:tc>
                      <w:tcPr>
                        <w:tcW w:w="252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纳入合并范围原因</w:t>
                        </w:r>
                      </w:p>
                    </w:tc>
                  </w:tr>
                  <w:tr>
                    <w:trPr>
                      <w:trHeight w:val="347"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3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陕西卫宁互联网科技有限公司</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陕西卫宁</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w:t>
                        </w:r>
                      </w:p>
                    </w:tc>
                    <w:tc>
                      <w:tcPr>
                        <w:tcW w:w="3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上海卫心科技有限公司</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上海卫心</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r>
                </w:tbl>
                <w:p>
                  <w:pPr/>
                </w:p>
              </w:txbxContent>
            </v:textbox>
            <w10:wrap type="none"/>
          </v:shape>
        </w:pict>
      </w:r>
      <w:r>
        <w:rPr/>
        <w:t>（</w:t>
      </w:r>
      <w:r>
        <w:rPr>
          <w:rFonts w:ascii="Times New Roman" w:hAnsi="Times New Roman" w:cs="Times New Roman" w:eastAsia="Times New Roman" w:hint="default"/>
        </w:rPr>
        <w:t>2</w:t>
      </w:r>
      <w:r>
        <w:rPr/>
        <w:t>）本报告期内合并财务报表范围变化 本报告期内新增子公司：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44"/>
        <w:ind w:left="612" w:right="1034"/>
        <w:jc w:val="left"/>
      </w:pPr>
      <w:r>
        <w:rPr/>
        <w:t>本报告期内减少子公司：</w:t>
      </w:r>
    </w:p>
    <w:p>
      <w:pPr>
        <w:spacing w:line="240" w:lineRule="auto" w:before="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146"/>
        <w:gridCol w:w="3839"/>
        <w:gridCol w:w="2150"/>
        <w:gridCol w:w="2523"/>
      </w:tblGrid>
      <w:tr>
        <w:trPr>
          <w:trHeight w:val="347" w:hRule="exact"/>
        </w:trPr>
        <w:tc>
          <w:tcPr>
            <w:tcW w:w="114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90"/>
                <w:sz w:val="18"/>
                <w:szCs w:val="18"/>
              </w:rPr>
              <w:t> </w:t>
            </w:r>
            <w:r>
              <w:rPr>
                <w:rFonts w:ascii="宋体" w:hAnsi="宋体" w:cs="宋体" w:eastAsia="宋体" w:hint="default"/>
                <w:sz w:val="18"/>
                <w:szCs w:val="18"/>
              </w:rPr>
              <w:t>号</w:t>
            </w:r>
          </w:p>
        </w:tc>
        <w:tc>
          <w:tcPr>
            <w:tcW w:w="383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215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子公司简称</w:t>
            </w:r>
          </w:p>
        </w:tc>
        <w:tc>
          <w:tcPr>
            <w:tcW w:w="252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纳入合并范围原因</w:t>
            </w:r>
          </w:p>
        </w:tc>
      </w:tr>
      <w:tr>
        <w:trPr>
          <w:trHeight w:val="347" w:hRule="exact"/>
        </w:trPr>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3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广东卫宁云医健康产业有限公司</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卫宁云医</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r>
    </w:tbl>
    <w:p>
      <w:pPr>
        <w:pStyle w:val="BodyText"/>
        <w:spacing w:line="240" w:lineRule="auto" w:before="11"/>
        <w:ind w:left="584" w:right="1034"/>
        <w:jc w:val="left"/>
      </w:pPr>
      <w:r>
        <w:rPr/>
        <w:t>本期合并财务报表范围及其变化情况详见附注八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和附注九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pStyle w:val="Heading2"/>
        <w:spacing w:line="240" w:lineRule="auto"/>
        <w:ind w:left="132" w:right="1034"/>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2" w:right="1034"/>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32" w:right="1130" w:firstLine="360"/>
        <w:jc w:val="both"/>
      </w:pPr>
      <w:r>
        <w:rPr>
          <w:spacing w:val="-2"/>
        </w:rPr>
        <w:t>本公司以持续经营为基础，根据实际发生的交易和事项，按照企业会计准则及其应用指南和准则解释的规定进行确认和</w:t>
      </w:r>
      <w:r>
        <w:rPr/>
        <w:t> </w:t>
      </w:r>
      <w:r>
        <w:rPr>
          <w:spacing w:val="-2"/>
        </w:rPr>
        <w:t>计量，在此基础上编制财务报表。此外，本公司还按照中国证监会《公开发行证券的公司信息披露编报规则第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w:t>
      </w:r>
      <w:r>
        <w:rPr>
          <w:spacing w:val="-63"/>
        </w:rPr>
        <w:t> </w:t>
      </w:r>
      <w:r>
        <w:rPr/>
        <w:t>报告的一般规定》（</w:t>
      </w:r>
      <w:r>
        <w:rPr>
          <w:rFonts w:ascii="Times New Roman" w:hAnsi="Times New Roman" w:cs="Times New Roman" w:eastAsia="Times New Roman" w:hint="default"/>
        </w:rPr>
        <w:t>2014</w:t>
      </w:r>
      <w:r>
        <w:rPr/>
        <w:t>年修订）披露有关财务信息。</w:t>
      </w:r>
    </w:p>
    <w:p>
      <w:pPr>
        <w:spacing w:line="240" w:lineRule="auto" w:before="5"/>
        <w:rPr>
          <w:rFonts w:ascii="宋体" w:hAnsi="宋体" w:cs="宋体" w:eastAsia="宋体" w:hint="default"/>
          <w:sz w:val="21"/>
          <w:szCs w:val="21"/>
        </w:rPr>
      </w:pPr>
    </w:p>
    <w:p>
      <w:pPr>
        <w:pStyle w:val="Heading3"/>
        <w:spacing w:line="240" w:lineRule="auto"/>
        <w:ind w:left="132" w:right="1034"/>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32" w:right="1132" w:firstLine="360"/>
        <w:jc w:val="both"/>
      </w:pPr>
      <w:r>
        <w:rPr>
          <w:spacing w:val="-2"/>
        </w:rPr>
        <w:t>本公司对自报告期末起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个月的持续经营能力进行了评估，未发现影响本公司持续经营能力的事项，本公司以持续经营</w:t>
      </w:r>
      <w:r>
        <w:rPr/>
        <w:t> 为基础编制财务报表是合理的。</w:t>
      </w:r>
    </w:p>
    <w:p>
      <w:pPr>
        <w:spacing w:line="240" w:lineRule="auto" w:before="8"/>
        <w:rPr>
          <w:rFonts w:ascii="宋体" w:hAnsi="宋体" w:cs="宋体" w:eastAsia="宋体" w:hint="default"/>
          <w:sz w:val="21"/>
          <w:szCs w:val="21"/>
        </w:rPr>
      </w:pPr>
    </w:p>
    <w:p>
      <w:pPr>
        <w:pStyle w:val="Heading2"/>
        <w:spacing w:line="240" w:lineRule="auto"/>
        <w:ind w:left="132" w:right="1034"/>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492" w:right="1394" w:hanging="360"/>
        <w:jc w:val="left"/>
      </w:pPr>
      <w:r>
        <w:rPr/>
        <w:t>具体会计政策和会计估计提示： 本公司下列重要会计政策、会计估计根据企业会计准则制定。未提及的业务按企业会计准则中相关会计政策执行。</w:t>
      </w:r>
    </w:p>
    <w:p>
      <w:pPr>
        <w:spacing w:line="240" w:lineRule="auto" w:before="12"/>
        <w:rPr>
          <w:rFonts w:ascii="宋体" w:hAnsi="宋体" w:cs="宋体" w:eastAsia="宋体" w:hint="default"/>
          <w:sz w:val="19"/>
          <w:szCs w:val="19"/>
        </w:rPr>
      </w:pPr>
    </w:p>
    <w:p>
      <w:pPr>
        <w:pStyle w:val="Heading3"/>
        <w:spacing w:line="240" w:lineRule="auto"/>
        <w:ind w:left="132" w:right="1034"/>
        <w:jc w:val="left"/>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2" w:right="1034"/>
        <w:jc w:val="left"/>
      </w:pPr>
      <w:r>
        <w:rPr>
          <w:spacing w:val="-2"/>
        </w:rPr>
        <w:t>本公司所编制的财务报表符合企业会计准则的要求，真实、完整地反映了公司的财务状况、经营成果、所有者权益变动和现</w:t>
      </w:r>
      <w:r>
        <w:rPr>
          <w:spacing w:val="-66"/>
        </w:rPr>
        <w:t> </w:t>
      </w:r>
      <w:r>
        <w:rPr>
          <w:spacing w:val="-66"/>
        </w:rPr>
      </w:r>
      <w:r>
        <w:rPr/>
        <w:t>金流量等有关信息。</w:t>
      </w:r>
    </w:p>
    <w:p>
      <w:pPr>
        <w:spacing w:line="240" w:lineRule="auto" w:before="8"/>
        <w:rPr>
          <w:rFonts w:ascii="宋体" w:hAnsi="宋体" w:cs="宋体" w:eastAsia="宋体" w:hint="default"/>
          <w:sz w:val="22"/>
          <w:szCs w:val="22"/>
        </w:rPr>
      </w:pPr>
    </w:p>
    <w:p>
      <w:pPr>
        <w:spacing w:line="544" w:lineRule="auto" w:before="0"/>
        <w:ind w:left="132" w:right="6974" w:firstLine="0"/>
        <w:jc w:val="left"/>
        <w:rPr>
          <w:rFonts w:ascii="宋体" w:hAnsi="宋体" w:cs="宋体" w:eastAsia="宋体" w:hint="default"/>
          <w:sz w:val="21"/>
          <w:szCs w:val="21"/>
        </w:rPr>
      </w:pPr>
      <w:bookmarkStart w:name="2、会计期间" w:id="167"/>
      <w:bookmarkEnd w:id="16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本公司会计年度自公历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68"/>
      <w:bookmarkEnd w:id="16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51"/>
        <w:ind w:left="132" w:right="1034"/>
        <w:jc w:val="left"/>
      </w:pPr>
      <w:r>
        <w:rPr/>
        <w:t>本公司正常营业周期为一年。</w:t>
      </w:r>
    </w:p>
    <w:p>
      <w:pPr>
        <w:spacing w:after="0" w:line="240" w:lineRule="auto"/>
        <w:jc w:val="left"/>
        <w:sectPr>
          <w:pgSz w:w="11910" w:h="16840"/>
          <w:pgMar w:header="746" w:footer="978" w:top="1060" w:bottom="1160" w:left="100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both"/>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本公司的记账本位币为人民币，境外（分）子公司按所在国家或地区的货币为记账本位币。</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420" w:lineRule="atLeast" w:before="17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本公司在企业合并中取得的资产和负债，在合并日按取得被合并方在最终控制方合并财务报表中的账面价值计量。其中，</w:t>
      </w:r>
    </w:p>
    <w:p>
      <w:pPr>
        <w:pStyle w:val="BodyText"/>
        <w:spacing w:line="316" w:lineRule="auto" w:before="76"/>
        <w:ind w:right="1130"/>
        <w:jc w:val="both"/>
      </w:pPr>
      <w:r>
        <w:rPr>
          <w:spacing w:val="-2"/>
        </w:rPr>
        <w:t>对于被合并方与本公司在企业合并前采用的会计政策不同的，基于重要性原则统一会计政策，即按照本公司的会计政策对被</w:t>
      </w:r>
      <w:r>
        <w:rPr>
          <w:spacing w:val="-64"/>
        </w:rPr>
        <w:t> </w:t>
      </w:r>
      <w:r>
        <w:rPr>
          <w:spacing w:val="-64"/>
        </w:rPr>
      </w:r>
      <w:r>
        <w:rPr>
          <w:spacing w:val="-2"/>
        </w:rPr>
        <w:t>合并方资产、负债的账面价值进行调整。本公司在企业合并中取得的净资产账面价值与所支付对价的账面价值之间存在差额</w:t>
      </w:r>
      <w:r>
        <w:rPr>
          <w:spacing w:val="-64"/>
        </w:rPr>
        <w:t> </w:t>
      </w:r>
      <w:r>
        <w:rPr>
          <w:spacing w:val="-64"/>
        </w:rPr>
      </w:r>
      <w:r>
        <w:rPr>
          <w:spacing w:val="-2"/>
        </w:rPr>
        <w:t>的，首先调整资本公积（资本溢价或股本溢价），资本公积（资本溢价或股本溢价）的余额不足冲减的，依次冲减盈余公积</w:t>
      </w:r>
      <w:r>
        <w:rPr>
          <w:spacing w:val="-64"/>
        </w:rPr>
        <w:t> </w:t>
      </w:r>
      <w:r>
        <w:rPr>
          <w:spacing w:val="-64"/>
        </w:rPr>
      </w:r>
      <w:r>
        <w:rPr/>
        <w:t>和未分配利润。</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本公司在企业合并中取得的被购买方各项可辨认资产和负债，在购买日按其公允价值计量。其中，对于被购买方与本公</w:t>
      </w:r>
    </w:p>
    <w:p>
      <w:pPr>
        <w:pStyle w:val="BodyText"/>
        <w:spacing w:line="316" w:lineRule="auto" w:before="15"/>
        <w:ind w:right="1130"/>
        <w:jc w:val="both"/>
      </w:pPr>
      <w:r>
        <w:rPr>
          <w:spacing w:val="-2"/>
        </w:rPr>
        <w:t>司在企业合并前采用的会计政策不同的，基于重要性原则统一会计政策，即按照本公司的会计政策对被购买方资产、负债的</w:t>
      </w:r>
      <w:r>
        <w:rPr>
          <w:spacing w:val="-63"/>
        </w:rPr>
        <w:t> </w:t>
      </w:r>
      <w:r>
        <w:rPr>
          <w:spacing w:val="-63"/>
        </w:rPr>
      </w:r>
      <w:r>
        <w:rPr>
          <w:spacing w:val="-2"/>
        </w:rPr>
        <w:t>账面价值进行调整。本公司在购买日的合并成本大于企业合并中取得的被购买方可辨认资产、负债公允价值的差额，确认为</w:t>
      </w:r>
      <w:r>
        <w:rPr>
          <w:spacing w:val="-63"/>
        </w:rPr>
        <w:t> </w:t>
      </w:r>
      <w:r>
        <w:rPr>
          <w:spacing w:val="-63"/>
        </w:rPr>
      </w:r>
      <w:r>
        <w:rPr>
          <w:spacing w:val="-2"/>
        </w:rPr>
        <w:t>商誉；如果合并成本小于企业合并中取得的被购买方可辨认资产、负债公允价值的差额，首先对合并成本以及在企业合并中</w:t>
      </w:r>
      <w:r>
        <w:rPr>
          <w:spacing w:val="-63"/>
        </w:rPr>
        <w:t> </w:t>
      </w:r>
      <w:r>
        <w:rPr>
          <w:spacing w:val="-63"/>
        </w:rPr>
      </w:r>
      <w:r>
        <w:rPr>
          <w:spacing w:val="-2"/>
        </w:rPr>
        <w:t>取得的被购买方可辨认资产、负债的公允价值进行复核，经复核后合并成本仍小于取得的被购买方可辨认资产、负债公允价</w:t>
      </w:r>
      <w:r>
        <w:rPr>
          <w:spacing w:val="-63"/>
        </w:rPr>
        <w:t> </w:t>
      </w:r>
      <w:r>
        <w:rPr>
          <w:spacing w:val="-63"/>
        </w:rPr>
      </w:r>
      <w:r>
        <w:rPr/>
        <w:t>值的，其差额确认为合并当期损益。</w:t>
      </w:r>
    </w:p>
    <w:p>
      <w:pPr>
        <w:spacing w:line="300" w:lineRule="auto" w:before="139"/>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）企业合并中有关交易费用的处理</w:t>
      </w:r>
      <w:r>
        <w:rPr>
          <w:rFonts w:ascii="宋体" w:hAnsi="宋体" w:cs="宋体" w:eastAsia="宋体" w:hint="default"/>
          <w:b/>
          <w:bCs/>
          <w:w w:val="99"/>
          <w:sz w:val="18"/>
          <w:szCs w:val="18"/>
        </w:rPr>
        <w:t> </w:t>
      </w:r>
      <w:r>
        <w:rPr>
          <w:rFonts w:ascii="宋体" w:hAnsi="宋体" w:cs="宋体" w:eastAsia="宋体" w:hint="default"/>
          <w:spacing w:val="-2"/>
          <w:sz w:val="18"/>
          <w:szCs w:val="18"/>
        </w:rPr>
        <w:t>为进行企业合并发生的审计、法律服务、评估咨询等中介费用以及其他相关管理费用，于发生时计入当期损益。作为合</w:t>
      </w:r>
    </w:p>
    <w:p>
      <w:pPr>
        <w:pStyle w:val="BodyText"/>
        <w:spacing w:line="240" w:lineRule="auto" w:before="31"/>
        <w:ind w:right="0"/>
        <w:jc w:val="both"/>
      </w:pPr>
      <w:r>
        <w:rPr/>
        <w:t>并对价发行的权益性证券或债务性证券的交易费用，计入权益性证券或债务性证券的初始确认金额。</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132" w:firstLine="360"/>
        <w:jc w:val="both"/>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不仅包括根据表决权（或类似表决权）本身或者结合其他安排确定的 子公司，也包括基于一项或多项合同安排决定的结构化主体。</w:t>
      </w:r>
    </w:p>
    <w:p>
      <w:pPr>
        <w:pStyle w:val="BodyText"/>
        <w:spacing w:line="316" w:lineRule="auto" w:before="151"/>
        <w:ind w:right="1130" w:firstLine="360"/>
        <w:jc w:val="both"/>
      </w:pPr>
      <w:r>
        <w:rPr>
          <w:spacing w:val="-2"/>
        </w:rPr>
        <w:t>控制是指本公司拥有对被投资方的权力，通过参与被投资方的相关活动而享有可变回报，并且有能力运用对被投资方的</w:t>
      </w:r>
      <w:r>
        <w:rPr/>
        <w:t> </w:t>
      </w:r>
      <w:r>
        <w:rPr>
          <w:spacing w:val="-2"/>
        </w:rPr>
        <w:t>权力影响其回报金额。子公司是指被本公司控制的主体（含企业、被投资单位中可分割的部分，以及企业所控制的结构化主</w:t>
      </w:r>
      <w:r>
        <w:rPr>
          <w:spacing w:val="-65"/>
        </w:rPr>
        <w:t> </w:t>
      </w:r>
      <w:r>
        <w:rPr>
          <w:spacing w:val="-65"/>
        </w:rPr>
      </w:r>
      <w:r>
        <w:rPr>
          <w:spacing w:val="-2"/>
        </w:rPr>
        <w:t>体等），结构化主体是指在确定其控制方时没有将表决权或类似权利作为决定性因素而设计的主体（注：有时也称为特殊目</w:t>
      </w:r>
      <w:r>
        <w:rPr>
          <w:spacing w:val="-64"/>
        </w:rPr>
        <w:t> </w:t>
      </w:r>
      <w:r>
        <w:rPr>
          <w:spacing w:val="-64"/>
        </w:rPr>
      </w:r>
      <w:r>
        <w:rPr/>
        <w:t>的主体）。</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）关于母公司是投资性主体的特殊规定</w:t>
      </w:r>
      <w:r>
        <w:rPr>
          <w:rFonts w:ascii="宋体" w:hAnsi="宋体" w:cs="宋体" w:eastAsia="宋体" w:hint="default"/>
          <w:b/>
          <w:bCs/>
          <w:w w:val="99"/>
          <w:sz w:val="18"/>
          <w:szCs w:val="18"/>
        </w:rPr>
        <w:t> </w:t>
      </w:r>
      <w:r>
        <w:rPr>
          <w:rFonts w:ascii="宋体" w:hAnsi="宋体" w:cs="宋体" w:eastAsia="宋体" w:hint="default"/>
          <w:spacing w:val="-2"/>
          <w:sz w:val="18"/>
          <w:szCs w:val="18"/>
        </w:rPr>
        <w:t>如果母公司是投资性主体，则只将那些为投资性主体的投资活动提供相关服务的子公司纳入合并范围，其他子公司不予</w:t>
      </w:r>
    </w:p>
    <w:p>
      <w:pPr>
        <w:pStyle w:val="BodyText"/>
        <w:spacing w:line="439" w:lineRule="auto" w:before="15"/>
        <w:ind w:left="472" w:right="2114" w:hanging="360"/>
        <w:jc w:val="left"/>
      </w:pPr>
      <w:r>
        <w:rPr/>
        <w:t>以合并，对不纳入合并范围的子公司的股权投资方确认为以公允价值计量且其变动计入当期损益的金融资产。 当母公司同时满足下列条件时，该母公司属于投资性主体：</w:t>
      </w:r>
    </w:p>
    <w:p>
      <w:pPr>
        <w:pStyle w:val="BodyText"/>
        <w:spacing w:line="240" w:lineRule="auto" w:before="47"/>
        <w:ind w:left="472" w:right="0"/>
        <w:jc w:val="left"/>
      </w:pPr>
      <w:r>
        <w:rPr/>
        <w:t>①该公司是以向投资方提供投资管理服务为目的，从一个或多个投资者处获取资金。</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②该公司的唯一经营目的，是通过资本增值、投资收益或两者兼有而让投资者获得回报。</w:t>
      </w:r>
    </w:p>
    <w:p>
      <w:pPr>
        <w:spacing w:line="240" w:lineRule="auto" w:before="0"/>
        <w:rPr>
          <w:rFonts w:ascii="宋体" w:hAnsi="宋体" w:cs="宋体" w:eastAsia="宋体" w:hint="default"/>
          <w:sz w:val="15"/>
          <w:szCs w:val="15"/>
        </w:rPr>
      </w:pPr>
    </w:p>
    <w:p>
      <w:pPr>
        <w:pStyle w:val="BodyText"/>
        <w:spacing w:line="439" w:lineRule="auto"/>
        <w:ind w:left="472" w:right="0"/>
        <w:jc w:val="left"/>
      </w:pPr>
      <w:r>
        <w:rPr/>
        <w:t>③该公司按照公允价值对几乎所有投资的业绩进行考量和评价。 </w:t>
      </w:r>
      <w:r>
        <w:rPr>
          <w:spacing w:val="-2"/>
        </w:rPr>
        <w:t>当母公司由非投资性主体转变为投资性主体时，除仅将为其投资活动提供相关服务的子公司纳入合并财务报表范围编制</w:t>
      </w:r>
    </w:p>
    <w:p>
      <w:pPr>
        <w:spacing w:after="0" w:line="439"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合并财务报表外，企业自转变日起对其他子公司不再予以合并，并参照部分处置子公司股权但未丧失控制权的原则处理。</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当母公司由投资性主体转变为非投资性主体时，应将原未纳入合并财务报表范围的子公司于转变日纳入合并财务报表范</w:t>
      </w:r>
      <w:r>
        <w:rPr/>
        <w:t> </w:t>
      </w:r>
      <w:r>
        <w:rPr>
          <w:spacing w:val="-2"/>
        </w:rPr>
        <w:t>围，原未纳入合并财务报表范围的子公司在转变日的公允价值视同为购买的交易对价，按照非同一控制下企业合并的会计处</w:t>
      </w:r>
      <w:r>
        <w:rPr>
          <w:spacing w:val="-64"/>
        </w:rPr>
        <w:t> </w:t>
      </w:r>
      <w:r>
        <w:rPr>
          <w:spacing w:val="-64"/>
        </w:rPr>
      </w:r>
      <w:r>
        <w:rPr/>
        <w:t>理方法进行处理。</w:t>
      </w:r>
    </w:p>
    <w:p>
      <w:pPr>
        <w:spacing w:line="415" w:lineRule="auto" w:before="139"/>
        <w:ind w:left="472" w:right="373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）合并财务报表的编制方法</w:t>
      </w:r>
      <w:r>
        <w:rPr>
          <w:rFonts w:ascii="宋体" w:hAnsi="宋体" w:cs="宋体" w:eastAsia="宋体" w:hint="default"/>
          <w:b/>
          <w:bCs/>
          <w:w w:val="99"/>
          <w:sz w:val="18"/>
          <w:szCs w:val="18"/>
        </w:rPr>
        <w:t> </w:t>
      </w:r>
      <w:r>
        <w:rPr>
          <w:rFonts w:ascii="宋体" w:hAnsi="宋体" w:cs="宋体" w:eastAsia="宋体" w:hint="default"/>
          <w:sz w:val="18"/>
          <w:szCs w:val="18"/>
        </w:rPr>
        <w:t>本公司以自身和子公司的财务报表为基础，根据其他有关资料，编制合并财务报表。</w:t>
      </w:r>
    </w:p>
    <w:p>
      <w:pPr>
        <w:pStyle w:val="BodyText"/>
        <w:spacing w:line="316" w:lineRule="auto" w:before="65"/>
        <w:ind w:right="0" w:firstLine="360"/>
        <w:jc w:val="left"/>
      </w:pPr>
      <w:r>
        <w:rPr>
          <w:spacing w:val="-2"/>
        </w:rPr>
        <w:t>本公司编制合并财务报表，将整个企业集团视为一个会计主体，依据相关企业会计准则的确认、计量和列报要求，按照</w:t>
      </w:r>
      <w:r>
        <w:rPr/>
        <w:t> 统一的会计政策和会计期间，反映企业集团整体财务状况、经营成果和现金流量。</w:t>
      </w:r>
    </w:p>
    <w:p>
      <w:pPr>
        <w:pStyle w:val="BodyText"/>
        <w:spacing w:line="240" w:lineRule="auto" w:before="139"/>
        <w:ind w:left="472" w:right="0"/>
        <w:jc w:val="left"/>
      </w:pPr>
      <w:r>
        <w:rPr/>
        <w:t>①合并母公司与子公司的资产、负债、所有者权益、收入、费用和现金流等项目。</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②抵销母公司对子公司的长期股权投资与母公司在子公司所有者权益中所享有的份额。</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③抵销母公司与子公司、子公司相互之间发生的内部交易的影响。内部交易表明相关资产发生减值损失的，应当全额确</w:t>
      </w:r>
      <w:r>
        <w:rPr/>
        <w:t> 认该部分损失。</w:t>
      </w:r>
    </w:p>
    <w:p>
      <w:pPr>
        <w:pStyle w:val="BodyText"/>
        <w:spacing w:line="240" w:lineRule="auto" w:before="139"/>
        <w:ind w:left="472" w:right="0"/>
        <w:jc w:val="left"/>
      </w:pPr>
      <w:r>
        <w:rPr/>
        <w:t>④站在企业集团角度对特殊交易事项予以调整。</w:t>
      </w: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）报告期内增减子公司的处理</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472" w:right="0"/>
        <w:jc w:val="left"/>
      </w:pPr>
      <w:r>
        <w:rPr/>
        <w:t>①增加子公司或业务</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rFonts w:ascii="Times New Roman" w:hAnsi="Times New Roman" w:cs="Times New Roman" w:eastAsia="Times New Roman" w:hint="default"/>
        </w:rPr>
        <w:t>A.</w:t>
      </w:r>
      <w:r>
        <w:rPr/>
        <w:t>同一控制下企业合并增加的子公司或业务</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t>（</w:t>
      </w:r>
      <w:r>
        <w:rPr>
          <w:rFonts w:ascii="Times New Roman" w:hAnsi="Times New Roman" w:cs="Times New Roman" w:eastAsia="Times New Roman" w:hint="default"/>
        </w:rPr>
        <w:t>a</w:t>
      </w:r>
      <w:r>
        <w:rPr/>
        <w:t>）编制合并资产负债表时，调整合并资产负债表的期初数，同时对比较报表的相关项目进行调整，视同合并后的报 告主体自最终控制方开始控制时点起一直存在。</w:t>
      </w:r>
    </w:p>
    <w:p>
      <w:pPr>
        <w:pStyle w:val="BodyText"/>
        <w:spacing w:line="300" w:lineRule="auto" w:before="151"/>
        <w:ind w:right="1124" w:firstLine="360"/>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BodyText"/>
        <w:spacing w:line="300" w:lineRule="auto" w:before="151"/>
        <w:ind w:right="0" w:firstLine="360"/>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BodyText"/>
        <w:spacing w:line="240" w:lineRule="auto" w:before="151"/>
        <w:ind w:left="472" w:right="0"/>
        <w:jc w:val="left"/>
      </w:pPr>
      <w:r>
        <w:rPr>
          <w:rFonts w:ascii="Times New Roman" w:hAnsi="Times New Roman" w:cs="Times New Roman" w:eastAsia="Times New Roman" w:hint="default"/>
        </w:rPr>
        <w:t>B.</w:t>
      </w:r>
      <w:r>
        <w:rPr/>
        <w:t>非同一控制下企业合并增加的子公司或业务</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w:t>
      </w:r>
      <w:r>
        <w:rPr>
          <w:rFonts w:ascii="Times New Roman" w:hAnsi="Times New Roman" w:cs="Times New Roman" w:eastAsia="Times New Roman" w:hint="default"/>
        </w:rPr>
        <w:t>a</w:t>
      </w:r>
      <w:r>
        <w:rPr/>
        <w:t>）编制合并资产负债表时，不调整合并资产负债表的期初数。</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②处置子公司或业务</w:t>
      </w:r>
    </w:p>
    <w:p>
      <w:pPr>
        <w:spacing w:line="240" w:lineRule="auto" w:before="0"/>
        <w:rPr>
          <w:rFonts w:ascii="宋体" w:hAnsi="宋体" w:cs="宋体" w:eastAsia="宋体" w:hint="default"/>
          <w:sz w:val="15"/>
          <w:szCs w:val="15"/>
        </w:rPr>
      </w:pPr>
    </w:p>
    <w:p>
      <w:pPr>
        <w:pStyle w:val="BodyText"/>
        <w:spacing w:line="415" w:lineRule="auto"/>
        <w:ind w:left="472" w:right="2848"/>
        <w:jc w:val="left"/>
      </w:pPr>
      <w:r>
        <w:rPr>
          <w:rFonts w:ascii="Times New Roman" w:hAnsi="Times New Roman" w:cs="Times New Roman" w:eastAsia="Times New Roman" w:hint="default"/>
        </w:rPr>
        <w:t>A.</w:t>
      </w:r>
      <w:r>
        <w:rPr/>
        <w:t>编制合并资产负债表时，不调整合并资产负债表的期初数。 </w:t>
      </w:r>
      <w:r>
        <w:rPr>
          <w:rFonts w:ascii="Times New Roman" w:hAnsi="Times New Roman" w:cs="Times New Roman" w:eastAsia="Times New Roman" w:hint="default"/>
        </w:rPr>
        <w:t>B.</w:t>
      </w:r>
      <w:r>
        <w:rPr/>
        <w:t>编制合并利润表时，将该子公司以及业务期初至处置日的收入、费用、利润纳入合并利润表。 </w:t>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Heading4"/>
        <w:spacing w:line="240" w:lineRule="auto" w:before="37"/>
        <w:ind w:right="0"/>
        <w:jc w:val="left"/>
        <w:rPr>
          <w:b w:val="0"/>
          <w:bCs w:val="0"/>
        </w:rPr>
      </w:pPr>
      <w:r>
        <w:rPr/>
        <w:t>（</w:t>
      </w:r>
      <w:r>
        <w:rPr>
          <w:rFonts w:ascii="Times New Roman" w:hAnsi="Times New Roman" w:cs="Times New Roman" w:eastAsia="Times New Roman" w:hint="default"/>
        </w:rPr>
        <w:t>5</w:t>
      </w:r>
      <w:r>
        <w:rPr/>
        <w:t>）合并抵销中的特殊考虑</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0" w:firstLine="360"/>
        <w:jc w:val="left"/>
      </w:pPr>
      <w:r>
        <w:rPr>
          <w:spacing w:val="-2"/>
        </w:rPr>
        <w:t>①子公司持有本公司的长期股权投资，应当视为本公司的库存股，作为所有者权益的减项，在合并资产负债表中所有者</w:t>
      </w:r>
      <w:r>
        <w:rPr/>
        <w:t> 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before="119"/>
        <w:ind w:right="0" w:firstLine="360"/>
        <w:jc w:val="left"/>
      </w:pPr>
      <w:r>
        <w:rPr>
          <w:spacing w:val="-2"/>
        </w:rPr>
        <w:t>子公司相互之间持有的长期股权投资，比照本公司对子公司的股权投资的抵销方法，将长期股权投资与其对应的子公司</w:t>
      </w:r>
      <w:r>
        <w:rPr/>
        <w:t> 所有者权益中所享有的份额相互抵销。</w:t>
      </w:r>
    </w:p>
    <w:p>
      <w:pPr>
        <w:spacing w:after="0" w:line="316"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1087" w:firstLine="360"/>
        <w:jc w:val="both"/>
      </w:pPr>
      <w:r>
        <w:rPr/>
        <w:t>②</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一般风险准备</w:t>
      </w:r>
      <w:r>
        <w:rPr>
          <w:rFonts w:ascii="Times New Roman" w:hAnsi="Times New Roman" w:cs="Times New Roman" w:eastAsia="Times New Roman" w:hint="default"/>
        </w:rPr>
        <w:t>”</w:t>
      </w:r>
      <w:r>
        <w:rPr/>
        <w:t>项目由于既不属于实收资本（或股本）、资本公积，也与留存收益、未分配利润不同， 在长期股权投资与子公司所有者权益相互抵销后，按归属于母公司所有者的份额予以恢复。</w:t>
      </w:r>
    </w:p>
    <w:p>
      <w:pPr>
        <w:pStyle w:val="BodyText"/>
        <w:spacing w:line="316" w:lineRule="auto" w:before="151"/>
        <w:ind w:right="1130" w:firstLine="360"/>
        <w:jc w:val="both"/>
      </w:pPr>
      <w:r>
        <w:rPr>
          <w:spacing w:val="-2"/>
        </w:rPr>
        <w:t>③因抵销未实现内部销售损益导致合并资产负债表中资产、负债的账面价值与其在所属纳税主体的计税基础之间产生暂</w:t>
      </w:r>
      <w:r>
        <w:rPr/>
        <w:t> </w:t>
      </w:r>
      <w:r>
        <w:rPr>
          <w:spacing w:val="-2"/>
        </w:rPr>
        <w:t>时性差异的，在合并资产负债表中确认递延所得税资产或递延所得税负债，同时调整合并利润表中的所得税费用，但与直接</w:t>
      </w:r>
      <w:r>
        <w:rPr>
          <w:spacing w:val="-63"/>
        </w:rPr>
        <w:t> </w:t>
      </w:r>
      <w:r>
        <w:rPr>
          <w:spacing w:val="-63"/>
        </w:rPr>
      </w:r>
      <w:r>
        <w:rPr/>
        <w:t>计入所有者权益的交易或事项及企业合并相关的递延所得税除外。</w:t>
      </w:r>
    </w:p>
    <w:p>
      <w:pPr>
        <w:pStyle w:val="BodyText"/>
        <w:spacing w:line="300" w:lineRule="auto" w:before="139"/>
        <w:ind w:right="1130" w:firstLine="360"/>
        <w:jc w:val="both"/>
      </w:pPr>
      <w:r>
        <w:rPr>
          <w:spacing w:val="-2"/>
        </w:rPr>
        <w:t>④本公司向子公司出售资产所发生的未实现内部交易损益，应当全额抵销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。子公司向本</w:t>
      </w:r>
      <w:r>
        <w:rPr/>
        <w:t> 公司出售资产所发生的未实现内部交易损益，应当按照本公司对该子公司的分配比例在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spacing w:val="9"/>
        </w:rPr>
        <w:t> </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之间分配抵销。子公司之间出售资产所发生的未实现内部交易损益，应当按照本公司对出售方子公司的分配</w:t>
      </w:r>
      <w:r>
        <w:rPr>
          <w:spacing w:val="-43"/>
        </w:rPr>
        <w:t> </w:t>
      </w:r>
      <w:r>
        <w:rPr>
          <w:spacing w:val="-43"/>
        </w:rPr>
      </w:r>
      <w:r>
        <w:rPr/>
        <w:t>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3"/>
        <w:ind w:right="1132" w:firstLine="360"/>
        <w:jc w:val="both"/>
      </w:pPr>
      <w:r>
        <w:rPr>
          <w:spacing w:val="-2"/>
        </w:rPr>
        <w:t>⑤子公司少数股东分担的当期亏损超过了少数股东在该子公司期初所有者权益中所享有的份额的，其余额仍应当冲减少</w:t>
      </w:r>
      <w:r>
        <w:rPr/>
        <w:t> 数股东权益。</w:t>
      </w:r>
    </w:p>
    <w:p>
      <w:pPr>
        <w:pStyle w:val="Heading4"/>
        <w:spacing w:line="240" w:lineRule="auto" w:before="139"/>
        <w:ind w:right="0"/>
        <w:jc w:val="left"/>
        <w:rPr>
          <w:b w:val="0"/>
          <w:bCs w:val="0"/>
        </w:rPr>
      </w:pPr>
      <w:r>
        <w:rPr/>
        <w:t>（</w:t>
      </w:r>
      <w:r>
        <w:rPr>
          <w:rFonts w:ascii="Times New Roman" w:hAnsi="Times New Roman" w:cs="Times New Roman" w:eastAsia="Times New Roman" w:hint="default"/>
        </w:rPr>
        <w:t>6</w:t>
      </w:r>
      <w:r>
        <w:rPr/>
        <w:t>）特殊交易的会计处理</w:t>
      </w:r>
      <w:r>
        <w:rPr>
          <w:b w:val="0"/>
          <w:bCs w:val="0"/>
        </w:rPr>
      </w:r>
    </w:p>
    <w:p>
      <w:pPr>
        <w:pStyle w:val="BodyText"/>
        <w:spacing w:line="432" w:lineRule="exact" w:before="47"/>
        <w:ind w:left="472" w:right="0"/>
        <w:jc w:val="left"/>
      </w:pPr>
      <w:r>
        <w:rPr/>
        <w:t>①购买少数股东股权 </w:t>
      </w:r>
      <w:r>
        <w:rPr>
          <w:spacing w:val="-2"/>
        </w:rPr>
        <w:t>本公司购买子公司少数股东拥有的子公司股权，在个别财务报表中，购买少数股权新取得的长期股权投资的投资成本按</w:t>
      </w:r>
    </w:p>
    <w:p>
      <w:pPr>
        <w:pStyle w:val="BodyText"/>
        <w:spacing w:line="316" w:lineRule="auto" w:before="15"/>
        <w:ind w:right="1130"/>
        <w:jc w:val="both"/>
      </w:pPr>
      <w:r>
        <w:rPr>
          <w:spacing w:val="-2"/>
        </w:rPr>
        <w:t>照所支付对价的公允价值计量。在合并财务报表中，因购买少数股权新取得的长期股权投资与按照新增持股比例计算应享有</w:t>
      </w:r>
      <w:r>
        <w:rPr>
          <w:spacing w:val="-64"/>
        </w:rPr>
        <w:t> </w:t>
      </w:r>
      <w:r>
        <w:rPr>
          <w:spacing w:val="-64"/>
        </w:rPr>
      </w:r>
      <w:r>
        <w:rPr>
          <w:spacing w:val="-2"/>
        </w:rPr>
        <w:t>子公司自购买日或合并日开始持续计算的净资产份额之间的差额，应当调整资本公积（资本溢价或股本溢价），资本公积不</w:t>
      </w:r>
      <w:r>
        <w:rPr>
          <w:spacing w:val="-64"/>
        </w:rPr>
        <w:t> </w:t>
      </w:r>
      <w:r>
        <w:rPr>
          <w:spacing w:val="-64"/>
        </w:rPr>
      </w:r>
      <w:r>
        <w:rPr/>
        <w:t>足冲减的，依次冲减盈余公积和未分配利润。</w:t>
      </w:r>
    </w:p>
    <w:p>
      <w:pPr>
        <w:pStyle w:val="BodyText"/>
        <w:spacing w:line="240" w:lineRule="auto" w:before="139"/>
        <w:ind w:left="472" w:right="0"/>
        <w:jc w:val="left"/>
      </w:pPr>
      <w:r>
        <w:rPr/>
        <w:t>②通过多次交易分步取得子公司控制权的</w:t>
      </w:r>
    </w:p>
    <w:p>
      <w:pPr>
        <w:pStyle w:val="BodyText"/>
        <w:spacing w:line="420" w:lineRule="atLeast" w:before="25"/>
        <w:ind w:left="472" w:right="0"/>
        <w:jc w:val="left"/>
      </w:pPr>
      <w:r>
        <w:rPr>
          <w:rFonts w:ascii="Times New Roman" w:hAnsi="Times New Roman" w:cs="Times New Roman" w:eastAsia="Times New Roman" w:hint="default"/>
        </w:rPr>
        <w:t>A.</w:t>
      </w:r>
      <w:r>
        <w:rPr/>
        <w:t>通过多次交易分步实现同一控制下企业合并 </w:t>
      </w:r>
      <w:r>
        <w:rPr>
          <w:spacing w:val="-2"/>
        </w:rPr>
        <w:t>在合并日，本公司在个别财务报表中，根据合并后应享有的子公司净资产在最终控制方合并财务报表中的账面价值的份</w:t>
      </w:r>
    </w:p>
    <w:p>
      <w:pPr>
        <w:pStyle w:val="BodyText"/>
        <w:spacing w:line="316" w:lineRule="auto" w:before="76"/>
        <w:ind w:right="1034"/>
        <w:jc w:val="left"/>
      </w:pPr>
      <w:r>
        <w:rPr>
          <w:spacing w:val="-2"/>
        </w:rPr>
        <w:t>额，确定长期股权投资的初始投资成本；初始投资成本与达到合并前的长期股权投资账面价值加上合并日取得进一步股份新</w:t>
      </w:r>
      <w:r>
        <w:rPr>
          <w:spacing w:val="-64"/>
        </w:rPr>
        <w:t> </w:t>
      </w:r>
      <w:r>
        <w:rPr>
          <w:spacing w:val="-64"/>
        </w:rPr>
      </w:r>
      <w:r>
        <w:rPr/>
        <w:t>支付对价的账面价值之和的差额，调整资本公积（资本溢价或股本溢价），资本公积（资本溢价或股本溢价）不足冲减的， 依次冲减盈余公积和未分配利润。</w:t>
      </w:r>
    </w:p>
    <w:p>
      <w:pPr>
        <w:pStyle w:val="BodyText"/>
        <w:spacing w:line="316" w:lineRule="auto" w:before="139"/>
        <w:ind w:right="1130" w:firstLine="360"/>
        <w:jc w:val="both"/>
      </w:pPr>
      <w:r>
        <w:rPr>
          <w:spacing w:val="-2"/>
        </w:rPr>
        <w:t>在合并财务报表中，合并方在合并中取得的被合并方的资产、负债，除因会计政策不同而进行的调整以外，按合并日在</w:t>
      </w:r>
      <w:r>
        <w:rPr/>
        <w:t> </w:t>
      </w:r>
      <w:r>
        <w:rPr>
          <w:spacing w:val="-2"/>
        </w:rPr>
        <w:t>最终控制方合并财务报表中的账面价值计量；合并前持有投资的账面价值加上合并日新支付对价的账面价值之和，与合并中</w:t>
      </w:r>
      <w:r>
        <w:rPr>
          <w:spacing w:val="-64"/>
        </w:rPr>
        <w:t> </w:t>
      </w:r>
      <w:r>
        <w:rPr>
          <w:spacing w:val="-64"/>
        </w:rPr>
      </w:r>
      <w:r>
        <w:rPr/>
        <w:t>取得的净资产账面价值的差额，调整资本公积（股本溢价</w:t>
      </w:r>
      <w:r>
        <w:rPr>
          <w:rFonts w:ascii="Times New Roman" w:hAnsi="Times New Roman" w:cs="Times New Roman" w:eastAsia="Times New Roman" w:hint="default"/>
        </w:rPr>
        <w:t>/</w:t>
      </w:r>
      <w:r>
        <w:rPr/>
        <w:t>资本溢价），资本公积不足冲减的，调整留存收益。</w:t>
      </w:r>
    </w:p>
    <w:p>
      <w:pPr>
        <w:pStyle w:val="BodyText"/>
        <w:spacing w:line="316" w:lineRule="auto" w:before="119"/>
        <w:ind w:right="1132" w:firstLine="360"/>
        <w:jc w:val="both"/>
      </w:pPr>
      <w:r>
        <w:rPr>
          <w:spacing w:val="-2"/>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4"/>
        </w:rPr>
        <w:t> </w:t>
      </w:r>
      <w:r>
        <w:rPr>
          <w:spacing w:val="-64"/>
        </w:rPr>
      </w:r>
      <w:r>
        <w:rPr/>
        <w:t>间的期初留存收益。</w:t>
      </w:r>
    </w:p>
    <w:p>
      <w:pPr>
        <w:pStyle w:val="BodyText"/>
        <w:spacing w:line="432" w:lineRule="exact" w:before="3"/>
        <w:ind w:left="472" w:right="0"/>
        <w:jc w:val="left"/>
      </w:pPr>
      <w:r>
        <w:rPr>
          <w:rFonts w:ascii="Times New Roman" w:hAnsi="Times New Roman" w:cs="Times New Roman" w:eastAsia="Times New Roman" w:hint="default"/>
        </w:rPr>
        <w:t>B.</w:t>
      </w:r>
      <w:r>
        <w:rPr/>
        <w:t>通过多次交易分步实现非同一控制下企业合并 </w:t>
      </w:r>
      <w:r>
        <w:rPr>
          <w:spacing w:val="-2"/>
        </w:rPr>
        <w:t>在合并日，在个别财务报表中，按照原持有的长期股权投资的账面价值加上合并日新增投资成本之和，作为合并日长期</w:t>
      </w:r>
    </w:p>
    <w:p>
      <w:pPr>
        <w:pStyle w:val="BodyText"/>
        <w:spacing w:line="240" w:lineRule="auto" w:before="15"/>
        <w:ind w:right="0"/>
        <w:jc w:val="left"/>
      </w:pPr>
      <w:r>
        <w:rPr/>
        <w:t>股权投资的初始投资成本。</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与其账面价值的差额计入当期投资收益；购买日之前持有的被购买方的股权涉及权益法核算下的其他综合收益等的，与其相</w:t>
      </w:r>
      <w:r>
        <w:rPr>
          <w:spacing w:val="-64"/>
        </w:rPr>
        <w:t> </w:t>
      </w:r>
      <w:r>
        <w:rPr>
          <w:spacing w:val="-64"/>
        </w:rPr>
      </w:r>
      <w:r>
        <w:rPr>
          <w:spacing w:val="-2"/>
        </w:rPr>
        <w:t>关的其他综合收益等转为购买日所属当期收益，但由于被合并方重新计量设定受益计划净资产或净负债变动而产生的其他综</w:t>
      </w:r>
      <w:r>
        <w:rPr>
          <w:spacing w:val="-64"/>
        </w:rPr>
        <w:t> </w:t>
      </w:r>
      <w:r>
        <w:rPr>
          <w:spacing w:val="-64"/>
        </w:rPr>
      </w:r>
      <w:r>
        <w:rPr>
          <w:spacing w:val="-2"/>
        </w:rPr>
        <w:t>合收益除外。本公司在附注中披露其在购买日之前持有的被购买方的股权在购买日的公允价值、按照公允价值重新计量产生</w:t>
      </w:r>
      <w:r>
        <w:rPr>
          <w:spacing w:val="-64"/>
        </w:rPr>
        <w:t> </w:t>
      </w:r>
      <w:r>
        <w:rPr>
          <w:spacing w:val="-64"/>
        </w:rPr>
      </w:r>
      <w:r>
        <w:rPr/>
        <w:t>的相关利得或损失的金额。</w:t>
      </w:r>
    </w:p>
    <w:p>
      <w:pPr>
        <w:pStyle w:val="BodyText"/>
        <w:spacing w:line="240" w:lineRule="auto" w:before="139"/>
        <w:ind w:left="472" w:right="0"/>
        <w:jc w:val="left"/>
      </w:pPr>
      <w:r>
        <w:rPr/>
        <w:t>③本公司处置对子公司长期股权投资但未丧失控制权</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母公司在不丧失控制权的情况下部分处置对子公司的长期股权投资，在合并财务报表中，处置价款与处置长期股权投资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相对应享有子公司自购买日或合并日开始持续计算的净资产份额之间的差额，调整资本公积（资本溢价或股本溢价），资本</w:t>
      </w:r>
      <w:r>
        <w:rPr>
          <w:spacing w:val="-64"/>
        </w:rPr>
        <w:t> </w:t>
      </w:r>
      <w:r>
        <w:rPr>
          <w:spacing w:val="-64"/>
        </w:rPr>
      </w:r>
      <w:r>
        <w:rPr/>
        <w:t>公积不足冲减的，调整留存收益。</w:t>
      </w:r>
    </w:p>
    <w:p>
      <w:pPr>
        <w:pStyle w:val="BodyText"/>
        <w:spacing w:line="240" w:lineRule="auto" w:before="139"/>
        <w:ind w:left="472" w:right="0"/>
        <w:jc w:val="left"/>
      </w:pPr>
      <w:r>
        <w:rPr/>
        <w:t>④本公司处置对子公司长期股权投资且丧失控制权</w:t>
      </w:r>
    </w:p>
    <w:p>
      <w:pPr>
        <w:pStyle w:val="BodyText"/>
        <w:spacing w:line="420" w:lineRule="atLeast" w:before="25"/>
        <w:ind w:left="472" w:right="0"/>
        <w:jc w:val="left"/>
      </w:pPr>
      <w:r>
        <w:rPr>
          <w:rFonts w:ascii="Times New Roman" w:hAnsi="Times New Roman" w:cs="Times New Roman" w:eastAsia="Times New Roman" w:hint="default"/>
        </w:rPr>
        <w:t>A.</w:t>
      </w:r>
      <w:r>
        <w:rPr/>
        <w:t>一次交易处置 </w:t>
      </w:r>
      <w:r>
        <w:rPr>
          <w:spacing w:val="-2"/>
        </w:rPr>
        <w:t>本公司因处置部分股权投资等原因丧失了对被投资方的控制权的，在编制合并财务报表时，对于剩余股权，按照其在丧</w:t>
      </w:r>
    </w:p>
    <w:p>
      <w:pPr>
        <w:pStyle w:val="BodyText"/>
        <w:spacing w:line="316" w:lineRule="auto" w:before="76"/>
        <w:ind w:right="0"/>
        <w:jc w:val="left"/>
      </w:pPr>
      <w:r>
        <w:rPr>
          <w:spacing w:val="-2"/>
        </w:rPr>
        <w:t>失控制权日的公允价值进行重新计量。处置股权取得的对价与剩余股权公允价值之和，减去按原持股比例计算应享有原有子</w:t>
      </w:r>
      <w:r>
        <w:rPr>
          <w:spacing w:val="-64"/>
        </w:rPr>
        <w:t> </w:t>
      </w:r>
      <w:r>
        <w:rPr>
          <w:spacing w:val="-64"/>
        </w:rPr>
      </w:r>
      <w:r>
        <w:rPr/>
        <w:t>公司自购买日或合并日开始持续计算的净资产的份额之间的差额，计入丧失控制权当期的投资收益。</w:t>
      </w:r>
    </w:p>
    <w:p>
      <w:pPr>
        <w:pStyle w:val="BodyText"/>
        <w:spacing w:line="316" w:lineRule="auto" w:before="139"/>
        <w:ind w:right="0" w:firstLine="360"/>
        <w:jc w:val="left"/>
      </w:pPr>
      <w:r>
        <w:rPr>
          <w:spacing w:val="-2"/>
        </w:rPr>
        <w:t>与原子公司的股权投资相关的其他综合收益、其他所有者权益变动，在丧失控制权时转入当期损益，由于被投资方重新</w:t>
      </w:r>
      <w:r>
        <w:rPr/>
        <w:t> 计量设定受益计划净负债或净资产变动而产生的其他综合收益除外。</w:t>
      </w:r>
    </w:p>
    <w:p>
      <w:pPr>
        <w:pStyle w:val="BodyText"/>
        <w:spacing w:line="415" w:lineRule="auto" w:before="139"/>
        <w:ind w:left="472" w:right="5194"/>
        <w:jc w:val="left"/>
      </w:pPr>
      <w:r>
        <w:rPr>
          <w:rFonts w:ascii="Times New Roman" w:hAnsi="Times New Roman" w:cs="Times New Roman" w:eastAsia="Times New Roman" w:hint="default"/>
        </w:rPr>
        <w:t>B.</w:t>
      </w:r>
      <w:r>
        <w:rPr/>
        <w:t>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09" w:lineRule="auto" w:before="37"/>
        <w:ind w:right="1130" w:firstLine="360"/>
        <w:jc w:val="both"/>
      </w:pPr>
      <w:r>
        <w:rPr>
          <w:spacing w:val="-2"/>
        </w:rPr>
        <w:t>如果分步交易不属于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的，在个别财务报表中，对丧失子公司控制权之前的各项交易，结转每一次处置股权</w:t>
      </w:r>
      <w:r>
        <w:rPr/>
        <w:t> </w:t>
      </w:r>
      <w:r>
        <w:rPr>
          <w:spacing w:val="-2"/>
        </w:rPr>
        <w:t>相对应的长期股权投资的账面价值，所得价款与处置长期股权投资账面价值之间的差额计入当期投资收益；在合并财务报表</w:t>
      </w:r>
      <w:r>
        <w:rPr>
          <w:spacing w:val="-64"/>
        </w:rPr>
        <w:t> </w:t>
      </w:r>
      <w:r>
        <w:rPr>
          <w:spacing w:val="-64"/>
        </w:rPr>
      </w:r>
      <w:r>
        <w:rPr/>
        <w:t>中，应按照</w:t>
      </w:r>
      <w:r>
        <w:rPr>
          <w:rFonts w:ascii="Times New Roman" w:hAnsi="Times New Roman" w:cs="Times New Roman" w:eastAsia="Times New Roman" w:hint="default"/>
        </w:rPr>
        <w:t>“</w:t>
      </w:r>
      <w:r>
        <w:rPr/>
        <w:t>母公司处置对子公司长期股权投资但未丧失控制权</w:t>
      </w:r>
      <w:r>
        <w:rPr>
          <w:rFonts w:ascii="Times New Roman" w:hAnsi="Times New Roman" w:cs="Times New Roman" w:eastAsia="Times New Roman" w:hint="default"/>
        </w:rPr>
        <w:t>”</w:t>
      </w:r>
      <w:r>
        <w:rPr/>
        <w:t>的有关规定处理。</w:t>
      </w:r>
    </w:p>
    <w:p>
      <w:pPr>
        <w:pStyle w:val="BodyText"/>
        <w:spacing w:line="314" w:lineRule="auto" w:before="125"/>
        <w:ind w:right="1130" w:firstLine="360"/>
        <w:jc w:val="both"/>
      </w:pPr>
      <w:r>
        <w:rPr>
          <w:spacing w:val="-2"/>
        </w:rPr>
        <w:t>如果分步交易属于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的，应当将各项交易作为一项处置子公司并丧失控制权的交易进行会计处理；在个别财</w:t>
      </w:r>
      <w:r>
        <w:rPr/>
        <w:t> </w:t>
      </w:r>
      <w:r>
        <w:rPr>
          <w:spacing w:val="-2"/>
        </w:rPr>
        <w:t>务报表中，在丧失控制权之前的每一次处置价款与所处置的股权对应的长期股权投资账面价值之间的差额，先确认为其他综</w:t>
      </w:r>
      <w:r>
        <w:rPr>
          <w:spacing w:val="-64"/>
        </w:rPr>
        <w:t> </w:t>
      </w:r>
      <w:r>
        <w:rPr>
          <w:spacing w:val="-64"/>
        </w:rPr>
      </w:r>
      <w:r>
        <w:rPr>
          <w:spacing w:val="-2"/>
        </w:rPr>
        <w:t>合收益，到丧失控制权时再一并转入丧失控制权的当期损益；在合并财务报表中，对于丧失控制权之前的每一次交易，处置</w:t>
      </w:r>
      <w:r>
        <w:rPr>
          <w:spacing w:val="-64"/>
        </w:rPr>
        <w:t> </w:t>
      </w:r>
      <w:r>
        <w:rPr>
          <w:spacing w:val="-64"/>
        </w:rPr>
      </w:r>
      <w:r>
        <w:rPr>
          <w:spacing w:val="-2"/>
        </w:rPr>
        <w:t>价款与处置投资对应的享有该子公司净资产份额的差额应当确认为其他综合收益，在丧失控制权时一并转入丧失控制权当期</w:t>
      </w:r>
      <w:r>
        <w:rPr>
          <w:spacing w:val="-64"/>
        </w:rPr>
        <w:t> </w:t>
      </w:r>
      <w:r>
        <w:rPr>
          <w:spacing w:val="-64"/>
        </w:rPr>
      </w:r>
      <w:r>
        <w:rPr/>
        <w:t>的损益。</w:t>
      </w:r>
    </w:p>
    <w:p>
      <w:pPr>
        <w:pStyle w:val="BodyText"/>
        <w:spacing w:line="240" w:lineRule="auto" w:before="140"/>
        <w:ind w:left="472" w:right="0"/>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w:t>
      </w:r>
      <w:r>
        <w:rPr>
          <w:rFonts w:ascii="Times New Roman" w:hAnsi="Times New Roman" w:cs="Times New Roman" w:eastAsia="Times New Roman" w:hint="default"/>
        </w:rPr>
        <w:t>a</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w:t>
      </w:r>
      <w:r>
        <w:rPr>
          <w:rFonts w:ascii="Times New Roman" w:hAnsi="Times New Roman" w:cs="Times New Roman" w:eastAsia="Times New Roman" w:hint="default"/>
        </w:rPr>
        <w:t>b</w:t>
      </w:r>
      <w:r>
        <w:rPr/>
        <w:t>）这些交易整体才能达成一项完整的商业结果。</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w:t>
      </w:r>
      <w:r>
        <w:rPr>
          <w:rFonts w:ascii="Times New Roman" w:hAnsi="Times New Roman" w:cs="Times New Roman" w:eastAsia="Times New Roman" w:hint="default"/>
        </w:rPr>
        <w:t>c</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w:t>
      </w:r>
      <w:r>
        <w:rPr>
          <w:rFonts w:ascii="Times New Roman" w:hAnsi="Times New Roman" w:cs="Times New Roman" w:eastAsia="Times New Roman" w:hint="default"/>
        </w:rPr>
        <w:t>d</w:t>
      </w:r>
      <w:r>
        <w:rPr/>
        <w:t>）一项交易单独考虑时是不经济的，但是和其他交易一并考虑时是经济的。</w:t>
      </w:r>
    </w:p>
    <w:p>
      <w:pPr>
        <w:spacing w:line="240" w:lineRule="auto" w:before="13"/>
        <w:rPr>
          <w:rFonts w:ascii="宋体" w:hAnsi="宋体" w:cs="宋体" w:eastAsia="宋体" w:hint="default"/>
          <w:sz w:val="13"/>
          <w:szCs w:val="13"/>
        </w:rPr>
      </w:pPr>
    </w:p>
    <w:p>
      <w:pPr>
        <w:pStyle w:val="BodyText"/>
        <w:spacing w:line="316" w:lineRule="auto"/>
        <w:ind w:right="1120" w:firstLine="360"/>
        <w:jc w:val="left"/>
      </w:pPr>
      <w:r>
        <w:rPr/>
        <w:t>⑤因子公司的少数股东增资而稀释母公司拥有的股权比例 </w:t>
      </w:r>
      <w:r>
        <w:rPr>
          <w:spacing w:val="-2"/>
        </w:rPr>
        <w:t>子公司的其他股东（少数股东）对子公司进行增资，由此稀释了母公司对子公司的股权比例。在合并财务报表中，按照增资</w:t>
      </w:r>
      <w:r>
        <w:rPr>
          <w:spacing w:val="-63"/>
        </w:rPr>
        <w:t> </w:t>
      </w:r>
      <w:r>
        <w:rPr>
          <w:spacing w:val="-63"/>
        </w:rPr>
      </w:r>
      <w:r>
        <w:rPr>
          <w:spacing w:val="-2"/>
        </w:rPr>
        <w:t>前的母公司股权比例计算其在增资前子公司账面净资产中的份额，该份额与增资后按照母公司持股比例计算的在增资后子公</w:t>
      </w:r>
      <w:r>
        <w:rPr>
          <w:spacing w:val="-64"/>
        </w:rPr>
        <w:t> </w:t>
      </w:r>
      <w:r>
        <w:rPr>
          <w:spacing w:val="-64"/>
        </w:rPr>
      </w:r>
      <w:r>
        <w:rPr>
          <w:spacing w:val="-2"/>
        </w:rPr>
        <w:t>司账面净资产份额之间的差额调整资本公积（资本溢价或股本溢价），资本公积（资本溢价或股本溢价）不足冲减的，调整</w:t>
      </w:r>
      <w:r>
        <w:rPr>
          <w:spacing w:val="-63"/>
        </w:rPr>
        <w:t> </w:t>
      </w:r>
      <w:r>
        <w:rPr>
          <w:spacing w:val="-63"/>
        </w:rPr>
      </w:r>
      <w:r>
        <w:rPr/>
        <w:t>留存收益。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0"/>
        <w:jc w:val="left"/>
      </w:pPr>
      <w:r>
        <w:rPr/>
        <w:t>合营安排，是指一项由两个或两个以上的参与方共同控制的安排。本公司合营安排分为共同经营和合营企业。</w:t>
      </w:r>
    </w:p>
    <w:p>
      <w:pPr>
        <w:spacing w:line="240" w:lineRule="auto" w:before="0"/>
        <w:rPr>
          <w:rFonts w:ascii="宋体" w:hAnsi="宋体" w:cs="宋体" w:eastAsia="宋体" w:hint="default"/>
          <w:sz w:val="15"/>
          <w:szCs w:val="15"/>
        </w:rPr>
      </w:pPr>
    </w:p>
    <w:p>
      <w:pPr>
        <w:pStyle w:val="BodyText"/>
        <w:spacing w:line="415" w:lineRule="auto"/>
        <w:ind w:left="472" w:right="4274"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）共同经营</w:t>
      </w:r>
      <w:r>
        <w:rPr>
          <w:rFonts w:ascii="宋体" w:hAnsi="宋体" w:cs="宋体" w:eastAsia="宋体" w:hint="default"/>
          <w:b/>
          <w:bCs/>
          <w:w w:val="99"/>
        </w:rPr>
        <w:t> </w:t>
      </w:r>
      <w:r>
        <w:rPr/>
        <w:t>共同经营是指本公司享有该安排相关资产且承担该安排相关负债的合营安排。</w:t>
      </w:r>
    </w:p>
    <w:p>
      <w:pPr>
        <w:pStyle w:val="BodyText"/>
        <w:spacing w:line="240" w:lineRule="auto" w:before="65"/>
        <w:ind w:left="472" w:right="0"/>
        <w:jc w:val="left"/>
      </w:pPr>
      <w:r>
        <w:rPr/>
        <w:t>本公司确认其与共同经营中利益份额相关的下列项目，并按照相关企业会计准则的规定进行会计处理：</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①确认单独所持有的资产，以及按其份额确认共同持有的资产；</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t>②确认单独所承担的负债，以及按其份额确认共同承担的负债；</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③确认出售其享有的共同经营产出份额所产生的收入；</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④按其份额确认共同经营因出售产出所产生的收入；</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⑤确认单独所发生的费用，以及按其份额确认共同经营发生的费用。</w:t>
      </w:r>
    </w:p>
    <w:p>
      <w:pPr>
        <w:spacing w:line="240" w:lineRule="auto" w:before="0"/>
        <w:rPr>
          <w:rFonts w:ascii="宋体" w:hAnsi="宋体" w:cs="宋体" w:eastAsia="宋体" w:hint="default"/>
          <w:sz w:val="15"/>
          <w:szCs w:val="15"/>
        </w:rPr>
      </w:pPr>
    </w:p>
    <w:p>
      <w:pPr>
        <w:spacing w:line="415" w:lineRule="auto" w:before="0"/>
        <w:ind w:left="472" w:right="535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）合营企业</w:t>
      </w:r>
      <w:r>
        <w:rPr>
          <w:rFonts w:ascii="宋体" w:hAnsi="宋体" w:cs="宋体" w:eastAsia="宋体" w:hint="default"/>
          <w:b/>
          <w:bCs/>
          <w:w w:val="99"/>
          <w:sz w:val="18"/>
          <w:szCs w:val="18"/>
        </w:rPr>
        <w:t> </w:t>
      </w:r>
      <w:r>
        <w:rPr>
          <w:rFonts w:ascii="宋体" w:hAnsi="宋体" w:cs="宋体" w:eastAsia="宋体" w:hint="default"/>
          <w:sz w:val="18"/>
          <w:szCs w:val="18"/>
        </w:rPr>
        <w:t>合营企业是指本公司仅对该安排的净资产享有权利的合营安排。</w:t>
      </w:r>
    </w:p>
    <w:p>
      <w:pPr>
        <w:pStyle w:val="BodyText"/>
        <w:spacing w:line="240" w:lineRule="auto" w:before="65"/>
        <w:ind w:left="472" w:right="0"/>
        <w:jc w:val="left"/>
      </w:pPr>
      <w:r>
        <w:rPr/>
        <w:t>本公司按照长期股权投资有关权益法核算的规定对合营企业的投资进行会计处理。</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360"/>
        <w:jc w:val="left"/>
      </w:pPr>
      <w:r>
        <w:rPr/>
        <w:t>现金指企业库存现金及可以随时用于支付的存款。现金等价物指持有的期限短（一般是指从购买日起三个月内到期）、 流动性强、易于转换为已知金额现金、价值变动风险很小的投资。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420" w:lineRule="atLeast" w:before="17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）外币交易时折算汇率的确定方法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本公司外币交易初始确认时采用交易发生日的即期汇率或采用按照系统合理的方法确定的、与交易发生日即期汇率近似</w:t>
      </w:r>
    </w:p>
    <w:p>
      <w:pPr>
        <w:pStyle w:val="BodyText"/>
        <w:spacing w:line="240" w:lineRule="auto" w:before="76"/>
        <w:ind w:right="0"/>
        <w:jc w:val="both"/>
      </w:pPr>
      <w:r>
        <w:rPr/>
        <w:t>的汇率（以下简称即期汇率的近似汇率）折算为记账本位币。</w:t>
      </w:r>
    </w:p>
    <w:p>
      <w:pPr>
        <w:spacing w:line="420" w:lineRule="atLeast" w:before="25"/>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）资产负债表日外币货币性项目的折算方法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在资产负债表日，对于外币货币性项目，采用资产负债表日的即期汇率折算。因资产负债表日即期汇率与初始确认时或</w:t>
      </w:r>
    </w:p>
    <w:p>
      <w:pPr>
        <w:pStyle w:val="BodyText"/>
        <w:spacing w:line="316" w:lineRule="auto" w:before="76"/>
        <w:ind w:right="1130"/>
        <w:jc w:val="both"/>
      </w:pPr>
      <w:r>
        <w:rPr>
          <w:spacing w:val="-2"/>
        </w:rPr>
        <w:t>前一资产负债表日即期汇率不同而产生的汇兑差额，计入当期损益。对以历史成本计量的外币非货币性项目，仍采用交易发</w:t>
      </w:r>
      <w:r>
        <w:rPr>
          <w:spacing w:val="-63"/>
        </w:rPr>
        <w:t> </w:t>
      </w:r>
      <w:r>
        <w:rPr>
          <w:spacing w:val="-63"/>
        </w:rPr>
      </w:r>
      <w:r>
        <w:rPr>
          <w:spacing w:val="-2"/>
        </w:rPr>
        <w:t>生日的即期汇率折算；对以公允价值计量的外币非货币性项目，采用公允价值确定日的即期汇率折算，折算后的记账本位币</w:t>
      </w:r>
      <w:r>
        <w:rPr>
          <w:spacing w:val="-63"/>
        </w:rPr>
        <w:t> </w:t>
      </w:r>
      <w:r>
        <w:rPr>
          <w:spacing w:val="-63"/>
        </w:rPr>
      </w:r>
      <w:r>
        <w:rPr/>
        <w:t>金额与原记账本位币金额的差额，计入当期损益。</w:t>
      </w:r>
    </w:p>
    <w:p>
      <w:pPr>
        <w:pStyle w:val="BodyText"/>
        <w:spacing w:line="432" w:lineRule="exact" w:before="3"/>
        <w:ind w:left="472" w:right="1034"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）外币报表折算方法</w:t>
      </w:r>
      <w:r>
        <w:rPr>
          <w:rFonts w:ascii="宋体" w:hAnsi="宋体" w:cs="宋体" w:eastAsia="宋体" w:hint="default"/>
          <w:b/>
          <w:bCs/>
          <w:w w:val="99"/>
        </w:rPr>
        <w:t> </w:t>
      </w:r>
      <w:r>
        <w:rPr/>
        <w:t>对企业境外经营财务报表进行折算前先调整境外经营的会计期间和会计政策，使之与企业会计期间和会计政策相一致，</w:t>
      </w:r>
    </w:p>
    <w:p>
      <w:pPr>
        <w:pStyle w:val="BodyText"/>
        <w:spacing w:line="316" w:lineRule="auto" w:before="15"/>
        <w:ind w:right="1130"/>
        <w:jc w:val="both"/>
      </w:pPr>
      <w:r>
        <w:rPr>
          <w:spacing w:val="-2"/>
        </w:rPr>
        <w:t>再根据调整后会计政策及会计期间编制相应货币（记账本位币以外的货币）的财务报表，再按照以下方法对境外经营财务报</w:t>
      </w:r>
      <w:r>
        <w:rPr>
          <w:spacing w:val="-63"/>
        </w:rPr>
        <w:t> </w:t>
      </w:r>
      <w:r>
        <w:rPr>
          <w:spacing w:val="-63"/>
        </w:rPr>
      </w:r>
      <w:r>
        <w:rPr/>
        <w:t>表进行折算：</w:t>
      </w:r>
    </w:p>
    <w:p>
      <w:pPr>
        <w:pStyle w:val="BodyText"/>
        <w:spacing w:line="300" w:lineRule="auto" w:before="139"/>
        <w:ind w:right="0" w:firstLine="360"/>
        <w:jc w:val="left"/>
      </w:pPr>
      <w:r>
        <w:rPr>
          <w:spacing w:val="-2"/>
        </w:rPr>
        <w:t>①资产负债表中的资产和负债项目，采用资产负债表日的即期汇率折算，所有者权益项目除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r>
        <w:rPr/>
        <w:t> 项目采用发生时的即期汇率折算。</w:t>
      </w:r>
    </w:p>
    <w:p>
      <w:pPr>
        <w:pStyle w:val="BodyText"/>
        <w:spacing w:line="240" w:lineRule="auto" w:before="151"/>
        <w:ind w:left="472" w:right="0"/>
        <w:jc w:val="left"/>
      </w:pPr>
      <w:r>
        <w:rPr/>
        <w:t>②利润表中的收入和费用项目，采用交易发生日的即期汇率或即期汇率的近似汇率折算。</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③外币现金流量以及境外子公司的现金流量，采用现金流量发生日的即期汇率或即期汇率的近似汇率折算。汇率变动对</w:t>
      </w:r>
      <w:r>
        <w:rPr/>
        <w:t> 现金的影响额应当作为调节项目，在现金流量表中单独列报。</w:t>
      </w:r>
    </w:p>
    <w:p>
      <w:pPr>
        <w:pStyle w:val="BodyText"/>
        <w:spacing w:line="307" w:lineRule="auto" w:before="139"/>
        <w:ind w:right="1120" w:firstLine="360"/>
        <w:jc w:val="left"/>
      </w:pPr>
      <w:r>
        <w:rPr/>
        <w:t>④产生的外币财务报表折算差额，在编制合并财务报表时，在合并资产负债表中所有者权益项目下单独列示</w:t>
      </w:r>
      <w:r>
        <w:rPr>
          <w:rFonts w:ascii="Times New Roman" w:hAnsi="Times New Roman" w:cs="Times New Roman" w:eastAsia="Times New Roman" w:hint="default"/>
        </w:rPr>
        <w:t>“</w:t>
      </w:r>
      <w:r>
        <w:rPr/>
        <w:t>其他综合 收益</w:t>
      </w:r>
      <w:r>
        <w:rPr>
          <w:rFonts w:ascii="Times New Roman" w:hAnsi="Times New Roman" w:cs="Times New Roman" w:eastAsia="Times New Roman" w:hint="default"/>
        </w:rPr>
        <w:t>”</w:t>
      </w:r>
      <w:r>
        <w:rPr/>
        <w:t>。 </w:t>
      </w:r>
      <w:r>
        <w:rPr>
          <w:spacing w:val="-2"/>
        </w:rPr>
        <w:t>处置境外经营并丧失控制权时，将资产负债表中所有者权益项目下列示的、与该境外经营相关的外币报表折算差额，全部或</w:t>
      </w:r>
      <w:r>
        <w:rPr>
          <w:spacing w:val="-63"/>
        </w:rPr>
        <w:t> </w:t>
      </w:r>
      <w:r>
        <w:rPr>
          <w:spacing w:val="-63"/>
        </w:rPr>
      </w:r>
      <w:r>
        <w:rPr/>
        <w:t>按处置该境外经营的比例转入处置当期损益。</w:t>
      </w:r>
    </w:p>
    <w:p>
      <w:pPr>
        <w:spacing w:after="0" w:line="307"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spacing w:line="415" w:lineRule="auto" w:before="0"/>
        <w:ind w:left="472" w:right="3914" w:firstLine="2"/>
        <w:jc w:val="left"/>
        <w:rPr>
          <w:rFonts w:ascii="宋体" w:hAnsi="宋体" w:cs="宋体" w:eastAsia="宋体" w:hint="default"/>
          <w:sz w:val="18"/>
          <w:szCs w:val="18"/>
        </w:rPr>
      </w:pPr>
      <w:r>
        <w:rPr>
          <w:rFonts w:ascii="宋体" w:hAnsi="宋体" w:cs="宋体" w:eastAsia="宋体" w:hint="default"/>
          <w:b/>
          <w:bCs/>
          <w:sz w:val="18"/>
          <w:szCs w:val="18"/>
        </w:rPr>
        <w:t>自</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日起适用</w:t>
      </w:r>
      <w:r>
        <w:rPr>
          <w:rFonts w:ascii="宋体" w:hAnsi="宋体" w:cs="宋体" w:eastAsia="宋体" w:hint="default"/>
          <w:b/>
          <w:bCs/>
          <w:w w:val="99"/>
          <w:sz w:val="18"/>
          <w:szCs w:val="18"/>
        </w:rPr>
        <w:t> </w:t>
      </w:r>
      <w:r>
        <w:rPr>
          <w:rFonts w:ascii="宋体" w:hAnsi="宋体" w:cs="宋体" w:eastAsia="宋体" w:hint="default"/>
          <w:sz w:val="18"/>
          <w:szCs w:val="18"/>
        </w:rPr>
        <w:t>金融工具，是指形成一方的金融资产并形成其他方的金融负债或权益工具的合同。</w:t>
      </w:r>
    </w:p>
    <w:p>
      <w:pPr>
        <w:spacing w:line="427" w:lineRule="auto" w:before="65"/>
        <w:ind w:left="472" w:right="463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）金融工具的确认和终止确认</w:t>
      </w:r>
      <w:r>
        <w:rPr>
          <w:rFonts w:ascii="宋体" w:hAnsi="宋体" w:cs="宋体" w:eastAsia="宋体" w:hint="default"/>
          <w:b/>
          <w:bCs/>
          <w:w w:val="99"/>
          <w:sz w:val="18"/>
          <w:szCs w:val="18"/>
        </w:rPr>
        <w:t> </w:t>
      </w:r>
      <w:r>
        <w:rPr>
          <w:rFonts w:ascii="宋体" w:hAnsi="宋体" w:cs="宋体" w:eastAsia="宋体" w:hint="default"/>
          <w:sz w:val="18"/>
          <w:szCs w:val="18"/>
        </w:rPr>
        <w:t>当本公司成为金融工具合同的一方时，确认相关的金融资产或金融负债。 金融资产满足下列条件之一的，终止确认：</w:t>
      </w:r>
    </w:p>
    <w:p>
      <w:pPr>
        <w:pStyle w:val="BodyText"/>
        <w:spacing w:line="240" w:lineRule="auto" w:before="56"/>
        <w:ind w:left="472" w:right="0"/>
        <w:jc w:val="left"/>
      </w:pPr>
      <w:r>
        <w:rPr/>
        <w:t>①收取该金融资产现金流量的合同权利终止；</w:t>
      </w:r>
    </w:p>
    <w:p>
      <w:pPr>
        <w:pStyle w:val="BodyText"/>
        <w:spacing w:line="430" w:lineRule="atLeast" w:before="2"/>
        <w:ind w:left="472" w:right="0"/>
        <w:jc w:val="left"/>
      </w:pPr>
      <w:r>
        <w:rPr/>
        <w:t>②该金融资产已转移，且符合下述金融资产转移的终止确认条件。 </w:t>
      </w:r>
      <w:r>
        <w:rPr>
          <w:spacing w:val="-2"/>
        </w:rPr>
        <w:t>金融负债（或其一部分）的现时义务已经解除的，终止确认该金融负债（或该部分金融负债）。本公司（借入方）与借</w:t>
      </w:r>
    </w:p>
    <w:p>
      <w:pPr>
        <w:pStyle w:val="BodyText"/>
        <w:spacing w:line="316" w:lineRule="auto" w:before="76"/>
        <w:ind w:right="1130"/>
        <w:jc w:val="both"/>
      </w:pPr>
      <w:r>
        <w:rPr>
          <w:spacing w:val="-2"/>
        </w:rPr>
        <w:t>出方之间签订协议，以承担新金融负债方式替换原金融负债，且新金融负债与原金融负债的合同条款实质上不同的，终止确</w:t>
      </w:r>
      <w:r>
        <w:rPr>
          <w:spacing w:val="-63"/>
        </w:rPr>
        <w:t> </w:t>
      </w:r>
      <w:r>
        <w:rPr>
          <w:spacing w:val="-63"/>
        </w:rPr>
      </w:r>
      <w:r>
        <w:rPr>
          <w:spacing w:val="-2"/>
        </w:rPr>
        <w:t>认原金融负债，并同时确认新金融负债。本公司对原金融负债（或其一部分）的合同条款作出实质性修改的，应当终止原金</w:t>
      </w:r>
      <w:r>
        <w:rPr>
          <w:spacing w:val="-63"/>
        </w:rPr>
        <w:t> </w:t>
      </w:r>
      <w:r>
        <w:rPr>
          <w:spacing w:val="-63"/>
        </w:rPr>
      </w:r>
      <w:r>
        <w:rPr/>
        <w:t>融负债，同时按照修改后的条款确认一项新的金融负债。</w:t>
      </w:r>
    </w:p>
    <w:p>
      <w:pPr>
        <w:pStyle w:val="BodyText"/>
        <w:spacing w:line="316" w:lineRule="auto" w:before="139"/>
        <w:ind w:right="1130" w:firstLine="360"/>
        <w:jc w:val="both"/>
      </w:pPr>
      <w:r>
        <w:rPr>
          <w:spacing w:val="-2"/>
        </w:rPr>
        <w:t>以常规方式买卖金融资产，按交易日进行会计确认和终止确认。常规方式买卖金融资产，是指按照合同条款规定，在法</w:t>
      </w:r>
      <w:r>
        <w:rPr/>
        <w:t> 规或市场惯例所确定的时间安排来交付金融资产。交易日，是指本公司承诺买入或卖出金融资产的日期。</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）金融资产的分类与计量</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本公司在初始确认时根据管理金融资产的业务模式和金融资产的合同现金流量特征，将金融资产分类为：以摊余成本计</w:t>
      </w:r>
    </w:p>
    <w:p>
      <w:pPr>
        <w:pStyle w:val="BodyText"/>
        <w:spacing w:line="316" w:lineRule="auto" w:before="15"/>
        <w:ind w:right="0"/>
        <w:jc w:val="left"/>
      </w:pPr>
      <w:r>
        <w:rPr>
          <w:spacing w:val="-4"/>
        </w:rPr>
        <w:t>量的金融资产、以公允价值计量且其变动计入当期损益的金融资产、以公允价值计量且其变动计入其他综合收益的金融资产。</w:t>
      </w:r>
      <w:r>
        <w:rPr>
          <w:spacing w:val="-41"/>
        </w:rPr>
        <w:t> </w:t>
      </w:r>
      <w:r>
        <w:rPr>
          <w:spacing w:val="-41"/>
        </w:rPr>
      </w:r>
      <w:r>
        <w:rPr>
          <w:spacing w:val="-2"/>
        </w:rPr>
        <w:t>除非本公司改变管理金融资产的业务模式，在此情形下，所有受影响的相关金融资产在业务模式发生变更后的首个报告期间</w:t>
      </w:r>
      <w:r>
        <w:rPr>
          <w:spacing w:val="-64"/>
        </w:rPr>
        <w:t> </w:t>
      </w:r>
      <w:r>
        <w:rPr>
          <w:spacing w:val="-64"/>
        </w:rPr>
      </w:r>
      <w:r>
        <w:rPr/>
        <w:t>的第一天进行重分类，否则金融资产在初始确认后不得进行重分类。</w:t>
      </w:r>
    </w:p>
    <w:p>
      <w:pPr>
        <w:pStyle w:val="BodyText"/>
        <w:spacing w:line="316" w:lineRule="auto" w:before="139"/>
        <w:ind w:right="1130" w:firstLine="360"/>
        <w:jc w:val="both"/>
      </w:pPr>
      <w:r>
        <w:rPr>
          <w:spacing w:val="-2"/>
        </w:rPr>
        <w:t>金融资产在初始确认时以公允价值计量。对于以公允价值计量且其变动计入当期损益的金融资产，相关交易费用直接计</w:t>
      </w:r>
      <w:r>
        <w:rPr/>
        <w:t> </w:t>
      </w:r>
      <w:r>
        <w:rPr>
          <w:spacing w:val="-2"/>
        </w:rPr>
        <w:t>入当期损益，其他类别的金融资产相关交易费用计入其初始确认金额。因销售商品或提供劳务而产生的、未包含或不考虑重</w:t>
      </w:r>
      <w:r>
        <w:rPr>
          <w:spacing w:val="-63"/>
        </w:rPr>
        <w:t> </w:t>
      </w:r>
      <w:r>
        <w:rPr>
          <w:spacing w:val="-63"/>
        </w:rPr>
      </w:r>
      <w:r>
        <w:rPr/>
        <w:t>大融资成分的应收票据及应收账款，本公司则按照收入准则定义的交易价格进行初始计量。</w:t>
      </w:r>
    </w:p>
    <w:p>
      <w:pPr>
        <w:pStyle w:val="BodyText"/>
        <w:spacing w:line="240" w:lineRule="auto" w:before="139"/>
        <w:ind w:left="472" w:right="0"/>
        <w:jc w:val="left"/>
      </w:pPr>
      <w:r>
        <w:rPr/>
        <w:t>金融资产的后续计量取决于其分类：</w:t>
      </w:r>
    </w:p>
    <w:p>
      <w:pPr>
        <w:pStyle w:val="BodyText"/>
        <w:spacing w:line="430" w:lineRule="atLeast" w:before="2"/>
        <w:ind w:left="472" w:right="0"/>
        <w:jc w:val="left"/>
      </w:pPr>
      <w:r>
        <w:rPr/>
        <w:t>①以摊余成本计量的金融资产 </w:t>
      </w:r>
      <w:r>
        <w:rPr>
          <w:spacing w:val="-2"/>
        </w:rPr>
        <w:t>金融资产同时符合下列条件的，分类为以摊余成本计量的金融资产：本公司管理该金融资产的业务模式是以收取合同现</w:t>
      </w:r>
    </w:p>
    <w:p>
      <w:pPr>
        <w:pStyle w:val="BodyText"/>
        <w:spacing w:line="316" w:lineRule="auto" w:before="76"/>
        <w:ind w:right="1130"/>
        <w:jc w:val="both"/>
      </w:pPr>
      <w:r>
        <w:rPr>
          <w:spacing w:val="-2"/>
        </w:rPr>
        <w:t>金流量为目标；该金融资产的合同条款规定，在特定日期产生的现金流量，仅为对本金和以未偿付本金金额为基础的利息的</w:t>
      </w:r>
      <w:r>
        <w:rPr>
          <w:spacing w:val="-63"/>
        </w:rPr>
        <w:t> </w:t>
      </w:r>
      <w:r>
        <w:rPr>
          <w:spacing w:val="-63"/>
        </w:rPr>
      </w:r>
      <w:r>
        <w:rPr>
          <w:spacing w:val="-2"/>
        </w:rPr>
        <w:t>支付。对于此类金融资产，采用实际利率法，按照摊余成本进行后续计量，其终止确认、按实际利率法摊销或减值产生的利</w:t>
      </w:r>
      <w:r>
        <w:rPr>
          <w:spacing w:val="-63"/>
        </w:rPr>
        <w:t> </w:t>
      </w:r>
      <w:r>
        <w:rPr>
          <w:spacing w:val="-63"/>
        </w:rPr>
      </w:r>
      <w:r>
        <w:rPr/>
        <w:t>得或损失，均计入当期损益。</w:t>
      </w:r>
    </w:p>
    <w:p>
      <w:pPr>
        <w:pStyle w:val="BodyText"/>
        <w:spacing w:line="432" w:lineRule="exact" w:before="3"/>
        <w:ind w:left="472" w:right="0"/>
        <w:jc w:val="left"/>
      </w:pPr>
      <w:r>
        <w:rPr/>
        <w:t>②以公允价值计量且其变动计入其他综合收益的金融资产 </w:t>
      </w:r>
      <w:r>
        <w:rPr>
          <w:spacing w:val="-2"/>
        </w:rPr>
        <w:t>金融资产同时符合下列条件的，分类为以公允价值计量且其变动计入其他综合收益的金融资产：本公司管理该金融资产</w:t>
      </w:r>
    </w:p>
    <w:p>
      <w:pPr>
        <w:pStyle w:val="BodyText"/>
        <w:spacing w:line="316" w:lineRule="auto" w:before="15"/>
        <w:ind w:right="1034"/>
        <w:jc w:val="left"/>
      </w:pPr>
      <w:r>
        <w:rPr>
          <w:spacing w:val="-2"/>
        </w:rPr>
        <w:t>的业务模式是既以收取合同现金流量为目标又以出售金融资产为目标；该金融资产的合同条款规定，在特定日期产生的现金</w:t>
      </w:r>
      <w:r>
        <w:rPr>
          <w:spacing w:val="-64"/>
        </w:rPr>
        <w:t> </w:t>
      </w:r>
      <w:r>
        <w:rPr>
          <w:spacing w:val="-64"/>
        </w:rPr>
      </w:r>
      <w:r>
        <w:rPr>
          <w:spacing w:val="-2"/>
        </w:rPr>
        <w:t>流量，仅为对本金和以未偿付本金金额为基础的利息的支付。对于此类金融资产，采用公允价值进行后续计量。除减值损失</w:t>
      </w:r>
      <w:r>
        <w:rPr>
          <w:spacing w:val="-64"/>
        </w:rPr>
        <w:t> </w:t>
      </w:r>
      <w:r>
        <w:rPr>
          <w:spacing w:val="-64"/>
        </w:rPr>
      </w:r>
      <w:r>
        <w:rPr/>
        <w:t>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BodyText"/>
        <w:spacing w:line="316" w:lineRule="auto" w:before="139"/>
        <w:ind w:right="1130" w:firstLine="360"/>
        <w:jc w:val="both"/>
      </w:pPr>
      <w:r>
        <w:rPr>
          <w:spacing w:val="-2"/>
        </w:rPr>
        <w:t>本公司不可撤销地选择将部分非交易性权益工具投资指定为以公允价值计量且其变动计入其他综合收益的金融资产，仅</w:t>
      </w:r>
      <w:r>
        <w:rPr/>
        <w:t> </w:t>
      </w:r>
      <w:r>
        <w:rPr>
          <w:spacing w:val="-2"/>
        </w:rPr>
        <w:t>将相关股利收入计入当期损益，公允价值变动作为其他综合收益确认，直到该金融资产终止确认时，其累计利得或损失转入</w:t>
      </w:r>
      <w:r>
        <w:rPr>
          <w:spacing w:val="-63"/>
        </w:rPr>
        <w:t> </w:t>
      </w:r>
      <w:r>
        <w:rPr>
          <w:spacing w:val="-63"/>
        </w:rPr>
      </w:r>
      <w:r>
        <w:rPr/>
        <w:t>留存收益。</w:t>
      </w:r>
    </w:p>
    <w:p>
      <w:pPr>
        <w:spacing w:after="0" w:line="316"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t>③以公允价值计量且其变动计入当期损益的金融资产</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上述以摊余成本计量的金融资产和以公允价值计量且其变动计入其他综合收益的金融资产之外的金融资产，分类为以公</w:t>
      </w:r>
      <w:r>
        <w:rPr/>
        <w:t> </w:t>
      </w:r>
      <w:r>
        <w:rPr>
          <w:spacing w:val="-2"/>
        </w:rPr>
        <w:t>允价值计量且其变动计入当期损益的金融资产。对于此类金融资产，采用公允价值进行后续计量，所有公允价值变动计入当</w:t>
      </w:r>
      <w:r>
        <w:rPr>
          <w:spacing w:val="-63"/>
        </w:rPr>
        <w:t> </w:t>
      </w:r>
      <w:r>
        <w:rPr>
          <w:spacing w:val="-63"/>
        </w:rPr>
      </w:r>
      <w:r>
        <w:rPr/>
        <w:t>期损益。</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）金融负债的分类与计量</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本公司将金融负债分类为以公允价值计量且其变动计入当期损益的金融负债、低于市场利率贷款的贷款承诺及财务担保</w:t>
      </w:r>
    </w:p>
    <w:p>
      <w:pPr>
        <w:pStyle w:val="BodyText"/>
        <w:spacing w:line="439" w:lineRule="auto" w:before="15"/>
        <w:ind w:left="472" w:right="7514" w:hanging="360"/>
        <w:jc w:val="left"/>
      </w:pPr>
      <w:r>
        <w:rPr/>
        <w:t>合同负债及以摊余成本计量的金融负债。 金融负债的后续计量取决于其分类：</w:t>
      </w:r>
    </w:p>
    <w:p>
      <w:pPr>
        <w:pStyle w:val="BodyText"/>
        <w:spacing w:line="240" w:lineRule="auto" w:before="47"/>
        <w:ind w:left="472" w:right="0"/>
        <w:jc w:val="left"/>
      </w:pPr>
      <w:r>
        <w:rPr/>
        <w:t>①以公允价值计量且其变动计入当期损益的金融负债</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该类金融负债包括交易性金融负债（含属于金融负债的衍生工具）和指定为以公允价值计量且其变动计入当期损益的金</w:t>
      </w:r>
      <w:r>
        <w:rPr/>
        <w:t> </w:t>
      </w:r>
      <w:r>
        <w:rPr>
          <w:spacing w:val="-2"/>
        </w:rPr>
        <w:t>融负债。初始确认后，对于该类金融负债以公允价值进行后续计量，除与套期会计有关外，产生的利得或损失（包括利息费</w:t>
      </w:r>
      <w:r>
        <w:rPr>
          <w:spacing w:val="-64"/>
        </w:rPr>
        <w:t> </w:t>
      </w:r>
      <w:r>
        <w:rPr>
          <w:spacing w:val="-64"/>
        </w:rPr>
      </w:r>
      <w:r>
        <w:rPr>
          <w:spacing w:val="-2"/>
        </w:rPr>
        <w:t>用）计入当期损益。但本公司对指定为以公允价值计量且其变动计入当期损益的金融负债，由其自身信用风险变动引起的该</w:t>
      </w:r>
      <w:r>
        <w:rPr>
          <w:spacing w:val="-63"/>
        </w:rPr>
        <w:t> </w:t>
      </w:r>
      <w:r>
        <w:rPr>
          <w:spacing w:val="-63"/>
        </w:rPr>
      </w:r>
      <w:r>
        <w:rPr>
          <w:spacing w:val="-2"/>
        </w:rPr>
        <w:t>金融负债公允价值的变动金额计入其他综合收益，当该金融负债终止确认时，之前计入其他综合收益的累计利得和损失应当</w:t>
      </w:r>
      <w:r>
        <w:rPr>
          <w:spacing w:val="-64"/>
        </w:rPr>
        <w:t> </w:t>
      </w:r>
      <w:r>
        <w:rPr>
          <w:spacing w:val="-64"/>
        </w:rPr>
      </w:r>
      <w:r>
        <w:rPr/>
        <w:t>从其他综合收益中转出，计入留存收益。</w:t>
      </w:r>
    </w:p>
    <w:p>
      <w:pPr>
        <w:pStyle w:val="BodyText"/>
        <w:spacing w:line="432" w:lineRule="exact" w:before="3"/>
        <w:ind w:left="472" w:right="0"/>
        <w:jc w:val="left"/>
      </w:pPr>
      <w:r>
        <w:rPr/>
        <w:t>②贷款承诺及财务担保合同负债 </w:t>
      </w:r>
      <w:r>
        <w:rPr>
          <w:spacing w:val="-2"/>
        </w:rPr>
        <w:t>贷款承诺是本公司向客户提供的一项在承诺期间内以既定的合同条款向客户发放贷款的承诺。贷款承诺按照预期信用损</w:t>
      </w:r>
    </w:p>
    <w:p>
      <w:pPr>
        <w:pStyle w:val="BodyText"/>
        <w:spacing w:line="240" w:lineRule="auto" w:before="15"/>
        <w:ind w:right="0"/>
        <w:jc w:val="left"/>
      </w:pPr>
      <w:r>
        <w:rPr/>
        <w:t>失模型计提减值损失。</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财务担保合同指，当特定债务人到期不能按照最初或修改后的债务工具条款偿付债务时，要求本公司向蒙受损失的合同</w:t>
      </w:r>
      <w:r>
        <w:rPr/>
        <w:t> </w:t>
      </w:r>
      <w:r>
        <w:rPr>
          <w:spacing w:val="-2"/>
        </w:rPr>
        <w:t>持有人赔付特定金额的合同。财务担保合同负债以按照依据金融工具的减值原则所确定的损失准备金额以及初始确认金额扣</w:t>
      </w:r>
      <w:r>
        <w:rPr>
          <w:spacing w:val="-64"/>
        </w:rPr>
        <w:t> </w:t>
      </w:r>
      <w:r>
        <w:rPr>
          <w:spacing w:val="-64"/>
        </w:rPr>
      </w:r>
      <w:r>
        <w:rPr/>
        <w:t>除按收入确认原则确定的累计摊销额后的余额孰高进行后续计量。</w:t>
      </w:r>
    </w:p>
    <w:p>
      <w:pPr>
        <w:pStyle w:val="BodyText"/>
        <w:spacing w:line="439" w:lineRule="auto" w:before="139"/>
        <w:ind w:left="472" w:right="5354"/>
        <w:jc w:val="left"/>
      </w:pPr>
      <w:r>
        <w:rPr/>
        <w:t>③以摊余成本计量的金融负债 初始确认后，对其他金融负债采用实际利率法以摊余成本计量。 除特殊情况外，金融负债与权益工具按照下列原则进行区分：</w:t>
      </w:r>
    </w:p>
    <w:p>
      <w:pPr>
        <w:pStyle w:val="BodyText"/>
        <w:spacing w:line="316" w:lineRule="auto" w:before="47"/>
        <w:ind w:right="1034" w:firstLine="360"/>
        <w:jc w:val="left"/>
      </w:pPr>
      <w:r>
        <w:rPr/>
        <w:t>①如果本公司不能无条件地避免以交付现金或其他金融资产来履行一项合同义务，则该合同义务符合金融负债的定义。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p>
    <w:p>
      <w:pPr>
        <w:pStyle w:val="BodyText"/>
        <w:spacing w:line="316" w:lineRule="auto" w:before="139"/>
        <w:ind w:right="0" w:firstLine="360"/>
        <w:jc w:val="left"/>
      </w:pPr>
      <w:r>
        <w:rPr>
          <w:spacing w:val="-2"/>
        </w:rPr>
        <w:t>②如果一项金融工具须用或可用本公司自身权益工具进行结算，需要考虑用于结算该工具的本公司自身权益工具，是作</w:t>
      </w:r>
      <w:r>
        <w:rPr/>
        <w:t> </w:t>
      </w:r>
      <w:r>
        <w:rPr>
          <w:spacing w:val="-4"/>
        </w:rPr>
        <w:t>为现金或其他金融资产的替代品，还是为了使该工具持有方享有在发行方扣除所有负债后的资产中的剩余权益。如果是前者，</w:t>
      </w:r>
      <w:r>
        <w:rPr>
          <w:spacing w:val="-41"/>
        </w:rPr>
        <w:t> </w:t>
      </w:r>
      <w:r>
        <w:rPr>
          <w:spacing w:val="-41"/>
        </w:rPr>
      </w:r>
      <w:r>
        <w:rPr>
          <w:spacing w:val="-2"/>
        </w:rPr>
        <w:t>该工具是发行方的金融负债；如果是后者，该工具是发行方的权益工具。在某些情况下，一项金融工具合同规定本公司须用</w:t>
      </w:r>
      <w:r>
        <w:rPr>
          <w:spacing w:val="-64"/>
        </w:rPr>
        <w:t> </w:t>
      </w:r>
      <w:r>
        <w:rPr>
          <w:spacing w:val="-64"/>
        </w:rPr>
      </w:r>
      <w:r>
        <w:rPr>
          <w:spacing w:val="-2"/>
        </w:rPr>
        <w:t>或可用自身权益工具结算该金融工具，其中合同权利或合同义务的金额等于可获取或需交付的自身权益工具的数量乘以其结</w:t>
      </w:r>
      <w:r>
        <w:rPr>
          <w:spacing w:val="-64"/>
        </w:rPr>
        <w:t> </w:t>
      </w:r>
      <w:r>
        <w:rPr>
          <w:spacing w:val="-64"/>
        </w:rPr>
      </w:r>
      <w:r>
        <w:rPr>
          <w:spacing w:val="-2"/>
        </w:rPr>
        <w:t>算时的公允价值，则无论该合同权利或合同义务的金额是固定的，还是完全或部分地基于除本公司自身权益工具的市场价格</w:t>
      </w:r>
      <w:r>
        <w:rPr>
          <w:spacing w:val="-64"/>
        </w:rPr>
        <w:t> </w:t>
      </w:r>
      <w:r>
        <w:rPr>
          <w:spacing w:val="-64"/>
        </w:rPr>
      </w:r>
      <w:r>
        <w:rPr/>
        <w:t>以外变量（例如利率、某种商品的价格或某项金融工具的价格）的变动而变动，该合同分类为金融负债。</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）衍生金融工具及嵌入衍生工具</w:t>
      </w:r>
      <w:r>
        <w:rPr>
          <w:rFonts w:ascii="宋体" w:hAnsi="宋体" w:cs="宋体" w:eastAsia="宋体" w:hint="default"/>
          <w:b/>
          <w:bCs/>
          <w:w w:val="99"/>
          <w:sz w:val="18"/>
          <w:szCs w:val="18"/>
        </w:rPr>
        <w:t> </w:t>
      </w:r>
      <w:r>
        <w:rPr>
          <w:rFonts w:ascii="宋体" w:hAnsi="宋体" w:cs="宋体" w:eastAsia="宋体" w:hint="default"/>
          <w:spacing w:val="-2"/>
          <w:sz w:val="18"/>
          <w:szCs w:val="18"/>
        </w:rPr>
        <w:t>衍生金融工具初始以衍生交易合同签订当日的公允价值进行计量，并以其公允价值进行后续计量。公允价值为正数的衍</w:t>
      </w:r>
    </w:p>
    <w:p>
      <w:pPr>
        <w:pStyle w:val="BodyText"/>
        <w:spacing w:line="240" w:lineRule="auto" w:before="15"/>
        <w:ind w:right="0"/>
        <w:jc w:val="left"/>
      </w:pPr>
      <w:r>
        <w:rPr/>
        <w:t>生金融工具确认为一项资产，公允价值为负数的确认为一项负债。</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除现金流量套期中属于套期有效的部分计入其他综合收益并于被套期项目影响损益时转出计入当期损益之外，衍生工具</w:t>
      </w:r>
      <w:r>
        <w:rPr/>
        <w:t> 公允价值变动而产生的利得或损失，直接计入当期损益。</w:t>
      </w:r>
    </w:p>
    <w:p>
      <w:pPr>
        <w:spacing w:after="0" w:line="316" w:lineRule="auto"/>
        <w:jc w:val="left"/>
        <w:sectPr>
          <w:footerReference w:type="default" r:id="rId24"/>
          <w:pgSz w:w="11910" w:h="16840"/>
          <w:pgMar w:footer="978" w:header="746" w:top="1060" w:bottom="1160" w:left="1020" w:right="0"/>
          <w:pgNumType w:start="12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对包含嵌入衍生工具的混合工具，如主合同为金融资产的，混合工具作为一个整体适用金融资产分类的相关规定。如主</w:t>
      </w:r>
      <w:r>
        <w:rPr/>
        <w:t> </w:t>
      </w:r>
      <w:r>
        <w:rPr>
          <w:spacing w:val="-2"/>
        </w:rPr>
        <w:t>合同并非金融资产，且该混合工具不是以公允价值计量且其变动计入当期损益进行会计处理，嵌入衍生工具与该主合同在经</w:t>
      </w:r>
      <w:r>
        <w:rPr>
          <w:spacing w:val="-64"/>
        </w:rPr>
        <w:t> </w:t>
      </w:r>
      <w:r>
        <w:rPr>
          <w:spacing w:val="-64"/>
        </w:rPr>
      </w:r>
      <w:r>
        <w:rPr>
          <w:spacing w:val="-2"/>
        </w:rPr>
        <w:t>济特征及风险方面不存在紧密关系，且与嵌入衍生工具条件相同、单独存在的工具符合衍生工具定义的，嵌入衍生工具从混</w:t>
      </w:r>
      <w:r>
        <w:rPr>
          <w:spacing w:val="-63"/>
        </w:rPr>
        <w:t> </w:t>
      </w:r>
      <w:r>
        <w:rPr>
          <w:spacing w:val="-63"/>
        </w:rPr>
      </w:r>
      <w:r>
        <w:rPr>
          <w:spacing w:val="-4"/>
        </w:rPr>
        <w:t>合工具中分拆，作为单独的衍生金融工具处理。如果该嵌入衍生工具在取得日或后续资产负债表日的公允价值无法单独计量，</w:t>
      </w:r>
      <w:r>
        <w:rPr>
          <w:spacing w:val="-41"/>
        </w:rPr>
        <w:t> </w:t>
      </w:r>
      <w:r>
        <w:rPr>
          <w:spacing w:val="-41"/>
        </w:rPr>
      </w:r>
      <w:r>
        <w:rPr/>
        <w:t>则将混合工具整体指定为以公允价值计量且其变动计入当期损益的金融资产或金融负债。</w:t>
      </w:r>
    </w:p>
    <w:p>
      <w:pPr>
        <w:pStyle w:val="BodyText"/>
        <w:spacing w:line="432" w:lineRule="exact" w:before="3"/>
        <w:ind w:left="472" w:right="0"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）金融工具减值</w:t>
      </w:r>
      <w:r>
        <w:rPr>
          <w:rFonts w:ascii="宋体" w:hAnsi="宋体" w:cs="宋体" w:eastAsia="宋体" w:hint="default"/>
          <w:b/>
          <w:bCs/>
          <w:w w:val="99"/>
        </w:rPr>
        <w:t> </w:t>
      </w:r>
      <w:r>
        <w:rPr>
          <w:spacing w:val="-2"/>
        </w:rPr>
        <w:t>本公司对于以摊余成本计量的金融资产、以公允价值计量且其变动计入其他综合收益的债权投资、合同资产、租赁应收</w:t>
      </w:r>
    </w:p>
    <w:p>
      <w:pPr>
        <w:pStyle w:val="BodyText"/>
        <w:spacing w:line="240" w:lineRule="auto" w:before="15"/>
        <w:ind w:right="0"/>
        <w:jc w:val="left"/>
      </w:pPr>
      <w:r>
        <w:rPr/>
        <w:t>款、贷款承诺及财务担保合同等，以预期信用损失为基础确认损失准备。</w:t>
      </w:r>
    </w:p>
    <w:p>
      <w:pPr>
        <w:pStyle w:val="BodyText"/>
        <w:spacing w:line="430" w:lineRule="atLeast" w:before="2"/>
        <w:ind w:left="472" w:right="0"/>
        <w:jc w:val="left"/>
      </w:pPr>
      <w:r>
        <w:rPr/>
        <w:t>①预期信用损失的计量 </w:t>
      </w:r>
      <w:r>
        <w:rPr>
          <w:spacing w:val="-2"/>
        </w:rPr>
        <w:t>预期信用损失，是指以发生违约的风险为权重的金融工具信用损失的加权平均值。信用损失，是指本公司按照原实际利</w:t>
      </w:r>
    </w:p>
    <w:p>
      <w:pPr>
        <w:pStyle w:val="BodyText"/>
        <w:spacing w:line="316" w:lineRule="auto" w:before="76"/>
        <w:ind w:right="0"/>
        <w:jc w:val="left"/>
      </w:pPr>
      <w:r>
        <w:rPr>
          <w:spacing w:val="-2"/>
        </w:rPr>
        <w:t>率折现的、根据合同应收的所有合同现金流量与预期收取的所有现金流量之间的差额，即全部现金短缺的现值。其中，对于</w:t>
      </w:r>
      <w:r>
        <w:rPr>
          <w:spacing w:val="-64"/>
        </w:rPr>
        <w:t> </w:t>
      </w:r>
      <w:r>
        <w:rPr>
          <w:spacing w:val="-64"/>
        </w:rPr>
      </w:r>
      <w:r>
        <w:rPr/>
        <w:t>本公司购买或源生的已发生信用减值的金融资产，应按照该金融资产经信用调整的实际利率折现。</w:t>
      </w:r>
    </w:p>
    <w:p>
      <w:pPr>
        <w:pStyle w:val="BodyText"/>
        <w:spacing w:line="432" w:lineRule="exact" w:before="3"/>
        <w:ind w:left="472" w:right="0"/>
        <w:jc w:val="left"/>
      </w:pPr>
      <w:r>
        <w:rPr/>
        <w:t>整个存续期预期信用损失，是指因金融工具整个预计存续期内所有可能发生的违约事件而导致的预期信用损失。 </w:t>
      </w:r>
      <w:r>
        <w:rPr>
          <w:spacing w:val="-4"/>
        </w:rPr>
        <w:t>未来</w:t>
      </w:r>
      <w:r>
        <w:rPr>
          <w:rFonts w:ascii="Times New Roman" w:hAnsi="Times New Roman" w:cs="Times New Roman" w:eastAsia="Times New Roman" w:hint="default"/>
          <w:spacing w:val="-4"/>
        </w:rPr>
        <w:t>12</w:t>
      </w:r>
      <w:r>
        <w:rPr>
          <w:spacing w:val="-4"/>
        </w:rPr>
        <w:t>个月内预期信用损失，是指因资产负债表日后</w:t>
      </w:r>
      <w:r>
        <w:rPr>
          <w:rFonts w:ascii="Times New Roman" w:hAnsi="Times New Roman" w:cs="Times New Roman" w:eastAsia="Times New Roman" w:hint="default"/>
          <w:spacing w:val="-4"/>
        </w:rPr>
        <w:t>12</w:t>
      </w:r>
      <w:r>
        <w:rPr>
          <w:spacing w:val="-4"/>
        </w:rPr>
        <w:t>个月内（若金融工具的预计存续期少于</w:t>
      </w:r>
      <w:r>
        <w:rPr>
          <w:rFonts w:ascii="Times New Roman" w:hAnsi="Times New Roman" w:cs="Times New Roman" w:eastAsia="Times New Roman" w:hint="default"/>
          <w:spacing w:val="-4"/>
        </w:rPr>
        <w:t>12</w:t>
      </w:r>
      <w:r>
        <w:rPr>
          <w:spacing w:val="-4"/>
        </w:rPr>
        <w:t>个月，则为预计存续期）</w:t>
      </w:r>
    </w:p>
    <w:p>
      <w:pPr>
        <w:pStyle w:val="BodyText"/>
        <w:spacing w:line="240" w:lineRule="auto" w:before="15"/>
        <w:ind w:right="0"/>
        <w:jc w:val="left"/>
      </w:pPr>
      <w:r>
        <w:rPr/>
        <w:t>可能发生的金融工具违约事件而导致的预期信用损失，是整个存续期预期信用损失的一部分。</w:t>
      </w:r>
    </w:p>
    <w:p>
      <w:pPr>
        <w:spacing w:line="240" w:lineRule="auto" w:before="0"/>
        <w:rPr>
          <w:rFonts w:ascii="宋体" w:hAnsi="宋体" w:cs="宋体" w:eastAsia="宋体" w:hint="default"/>
          <w:sz w:val="15"/>
          <w:szCs w:val="15"/>
        </w:rPr>
      </w:pPr>
    </w:p>
    <w:p>
      <w:pPr>
        <w:pStyle w:val="BodyText"/>
        <w:spacing w:line="312" w:lineRule="auto"/>
        <w:ind w:right="1130" w:firstLine="360"/>
        <w:jc w:val="both"/>
      </w:pPr>
      <w:r>
        <w:rPr>
          <w:spacing w:val="-2"/>
        </w:rPr>
        <w:t>于每个资产负债表日，本公司对于处于不同阶段的金融工具的预期信用损失分别进行计量。金融工具自初始确认后信用</w:t>
      </w:r>
      <w:r>
        <w:rPr/>
        <w:t> </w:t>
      </w:r>
      <w:r>
        <w:rPr>
          <w:spacing w:val="-2"/>
        </w:rPr>
        <w:t>风险未显著增加的，处于第一阶段，本公司按照未来</w:t>
      </w:r>
      <w:r>
        <w:rPr>
          <w:rFonts w:ascii="Times New Roman" w:hAnsi="Times New Roman" w:cs="Times New Roman" w:eastAsia="Times New Roman" w:hint="default"/>
          <w:spacing w:val="-2"/>
        </w:rPr>
        <w:t>12</w:t>
      </w:r>
      <w:r>
        <w:rPr>
          <w:spacing w:val="-2"/>
        </w:rPr>
        <w:t>个月内的预期信用损失计量损失准备；金融工具自初始确认后信用风</w:t>
      </w:r>
      <w:r>
        <w:rPr>
          <w:spacing w:val="-62"/>
        </w:rPr>
        <w:t> </w:t>
      </w:r>
      <w:r>
        <w:rPr>
          <w:spacing w:val="-62"/>
        </w:rPr>
      </w:r>
      <w:r>
        <w:rPr>
          <w:spacing w:val="-2"/>
        </w:rPr>
        <w:t>险已显著增加但尚未发生信用减值的，处于第二阶段，本公司按照该工具整个存续期的预期信用损失计量损失准备；金融工</w:t>
      </w:r>
      <w:r>
        <w:rPr>
          <w:spacing w:val="-63"/>
        </w:rPr>
        <w:t> </w:t>
      </w:r>
      <w:r>
        <w:rPr>
          <w:spacing w:val="-63"/>
        </w:rPr>
      </w:r>
      <w:r>
        <w:rPr/>
        <w:t>具自初始确认后已经发生信用减值的，处于第三阶段，本公司按照该工具整个存续期的预期信用损失计量损失准备。</w:t>
      </w:r>
    </w:p>
    <w:p>
      <w:pPr>
        <w:pStyle w:val="BodyText"/>
        <w:spacing w:line="300" w:lineRule="auto" w:before="142"/>
        <w:ind w:right="1131" w:firstLine="360"/>
        <w:jc w:val="both"/>
      </w:pPr>
      <w:r>
        <w:rPr/>
        <w:t>对于在资产负债表日具有较低信用风险的金融工具，本公司假设其信用风险自初始确认后并未显著增加，按照未来</w:t>
      </w:r>
      <w:r>
        <w:rPr>
          <w:rFonts w:ascii="Times New Roman" w:hAnsi="Times New Roman" w:cs="Times New Roman" w:eastAsia="Times New Roman" w:hint="default"/>
        </w:rPr>
        <w:t>12 </w:t>
      </w:r>
      <w:r>
        <w:rPr/>
        <w:t>个月内的预期信用损失计量损失准备。</w:t>
      </w:r>
    </w:p>
    <w:p>
      <w:pPr>
        <w:pStyle w:val="BodyText"/>
        <w:spacing w:line="316" w:lineRule="auto" w:before="151"/>
        <w:ind w:right="1132" w:firstLine="360"/>
        <w:jc w:val="both"/>
      </w:pPr>
      <w:r>
        <w:rPr>
          <w:spacing w:val="-2"/>
        </w:rPr>
        <w:t>本公司对于处于第一阶段和第二阶段、以及较低信用风险的金融工具，按照其未扣除减值准备的账面余额和实际利率计</w:t>
      </w:r>
      <w:r>
        <w:rPr/>
        <w:t> 算利息收入。对于处于第三阶段的金融工具，按照其账面余额减已计提减值准备后的摊余成本和实际利率计算利息收入。</w:t>
      </w:r>
    </w:p>
    <w:p>
      <w:pPr>
        <w:pStyle w:val="BodyText"/>
        <w:spacing w:line="316" w:lineRule="auto" w:before="139"/>
        <w:ind w:right="1130" w:firstLine="360"/>
        <w:jc w:val="both"/>
      </w:pPr>
      <w:r>
        <w:rPr>
          <w:spacing w:val="-2"/>
        </w:rPr>
        <w:t>对于应收票据、应收账款及应收融资款，无论是否存在重大融资成分，本公司均按照整个存续期的预期信用损失计量损</w:t>
      </w:r>
      <w:r>
        <w:rPr/>
        <w:t> 失准备。</w:t>
      </w:r>
    </w:p>
    <w:p>
      <w:pPr>
        <w:pStyle w:val="BodyText"/>
        <w:spacing w:line="432" w:lineRule="exact" w:before="3"/>
        <w:ind w:left="472" w:right="112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4"/>
        </w:rPr>
        <w:t> </w:t>
      </w:r>
      <w:r>
        <w:rPr/>
        <w:t>应收款项 </w:t>
      </w:r>
      <w:r>
        <w:rPr>
          <w:spacing w:val="-2"/>
        </w:rPr>
        <w:t>对于存在客观证据表明存在减值，以及其他适用于单项评估的应收票据、应收账款，其他应收款、应收款项融资及长期</w:t>
      </w:r>
    </w:p>
    <w:p>
      <w:pPr>
        <w:pStyle w:val="BodyText"/>
        <w:spacing w:line="316" w:lineRule="auto" w:before="15"/>
        <w:ind w:right="0"/>
        <w:jc w:val="left"/>
      </w:pPr>
      <w:r>
        <w:rPr>
          <w:spacing w:val="-2"/>
        </w:rPr>
        <w:t>应收款等单独进行减值测试，确认预期信用损失，计提单项减值准备。对于不存在减值客观证据的应收票据、应收账款、其</w:t>
      </w:r>
      <w:r>
        <w:rPr>
          <w:spacing w:val="-62"/>
        </w:rPr>
        <w:t> </w:t>
      </w:r>
      <w:r>
        <w:rPr>
          <w:spacing w:val="-62"/>
        </w:rPr>
      </w:r>
      <w:r>
        <w:rPr>
          <w:spacing w:val="-2"/>
        </w:rPr>
        <w:t>他应收款、应收款项融资及长期应收款或当单项金融资产无法以合理成本评估预期信用损失的信息时，本公司依据信用风险</w:t>
      </w:r>
      <w:r>
        <w:rPr>
          <w:spacing w:val="-64"/>
        </w:rPr>
        <w:t> </w:t>
      </w:r>
      <w:r>
        <w:rPr>
          <w:spacing w:val="-64"/>
        </w:rPr>
      </w:r>
      <w:r>
        <w:rPr>
          <w:spacing w:val="-4"/>
        </w:rPr>
        <w:t>特征将应收票据、应收账款、其他应收款、应收款项融资及长期应收款等划分为若干组合，在组合基础上计算预期信用损失，</w:t>
      </w:r>
      <w:r>
        <w:rPr>
          <w:spacing w:val="-43"/>
        </w:rPr>
        <w:t> </w:t>
      </w:r>
      <w:r>
        <w:rPr>
          <w:spacing w:val="-43"/>
        </w:rPr>
      </w:r>
      <w:r>
        <w:rPr/>
        <w:t>确定组合的依据如下：</w:t>
      </w:r>
    </w:p>
    <w:p>
      <w:pPr>
        <w:pStyle w:val="BodyText"/>
        <w:spacing w:line="427" w:lineRule="auto" w:before="139"/>
        <w:ind w:left="472" w:right="7874"/>
        <w:jc w:val="left"/>
      </w:pPr>
      <w:r>
        <w:rPr/>
        <w:t>应收票据确定组合的依据如下： 应收票据组合</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商业承兑汇票 应收票据组合</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银行承兑汇票</w:t>
      </w:r>
    </w:p>
    <w:p>
      <w:pPr>
        <w:pStyle w:val="BodyText"/>
        <w:spacing w:line="316" w:lineRule="auto" w:before="27"/>
        <w:ind w:right="1130" w:firstLine="360"/>
        <w:jc w:val="both"/>
      </w:pPr>
      <w:r>
        <w:rPr>
          <w:spacing w:val="-2"/>
        </w:rPr>
        <w:t>对于划分为组合的应收票据，本公司参考历史信用损失经验，结合当前状况以及对未来经济状况的预测，通过违约风险</w:t>
      </w:r>
      <w:r>
        <w:rPr/>
        <w:t> </w:t>
      </w:r>
      <w:r>
        <w:rPr>
          <w:spacing w:val="-2"/>
        </w:rPr>
        <w:t>敞口和整个存续期预期信用损失率，计算预期信用损失。本公司评估银行承兑汇票无收回风险，不计提预期信用损失；商业</w:t>
      </w:r>
      <w:r>
        <w:rPr>
          <w:spacing w:val="-64"/>
        </w:rPr>
        <w:t> </w:t>
      </w:r>
      <w:r>
        <w:rPr>
          <w:spacing w:val="-64"/>
        </w:rPr>
      </w:r>
      <w:r>
        <w:rPr/>
        <w:t>承兑汇票预期信用损失的计提参照应收账款执行，应收商业承兑汇票的账龄起点追溯至对应的应收账款账龄起始点。</w:t>
      </w:r>
    </w:p>
    <w:p>
      <w:pPr>
        <w:pStyle w:val="BodyText"/>
        <w:spacing w:line="240" w:lineRule="auto" w:before="139"/>
        <w:ind w:left="472" w:right="0"/>
        <w:jc w:val="left"/>
      </w:pPr>
      <w:r>
        <w:rPr/>
        <w:t>应收账款确定组合的依据如下：</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415" w:lineRule="auto" w:before="44"/>
        <w:ind w:left="472" w:right="7603"/>
        <w:jc w:val="left"/>
      </w:pPr>
      <w:r>
        <w:rPr/>
        <w:t>应收账款组合</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合并范围内公司 应收账款组合</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非合并范围内公司</w:t>
      </w:r>
    </w:p>
    <w:p>
      <w:pPr>
        <w:pStyle w:val="BodyText"/>
        <w:spacing w:line="300" w:lineRule="auto" w:before="37"/>
        <w:ind w:right="1132" w:firstLine="360"/>
        <w:jc w:val="both"/>
      </w:pPr>
      <w:r>
        <w:rPr/>
        <w:t>对于组合</w:t>
      </w:r>
      <w:r>
        <w:rPr>
          <w:rFonts w:ascii="Times New Roman" w:hAnsi="Times New Roman" w:cs="Times New Roman" w:eastAsia="Times New Roman" w:hint="default"/>
        </w:rPr>
        <w:t>1</w:t>
      </w:r>
      <w:r>
        <w:rPr/>
        <w:t>，除存在客观证据表明本公司将无法按应收款项的原有条款收回款项外，不对应收合并范围内公司的应收款 项计提坏账准备。对于组合</w:t>
      </w:r>
      <w:r>
        <w:rPr>
          <w:rFonts w:ascii="Times New Roman" w:hAnsi="Times New Roman" w:cs="Times New Roman" w:eastAsia="Times New Roman" w:hint="default"/>
        </w:rPr>
        <w:t>2</w:t>
      </w:r>
      <w:r>
        <w:rPr/>
        <w:t>，本公司以账龄作为信用风险特征，按信用风险特征组合对其他第三方应收款项计算预期信用</w:t>
      </w:r>
      <w:r>
        <w:rPr>
          <w:spacing w:val="-85"/>
        </w:rPr>
        <w:t> </w:t>
      </w:r>
      <w:r>
        <w:rPr>
          <w:spacing w:val="-85"/>
        </w:rPr>
      </w:r>
      <w:r>
        <w:rPr/>
        <w:t>损失。</w:t>
      </w:r>
    </w:p>
    <w:p>
      <w:pPr>
        <w:pStyle w:val="BodyText"/>
        <w:spacing w:line="427" w:lineRule="auto" w:before="151"/>
        <w:ind w:left="472" w:right="7423"/>
        <w:jc w:val="left"/>
      </w:pPr>
      <w:r>
        <w:rPr/>
        <w:t>其他应收款确定组合的依据如下： 其他应收款组合</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合并范围内公司 其他应收款组合</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非合并范围内公司</w:t>
      </w:r>
    </w:p>
    <w:p>
      <w:pPr>
        <w:pStyle w:val="BodyText"/>
        <w:spacing w:line="300" w:lineRule="auto" w:before="27"/>
        <w:ind w:right="1132" w:firstLine="360"/>
        <w:jc w:val="both"/>
      </w:pPr>
      <w:r>
        <w:rPr/>
        <w:t>对于组合</w:t>
      </w:r>
      <w:r>
        <w:rPr>
          <w:rFonts w:ascii="Times New Roman" w:hAnsi="Times New Roman" w:cs="Times New Roman" w:eastAsia="Times New Roman" w:hint="default"/>
        </w:rPr>
        <w:t>1</w:t>
      </w:r>
      <w:r>
        <w:rPr/>
        <w:t>，除存在客观证据表明本公司将无法按应收款项的原有条款收回款项外，不对应收合并范围内公司应收款项 计提坏账准备。对于组合</w:t>
      </w:r>
      <w:r>
        <w:rPr>
          <w:rFonts w:ascii="Times New Roman" w:hAnsi="Times New Roman" w:cs="Times New Roman" w:eastAsia="Times New Roman" w:hint="default"/>
        </w:rPr>
        <w:t>2</w:t>
      </w:r>
      <w:r>
        <w:rPr/>
        <w:t>，本公司参考历史信用损失经验，结合当前状况以及对未来经济状况的预测，通过违约风险敞口</w:t>
      </w:r>
      <w:r>
        <w:rPr>
          <w:spacing w:val="-85"/>
        </w:rPr>
        <w:t> </w:t>
      </w:r>
      <w:r>
        <w:rPr>
          <w:spacing w:val="-85"/>
        </w:rPr>
      </w:r>
      <w:r>
        <w:rPr/>
        <w:t>和未来</w:t>
      </w:r>
      <w:r>
        <w:rPr>
          <w:rFonts w:ascii="Times New Roman" w:hAnsi="Times New Roman" w:cs="Times New Roman" w:eastAsia="Times New Roman" w:hint="default"/>
        </w:rPr>
        <w:t>12</w:t>
      </w:r>
      <w:r>
        <w:rPr/>
        <w:t>个月内或整个存续期预期信用损失率，计算预期信用损失。</w:t>
      </w:r>
    </w:p>
    <w:p>
      <w:pPr>
        <w:pStyle w:val="BodyText"/>
        <w:spacing w:line="427" w:lineRule="auto" w:before="133"/>
        <w:ind w:left="472" w:right="7423"/>
        <w:jc w:val="left"/>
      </w:pPr>
      <w:r>
        <w:rPr/>
        <w:t>长期应收款确定组合的依据如下： 长期应收款组合</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合并范围内公司 长期应收款组合</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非合并范围内公司</w:t>
      </w:r>
    </w:p>
    <w:p>
      <w:pPr>
        <w:pStyle w:val="BodyText"/>
        <w:spacing w:line="300" w:lineRule="auto" w:before="27"/>
        <w:ind w:right="1132" w:firstLine="360"/>
        <w:jc w:val="both"/>
      </w:pPr>
      <w:r>
        <w:rPr/>
        <w:t>对于组合</w:t>
      </w:r>
      <w:r>
        <w:rPr>
          <w:rFonts w:ascii="Times New Roman" w:hAnsi="Times New Roman" w:cs="Times New Roman" w:eastAsia="Times New Roman" w:hint="default"/>
        </w:rPr>
        <w:t>1</w:t>
      </w:r>
      <w:r>
        <w:rPr/>
        <w:t>，除存在客观证据表明本公司将无法按应收款项的原有条款收回款项外，不对应收合并范围内公司应收款项 计提坏账准备。对于组合</w:t>
      </w:r>
      <w:r>
        <w:rPr>
          <w:rFonts w:ascii="Times New Roman" w:hAnsi="Times New Roman" w:cs="Times New Roman" w:eastAsia="Times New Roman" w:hint="default"/>
        </w:rPr>
        <w:t>2</w:t>
      </w:r>
      <w:r>
        <w:rPr/>
        <w:t>，本公司参考历史信用损失经验，结合当前状况以及对未来经济状况的预测，通过违约风险敞口</w:t>
      </w:r>
      <w:r>
        <w:rPr>
          <w:spacing w:val="-85"/>
        </w:rPr>
        <w:t> </w:t>
      </w:r>
      <w:r>
        <w:rPr>
          <w:spacing w:val="-85"/>
        </w:rPr>
      </w:r>
      <w:r>
        <w:rPr/>
        <w:t>和未来 </w:t>
      </w: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个月内或整个存续期预期信用损失率，计算预期信用损失。</w:t>
      </w:r>
    </w:p>
    <w:p>
      <w:pPr>
        <w:pStyle w:val="BodyText"/>
        <w:spacing w:line="415" w:lineRule="auto" w:before="133"/>
        <w:ind w:left="472"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5"/>
        </w:rPr>
        <w:t> </w:t>
      </w:r>
      <w:r>
        <w:rPr/>
        <w:t>债权投资、其他债权投资 </w:t>
      </w:r>
      <w:r>
        <w:rPr>
          <w:spacing w:val="-2"/>
        </w:rPr>
        <w:t>对于债权投资和其他债权投资，本公司按照投资的性质，根据交易对手和风险敞口的各种类型，通过违约风险敞口和未</w:t>
      </w:r>
    </w:p>
    <w:p>
      <w:pPr>
        <w:pStyle w:val="BodyText"/>
        <w:spacing w:line="194" w:lineRule="exact"/>
        <w:ind w:right="0"/>
        <w:jc w:val="left"/>
      </w:pPr>
      <w:r>
        <w:rPr/>
        <w:t>来 </w:t>
      </w: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个月内或整个存续期预期信用损失率，计算预期信用损失。</w:t>
      </w:r>
    </w:p>
    <w:p>
      <w:pPr>
        <w:pStyle w:val="BodyText"/>
        <w:spacing w:line="432" w:lineRule="exact" w:before="47"/>
        <w:ind w:left="472" w:right="0"/>
        <w:jc w:val="left"/>
      </w:pPr>
      <w:r>
        <w:rPr/>
        <w:t>②具有较低的信用风险 </w:t>
      </w:r>
      <w:r>
        <w:rPr>
          <w:spacing w:val="-2"/>
        </w:rPr>
        <w:t>如果金融工具的违约风险较低，借款人在短期内履行其合同现金流量义务的能力很强，并且即便较长时期内经济形势和</w:t>
      </w:r>
    </w:p>
    <w:p>
      <w:pPr>
        <w:pStyle w:val="BodyText"/>
        <w:spacing w:line="240" w:lineRule="auto" w:before="15"/>
        <w:ind w:right="0"/>
        <w:jc w:val="left"/>
      </w:pPr>
      <w:r>
        <w:rPr/>
        <w:t>经营环境存在不利变化但未必一定降低借款人履行其合同现金流量义务的能力，该金融工具被视为具有较低的信用风险。</w:t>
      </w:r>
    </w:p>
    <w:p>
      <w:pPr>
        <w:pStyle w:val="BodyText"/>
        <w:spacing w:line="430" w:lineRule="atLeast" w:before="2"/>
        <w:ind w:left="472" w:right="0"/>
        <w:jc w:val="left"/>
      </w:pPr>
      <w:r>
        <w:rPr/>
        <w:t>③信用风险显著增加 本公司通过比较金融工具在资产负债表日所确定的预计存续期内的违约概率与在初始确认时所确定的预计存续期内的</w:t>
      </w:r>
    </w:p>
    <w:p>
      <w:pPr>
        <w:pStyle w:val="BodyText"/>
        <w:spacing w:line="316" w:lineRule="auto" w:before="76"/>
        <w:ind w:right="1120"/>
        <w:jc w:val="left"/>
      </w:pPr>
      <w:r>
        <w:rPr>
          <w:spacing w:val="-2"/>
        </w:rPr>
        <w:t>违约概率，以确定金融工具预计存续期内发生违约概率的相对变化，以评估金融工具的信用风险自初始确认后是否已显著增</w:t>
      </w:r>
      <w:r>
        <w:rPr>
          <w:spacing w:val="-64"/>
        </w:rPr>
        <w:t> </w:t>
      </w:r>
      <w:r>
        <w:rPr>
          <w:spacing w:val="-64"/>
        </w:rPr>
      </w:r>
      <w:r>
        <w:rPr/>
        <w:t>加。</w:t>
      </w:r>
    </w:p>
    <w:p>
      <w:pPr>
        <w:pStyle w:val="BodyText"/>
        <w:spacing w:line="316" w:lineRule="auto" w:before="139"/>
        <w:ind w:right="1132" w:firstLine="360"/>
        <w:jc w:val="both"/>
      </w:pPr>
      <w:r>
        <w:rPr>
          <w:spacing w:val="-2"/>
        </w:rPr>
        <w:t>在确定信用风险自初始确认后是否显著增加时，本公司考虑无须付出不必要的额外成本或努力即可获得的合理且有依据</w:t>
      </w:r>
      <w:r>
        <w:rPr/>
        <w:t> 的信息，包括前瞻性信息。本公司考虑的信息包括：</w:t>
      </w:r>
    </w:p>
    <w:p>
      <w:pPr>
        <w:pStyle w:val="BodyText"/>
        <w:spacing w:line="240" w:lineRule="auto" w:before="139"/>
        <w:ind w:left="472"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2"/>
        </w:rPr>
        <w:t> </w:t>
      </w:r>
      <w:r>
        <w:rPr/>
        <w:t>信用风险变化所导致的内部价格指标是否发生显著变化；</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rFonts w:ascii="Times New Roman" w:hAnsi="Times New Roman" w:cs="Times New Roman" w:eastAsia="Times New Roman" w:hint="default"/>
        </w:rPr>
        <w:t>B.  </w:t>
      </w:r>
      <w:r>
        <w:rPr/>
        <w:t>预期将导致债务人履行其偿债义务的能力是否发生显著变化的业务、财务或经济状况的不利变化；</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rFonts w:ascii="Times New Roman" w:hAnsi="Times New Roman" w:cs="Times New Roman" w:eastAsia="Times New Roman" w:hint="default"/>
        </w:rPr>
        <w:t>C.  </w:t>
      </w:r>
      <w:r>
        <w:rPr/>
        <w:t>债务人经营成果实际或预期是否发生显著变化；债务人所处的监管、经济或技术环境是否发生显著不利变化；</w:t>
      </w:r>
    </w:p>
    <w:p>
      <w:pPr>
        <w:spacing w:line="240" w:lineRule="auto" w:before="13"/>
        <w:rPr>
          <w:rFonts w:ascii="宋体" w:hAnsi="宋体" w:cs="宋体" w:eastAsia="宋体" w:hint="default"/>
          <w:sz w:val="13"/>
          <w:szCs w:val="13"/>
        </w:rPr>
      </w:pPr>
    </w:p>
    <w:p>
      <w:pPr>
        <w:pStyle w:val="BodyText"/>
        <w:spacing w:line="300" w:lineRule="auto"/>
        <w:ind w:right="1130" w:firstLine="36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10"/>
        </w:rPr>
        <w:t> </w:t>
      </w:r>
      <w:r>
        <w:rPr/>
        <w:t>作为债务抵押的担保物价值或第三方提供的担保或信用增级质量是否发生显著变化。这些变化预期将降低债务人按 合同规定期限还款的经济动机或者影响违约概率；</w:t>
      </w:r>
    </w:p>
    <w:p>
      <w:pPr>
        <w:pStyle w:val="BodyText"/>
        <w:spacing w:line="240" w:lineRule="auto" w:before="151"/>
        <w:ind w:left="472" w:right="0"/>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43"/>
        </w:rPr>
        <w:t> </w:t>
      </w:r>
      <w:r>
        <w:rPr/>
        <w:t>预期将降低债务人按合同约定期限还款的经济动机是否发生显著变化；</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rFonts w:ascii="Times New Roman" w:hAnsi="Times New Roman" w:cs="Times New Roman" w:eastAsia="Times New Roman" w:hint="default"/>
        </w:rPr>
        <w:t>F. </w:t>
      </w:r>
      <w:r>
        <w:rPr>
          <w:rFonts w:ascii="Times New Roman" w:hAnsi="Times New Roman" w:cs="Times New Roman" w:eastAsia="Times New Roman" w:hint="default"/>
          <w:spacing w:val="34"/>
        </w:rPr>
        <w:t> </w:t>
      </w:r>
      <w:r>
        <w:rPr/>
        <w:t>借款合同的预期变更，包括预计违反合同的行为是否可能导致的合同义务的免除或修订、给予免息期、利率跳升、</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要求追加抵押品或担保或者对金融工具的合同框架做出其他变更；</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rFonts w:ascii="Times New Roman" w:hAnsi="Times New Roman" w:cs="Times New Roman" w:eastAsia="Times New Roman" w:hint="default"/>
        </w:rPr>
        <w:t>G.</w:t>
      </w:r>
      <w:r>
        <w:rPr>
          <w:rFonts w:ascii="Times New Roman" w:hAnsi="Times New Roman" w:cs="Times New Roman" w:eastAsia="Times New Roman" w:hint="default"/>
          <w:spacing w:val="42"/>
        </w:rPr>
        <w:t> </w:t>
      </w:r>
      <w:r>
        <w:rPr/>
        <w:t>债务人预期表现和还款行为是否发生显著变化；</w:t>
      </w:r>
    </w:p>
    <w:p>
      <w:pPr>
        <w:pStyle w:val="BodyText"/>
        <w:spacing w:line="420" w:lineRule="atLeast" w:before="12"/>
        <w:ind w:left="472" w:right="0"/>
        <w:jc w:val="left"/>
      </w:pPr>
      <w:r>
        <w:rPr>
          <w:rFonts w:ascii="Times New Roman" w:hAnsi="Times New Roman" w:cs="Times New Roman" w:eastAsia="Times New Roman" w:hint="default"/>
        </w:rPr>
        <w:t>H.</w:t>
      </w:r>
      <w:r>
        <w:rPr>
          <w:rFonts w:ascii="Times New Roman" w:hAnsi="Times New Roman" w:cs="Times New Roman" w:eastAsia="Times New Roman" w:hint="default"/>
          <w:spacing w:val="43"/>
        </w:rPr>
        <w:t> </w:t>
      </w:r>
      <w:r>
        <w:rPr/>
        <w:t>合同付款是否发生逾期超过（含）</w:t>
      </w:r>
      <w:r>
        <w:rPr>
          <w:rFonts w:ascii="Times New Roman" w:hAnsi="Times New Roman" w:cs="Times New Roman" w:eastAsia="Times New Roman" w:hint="default"/>
        </w:rPr>
        <w:t>30</w:t>
      </w:r>
      <w:r>
        <w:rPr/>
        <w:t>日。 </w:t>
      </w:r>
      <w:r>
        <w:rPr>
          <w:spacing w:val="-2"/>
        </w:rPr>
        <w:t>根据金融工具的性质，本公司以单项金融工具或金融工具组合为基础评估信用风险是否显著增加。以金融工具组合为基</w:t>
      </w:r>
    </w:p>
    <w:p>
      <w:pPr>
        <w:pStyle w:val="BodyText"/>
        <w:spacing w:line="240" w:lineRule="auto" w:before="76"/>
        <w:ind w:right="0"/>
        <w:jc w:val="both"/>
      </w:pPr>
      <w:r>
        <w:rPr/>
        <w:t>础进行评估时，本公司可基于共同信用风险特征对金融工具进行分类，例如逾期信息和信用风险评级。</w:t>
      </w:r>
    </w:p>
    <w:p>
      <w:pPr>
        <w:spacing w:line="240" w:lineRule="auto" w:before="0"/>
        <w:rPr>
          <w:rFonts w:ascii="宋体" w:hAnsi="宋体" w:cs="宋体" w:eastAsia="宋体" w:hint="default"/>
          <w:sz w:val="15"/>
          <w:szCs w:val="15"/>
        </w:rPr>
      </w:pPr>
    </w:p>
    <w:p>
      <w:pPr>
        <w:pStyle w:val="BodyText"/>
        <w:spacing w:line="300" w:lineRule="auto"/>
        <w:ind w:right="1130" w:firstLine="360"/>
        <w:jc w:val="both"/>
      </w:pPr>
      <w:r>
        <w:rPr>
          <w:spacing w:val="-2"/>
        </w:rPr>
        <w:t>通常情况下，如果逾期超过</w:t>
      </w:r>
      <w:r>
        <w:rPr>
          <w:rFonts w:ascii="Times New Roman" w:hAnsi="Times New Roman" w:cs="Times New Roman" w:eastAsia="Times New Roman" w:hint="default"/>
          <w:spacing w:val="-2"/>
        </w:rPr>
        <w:t>30</w:t>
      </w:r>
      <w:r>
        <w:rPr>
          <w:spacing w:val="-2"/>
        </w:rPr>
        <w:t>日，本公司确定金融工具的信用风险已经显著增加。除非本公司无需付出过多成本或努力</w:t>
      </w:r>
      <w:r>
        <w:rPr/>
        <w:t> 即可获得合理且有依据的信息，证明虽然超过合同约定的付款期限</w:t>
      </w:r>
      <w:r>
        <w:rPr>
          <w:rFonts w:ascii="Times New Roman" w:hAnsi="Times New Roman" w:cs="Times New Roman" w:eastAsia="Times New Roman" w:hint="default"/>
        </w:rPr>
        <w:t>30</w:t>
      </w:r>
      <w:r>
        <w:rPr/>
        <w:t>天，但信用风险自初始确认以来并未显著增加。</w:t>
      </w:r>
    </w:p>
    <w:p>
      <w:pPr>
        <w:pStyle w:val="BodyText"/>
        <w:spacing w:line="240" w:lineRule="auto" w:before="133"/>
        <w:ind w:left="472" w:right="0"/>
        <w:jc w:val="left"/>
      </w:pPr>
      <w:r>
        <w:rPr/>
        <w:t>④已发生信用减值的金融资产</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t>本公司在资产负债表日评估以摊余成本计量的金融资产和以公允价值计量且其变动计入其他综合收益的债权投资是否 </w:t>
      </w:r>
      <w:r>
        <w:rPr>
          <w:spacing w:val="-2"/>
        </w:rPr>
        <w:t>已发生信用减值。当对金融资产预期未来现金流量具有不利影响的一项或多项事件发生时，该金融资产成为已发生信用减值</w:t>
      </w:r>
      <w:r>
        <w:rPr>
          <w:spacing w:val="-64"/>
        </w:rPr>
        <w:t> </w:t>
      </w:r>
      <w:r>
        <w:rPr>
          <w:spacing w:val="-64"/>
        </w:rPr>
      </w:r>
      <w:r>
        <w:rPr/>
        <w:t>的金融资产。金融资产已发生信用减值的证据包括下列可观察信息：</w:t>
      </w:r>
    </w:p>
    <w:p>
      <w:pPr>
        <w:pStyle w:val="BodyText"/>
        <w:spacing w:line="316" w:lineRule="auto" w:before="139"/>
        <w:ind w:right="1130" w:firstLine="360"/>
        <w:jc w:val="both"/>
      </w:pPr>
      <w:r>
        <w:rPr>
          <w:spacing w:val="-2"/>
        </w:rPr>
        <w:t>发行方或债务人发生重大财务困难；债务人违反合同，如偿付利息或本金违约或逾期等；债权人出于与债务人财务困难</w:t>
      </w:r>
      <w:r>
        <w:rPr/>
        <w:t> </w:t>
      </w:r>
      <w:r>
        <w:rPr>
          <w:spacing w:val="-2"/>
        </w:rPr>
        <w:t>有关的经济或合同考虑，给予债务人在任何其他情况下都不会做出的让步；债务人很可能破产或进行其他财务重组；发行方</w:t>
      </w:r>
      <w:r>
        <w:rPr>
          <w:spacing w:val="-63"/>
        </w:rPr>
        <w:t> </w:t>
      </w:r>
      <w:r>
        <w:rPr>
          <w:spacing w:val="-63"/>
        </w:rPr>
      </w:r>
      <w:r>
        <w:rPr>
          <w:spacing w:val="-2"/>
        </w:rPr>
        <w:t>或债务人财务困难导致该金融资产的活跃市场消失；以大幅折扣购买或源生一项金融资产，该折扣反映了发生信用损失的事</w:t>
      </w:r>
      <w:r>
        <w:rPr>
          <w:spacing w:val="-64"/>
        </w:rPr>
        <w:t> </w:t>
      </w:r>
      <w:r>
        <w:rPr>
          <w:spacing w:val="-64"/>
        </w:rPr>
      </w:r>
      <w:r>
        <w:rPr/>
        <w:t>实。</w:t>
      </w:r>
    </w:p>
    <w:p>
      <w:pPr>
        <w:pStyle w:val="BodyText"/>
        <w:spacing w:line="432" w:lineRule="exact" w:before="3"/>
        <w:ind w:left="472" w:right="0"/>
        <w:jc w:val="left"/>
      </w:pPr>
      <w:r>
        <w:rPr/>
        <w:t>⑤预期信用损失准备的列报 </w:t>
      </w:r>
      <w:r>
        <w:rPr>
          <w:spacing w:val="-2"/>
        </w:rPr>
        <w:t>为反映金融工具的信用风险自初始确认后的变化，本公司在每个资产负债表日重新计量预期信用损失，由此形成的损失</w:t>
      </w:r>
    </w:p>
    <w:p>
      <w:pPr>
        <w:pStyle w:val="BodyText"/>
        <w:spacing w:line="316" w:lineRule="auto" w:before="15"/>
        <w:ind w:right="1130"/>
        <w:jc w:val="both"/>
      </w:pPr>
      <w:r>
        <w:rPr>
          <w:spacing w:val="-2"/>
        </w:rPr>
        <w:t>准备的增加或转回金额，应当作为减值损失或利得计入当期损益。对于以摊余成本计量的金融资产，损失准备抵减该金融资</w:t>
      </w:r>
      <w:r>
        <w:rPr>
          <w:spacing w:val="-63"/>
        </w:rPr>
        <w:t> </w:t>
      </w:r>
      <w:r>
        <w:rPr>
          <w:spacing w:val="-63"/>
        </w:rPr>
      </w:r>
      <w:r>
        <w:rPr>
          <w:spacing w:val="-2"/>
        </w:rPr>
        <w:t>产在资产负债表中列示的账面价值；对于以公允价值计量且其变动计入其他综合收益的债权投资，本公司在其他综合收益中</w:t>
      </w:r>
      <w:r>
        <w:rPr>
          <w:spacing w:val="-64"/>
        </w:rPr>
        <w:t> </w:t>
      </w:r>
      <w:r>
        <w:rPr>
          <w:spacing w:val="-64"/>
        </w:rPr>
      </w:r>
      <w:r>
        <w:rPr/>
        <w:t>确认其损失准备，不抵减该金融资产的账面价值。</w:t>
      </w:r>
    </w:p>
    <w:p>
      <w:pPr>
        <w:pStyle w:val="BodyText"/>
        <w:spacing w:line="432" w:lineRule="exact" w:before="3"/>
        <w:ind w:left="472" w:right="1120"/>
        <w:jc w:val="left"/>
      </w:pPr>
      <w:r>
        <w:rPr/>
        <w:t>⑥核销 </w:t>
      </w:r>
      <w:r>
        <w:rPr>
          <w:spacing w:val="-2"/>
        </w:rPr>
        <w:t>如果本公司不再合理预期金融资产合同现金流量能够全部或部分收回，则直接减记该金融资产的账面余额。这种减记构</w:t>
      </w:r>
    </w:p>
    <w:p>
      <w:pPr>
        <w:pStyle w:val="BodyText"/>
        <w:spacing w:line="316" w:lineRule="auto" w:before="15"/>
        <w:ind w:right="1132"/>
        <w:jc w:val="both"/>
      </w:pPr>
      <w:r>
        <w:rPr>
          <w:spacing w:val="-2"/>
        </w:rPr>
        <w:t>成相关金融资产的终止确认。这种情况通常发生在本公司确定债务人没有资产或收入来源可产生足够的现金流量以偿还将被</w:t>
      </w:r>
      <w:r>
        <w:rPr>
          <w:spacing w:val="-64"/>
        </w:rPr>
        <w:t> </w:t>
      </w:r>
      <w:r>
        <w:rPr>
          <w:spacing w:val="-64"/>
        </w:rPr>
      </w:r>
      <w:r>
        <w:rPr/>
        <w:t>减记的金额。</w:t>
      </w:r>
    </w:p>
    <w:p>
      <w:pPr>
        <w:pStyle w:val="BodyText"/>
        <w:spacing w:line="240" w:lineRule="auto" w:before="139"/>
        <w:ind w:left="472" w:right="0"/>
        <w:jc w:val="left"/>
      </w:pPr>
      <w:r>
        <w:rPr/>
        <w:t>已减记的金融资产以后又收回的，作为减值损失的转回计入收回当期的损益。</w:t>
      </w:r>
    </w:p>
    <w:p>
      <w:pPr>
        <w:spacing w:line="240" w:lineRule="auto" w:before="0"/>
        <w:rPr>
          <w:rFonts w:ascii="宋体" w:hAnsi="宋体" w:cs="宋体" w:eastAsia="宋体" w:hint="default"/>
          <w:sz w:val="15"/>
          <w:szCs w:val="15"/>
        </w:rPr>
      </w:pPr>
    </w:p>
    <w:p>
      <w:pPr>
        <w:spacing w:line="415" w:lineRule="auto" w:before="0"/>
        <w:ind w:left="472" w:right="769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t>金融资产转移是指下列两种情形：</w:t>
      </w:r>
    </w:p>
    <w:p>
      <w:pPr>
        <w:pStyle w:val="BodyText"/>
        <w:spacing w:line="240" w:lineRule="auto" w:before="65"/>
        <w:ind w:left="472" w:right="0"/>
        <w:jc w:val="left"/>
      </w:pPr>
      <w:r>
        <w:rPr>
          <w:rFonts w:ascii="Times New Roman" w:hAnsi="Times New Roman" w:cs="Times New Roman" w:eastAsia="Times New Roman" w:hint="default"/>
        </w:rPr>
        <w:t>A.</w:t>
      </w:r>
      <w:r>
        <w:rPr/>
        <w:t>将收取金融资产现金流量的合同权利转移给另一方；</w:t>
      </w:r>
    </w:p>
    <w:p>
      <w:pPr>
        <w:spacing w:line="240" w:lineRule="auto" w:before="13"/>
        <w:rPr>
          <w:rFonts w:ascii="宋体" w:hAnsi="宋体" w:cs="宋体" w:eastAsia="宋体" w:hint="default"/>
          <w:sz w:val="13"/>
          <w:szCs w:val="13"/>
        </w:rPr>
      </w:pPr>
    </w:p>
    <w:p>
      <w:pPr>
        <w:pStyle w:val="BodyText"/>
        <w:spacing w:line="300" w:lineRule="auto"/>
        <w:ind w:right="1132" w:firstLine="360"/>
        <w:jc w:val="both"/>
      </w:pP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将金融资产整体或部分转移给另一方，但保留收取金融资产现金流量的合同权利，并承担将收取的现金流量支付给一</w:t>
      </w:r>
      <w:r>
        <w:rPr/>
        <w:t> 个或多个收款方的合同义务。</w:t>
      </w:r>
    </w:p>
    <w:p>
      <w:pPr>
        <w:pStyle w:val="BodyText"/>
        <w:spacing w:line="432" w:lineRule="exact" w:before="16"/>
        <w:ind w:left="472" w:right="0"/>
        <w:jc w:val="left"/>
      </w:pPr>
      <w:r>
        <w:rPr/>
        <w:t>①终止确认所转移的金融资产 </w:t>
      </w:r>
      <w:r>
        <w:rPr>
          <w:spacing w:val="-2"/>
        </w:rPr>
        <w:t>已将金融资产所有权上几乎所有的风险和报酬转移给转入方的，或既没有转移也没有保留金融资产所有权上几乎所有的</w:t>
      </w:r>
    </w:p>
    <w:p>
      <w:pPr>
        <w:pStyle w:val="BodyText"/>
        <w:spacing w:line="240" w:lineRule="auto" w:before="15"/>
        <w:ind w:right="0"/>
        <w:jc w:val="both"/>
      </w:pPr>
      <w:r>
        <w:rPr/>
        <w:t>风险和报酬的，但放弃了对该金融资产控制的，终止确认该金融资产。</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在判断是否已放弃对所转移金融资产的控制时，根据转入方出售该金融资产的实际能力。转入方能够单方面将转移的金</w:t>
      </w:r>
      <w:r>
        <w:rPr/>
        <w:t> 融资产整体出售给不相关的第三方，且没有额外条件对此项出售加以限制的，则公司已放弃对该金融资产的控制。</w:t>
      </w:r>
    </w:p>
    <w:p>
      <w:pPr>
        <w:pStyle w:val="BodyText"/>
        <w:spacing w:line="240" w:lineRule="auto" w:before="139"/>
        <w:ind w:left="472" w:right="0"/>
        <w:jc w:val="left"/>
      </w:pPr>
      <w:r>
        <w:rPr/>
        <w:t>本公司在判断金融资产转移是否满足金融资产终止确认条件时，注重金融资产转移的实质。</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t>金融资产整体转移满足终止确认条件的，将下列两项金额的差额计入当期损益：</w:t>
      </w:r>
    </w:p>
    <w:p>
      <w:pPr>
        <w:pStyle w:val="BodyText"/>
        <w:spacing w:line="430" w:lineRule="atLeast" w:before="15"/>
        <w:ind w:left="472" w:right="0"/>
        <w:jc w:val="left"/>
      </w:pP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2"/>
        </w:rPr>
        <w:t>B.</w:t>
      </w:r>
      <w:r>
        <w:rPr>
          <w:spacing w:val="-2"/>
        </w:rPr>
        <w:t>因转移而收到的对价，与原直接计入其他综合收益的公允价值变动累计额中对于终止确认部分的金额（涉及转移的金</w:t>
      </w:r>
    </w:p>
    <w:p>
      <w:pPr>
        <w:pStyle w:val="BodyText"/>
        <w:spacing w:line="300" w:lineRule="auto" w:before="63"/>
        <w:ind w:right="0"/>
        <w:jc w:val="left"/>
      </w:pPr>
      <w:r>
        <w:rPr/>
        <w:t>融资产为根据《企业会计准则第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金融工具确认和计量》第十八条分类为以公允价值计量且其变动计入其他综合收益的</w:t>
      </w:r>
      <w:r>
        <w:rPr>
          <w:spacing w:val="-60"/>
        </w:rPr>
        <w:t> </w:t>
      </w:r>
      <w:r>
        <w:rPr>
          <w:spacing w:val="-60"/>
        </w:rPr>
      </w:r>
      <w:r>
        <w:rPr/>
        <w:t>金融资产的情形）之和。</w:t>
      </w:r>
    </w:p>
    <w:p>
      <w:pPr>
        <w:pStyle w:val="BodyText"/>
        <w:spacing w:line="316" w:lineRule="auto" w:before="151"/>
        <w:ind w:right="1130"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种情况下，所保留的服务资产视同继续确认金融资产的一部分）之间，按照转移日各自的相对公允价值进行分摊，并将下列</w:t>
      </w:r>
      <w:r>
        <w:rPr>
          <w:spacing w:val="-64"/>
        </w:rPr>
        <w:t> </w:t>
      </w:r>
      <w:r>
        <w:rPr>
          <w:spacing w:val="-64"/>
        </w:rPr>
      </w:r>
      <w:r>
        <w:rPr/>
        <w:t>两项金额的差额计入当期损益：</w:t>
      </w:r>
    </w:p>
    <w:p>
      <w:pPr>
        <w:pStyle w:val="BodyText"/>
        <w:spacing w:line="432" w:lineRule="exact" w:before="3"/>
        <w:ind w:left="472" w:right="0"/>
        <w:jc w:val="left"/>
      </w:pPr>
      <w:r>
        <w:rPr>
          <w:rFonts w:ascii="Times New Roman" w:hAnsi="Times New Roman" w:cs="Times New Roman" w:eastAsia="Times New Roman" w:hint="default"/>
        </w:rPr>
        <w:t>A.</w:t>
      </w:r>
      <w:r>
        <w:rPr/>
        <w:t>终止确认部分在终止确认日的账面价值； </w:t>
      </w:r>
      <w:r>
        <w:rPr>
          <w:rFonts w:ascii="Times New Roman" w:hAnsi="Times New Roman" w:cs="Times New Roman" w:eastAsia="Times New Roman" w:hint="default"/>
          <w:spacing w:val="-2"/>
        </w:rPr>
        <w:t>B.</w:t>
      </w:r>
      <w:r>
        <w:rPr>
          <w:spacing w:val="-2"/>
        </w:rPr>
        <w:t>终止确认部分的对价，与原计入其他综合收益的公允价值变动累计额中对应终止确认部分的金额（涉及转移的金融资</w:t>
      </w:r>
    </w:p>
    <w:p>
      <w:pPr>
        <w:pStyle w:val="BodyText"/>
        <w:spacing w:line="300" w:lineRule="auto" w:before="15"/>
        <w:ind w:right="0"/>
        <w:jc w:val="left"/>
      </w:pPr>
      <w:r>
        <w:rPr/>
        <w:t>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金融工具确认和计量》第十八条分类为以公允价值计量且其变动计入其他综合收益的金融</w:t>
      </w:r>
      <w:r>
        <w:rPr>
          <w:spacing w:val="-58"/>
        </w:rPr>
        <w:t> </w:t>
      </w:r>
      <w:r>
        <w:rPr>
          <w:spacing w:val="-58"/>
        </w:rPr>
      </w:r>
      <w:r>
        <w:rPr/>
        <w:t>资产的情形）之和。</w:t>
      </w:r>
    </w:p>
    <w:p>
      <w:pPr>
        <w:pStyle w:val="BodyText"/>
        <w:spacing w:line="432" w:lineRule="exact" w:before="16"/>
        <w:ind w:left="472" w:right="0"/>
        <w:jc w:val="left"/>
      </w:pPr>
      <w:r>
        <w:rPr/>
        <w:t>②继续涉入所转移的金融资产 </w:t>
      </w:r>
      <w:r>
        <w:rPr>
          <w:spacing w:val="-2"/>
        </w:rPr>
        <w:t>既没有转移也没有保留金融资产所有权上几乎所有的风险和报酬的，且未放弃对该金融资产控制的，应当按照其继续涉</w:t>
      </w:r>
    </w:p>
    <w:p>
      <w:pPr>
        <w:pStyle w:val="BodyText"/>
        <w:spacing w:line="439" w:lineRule="auto" w:before="15"/>
        <w:ind w:left="472" w:right="2834" w:hanging="360"/>
        <w:jc w:val="left"/>
      </w:pPr>
      <w:r>
        <w:rPr/>
        <w:t>入所转移金融资产的程度确认有关金融资产，并相应确认有关负债。 继续涉入所转移金融资产的程度，是指企业承担的被转移金融资产价值变动风险或报酬的程度。</w:t>
      </w:r>
    </w:p>
    <w:p>
      <w:pPr>
        <w:pStyle w:val="BodyText"/>
        <w:spacing w:line="240" w:lineRule="auto" w:before="47"/>
        <w:ind w:left="472" w:right="0"/>
        <w:jc w:val="left"/>
      </w:pPr>
      <w:r>
        <w:rPr/>
        <w:t>③继续确认所转移的金融资产</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仍保留与所转移金融资产所有权上几乎所有的风险和报酬的，应当继续确认所转移金融资产整体，并将收到的对价确认</w:t>
      </w:r>
      <w:r>
        <w:rPr/>
        <w:t> 为一项金融负债。</w:t>
      </w:r>
    </w:p>
    <w:p>
      <w:pPr>
        <w:pStyle w:val="BodyText"/>
        <w:spacing w:line="316" w:lineRule="auto" w:before="139"/>
        <w:ind w:right="0" w:firstLine="360"/>
        <w:jc w:val="left"/>
      </w:pPr>
      <w:r>
        <w:rPr>
          <w:spacing w:val="-2"/>
        </w:rPr>
        <w:t>该金融资产与确认的相关金融负债不得相互抵销。在随后的会计期间，企业应当继续确认该金融资产产生的收入（或利</w:t>
      </w:r>
      <w:r>
        <w:rPr/>
        <w:t> 得）和该金融负债产生的费用（或损失）。</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）金融资产和金融负债的抵销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金融资产和金融负债应当在资产负债表内分别列示，不得相互抵销。但同时满足下列条件的，以相互抵销后的净额在资</w:t>
      </w:r>
    </w:p>
    <w:p>
      <w:pPr>
        <w:pStyle w:val="BodyText"/>
        <w:spacing w:line="439" w:lineRule="auto" w:before="15"/>
        <w:ind w:left="472" w:right="4454" w:hanging="360"/>
        <w:jc w:val="left"/>
      </w:pPr>
      <w:r>
        <w:rPr/>
        <w:t>产负债表内列示： 本公司具有抵销已确认金额的法定权利，且该种法定权利是当前可执行的； 本公司计划以净额结算，或同时变现该金融资产和清偿该金融负债。</w:t>
      </w:r>
    </w:p>
    <w:p>
      <w:pPr>
        <w:pStyle w:val="BodyText"/>
        <w:spacing w:line="240" w:lineRule="auto" w:before="47"/>
        <w:ind w:left="472" w:right="0"/>
        <w:jc w:val="left"/>
      </w:pPr>
      <w:r>
        <w:rPr/>
        <w:t>不满足终止确认条件的金融资产转移，转出方不得将已转移的金融资产和相关负债进行抵销。</w:t>
      </w:r>
    </w:p>
    <w:p>
      <w:pPr>
        <w:spacing w:line="240" w:lineRule="auto" w:before="0"/>
        <w:rPr>
          <w:rFonts w:ascii="宋体" w:hAnsi="宋体" w:cs="宋体" w:eastAsia="宋体" w:hint="default"/>
          <w:sz w:val="15"/>
          <w:szCs w:val="15"/>
        </w:rPr>
      </w:pPr>
    </w:p>
    <w:p>
      <w:pPr>
        <w:spacing w:line="300" w:lineRule="auto" w:before="0"/>
        <w:ind w:left="472" w:right="589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）金融工具公允价值的确定方法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金融资产和金融负债的公允价值确定方法见附注五、</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11、公允价值计量" w:id="176"/>
      <w:bookmarkEnd w:id="176"/>
      <w:r>
        <w:rPr>
          <w:b w:val="0"/>
          <w:bCs w:val="0"/>
        </w:rPr>
      </w:r>
      <w:r>
        <w:rPr>
          <w:rFonts w:ascii="Times New Roman" w:hAnsi="Times New Roman" w:cs="Times New Roman" w:eastAsia="Times New Roman" w:hint="default"/>
        </w:rPr>
        <w:t>11</w:t>
      </w:r>
      <w:r>
        <w:rPr/>
        <w:t>、公允价值计量</w:t>
      </w:r>
      <w:r>
        <w:rPr>
          <w:b w:val="0"/>
          <w:bCs w:val="0"/>
        </w:rPr>
      </w:r>
    </w:p>
    <w:p>
      <w:pPr>
        <w:pStyle w:val="BodyText"/>
        <w:spacing w:line="430" w:lineRule="atLeast" w:before="152"/>
        <w:ind w:left="472" w:right="0"/>
        <w:jc w:val="left"/>
      </w:pPr>
      <w:r>
        <w:rPr/>
        <w:t>公允价值是指市场参与者在计量日发生的有序交易中，出售一项资产所能收到或者转移一项负债所需支付的价格。 </w:t>
      </w:r>
      <w:r>
        <w:rPr>
          <w:spacing w:val="-2"/>
        </w:rPr>
        <w:t>本公司以主要市场的价格计量相关资产或负债的公允价值，不存在主要市场的，本公司以最有利市场的价格计量相关资</w:t>
      </w:r>
    </w:p>
    <w:p>
      <w:pPr>
        <w:pStyle w:val="BodyText"/>
        <w:spacing w:line="240" w:lineRule="auto" w:before="76"/>
        <w:ind w:right="0"/>
        <w:jc w:val="left"/>
      </w:pPr>
      <w:r>
        <w:rPr/>
        <w:t>产或负债的公允价值。本公司采用市场参与者在对该资产或负债定价时为实现其经济利益最大化所使用的假设。</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主要市场，是指相关资产或负债交易量最大和交易活跃程度最高的市场；最有利市场，是指在考虑交易费用和运输费用</w:t>
      </w:r>
      <w:r>
        <w:rPr/>
        <w:t> 后，能够以最高金额出售相关资产或者以最低金额转移相关负债的市场。</w:t>
      </w:r>
    </w:p>
    <w:p>
      <w:pPr>
        <w:spacing w:after="0" w:line="316"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132" w:right="1034" w:firstLine="360"/>
        <w:jc w:val="left"/>
      </w:pPr>
      <w:r>
        <w:rPr>
          <w:spacing w:val="-2"/>
        </w:rPr>
        <w:t>存在活跃市场的金融资产或金融负债，本公司采用活跃市场中的报价确定其公允价值。金融工具不存在活跃市场的，本</w:t>
      </w:r>
      <w:r>
        <w:rPr/>
        <w:t> 公司采用估值技术确定其公允价值。</w:t>
      </w:r>
    </w:p>
    <w:p>
      <w:pPr>
        <w:pStyle w:val="BodyText"/>
        <w:spacing w:line="316" w:lineRule="auto" w:before="139"/>
        <w:ind w:left="132" w:right="1034" w:firstLine="360"/>
        <w:jc w:val="left"/>
      </w:pPr>
      <w:r>
        <w:rPr>
          <w:spacing w:val="-2"/>
        </w:rPr>
        <w:t>以公允价值计量非金融资产的，考虑市场参与者将该资产用于最佳用途产生经济利益的能力，或者将该资产出售给能够</w:t>
      </w:r>
      <w:r>
        <w:rPr/>
        <w:t> 用于最佳用途的其他市场参与者产生经济利益的能力。</w:t>
      </w:r>
    </w:p>
    <w:p>
      <w:pPr>
        <w:pStyle w:val="BodyText"/>
        <w:spacing w:line="432" w:lineRule="exact" w:before="3"/>
        <w:ind w:left="492" w:right="1034"/>
        <w:jc w:val="left"/>
      </w:pPr>
      <w:r>
        <w:rPr/>
        <w:t>①估值技术 </w:t>
      </w:r>
      <w:r>
        <w:rPr>
          <w:spacing w:val="-2"/>
        </w:rPr>
        <w:t>本公司采用在当期情况下适用并且有足够可利用数据和其他信息支持的估值技术，使用的估值技术主要包括市场法、收</w:t>
      </w:r>
    </w:p>
    <w:p>
      <w:pPr>
        <w:pStyle w:val="BodyText"/>
        <w:spacing w:line="316" w:lineRule="auto" w:before="15"/>
        <w:ind w:left="132" w:right="1034"/>
        <w:jc w:val="left"/>
      </w:pPr>
      <w:r>
        <w:rPr>
          <w:spacing w:val="-2"/>
        </w:rPr>
        <w:t>益法和成本法。本公司使用与其中一种或多种估值技术相一致的方法计量公允价值，使用多种估值技术计量公允价值的，考</w:t>
      </w:r>
      <w:r>
        <w:rPr>
          <w:spacing w:val="-63"/>
        </w:rPr>
        <w:t> </w:t>
      </w:r>
      <w:r>
        <w:rPr>
          <w:spacing w:val="-63"/>
        </w:rPr>
      </w:r>
      <w:r>
        <w:rPr/>
        <w:t>虑各估值结果的合理性，选取在当期情况下最能代表公允价值的金额作为公允价值。</w:t>
      </w:r>
    </w:p>
    <w:p>
      <w:pPr>
        <w:pStyle w:val="BodyText"/>
        <w:spacing w:line="316" w:lineRule="auto" w:before="139"/>
        <w:ind w:left="132" w:right="1130" w:firstLine="360"/>
        <w:jc w:val="both"/>
      </w:pPr>
      <w:r>
        <w:rPr>
          <w:spacing w:val="-2"/>
        </w:rPr>
        <w:t>本公司在估值技术的应用中，优先使用相关可观察输入值，只有在相关可观察输入值无法取得或取得不切实可行的情况</w:t>
      </w:r>
      <w:r>
        <w:rPr/>
        <w:t> </w:t>
      </w:r>
      <w:r>
        <w:rPr>
          <w:spacing w:val="-2"/>
        </w:rPr>
        <w:t>下，才使用不可观察输入值。可观察输入值，是指能够从市场数据中取得的输入值。该输入值反映了市场参与者在对相关资</w:t>
      </w:r>
      <w:r>
        <w:rPr>
          <w:spacing w:val="-64"/>
        </w:rPr>
        <w:t> </w:t>
      </w:r>
      <w:r>
        <w:rPr>
          <w:spacing w:val="-64"/>
        </w:rPr>
      </w:r>
      <w:r>
        <w:rPr>
          <w:spacing w:val="-2"/>
        </w:rPr>
        <w:t>产或负债定价时所使用的假设。不可观察输入值，是指不能从市场数据中取得的输入值。该输入值根据可获得的市场参与者</w:t>
      </w:r>
      <w:r>
        <w:rPr>
          <w:spacing w:val="-63"/>
        </w:rPr>
        <w:t> </w:t>
      </w:r>
      <w:r>
        <w:rPr>
          <w:spacing w:val="-63"/>
        </w:rPr>
      </w:r>
      <w:r>
        <w:rPr/>
        <w:t>在对相关资产或负债定价时所使用假设的最佳信息取得。</w:t>
      </w:r>
    </w:p>
    <w:p>
      <w:pPr>
        <w:pStyle w:val="BodyText"/>
        <w:spacing w:line="316" w:lineRule="auto" w:before="139"/>
        <w:ind w:left="132" w:right="1034" w:firstLine="360"/>
        <w:jc w:val="left"/>
      </w:pPr>
      <w:r>
        <w:rPr/>
        <w:t>②公允价值层次 </w:t>
      </w:r>
      <w:r>
        <w:rPr>
          <w:spacing w:val="-2"/>
        </w:rPr>
        <w:t>本公司将公允价值计量所使用的输入值划分为三个层次，并首先使用第一层次输入值，其次使用第二层次输入值，最后使用</w:t>
      </w:r>
      <w:r>
        <w:rPr>
          <w:spacing w:val="-63"/>
        </w:rPr>
        <w:t> </w:t>
      </w:r>
      <w:r>
        <w:rPr>
          <w:spacing w:val="-63"/>
        </w:rPr>
      </w:r>
      <w:r>
        <w:rPr>
          <w:spacing w:val="-2"/>
        </w:rPr>
        <w:t>第三层次输入值。第一层次输入值是在计量日能够取得的相同资产或负债在活跃市场上未经调整的报价。第二层次输入值是</w:t>
      </w:r>
      <w:r>
        <w:rPr>
          <w:spacing w:val="-64"/>
        </w:rPr>
        <w:t> </w:t>
      </w:r>
      <w:r>
        <w:rPr>
          <w:spacing w:val="-64"/>
        </w:rPr>
      </w:r>
      <w:r>
        <w:rPr/>
        <w:t>除第一层次输入值外相关资产或负债直接或间接可观察的输入值。第三层次输入值是相关资产或负债的不可观察输入值。</w:t>
      </w:r>
    </w:p>
    <w:p>
      <w:pPr>
        <w:spacing w:line="240" w:lineRule="auto" w:before="6"/>
        <w:rPr>
          <w:rFonts w:ascii="宋体" w:hAnsi="宋体" w:cs="宋体" w:eastAsia="宋体" w:hint="default"/>
          <w:sz w:val="22"/>
          <w:szCs w:val="22"/>
        </w:rPr>
      </w:pPr>
    </w:p>
    <w:p>
      <w:pPr>
        <w:pStyle w:val="Heading3"/>
        <w:spacing w:line="240" w:lineRule="auto"/>
        <w:ind w:left="132" w:right="1034"/>
        <w:jc w:val="left"/>
        <w:rPr>
          <w:b w:val="0"/>
          <w:bCs w:val="0"/>
        </w:rPr>
      </w:pPr>
      <w:bookmarkStart w:name="12、应收账款" w:id="177"/>
      <w:bookmarkEnd w:id="177"/>
      <w:r>
        <w:rPr>
          <w:b w:val="0"/>
          <w:bCs w:val="0"/>
        </w:rPr>
      </w:r>
      <w:r>
        <w:rPr>
          <w:rFonts w:ascii="Times New Roman" w:hAnsi="Times New Roman" w:cs="Times New Roman" w:eastAsia="Times New Roman" w:hint="default"/>
        </w:rPr>
        <w:t>12</w:t>
      </w:r>
      <w:r>
        <w:rPr/>
        <w:t>、应收账款</w:t>
      </w:r>
      <w:r>
        <w:rPr>
          <w:b w:val="0"/>
          <w:bCs w:val="0"/>
        </w:rPr>
      </w:r>
    </w:p>
    <w:p>
      <w:pPr>
        <w:spacing w:line="420" w:lineRule="atLeast" w:before="176"/>
        <w:ind w:left="492" w:right="1034" w:firstLine="2"/>
        <w:jc w:val="left"/>
        <w:rPr>
          <w:rFonts w:ascii="宋体" w:hAnsi="宋体" w:cs="宋体" w:eastAsia="宋体" w:hint="default"/>
          <w:sz w:val="18"/>
          <w:szCs w:val="18"/>
        </w:rPr>
      </w:pPr>
      <w:r>
        <w:rPr>
          <w:rFonts w:ascii="宋体" w:hAnsi="宋体" w:cs="宋体" w:eastAsia="宋体" w:hint="default"/>
          <w:b/>
          <w:bCs/>
          <w:sz w:val="18"/>
          <w:szCs w:val="18"/>
        </w:rPr>
        <w:t>以下应收款项会计政策适用</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年度及以前</w:t>
      </w:r>
      <w:r>
        <w:rPr>
          <w:rFonts w:ascii="宋体" w:hAnsi="宋体" w:cs="宋体" w:eastAsia="宋体" w:hint="default"/>
          <w:b/>
          <w:bCs/>
          <w:w w:val="99"/>
          <w:sz w:val="18"/>
          <w:szCs w:val="18"/>
        </w:rPr>
        <w:t> </w:t>
      </w:r>
      <w:r>
        <w:rPr>
          <w:rFonts w:ascii="宋体" w:hAnsi="宋体" w:cs="宋体" w:eastAsia="宋体" w:hint="default"/>
          <w:spacing w:val="-2"/>
          <w:sz w:val="18"/>
          <w:szCs w:val="18"/>
        </w:rPr>
        <w:t>应收款项包括应收账款、其他应收款及长期应收款等。在资产负债表日对应收款项的账面价值进行检查，有客观证据表</w:t>
      </w:r>
    </w:p>
    <w:p>
      <w:pPr>
        <w:pStyle w:val="BodyText"/>
        <w:spacing w:line="240" w:lineRule="auto" w:before="76"/>
        <w:ind w:left="132" w:right="1034"/>
        <w:jc w:val="left"/>
      </w:pPr>
      <w:r>
        <w:rPr/>
        <w:t>明其发生减值的，计提减值准备。</w:t>
      </w:r>
    </w:p>
    <w:p>
      <w:pPr>
        <w:spacing w:line="240" w:lineRule="auto" w:before="0"/>
        <w:rPr>
          <w:rFonts w:ascii="宋体" w:hAnsi="宋体" w:cs="宋体" w:eastAsia="宋体" w:hint="default"/>
          <w:sz w:val="15"/>
          <w:szCs w:val="15"/>
        </w:rPr>
      </w:pPr>
    </w:p>
    <w:p>
      <w:pPr>
        <w:spacing w:line="415" w:lineRule="auto" w:before="0"/>
        <w:ind w:left="492" w:right="5219"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）单项金额重大并单项计提坏账准备的应收款项</w:t>
      </w:r>
      <w:r>
        <w:rPr>
          <w:rFonts w:ascii="宋体" w:hAnsi="宋体" w:cs="宋体" w:eastAsia="宋体" w:hint="default"/>
          <w:b/>
          <w:bCs/>
          <w:w w:val="99"/>
          <w:sz w:val="18"/>
          <w:szCs w:val="18"/>
        </w:rPr>
        <w:t> </w:t>
      </w:r>
      <w:r>
        <w:rPr>
          <w:rFonts w:ascii="宋体" w:hAnsi="宋体" w:cs="宋体" w:eastAsia="宋体" w:hint="default"/>
          <w:sz w:val="18"/>
          <w:szCs w:val="18"/>
        </w:rPr>
        <w:t>单项金额重大的判断依据或金额标准：单项金额超过</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p>
      <w:pPr>
        <w:pStyle w:val="Heading4"/>
        <w:spacing w:line="240" w:lineRule="auto" w:before="37"/>
        <w:ind w:left="495" w:right="1034"/>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left="132" w:right="1034" w:firstLine="360"/>
        <w:jc w:val="left"/>
      </w:pPr>
      <w:r>
        <w:rPr>
          <w:spacing w:val="-2"/>
        </w:rPr>
        <w:t>对个别回收风险显著不同的款项采用个别认定法进行计提。其余款项按账龄划分为若干个应收款项组合，并估计每个组</w:t>
      </w:r>
      <w:r>
        <w:rPr/>
        <w:t> 合发生减值的可能性，以此来确定相应的坏账准备。</w:t>
      </w:r>
    </w:p>
    <w:p>
      <w:pPr>
        <w:pStyle w:val="BodyText"/>
        <w:spacing w:line="439" w:lineRule="auto" w:before="139"/>
        <w:ind w:left="492" w:right="6074"/>
        <w:jc w:val="left"/>
      </w:pPr>
      <w:r>
        <w:rPr/>
        <w:t>按组合计提坏账准备的计提方法：账龄分析法。 各账龄段应收款项组合计提坏账准备的比例具体如下：</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20"/>
        <w:gridCol w:w="3220"/>
        <w:gridCol w:w="3218"/>
      </w:tblGrid>
      <w:tr>
        <w:trPr>
          <w:trHeight w:val="347" w:hRule="exact"/>
        </w:trPr>
        <w:tc>
          <w:tcPr>
            <w:tcW w:w="322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2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1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5</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30</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30</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80</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80</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100</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7"/>
        <w:rPr>
          <w:rFonts w:ascii="宋体" w:hAnsi="宋体" w:cs="宋体" w:eastAsia="宋体" w:hint="default"/>
          <w:sz w:val="6"/>
          <w:szCs w:val="6"/>
        </w:rPr>
      </w:pPr>
    </w:p>
    <w:p>
      <w:pPr>
        <w:spacing w:line="415" w:lineRule="auto" w:before="44"/>
        <w:ind w:left="492" w:right="103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）单项金额不重大但单项计提坏账准备的应收款项</w:t>
      </w:r>
      <w:r>
        <w:rPr>
          <w:rFonts w:ascii="宋体" w:hAnsi="宋体" w:cs="宋体" w:eastAsia="宋体" w:hint="default"/>
          <w:b/>
          <w:bCs/>
          <w:w w:val="99"/>
          <w:sz w:val="18"/>
          <w:szCs w:val="18"/>
        </w:rPr>
        <w:t> </w:t>
      </w:r>
      <w:r>
        <w:rPr>
          <w:rFonts w:ascii="宋体" w:hAnsi="宋体" w:cs="宋体" w:eastAsia="宋体" w:hint="default"/>
          <w:spacing w:val="-2"/>
          <w:sz w:val="18"/>
          <w:szCs w:val="18"/>
        </w:rPr>
        <w:t>对单项金额不重大但已有客观证据表明其发生了减值的应收款项，按账龄分析法计提的坏账准备不能反映实际情况，本</w:t>
      </w:r>
    </w:p>
    <w:p>
      <w:pPr>
        <w:spacing w:after="0" w:line="415" w:lineRule="auto"/>
        <w:jc w:val="left"/>
        <w:rPr>
          <w:rFonts w:ascii="宋体" w:hAnsi="宋体" w:cs="宋体" w:eastAsia="宋体" w:hint="default"/>
          <w:sz w:val="18"/>
          <w:szCs w:val="18"/>
        </w:rPr>
        <w:sectPr>
          <w:pgSz w:w="11910" w:h="16840"/>
          <w:pgMar w:header="746" w:footer="978" w:top="1060" w:bottom="1160" w:left="100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公司单独进行减值测试，根据其未来现金流量现值低于其账面价值的差额，确认减值损失，并据此计提相应的坏账准备。</w:t>
      </w:r>
    </w:p>
    <w:p>
      <w:pPr>
        <w:spacing w:line="240" w:lineRule="auto" w:before="0"/>
        <w:rPr>
          <w:rFonts w:ascii="宋体" w:hAnsi="宋体" w:cs="宋体" w:eastAsia="宋体" w:hint="default"/>
          <w:sz w:val="15"/>
          <w:szCs w:val="15"/>
        </w:rPr>
      </w:pPr>
    </w:p>
    <w:p>
      <w:pPr>
        <w:spacing w:line="300" w:lineRule="auto" w:before="0"/>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）按组合计提坏账准备的长期应收款</w:t>
      </w:r>
      <w:r>
        <w:rPr>
          <w:rFonts w:ascii="宋体" w:hAnsi="宋体" w:cs="宋体" w:eastAsia="宋体" w:hint="default"/>
          <w:b/>
          <w:bCs/>
          <w:w w:val="99"/>
          <w:sz w:val="18"/>
          <w:szCs w:val="18"/>
        </w:rPr>
        <w:t> </w:t>
      </w:r>
      <w:r>
        <w:rPr>
          <w:rFonts w:ascii="宋体" w:hAnsi="宋体" w:cs="宋体" w:eastAsia="宋体" w:hint="default"/>
          <w:sz w:val="18"/>
          <w:szCs w:val="18"/>
        </w:rPr>
        <w:t>对于无明显减值迹象表明不能够按照回款计划如期回款的长期应收款，按类似信用风险的特征按照长期应收款余额的</w:t>
      </w:r>
    </w:p>
    <w:p>
      <w:pPr>
        <w:pStyle w:val="BodyText"/>
        <w:spacing w:line="240" w:lineRule="auto" w:before="31"/>
        <w:ind w:right="0"/>
        <w:jc w:val="left"/>
      </w:pPr>
      <w:r>
        <w:rPr>
          <w:rFonts w:ascii="Times New Roman" w:hAnsi="Times New Roman" w:cs="Times New Roman" w:eastAsia="Times New Roman" w:hint="default"/>
        </w:rPr>
        <w:t>5%</w:t>
      </w:r>
      <w:r>
        <w:rPr/>
        <w:t>计提坏账准备。</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3、存货" w:id="178"/>
      <w:bookmarkEnd w:id="178"/>
      <w:r>
        <w:rPr>
          <w:b w:val="0"/>
          <w:bCs w:val="0"/>
        </w:rPr>
      </w:r>
      <w:r>
        <w:rPr>
          <w:rFonts w:ascii="Times New Roman" w:hAnsi="Times New Roman" w:cs="Times New Roman" w:eastAsia="Times New Roman" w:hint="default"/>
        </w:rPr>
        <w:t>13</w:t>
      </w:r>
      <w:r>
        <w:rPr/>
        <w:t>、存货</w:t>
      </w:r>
      <w:r>
        <w:rPr>
          <w:b w:val="0"/>
          <w:bCs w:val="0"/>
        </w:rPr>
      </w:r>
    </w:p>
    <w:p>
      <w:pPr>
        <w:pStyle w:val="BodyText"/>
        <w:spacing w:line="420" w:lineRule="atLeast" w:before="176"/>
        <w:ind w:left="472" w:right="0"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240" w:lineRule="auto" w:before="76"/>
        <w:ind w:right="0"/>
        <w:jc w:val="left"/>
      </w:pPr>
      <w:r>
        <w:rPr/>
        <w:t>耗用的材料和物料等，包括库存商品、发出商品、周转材料等。</w:t>
      </w:r>
    </w:p>
    <w:p>
      <w:pPr>
        <w:spacing w:line="240" w:lineRule="auto" w:before="0"/>
        <w:rPr>
          <w:rFonts w:ascii="宋体" w:hAnsi="宋体" w:cs="宋体" w:eastAsia="宋体" w:hint="default"/>
          <w:sz w:val="15"/>
          <w:szCs w:val="15"/>
        </w:rPr>
      </w:pPr>
    </w:p>
    <w:p>
      <w:pPr>
        <w:spacing w:line="415" w:lineRule="auto" w:before="0"/>
        <w:ind w:left="472" w:right="715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本公司存货发出时采用加权平均法计价。</w:t>
      </w:r>
    </w:p>
    <w:p>
      <w:pPr>
        <w:spacing w:line="415" w:lineRule="auto" w:before="65"/>
        <w:ind w:left="472" w:right="373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本公司存货采用永续盘存制，每年至少盘点一次，盘盈及盘亏金额计入当年度损益。</w:t>
      </w:r>
    </w:p>
    <w:p>
      <w:pPr>
        <w:pStyle w:val="BodyText"/>
        <w:spacing w:line="427" w:lineRule="auto" w:before="65"/>
        <w:ind w:left="472" w:right="0"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）存货跌价准备的计提方法</w:t>
      </w:r>
      <w:r>
        <w:rPr>
          <w:rFonts w:ascii="宋体" w:hAnsi="宋体" w:cs="宋体" w:eastAsia="宋体" w:hint="default"/>
          <w:b/>
          <w:bCs/>
          <w:w w:val="99"/>
        </w:rPr>
        <w:t> </w:t>
      </w:r>
      <w:r>
        <w:rPr/>
        <w:t>资产负债表日按成本与可变现净值孰低计量，存货成本高于其可变现净值的，计提存货跌价准备，计入当期损益。 </w:t>
      </w:r>
      <w:r>
        <w:rPr>
          <w:spacing w:val="-4"/>
        </w:rPr>
        <w:t>在确定存货的可变现净值时，以取得的可靠证据为基础，并且考虑持有存货的目的、资产负债表日后事项的影响等因素。</w:t>
      </w:r>
    </w:p>
    <w:p>
      <w:pPr>
        <w:pStyle w:val="BodyText"/>
        <w:spacing w:line="316" w:lineRule="auto" w:before="56"/>
        <w:ind w:right="1130" w:firstLine="360"/>
        <w:jc w:val="both"/>
      </w:pPr>
      <w:r>
        <w:rPr>
          <w:spacing w:val="-2"/>
        </w:rPr>
        <w:t>①产成品、商品和用于出售的材料等直接用于出售的存货，在正常生产经营过程中，以该存货的估计售价减去估计的销</w:t>
      </w:r>
      <w:r>
        <w:rPr/>
        <w:t> </w:t>
      </w:r>
      <w:r>
        <w:rPr>
          <w:spacing w:val="-2"/>
        </w:rPr>
        <w:t>售费用和相关税费后的金额确定其可变现净值。为执行销售合同或者劳务合同而持有的存货，以合同价格作为其可变现净值</w:t>
      </w:r>
      <w:r>
        <w:rPr>
          <w:spacing w:val="-64"/>
        </w:rPr>
        <w:t> </w:t>
      </w:r>
      <w:r>
        <w:rPr>
          <w:spacing w:val="-64"/>
        </w:rPr>
      </w:r>
      <w:r>
        <w:rPr>
          <w:spacing w:val="-2"/>
        </w:rPr>
        <w:t>的计量基础；如果持有存货的数量多于销售合同订购数量，超出部分的存货可变现净值以一般销售价格为计量基础。用于出</w:t>
      </w:r>
      <w:r>
        <w:rPr>
          <w:spacing w:val="-63"/>
        </w:rPr>
        <w:t> </w:t>
      </w:r>
      <w:r>
        <w:rPr>
          <w:spacing w:val="-63"/>
        </w:rPr>
      </w:r>
      <w:r>
        <w:rPr/>
        <w:t>售的材料等，以市场价格作为其可变现净值的计量基础。</w:t>
      </w:r>
    </w:p>
    <w:p>
      <w:pPr>
        <w:pStyle w:val="BodyText"/>
        <w:spacing w:line="316" w:lineRule="auto" w:before="139"/>
        <w:ind w:right="0" w:firstLine="360"/>
        <w:jc w:val="left"/>
      </w:pPr>
      <w:r>
        <w:rPr>
          <w:spacing w:val="-4"/>
        </w:rPr>
        <w:t>②需要经过加工的材料存货，在正常生产经营过程中，以所生产的产成品的估计售价减去至完工时估计将要发生的成本、</w:t>
      </w:r>
      <w:r>
        <w:rPr/>
        <w:t> </w:t>
      </w:r>
      <w:r>
        <w:rPr>
          <w:spacing w:val="-2"/>
        </w:rPr>
        <w:t>估计的销售费用和相关税费后的金额确定其可变现净值。如果用其生产的产成品的可变现净值高于成本，则该材料按成本计</w:t>
      </w:r>
      <w:r>
        <w:rPr>
          <w:spacing w:val="-64"/>
        </w:rPr>
        <w:t> </w:t>
      </w:r>
      <w:r>
        <w:rPr>
          <w:spacing w:val="-64"/>
        </w:rPr>
      </w:r>
      <w:r>
        <w:rPr/>
        <w:t>量；如果材料价格的下降表明产成品的可变现净值低于成本，则该材料按可变现净值计量，按其差额计提存货跌价准备。</w:t>
      </w:r>
    </w:p>
    <w:p>
      <w:pPr>
        <w:pStyle w:val="BodyText"/>
        <w:spacing w:line="240" w:lineRule="auto" w:before="139"/>
        <w:ind w:left="472" w:right="0"/>
        <w:jc w:val="left"/>
      </w:pPr>
      <w:r>
        <w:rPr/>
        <w:t>③存货跌价准备一般按单个存货项目计提；对于数量繁多、单价较低的存货，按存货类别计提。</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④资产负债表日如果以前减记存货价值的影响因素已经消失，则减记的金额予以恢复，并在原已计提的存货跌价准备的</w:t>
      </w:r>
      <w:r>
        <w:rPr/>
        <w:t> 金额内转回，转回的金额计入当期损益。</w:t>
      </w:r>
    </w:p>
    <w:p>
      <w:pPr>
        <w:pStyle w:val="Heading4"/>
        <w:spacing w:line="240" w:lineRule="auto" w:before="139"/>
        <w:ind w:right="0"/>
        <w:jc w:val="left"/>
        <w:rPr>
          <w:b w:val="0"/>
          <w:bCs w:val="0"/>
        </w:rPr>
      </w:pPr>
      <w:r>
        <w:rPr/>
        <w:t>（</w:t>
      </w:r>
      <w:r>
        <w:rPr>
          <w:rFonts w:ascii="Times New Roman" w:hAnsi="Times New Roman" w:cs="Times New Roman" w:eastAsia="Times New Roman" w:hint="default"/>
        </w:rPr>
        <w:t>5</w:t>
      </w:r>
      <w:r>
        <w:rPr/>
        <w:t>）周转材料的摊销方法</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472" w:right="0"/>
        <w:jc w:val="left"/>
      </w:pPr>
      <w:r>
        <w:rPr/>
        <w:t>①低值易耗品摊销方法：在领用时采用一次转销法。</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②包装物的摊销方法：在领用时采用一次转销法。</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4、持有待售资产" w:id="179"/>
      <w:bookmarkEnd w:id="179"/>
      <w:r>
        <w:rPr>
          <w:b w:val="0"/>
          <w:bCs w:val="0"/>
        </w:rPr>
      </w:r>
      <w:r>
        <w:rPr>
          <w:rFonts w:ascii="Times New Roman" w:hAnsi="Times New Roman" w:cs="Times New Roman" w:eastAsia="Times New Roman" w:hint="default"/>
        </w:rPr>
        <w:t>14</w:t>
      </w:r>
      <w:r>
        <w:rPr/>
        <w:t>、持有待售资产</w:t>
      </w:r>
      <w:r>
        <w:rPr>
          <w:b w:val="0"/>
          <w:bCs w:val="0"/>
        </w:rPr>
      </w:r>
    </w:p>
    <w:p>
      <w:pPr>
        <w:spacing w:line="240" w:lineRule="auto" w:before="4"/>
        <w:rPr>
          <w:rFonts w:ascii="宋体" w:hAnsi="宋体" w:cs="宋体" w:eastAsia="宋体" w:hint="default"/>
          <w:b/>
          <w:bCs/>
          <w:sz w:val="26"/>
          <w:szCs w:val="26"/>
        </w:rPr>
      </w:pPr>
    </w:p>
    <w:p>
      <w:pPr>
        <w:spacing w:line="415" w:lineRule="auto" w:before="0"/>
        <w:ind w:left="472" w:right="463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）持有待售的非流动资产或处置组的分类</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本公司将同时满足下列条件的非流动资产或处置组划分为持有待售类别：</w:t>
      </w:r>
    </w:p>
    <w:p>
      <w:pPr>
        <w:pStyle w:val="BodyText"/>
        <w:spacing w:line="240" w:lineRule="auto" w:before="65"/>
        <w:ind w:left="472" w:right="0"/>
        <w:jc w:val="left"/>
      </w:pPr>
      <w:r>
        <w:rPr/>
        <w:t>①根据类似交易中出售此类资产或处置组的惯例，在当前状况下即可立即出售；</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②出售极可能发生，即本公司已经就一项出售计划作出决议且获得确定的购买承诺，预计出售将在一年内完成。有关规</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定要求本公司相关权力机构或者监管部门批准后方可出售的，已经获得批准。</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本公司专为转售而取得的非流动资产或处置组，在取得日满足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的规定条件，且短期（通常为</w:t>
      </w:r>
    </w:p>
    <w:p>
      <w:pPr>
        <w:pStyle w:val="BodyText"/>
        <w:spacing w:line="240" w:lineRule="auto" w:before="63"/>
        <w:ind w:right="0"/>
        <w:jc w:val="both"/>
      </w:pPr>
      <w:r>
        <w:rPr>
          <w:rFonts w:ascii="Times New Roman" w:hAnsi="Times New Roman" w:cs="Times New Roman" w:eastAsia="Times New Roman" w:hint="default"/>
        </w:rPr>
        <w:t>3</w:t>
      </w:r>
      <w:r>
        <w:rPr/>
        <w:t>个月）内很可能满足持有待售类别的其他划分条件的，本公司在取得日将其划分为持有待售类别。</w:t>
      </w:r>
    </w:p>
    <w:p>
      <w:pPr>
        <w:spacing w:line="240" w:lineRule="auto" w:before="13"/>
        <w:rPr>
          <w:rFonts w:ascii="宋体" w:hAnsi="宋体" w:cs="宋体" w:eastAsia="宋体" w:hint="default"/>
          <w:sz w:val="13"/>
          <w:szCs w:val="13"/>
        </w:rPr>
      </w:pPr>
    </w:p>
    <w:p>
      <w:pPr>
        <w:pStyle w:val="BodyText"/>
        <w:spacing w:line="316" w:lineRule="auto"/>
        <w:ind w:right="1132" w:firstLine="360"/>
        <w:jc w:val="both"/>
      </w:pPr>
      <w:r>
        <w:rPr>
          <w:spacing w:val="-2"/>
        </w:rPr>
        <w:t>本公司因出售对子公司的投资等原因导致其丧失对子公司控制权的，无论出售后本公司是否保留部分权益性投资，在拟</w:t>
      </w:r>
      <w:r>
        <w:rPr/>
        <w:t> </w:t>
      </w:r>
      <w:r>
        <w:rPr>
          <w:spacing w:val="-2"/>
        </w:rPr>
        <w:t>出售的对子公司投资满足持有待售类别划分条件时，在母公司个别财务报表中将对子公司投资整体划分为持有待售类别，在</w:t>
      </w:r>
      <w:r>
        <w:rPr>
          <w:spacing w:val="-64"/>
        </w:rPr>
        <w:t> </w:t>
      </w:r>
      <w:r>
        <w:rPr>
          <w:spacing w:val="-64"/>
        </w:rPr>
      </w:r>
      <w:r>
        <w:rPr/>
        <w:t>合并财务报表中将子公司所有资产和负债划分为持有待售类别。</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）持有待售的非流动资产或处置组的计量</w:t>
      </w:r>
      <w:r>
        <w:rPr>
          <w:rFonts w:ascii="宋体" w:hAnsi="宋体" w:cs="宋体" w:eastAsia="宋体" w:hint="default"/>
          <w:b/>
          <w:bCs/>
          <w:w w:val="99"/>
          <w:sz w:val="18"/>
          <w:szCs w:val="18"/>
        </w:rPr>
        <w:t> </w:t>
      </w:r>
      <w:r>
        <w:rPr>
          <w:rFonts w:ascii="宋体" w:hAnsi="宋体" w:cs="宋体" w:eastAsia="宋体" w:hint="default"/>
          <w:spacing w:val="-2"/>
          <w:sz w:val="18"/>
          <w:szCs w:val="18"/>
        </w:rPr>
        <w:t>采用公允价值模式进行后续计量的投资性房地产、采用公允价值减去出售费用后的净额计量的生物资产、职工薪酬形成</w:t>
      </w:r>
    </w:p>
    <w:p>
      <w:pPr>
        <w:pStyle w:val="BodyText"/>
        <w:spacing w:line="316" w:lineRule="auto" w:before="15"/>
        <w:ind w:right="1132"/>
        <w:jc w:val="both"/>
      </w:pPr>
      <w:r>
        <w:rPr>
          <w:spacing w:val="-2"/>
        </w:rPr>
        <w:t>的资产、递延所得税资产、由金融工具相关会计准则规范的金融资产及由保险合同相关会计准则规范的保险合同所产生的权</w:t>
      </w:r>
      <w:r>
        <w:rPr>
          <w:spacing w:val="-64"/>
        </w:rPr>
        <w:t> </w:t>
      </w:r>
      <w:r>
        <w:rPr>
          <w:spacing w:val="-64"/>
        </w:rPr>
      </w:r>
      <w:r>
        <w:rPr/>
        <w:t>利的计量分别适用于其他相关会计准则。</w:t>
      </w:r>
    </w:p>
    <w:p>
      <w:pPr>
        <w:pStyle w:val="BodyText"/>
        <w:spacing w:line="316" w:lineRule="auto" w:before="139"/>
        <w:ind w:right="1130" w:firstLine="360"/>
        <w:jc w:val="both"/>
      </w:pPr>
      <w:r>
        <w:rPr>
          <w:spacing w:val="-2"/>
        </w:rPr>
        <w:t>初始计量或在资产负债表日重新计量持有待售的非流动资产或处置组时，其账面价值高于公允价值减去出售费用后的净</w:t>
      </w:r>
      <w:r>
        <w:rPr/>
        <w:t> </w:t>
      </w:r>
      <w:r>
        <w:rPr>
          <w:spacing w:val="-2"/>
        </w:rPr>
        <w:t>额的，将账面价值减记至公允价值减去出售费用后的净额，减记的金额确认为资产减值损失，计入当期损益，同时计提持有</w:t>
      </w:r>
      <w:r>
        <w:rPr>
          <w:spacing w:val="-64"/>
        </w:rPr>
        <w:t> </w:t>
      </w:r>
      <w:r>
        <w:rPr>
          <w:spacing w:val="-64"/>
        </w:rPr>
      </w:r>
      <w:r>
        <w:rPr/>
        <w:t>待售资产减值准备。</w:t>
      </w:r>
    </w:p>
    <w:p>
      <w:pPr>
        <w:pStyle w:val="BodyText"/>
        <w:spacing w:line="316" w:lineRule="auto" w:before="139"/>
        <w:ind w:right="1133" w:firstLine="360"/>
        <w:jc w:val="both"/>
      </w:pPr>
      <w:r>
        <w:rPr/>
        <w:t>非流动资产或处置组因不再满足持有待售类别的划分条件而不再继续划分为持有待售类别或非流动资产从持有待售的 处置组中移除时，按照以下两者孰低计量：</w:t>
      </w:r>
    </w:p>
    <w:p>
      <w:pPr>
        <w:pStyle w:val="BodyText"/>
        <w:spacing w:line="316" w:lineRule="auto" w:before="139"/>
        <w:ind w:right="1132" w:firstLine="360"/>
        <w:jc w:val="both"/>
      </w:pPr>
      <w:r>
        <w:rPr>
          <w:spacing w:val="-2"/>
        </w:rPr>
        <w:t>①划分为持有待售类别前的账面价值，按照假定不划分为持有待售类别情况下本应确认的折旧、摊销或减值等进行调整</w:t>
      </w:r>
      <w:r>
        <w:rPr/>
        <w:t> 后的金额；</w:t>
      </w:r>
    </w:p>
    <w:p>
      <w:pPr>
        <w:pStyle w:val="BodyText"/>
        <w:spacing w:line="240" w:lineRule="auto" w:before="139"/>
        <w:ind w:left="472" w:right="0"/>
        <w:jc w:val="left"/>
      </w:pPr>
      <w:r>
        <w:rPr/>
        <w:t>②可收回金额。</w:t>
      </w:r>
    </w:p>
    <w:p>
      <w:pPr>
        <w:spacing w:line="240" w:lineRule="auto" w:before="0"/>
        <w:rPr>
          <w:rFonts w:ascii="宋体" w:hAnsi="宋体" w:cs="宋体" w:eastAsia="宋体" w:hint="default"/>
          <w:sz w:val="15"/>
          <w:szCs w:val="15"/>
        </w:rPr>
      </w:pPr>
    </w:p>
    <w:p>
      <w:pPr>
        <w:pStyle w:val="BodyText"/>
        <w:spacing w:line="300" w:lineRule="auto"/>
        <w:ind w:left="472" w:right="112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）列报</w:t>
      </w:r>
      <w:r>
        <w:rPr>
          <w:rFonts w:ascii="宋体" w:hAnsi="宋体" w:cs="宋体" w:eastAsia="宋体" w:hint="default"/>
          <w:b/>
          <w:bCs/>
          <w:w w:val="99"/>
        </w:rPr>
        <w:t> </w:t>
      </w:r>
      <w:r>
        <w:rPr>
          <w:spacing w:val="-2"/>
        </w:rPr>
        <w:t>本公司在资产负债表中区别于其他资产单独列示持有待售的非流动资产或持有待售的处置组中的资产，区别于其他负债</w:t>
      </w:r>
    </w:p>
    <w:p>
      <w:pPr>
        <w:pStyle w:val="BodyText"/>
        <w:spacing w:line="316" w:lineRule="auto" w:before="31"/>
        <w:ind w:right="1132"/>
        <w:jc w:val="both"/>
      </w:pPr>
      <w:r>
        <w:rPr>
          <w:spacing w:val="-2"/>
        </w:rPr>
        <w:t>单独列示持有待售的处置组中的负债。持有待售的非流动资产或持有待售的处置组中的资产与持有待售的处置组中的负债不</w:t>
      </w:r>
      <w:r>
        <w:rPr>
          <w:spacing w:val="-64"/>
        </w:rPr>
        <w:t> </w:t>
      </w:r>
      <w:r>
        <w:rPr>
          <w:spacing w:val="-64"/>
        </w:rPr>
      </w:r>
      <w:r>
        <w:rPr/>
        <w:t>予相互抵销，分别作为流动资产和流动负债列示。</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15、长期股权投资" w:id="180"/>
      <w:bookmarkEnd w:id="180"/>
      <w:r>
        <w:rPr>
          <w:b w:val="0"/>
          <w:bCs w:val="0"/>
        </w:rPr>
      </w:r>
      <w:r>
        <w:rPr>
          <w:rFonts w:ascii="Times New Roman" w:hAnsi="Times New Roman" w:cs="Times New Roman" w:eastAsia="Times New Roman" w:hint="default"/>
        </w:rPr>
        <w:t>15</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本公司长期股权投资包括对被投资单位实施控制、重大影响的权益性投资，以及对合营企业的权益性投资。本公司能够</w:t>
      </w:r>
      <w:r>
        <w:rPr/>
        <w:t> 对被投资单位施加重大影响的，为本公司的联营企业。</w:t>
      </w:r>
    </w:p>
    <w:p>
      <w:pPr>
        <w:spacing w:line="432" w:lineRule="exact" w:before="3"/>
        <w:ind w:left="472" w:right="0" w:firstLine="67"/>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）确定对被投资单位具有共同控制、重大影响的依据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15"/>
        <w:ind w:right="1130"/>
        <w:jc w:val="both"/>
      </w:pPr>
      <w:r>
        <w:rPr>
          <w:spacing w:val="-2"/>
        </w:rPr>
        <w:t>后才能决策。在判断是否存在共同控制时，首先判断所有参与方或参与方组合是否集体控制该安排，如果所有参与方或一组</w:t>
      </w:r>
      <w:r>
        <w:rPr>
          <w:spacing w:val="-63"/>
        </w:rPr>
        <w:t> </w:t>
      </w:r>
      <w:r>
        <w:rPr>
          <w:spacing w:val="-63"/>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pStyle w:val="BodyText"/>
        <w:spacing w:line="316" w:lineRule="auto" w:before="139"/>
        <w:ind w:right="1132"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0" w:lineRule="auto" w:before="139"/>
        <w:ind w:right="1128" w:firstLine="36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位具有重大影响，除非有明确证据表明该种情况下不能参与被投资单位的生产经营决策，不形成重大影响。</w:t>
      </w:r>
    </w:p>
    <w:p>
      <w:pPr>
        <w:spacing w:after="0" w:line="30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line="415" w:lineRule="auto" w:before="44"/>
        <w:ind w:left="472" w:right="5354" w:firstLine="67"/>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）初始投资成本确定</w:t>
      </w:r>
      <w:r>
        <w:rPr>
          <w:rFonts w:ascii="宋体" w:hAnsi="宋体" w:cs="宋体" w:eastAsia="宋体" w:hint="default"/>
          <w:b/>
          <w:bCs/>
          <w:w w:val="99"/>
          <w:sz w:val="18"/>
          <w:szCs w:val="18"/>
        </w:rPr>
        <w:t> </w:t>
      </w:r>
      <w:r>
        <w:rPr>
          <w:rFonts w:ascii="宋体" w:hAnsi="宋体" w:cs="宋体" w:eastAsia="宋体" w:hint="default"/>
          <w:sz w:val="18"/>
          <w:szCs w:val="18"/>
        </w:rPr>
        <w:t>企业合并形成的长期股权投资，按照下列规定确定其投资成本：</w:t>
      </w:r>
    </w:p>
    <w:p>
      <w:pPr>
        <w:pStyle w:val="BodyText"/>
        <w:spacing w:line="312" w:lineRule="auto" w:before="65"/>
        <w:ind w:right="1130" w:firstLine="360"/>
        <w:jc w:val="both"/>
      </w:pPr>
      <w:r>
        <w:rPr>
          <w:rFonts w:ascii="Times New Roman" w:hAnsi="Times New Roman" w:cs="Times New Roman" w:eastAsia="Times New Roman" w:hint="default"/>
          <w:spacing w:val="-2"/>
        </w:rPr>
        <w:t>A.</w:t>
      </w:r>
      <w:r>
        <w:rPr>
          <w:spacing w:val="-2"/>
        </w:rPr>
        <w:t>同一控制下的企业合并，合并方以支付现金、转让非现金资产或承担债务方式作为合并对价的，在合并日按照被合并</w:t>
      </w:r>
      <w:r>
        <w:rPr/>
        <w:t> </w:t>
      </w:r>
      <w:r>
        <w:rPr>
          <w:spacing w:val="-2"/>
        </w:rPr>
        <w:t>方所有者权益在最终控制方合并财务报表中的账面价值的份额作为长期股权投资的初始投资成本。长期股权投资初始投资成</w:t>
      </w:r>
      <w:r>
        <w:rPr>
          <w:spacing w:val="-64"/>
        </w:rPr>
        <w:t> </w:t>
      </w:r>
      <w:r>
        <w:rPr>
          <w:spacing w:val="-64"/>
        </w:rPr>
      </w:r>
      <w:r>
        <w:rPr>
          <w:spacing w:val="-2"/>
        </w:rPr>
        <w:t>本与支付的现金、转让的非现金资产以及所承担债务账面价值之间的差额，调整资本公积；资本公积不足冲减的，调整留存</w:t>
      </w:r>
      <w:r>
        <w:rPr>
          <w:spacing w:val="-64"/>
        </w:rPr>
        <w:t> </w:t>
      </w:r>
      <w:r>
        <w:rPr>
          <w:spacing w:val="-64"/>
        </w:rPr>
      </w:r>
      <w:r>
        <w:rPr/>
        <w:t>收益；</w:t>
      </w:r>
    </w:p>
    <w:p>
      <w:pPr>
        <w:pStyle w:val="BodyText"/>
        <w:spacing w:line="309" w:lineRule="auto" w:before="142"/>
        <w:ind w:right="1132" w:firstLine="360"/>
        <w:jc w:val="both"/>
      </w:pPr>
      <w:r>
        <w:rPr>
          <w:rFonts w:ascii="Times New Roman" w:hAnsi="Times New Roman" w:cs="Times New Roman" w:eastAsia="Times New Roman" w:hint="default"/>
          <w:spacing w:val="-2"/>
        </w:rPr>
        <w:t>B.</w:t>
      </w:r>
      <w:r>
        <w:rPr>
          <w:spacing w:val="-2"/>
        </w:rPr>
        <w:t>同一控制下的企业合并，合并方以发行权益性证券作为合并对价的，在合并日按照被合并方所有者权益在最终控制方</w:t>
      </w:r>
      <w:r>
        <w:rPr/>
        <w:t> </w:t>
      </w:r>
      <w:r>
        <w:rPr>
          <w:spacing w:val="-2"/>
        </w:rPr>
        <w:t>合并财务报表中的账面价值的份额作为长期股权投资的初始投资成本。按照发行股份的面值总额作为股本，长期股权投资初</w:t>
      </w:r>
      <w:r>
        <w:rPr>
          <w:spacing w:val="-64"/>
        </w:rPr>
        <w:t> </w:t>
      </w:r>
      <w:r>
        <w:rPr>
          <w:spacing w:val="-64"/>
        </w:rPr>
      </w:r>
      <w:r>
        <w:rPr/>
        <w:t>始投资成本与所发行股份面值总额之间的差额，调整资本公积；资本公积不足冲减的，调整留存收益；</w:t>
      </w:r>
    </w:p>
    <w:p>
      <w:pPr>
        <w:pStyle w:val="BodyText"/>
        <w:spacing w:line="309" w:lineRule="auto" w:before="144"/>
        <w:ind w:right="1130" w:firstLine="360"/>
        <w:jc w:val="both"/>
      </w:pPr>
      <w:r>
        <w:rPr>
          <w:rFonts w:ascii="Times New Roman" w:hAnsi="Times New Roman" w:cs="Times New Roman" w:eastAsia="Times New Roman" w:hint="default"/>
          <w:spacing w:val="-2"/>
        </w:rPr>
        <w:t>C.</w:t>
      </w:r>
      <w:r>
        <w:rPr>
          <w:spacing w:val="-2"/>
        </w:rPr>
        <w:t>非同一控制下的企业合并，以购买日为取得对被购买方的控制权而付出的资产、发生或承担的负债以及发行的权益性</w:t>
      </w:r>
      <w:r>
        <w:rPr/>
        <w:t> </w:t>
      </w:r>
      <w:r>
        <w:rPr>
          <w:spacing w:val="-2"/>
        </w:rPr>
        <w:t>证券的公允价值确定为合并成本作为长期股权投资的初始投资成本。合并方为企业合并发生的审计、法律服务、评估咨询等</w:t>
      </w:r>
      <w:r>
        <w:rPr>
          <w:spacing w:val="-63"/>
        </w:rPr>
        <w:t> </w:t>
      </w:r>
      <w:r>
        <w:rPr>
          <w:spacing w:val="-63"/>
        </w:rPr>
      </w:r>
      <w:r>
        <w:rPr/>
        <w:t>中介费用以及其他相关管理费用，于发生时计入当期损益。</w:t>
      </w:r>
    </w:p>
    <w:p>
      <w:pPr>
        <w:pStyle w:val="BodyText"/>
        <w:spacing w:line="240" w:lineRule="auto" w:before="144"/>
        <w:ind w:left="472" w:right="0"/>
        <w:jc w:val="left"/>
      </w:pPr>
      <w:r>
        <w:rPr/>
        <w:t>除企业合并形成的长期股权投资以外，其他方式取得的长期股权投资，按照下列规定确定其投资成本：</w:t>
      </w:r>
    </w:p>
    <w:p>
      <w:pPr>
        <w:spacing w:line="240" w:lineRule="auto" w:before="0"/>
        <w:rPr>
          <w:rFonts w:ascii="宋体" w:hAnsi="宋体" w:cs="宋体" w:eastAsia="宋体" w:hint="default"/>
          <w:sz w:val="15"/>
          <w:szCs w:val="15"/>
        </w:rPr>
      </w:pPr>
    </w:p>
    <w:p>
      <w:pPr>
        <w:pStyle w:val="BodyText"/>
        <w:spacing w:line="300" w:lineRule="auto"/>
        <w:ind w:right="1130" w:firstLine="360"/>
        <w:jc w:val="both"/>
      </w:pPr>
      <w:r>
        <w:rPr>
          <w:rFonts w:ascii="Times New Roman" w:hAnsi="Times New Roman" w:cs="Times New Roman" w:eastAsia="Times New Roman" w:hint="default"/>
          <w:spacing w:val="-2"/>
        </w:rPr>
        <w:t>A.</w:t>
      </w:r>
      <w:r>
        <w:rPr>
          <w:spacing w:val="-2"/>
        </w:rPr>
        <w:t>以支付现金取得的长期股权投资，按照实际支付的购买价款作为投资成本。初始投资成本包括与取得长期股权投资直</w:t>
      </w:r>
      <w:r>
        <w:rPr/>
        <w:t> 接相关的费用、税金及其他必要支出；</w:t>
      </w:r>
    </w:p>
    <w:p>
      <w:pPr>
        <w:pStyle w:val="BodyText"/>
        <w:spacing w:line="432" w:lineRule="exact" w:before="16"/>
        <w:ind w:left="472" w:right="0"/>
        <w:jc w:val="left"/>
      </w:pPr>
      <w:r>
        <w:rPr>
          <w:rFonts w:ascii="Times New Roman" w:hAnsi="Times New Roman" w:cs="Times New Roman" w:eastAsia="Times New Roman" w:hint="default"/>
        </w:rPr>
        <w:t>B.</w:t>
      </w:r>
      <w:r>
        <w:rPr/>
        <w:t>以发行权益性证券取得的长期股权投资，按照发行权益性证券的公允价值作为初始投资成本； </w:t>
      </w:r>
      <w:r>
        <w:rPr>
          <w:rFonts w:ascii="Times New Roman" w:hAnsi="Times New Roman" w:cs="Times New Roman" w:eastAsia="Times New Roman" w:hint="default"/>
          <w:spacing w:val="-2"/>
        </w:rPr>
        <w:t>C.</w:t>
      </w:r>
      <w:r>
        <w:rPr>
          <w:spacing w:val="-2"/>
        </w:rPr>
        <w:t>通过非货币性资产交换取得的长期股权投资，如果该项交换具有商业实质且换入资产或换出资产的公允价值能可靠计</w:t>
      </w:r>
    </w:p>
    <w:p>
      <w:pPr>
        <w:pStyle w:val="BodyText"/>
        <w:spacing w:line="316" w:lineRule="auto" w:before="15"/>
        <w:ind w:right="0"/>
        <w:jc w:val="left"/>
      </w:pPr>
      <w:r>
        <w:rPr>
          <w:spacing w:val="-2"/>
        </w:rPr>
        <w:t>量，则以换出资产的公允价值和相关税费作为初始投资成本，换出资产的公允价值与账面价值之间的差额计入当期损益；若</w:t>
      </w:r>
      <w:r>
        <w:rPr>
          <w:spacing w:val="-63"/>
        </w:rPr>
        <w:t> </w:t>
      </w:r>
      <w:r>
        <w:rPr>
          <w:spacing w:val="-63"/>
        </w:rPr>
      </w:r>
      <w:r>
        <w:rPr/>
        <w:t>非货币资产交换不同时具备上述两个条件，则按换出资产的账面价值和相关税费作为初始投资成本。</w:t>
      </w:r>
    </w:p>
    <w:p>
      <w:pPr>
        <w:pStyle w:val="BodyText"/>
        <w:spacing w:line="300" w:lineRule="auto" w:before="139"/>
        <w:ind w:right="1130" w:firstLine="360"/>
        <w:jc w:val="both"/>
      </w:pPr>
      <w:r>
        <w:rPr>
          <w:rFonts w:ascii="Times New Roman" w:hAnsi="Times New Roman" w:cs="Times New Roman" w:eastAsia="Times New Roman" w:hint="default"/>
          <w:spacing w:val="-2"/>
        </w:rPr>
        <w:t>D.</w:t>
      </w:r>
      <w:r>
        <w:rPr>
          <w:spacing w:val="-2"/>
        </w:rPr>
        <w:t>通过债务重组取得的长期股权投资，按取得的股权的公允价值作为初始投资成本，初始投资成本与债权账面价值之间</w:t>
      </w:r>
      <w:r>
        <w:rPr/>
        <w:t> 的差额计入当期损益。</w:t>
      </w:r>
    </w:p>
    <w:p>
      <w:pPr>
        <w:spacing w:line="432" w:lineRule="exact" w:before="16"/>
        <w:ind w:left="472" w:right="0" w:firstLine="67"/>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本公司能够对被投资单位实施控制的长期股权投资采用成本法核算；对联营企业和合营企业的长期股权投资采用权益法</w:t>
      </w:r>
    </w:p>
    <w:p>
      <w:pPr>
        <w:pStyle w:val="BodyText"/>
        <w:spacing w:line="240" w:lineRule="auto" w:before="15"/>
        <w:ind w:right="0"/>
        <w:jc w:val="left"/>
      </w:pPr>
      <w:r>
        <w:rPr/>
        <w:t>核算。</w:t>
      </w:r>
    </w:p>
    <w:p>
      <w:pPr>
        <w:pStyle w:val="BodyText"/>
        <w:spacing w:line="430" w:lineRule="atLeast" w:before="2"/>
        <w:ind w:left="472" w:right="1034"/>
        <w:jc w:val="left"/>
      </w:pPr>
      <w:r>
        <w:rPr/>
        <w:t>①成本法 </w:t>
      </w:r>
      <w:r>
        <w:rPr>
          <w:spacing w:val="-4"/>
        </w:rPr>
        <w:t>采用成本法核算的长期股权投资，追加或收回投资时调整长期股权投资的成本；被投资单位宣告分派的现金股利或利润，</w:t>
      </w:r>
    </w:p>
    <w:p>
      <w:pPr>
        <w:pStyle w:val="BodyText"/>
        <w:spacing w:line="240" w:lineRule="auto" w:before="76"/>
        <w:ind w:right="0"/>
        <w:jc w:val="left"/>
      </w:pPr>
      <w:r>
        <w:rPr/>
        <w:t>确认为当期投资收益。</w:t>
      </w:r>
    </w:p>
    <w:p>
      <w:pPr>
        <w:spacing w:line="240" w:lineRule="auto" w:before="0"/>
        <w:rPr>
          <w:rFonts w:ascii="宋体" w:hAnsi="宋体" w:cs="宋体" w:eastAsia="宋体" w:hint="default"/>
          <w:sz w:val="15"/>
          <w:szCs w:val="15"/>
        </w:rPr>
      </w:pPr>
    </w:p>
    <w:p>
      <w:pPr>
        <w:pStyle w:val="BodyText"/>
        <w:spacing w:line="439" w:lineRule="auto"/>
        <w:ind w:left="472" w:right="6254"/>
        <w:jc w:val="left"/>
      </w:pPr>
      <w:r>
        <w:rPr/>
        <w:t>②权益法 按照权益法核算的长期股权投资，一般会计处理为：</w:t>
      </w:r>
    </w:p>
    <w:p>
      <w:pPr>
        <w:pStyle w:val="BodyText"/>
        <w:spacing w:line="316" w:lineRule="auto" w:before="47"/>
        <w:ind w:right="1132" w:firstLine="360"/>
        <w:jc w:val="both"/>
      </w:pPr>
      <w:r>
        <w:rPr>
          <w:spacing w:val="-2"/>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w:t>
      </w:r>
    </w:p>
    <w:p>
      <w:pPr>
        <w:pStyle w:val="BodyText"/>
        <w:spacing w:line="316" w:lineRule="auto" w:before="139"/>
        <w:ind w:right="0" w:firstLine="360"/>
        <w:jc w:val="left"/>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3"/>
        </w:rPr>
        <w:t> </w:t>
      </w:r>
      <w:r>
        <w:rPr>
          <w:spacing w:val="-63"/>
        </w:rPr>
      </w:r>
      <w:r>
        <w:rPr>
          <w:spacing w:val="-4"/>
        </w:rPr>
        <w:t>值并计入所有者权益。在确认应享有被投资单位净损益的份额时，以取得投资时被投资单位可辨认净资产的公允价值为基础，</w:t>
      </w:r>
      <w:r>
        <w:rPr>
          <w:spacing w:val="-41"/>
        </w:rPr>
        <w:t> </w:t>
      </w:r>
      <w:r>
        <w:rPr>
          <w:spacing w:val="-41"/>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策及会计期间对被投资单位的财务报表进行调整，并据以确认投资收益和其他综合收益等。本公司与联营企业及合营企业之</w:t>
      </w:r>
    </w:p>
    <w:p>
      <w:pPr>
        <w:spacing w:after="0" w:line="316"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132" w:right="1034"/>
        <w:jc w:val="left"/>
      </w:pPr>
      <w:r>
        <w:rPr>
          <w:spacing w:val="-2"/>
        </w:rPr>
        <w:t>间发生的未实现内部交易损益按照享有的比例计算归属于本公司的部分予以抵销，在此基础上确认投资损益。本公司与被投</w:t>
      </w:r>
      <w:r>
        <w:rPr>
          <w:spacing w:val="-64"/>
        </w:rPr>
        <w:t> </w:t>
      </w:r>
      <w:r>
        <w:rPr>
          <w:spacing w:val="-64"/>
        </w:rPr>
      </w:r>
      <w:r>
        <w:rPr/>
        <w:t>资单位发生的未实现内部交易损失属于资产减值损失的，应全额确认。</w:t>
      </w:r>
    </w:p>
    <w:p>
      <w:pPr>
        <w:pStyle w:val="BodyText"/>
        <w:spacing w:line="316" w:lineRule="auto" w:before="139"/>
        <w:ind w:left="132" w:right="1130" w:firstLine="360"/>
        <w:jc w:val="both"/>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3"/>
        </w:rPr>
        <w:t> </w:t>
      </w:r>
      <w:r>
        <w:rPr>
          <w:spacing w:val="-63"/>
        </w:rPr>
      </w:r>
      <w:r>
        <w:rPr/>
        <w:t>与账面价值之间的差额，以及原计入其他综合收益的累计公允价值变动应当转入改按权益法核算的当期损益。</w:t>
      </w:r>
    </w:p>
    <w:p>
      <w:pPr>
        <w:pStyle w:val="BodyText"/>
        <w:spacing w:line="316" w:lineRule="auto" w:before="139"/>
        <w:ind w:left="132" w:right="1132" w:firstLine="360"/>
        <w:jc w:val="both"/>
      </w:pPr>
      <w:r>
        <w:rPr>
          <w:spacing w:val="-2"/>
        </w:rPr>
        <w:t>因处置部分股权投资等原因丧失了对被投资单位的共同控制或重大影响的，处置后的剩余股权改按公允价值计量，其在</w:t>
      </w:r>
      <w:r>
        <w:rPr/>
        <w:t> </w:t>
      </w:r>
      <w:r>
        <w:rPr>
          <w:spacing w:val="-2"/>
        </w:rPr>
        <w:t>丧失共同控制或重大影响之日的公允价值与账面价值之间的差额计入当期损益。原股权投资因采用权益法核算而确认的其他</w:t>
      </w:r>
      <w:r>
        <w:rPr>
          <w:spacing w:val="-64"/>
        </w:rPr>
        <w:t> </w:t>
      </w:r>
      <w:r>
        <w:rPr>
          <w:spacing w:val="-64"/>
        </w:rPr>
      </w:r>
      <w:r>
        <w:rPr/>
        <w:t>综合收益，在终止采用权益法核算时采用与被投资单位直接处置相关资产或负债相同的基础进行会计处理。</w:t>
      </w:r>
    </w:p>
    <w:p>
      <w:pPr>
        <w:spacing w:line="240" w:lineRule="auto" w:before="6"/>
        <w:rPr>
          <w:rFonts w:ascii="宋体" w:hAnsi="宋体" w:cs="宋体" w:eastAsia="宋体" w:hint="default"/>
          <w:sz w:val="22"/>
          <w:szCs w:val="22"/>
        </w:rPr>
      </w:pPr>
    </w:p>
    <w:p>
      <w:pPr>
        <w:pStyle w:val="Heading3"/>
        <w:spacing w:line="240" w:lineRule="auto"/>
        <w:ind w:left="132" w:right="1034"/>
        <w:jc w:val="left"/>
        <w:rPr>
          <w:b w:val="0"/>
          <w:bCs w:val="0"/>
        </w:rPr>
      </w:pPr>
      <w:bookmarkStart w:name="16、投资性房地产" w:id="181"/>
      <w:bookmarkEnd w:id="181"/>
      <w:r>
        <w:rPr>
          <w:b w:val="0"/>
          <w:bCs w:val="0"/>
        </w:rPr>
      </w:r>
      <w:r>
        <w:rPr>
          <w:rFonts w:ascii="Times New Roman" w:hAnsi="Times New Roman" w:cs="Times New Roman" w:eastAsia="Times New Roman" w:hint="default"/>
        </w:rPr>
        <w:t>16</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32" w:right="8954"/>
        <w:jc w:val="left"/>
      </w:pPr>
      <w:r>
        <w:rPr/>
        <w:t>投资性房地产计量模式 成本法计量 折旧或摊销方法</w:t>
      </w:r>
    </w:p>
    <w:p>
      <w:pPr>
        <w:spacing w:line="415" w:lineRule="auto" w:before="108"/>
        <w:ind w:left="492" w:right="391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）投资性房地产的分类</w:t>
      </w:r>
      <w:r>
        <w:rPr>
          <w:rFonts w:ascii="宋体" w:hAnsi="宋体" w:cs="宋体" w:eastAsia="宋体" w:hint="default"/>
          <w:b/>
          <w:bCs/>
          <w:w w:val="99"/>
          <w:sz w:val="18"/>
          <w:szCs w:val="18"/>
        </w:rPr>
        <w:t> </w:t>
      </w:r>
      <w:r>
        <w:rPr>
          <w:rFonts w:ascii="宋体" w:hAnsi="宋体" w:cs="宋体" w:eastAsia="宋体" w:hint="default"/>
          <w:sz w:val="18"/>
          <w:szCs w:val="18"/>
        </w:rPr>
        <w:t>投资性房产是指为赚取租金或资本增值，或两者兼有而持有的房地产。主要包括：</w:t>
      </w:r>
    </w:p>
    <w:p>
      <w:pPr>
        <w:pStyle w:val="BodyText"/>
        <w:spacing w:line="240" w:lineRule="auto" w:before="65"/>
        <w:ind w:left="492" w:right="1034"/>
        <w:jc w:val="left"/>
      </w:pPr>
      <w:r>
        <w:rPr/>
        <w:t>①已出租的土地使用权。</w:t>
      </w:r>
    </w:p>
    <w:p>
      <w:pPr>
        <w:spacing w:line="240" w:lineRule="auto" w:before="0"/>
        <w:rPr>
          <w:rFonts w:ascii="宋体" w:hAnsi="宋体" w:cs="宋体" w:eastAsia="宋体" w:hint="default"/>
          <w:sz w:val="15"/>
          <w:szCs w:val="15"/>
        </w:rPr>
      </w:pPr>
    </w:p>
    <w:p>
      <w:pPr>
        <w:pStyle w:val="BodyText"/>
        <w:spacing w:line="240" w:lineRule="auto"/>
        <w:ind w:left="492" w:right="1034"/>
        <w:jc w:val="left"/>
      </w:pPr>
      <w:r>
        <w:rPr/>
        <w:t>②持有并准备增值后转让的土地使用权。</w:t>
      </w:r>
    </w:p>
    <w:p>
      <w:pPr>
        <w:spacing w:line="240" w:lineRule="auto" w:before="0"/>
        <w:rPr>
          <w:rFonts w:ascii="宋体" w:hAnsi="宋体" w:cs="宋体" w:eastAsia="宋体" w:hint="default"/>
          <w:sz w:val="15"/>
          <w:szCs w:val="15"/>
        </w:rPr>
      </w:pPr>
    </w:p>
    <w:p>
      <w:pPr>
        <w:pStyle w:val="BodyText"/>
        <w:spacing w:line="240" w:lineRule="auto"/>
        <w:ind w:left="492" w:right="1034"/>
        <w:jc w:val="left"/>
      </w:pPr>
      <w:r>
        <w:rPr/>
        <w:t>③已出租的建筑物。</w:t>
      </w:r>
    </w:p>
    <w:p>
      <w:pPr>
        <w:spacing w:line="240" w:lineRule="auto" w:before="0"/>
        <w:rPr>
          <w:rFonts w:ascii="宋体" w:hAnsi="宋体" w:cs="宋体" w:eastAsia="宋体" w:hint="default"/>
          <w:sz w:val="15"/>
          <w:szCs w:val="15"/>
        </w:rPr>
      </w:pPr>
    </w:p>
    <w:p>
      <w:pPr>
        <w:spacing w:line="415" w:lineRule="auto" w:before="0"/>
        <w:ind w:left="492" w:right="625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）投资性房地产的计量模式</w:t>
      </w:r>
      <w:r>
        <w:rPr>
          <w:rFonts w:ascii="宋体" w:hAnsi="宋体" w:cs="宋体" w:eastAsia="宋体" w:hint="default"/>
          <w:b/>
          <w:bCs/>
          <w:w w:val="99"/>
          <w:sz w:val="18"/>
          <w:szCs w:val="18"/>
        </w:rPr>
        <w:t> </w:t>
      </w:r>
      <w:r>
        <w:rPr>
          <w:rFonts w:ascii="宋体" w:hAnsi="宋体" w:cs="宋体" w:eastAsia="宋体" w:hint="default"/>
          <w:sz w:val="18"/>
          <w:szCs w:val="18"/>
        </w:rPr>
        <w:t>本公司采用成本模式对投资性房地产进行后续计量。</w:t>
      </w:r>
    </w:p>
    <w:p>
      <w:pPr>
        <w:pStyle w:val="BodyText"/>
        <w:spacing w:line="316" w:lineRule="auto" w:before="65"/>
        <w:ind w:left="132" w:right="1132" w:firstLine="360"/>
        <w:jc w:val="both"/>
      </w:pPr>
      <w:r>
        <w:rPr>
          <w:spacing w:val="-2"/>
        </w:rPr>
        <w:t>本公司对投资性房地产成本减累计减值及净残值后按直线法计算折旧或摊销，投资性房地产的类别、估计的经济使用年</w:t>
      </w:r>
      <w:r>
        <w:rPr/>
        <w:t> 限和预计的净残值率分别确定折旧年限和年折旧率如下：</w:t>
      </w:r>
    </w:p>
    <w:p>
      <w:pPr>
        <w:spacing w:line="240" w:lineRule="auto" w:before="11"/>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414"/>
        <w:gridCol w:w="2414"/>
        <w:gridCol w:w="2415"/>
        <w:gridCol w:w="2415"/>
      </w:tblGrid>
      <w:tr>
        <w:trPr>
          <w:trHeight w:val="347" w:hRule="exact"/>
        </w:trPr>
        <w:tc>
          <w:tcPr>
            <w:tcW w:w="241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41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41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1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20-50</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1.8-4.5</w:t>
            </w:r>
          </w:p>
        </w:tc>
      </w:tr>
    </w:tbl>
    <w:p>
      <w:pPr>
        <w:spacing w:line="240" w:lineRule="auto" w:before="3"/>
        <w:rPr>
          <w:rFonts w:ascii="宋体" w:hAnsi="宋体" w:cs="宋体" w:eastAsia="宋体" w:hint="default"/>
          <w:sz w:val="19"/>
          <w:szCs w:val="19"/>
        </w:rPr>
      </w:pPr>
    </w:p>
    <w:p>
      <w:pPr>
        <w:pStyle w:val="Heading3"/>
        <w:spacing w:line="240" w:lineRule="auto" w:before="34"/>
        <w:ind w:left="132" w:right="1034"/>
        <w:jc w:val="left"/>
        <w:rPr>
          <w:b w:val="0"/>
          <w:bCs w:val="0"/>
        </w:rPr>
      </w:pPr>
      <w:bookmarkStart w:name="17、固定资产" w:id="182"/>
      <w:bookmarkEnd w:id="182"/>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1034"/>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92" w:right="1574"/>
        <w:jc w:val="left"/>
      </w:pPr>
      <w:r>
        <w:rPr/>
        <w:t>固定资产是指为生产商品、提供劳务、出租或经营管理而持有的使用寿命超过一年的单位价值较高的有形资产。 固定资产在同时满足下列条件时，按取得时的实际成本予以确认：</w:t>
      </w:r>
    </w:p>
    <w:p>
      <w:pPr>
        <w:pStyle w:val="BodyText"/>
        <w:spacing w:line="240" w:lineRule="auto" w:before="29"/>
        <w:ind w:left="492" w:right="1034"/>
        <w:jc w:val="left"/>
      </w:pPr>
      <w:r>
        <w:rPr/>
        <w:t>①与该固定资产有关的经济利益很可能流入企业。</w:t>
      </w:r>
    </w:p>
    <w:p>
      <w:pPr>
        <w:pStyle w:val="BodyText"/>
        <w:spacing w:line="357" w:lineRule="auto" w:before="117"/>
        <w:ind w:left="492" w:right="1034"/>
        <w:jc w:val="left"/>
      </w:pPr>
      <w:r>
        <w:rPr/>
        <w:t>②该固定资产的成本能够可靠地计量。 </w:t>
      </w:r>
      <w:r>
        <w:rPr>
          <w:spacing w:val="-2"/>
        </w:rPr>
        <w:t>固定资产发生的后续支出，符合固定资产确认条件的计入固定资产成本；不符合固定资产确认条件的在发生时计入当期</w:t>
      </w:r>
    </w:p>
    <w:p>
      <w:pPr>
        <w:pStyle w:val="BodyText"/>
        <w:spacing w:line="224" w:lineRule="exact"/>
        <w:ind w:left="132" w:right="1034"/>
        <w:jc w:val="left"/>
      </w:pPr>
      <w:r>
        <w:rPr/>
        <w:t>损益。</w:t>
      </w:r>
    </w:p>
    <w:p>
      <w:pPr>
        <w:spacing w:after="0" w:line="224" w:lineRule="exact"/>
        <w:jc w:val="left"/>
        <w:sectPr>
          <w:pgSz w:w="11910" w:h="16840"/>
          <w:pgMar w:header="746" w:footer="978" w:top="1060" w:bottom="1160" w:left="100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8"/>
        <w:rPr>
          <w:rFonts w:ascii="宋体" w:hAnsi="宋体" w:cs="宋体" w:eastAsia="宋体" w:hint="default"/>
          <w:b/>
          <w:bCs/>
          <w:sz w:val="6"/>
          <w:szCs w:val="6"/>
        </w:rPr>
      </w:pPr>
    </w:p>
    <w:p>
      <w:pPr>
        <w:pStyle w:val="BodyText"/>
        <w:spacing w:line="240" w:lineRule="auto" w:before="44"/>
        <w:ind w:left="472" w:right="0"/>
        <w:jc w:val="left"/>
      </w:pPr>
      <w:r>
        <w:rPr/>
        <w:t>对于已经计提减值准备的固定资产，在计提折旧时扣除已计提的固定资产减值准备。</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4"/>
        </w:rPr>
        <w:t>每年年度终了，公司对固定资产的使用寿命、预计净残值和折旧方法进行复核。使用寿命预计数与原先估计数有差异的，</w:t>
      </w:r>
      <w:r>
        <w:rPr/>
        <w:t> 调整固定资产使用寿命。</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4"/>
        </w:rPr>
        <w:t> </w:t>
      </w:r>
      <w:r>
        <w:rPr>
          <w:spacing w:val="-64"/>
        </w:rPr>
      </w:r>
      <w:r>
        <w:rPr>
          <w:spacing w:val="-2"/>
        </w:rPr>
        <w:t>用与自有固定资产相一致的折旧政策计提租赁资产折旧。能够合理确定租赁期届满时将会取得租赁资产所有权的，在租赁资</w:t>
      </w:r>
      <w:r>
        <w:rPr>
          <w:spacing w:val="-64"/>
        </w:rPr>
        <w:t> </w:t>
      </w:r>
      <w:r>
        <w:rPr>
          <w:spacing w:val="-64"/>
        </w:rPr>
      </w:r>
      <w:r>
        <w:rPr>
          <w:spacing w:val="-2"/>
        </w:rPr>
        <w:t>产使用年限内计提折旧；无法合理确定租赁期届满时能够取得租赁资产所有权的，在租赁期与租赁资产使用寿命两者中较短</w:t>
      </w:r>
      <w:r>
        <w:rPr>
          <w:spacing w:val="-64"/>
        </w:rPr>
        <w:t> </w:t>
      </w:r>
      <w:r>
        <w:rPr>
          <w:spacing w:val="-64"/>
        </w:rPr>
      </w:r>
      <w:r>
        <w:rPr/>
        <w:t>的期间内计提折旧。</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18、在建工程" w:id="186"/>
      <w:bookmarkEnd w:id="186"/>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0"/>
        <w:jc w:val="left"/>
      </w:pPr>
      <w:r>
        <w:rPr/>
        <w:t>（</w:t>
      </w:r>
      <w:r>
        <w:rPr>
          <w:rFonts w:ascii="Times New Roman" w:hAnsi="Times New Roman" w:cs="Times New Roman" w:eastAsia="Times New Roman" w:hint="default"/>
        </w:rPr>
        <w:t>1</w:t>
      </w:r>
      <w:r>
        <w:rPr/>
        <w:t>）在建工程以立项项目分类核算。</w:t>
      </w:r>
    </w:p>
    <w:p>
      <w:pPr>
        <w:pStyle w:val="BodyText"/>
        <w:spacing w:line="420" w:lineRule="atLeast" w:before="12"/>
        <w:ind w:left="472" w:right="0"/>
        <w:jc w:val="left"/>
      </w:pPr>
      <w:r>
        <w:rPr/>
        <w:t>（</w:t>
      </w: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在建工程项目按建造该项资产达到预定可使用状态前所发生的全部支出，作为固定资产的入账价值。包括建筑费用、机</w:t>
      </w:r>
    </w:p>
    <w:p>
      <w:pPr>
        <w:pStyle w:val="BodyText"/>
        <w:spacing w:line="316" w:lineRule="auto" w:before="76"/>
        <w:ind w:right="1130"/>
        <w:jc w:val="both"/>
      </w:pPr>
      <w:r>
        <w:rPr>
          <w:spacing w:val="-2"/>
        </w:rPr>
        <w:t>器设备原价、其他为使在建工程达到预定可使用状态所发生的必要支出以及在资产达到预定可使用状态之前为该项目专门借</w:t>
      </w:r>
      <w:r>
        <w:rPr>
          <w:spacing w:val="-64"/>
        </w:rPr>
        <w:t> </w:t>
      </w:r>
      <w:r>
        <w:rPr>
          <w:spacing w:val="-64"/>
        </w:rPr>
      </w:r>
      <w:r>
        <w:rPr>
          <w:spacing w:val="-2"/>
        </w:rPr>
        <w:t>款所发生的借款费用及占用的一般借款发生的借款费用。本公司在工程安装或建设完成达到预定可使用状态时将在建工程转</w:t>
      </w:r>
      <w:r>
        <w:rPr>
          <w:spacing w:val="-64"/>
        </w:rPr>
        <w:t> </w:t>
      </w:r>
      <w:r>
        <w:rPr>
          <w:spacing w:val="-64"/>
        </w:rPr>
      </w:r>
      <w:r>
        <w:rPr>
          <w:spacing w:val="-2"/>
        </w:rPr>
        <w:t>入固定资产。所建造的已达到预定可使用状态、但尚未办理竣工决算的固定资产，自达到预定可使用状态之日起，根据工程</w:t>
      </w:r>
      <w:r>
        <w:rPr>
          <w:spacing w:val="-64"/>
        </w:rPr>
        <w:t> </w:t>
      </w:r>
      <w:r>
        <w:rPr>
          <w:spacing w:val="-64"/>
        </w:rPr>
      </w:r>
      <w:r>
        <w:rPr>
          <w:spacing w:val="-2"/>
        </w:rPr>
        <w:t>预算、造价或者工程实际成本等，按估计的价值转入固定资产，并按本公司固定资产折旧政策计提固定资产的折旧，待办理</w:t>
      </w:r>
      <w:r>
        <w:rPr>
          <w:spacing w:val="-64"/>
        </w:rPr>
        <w:t> </w:t>
      </w:r>
      <w:r>
        <w:rPr>
          <w:spacing w:val="-64"/>
        </w:rPr>
      </w:r>
      <w:r>
        <w:rPr/>
        <w:t>竣工决算后，再按实际成本调整原来的暂估价值，但不调整原已计提的折旧额。</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19、借款费用" w:id="187"/>
      <w:bookmarkEnd w:id="187"/>
      <w:r>
        <w:rPr>
          <w:b w:val="0"/>
          <w:bCs w:val="0"/>
        </w:rPr>
      </w:r>
      <w:r>
        <w:rPr>
          <w:rFonts w:ascii="Times New Roman" w:hAnsi="Times New Roman" w:cs="Times New Roman" w:eastAsia="Times New Roman" w:hint="default"/>
        </w:rPr>
        <w:t>19</w:t>
      </w:r>
      <w:r>
        <w:rPr/>
        <w:t>、借款费用</w:t>
      </w:r>
      <w:r>
        <w:rPr>
          <w:b w:val="0"/>
          <w:bCs w:val="0"/>
        </w:rPr>
      </w:r>
    </w:p>
    <w:p>
      <w:pPr>
        <w:spacing w:line="420" w:lineRule="atLeast" w:before="176"/>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）借款费用资本化的确认原则和资本化期间</w:t>
      </w:r>
      <w:r>
        <w:rPr>
          <w:rFonts w:ascii="宋体" w:hAnsi="宋体" w:cs="宋体" w:eastAsia="宋体" w:hint="default"/>
          <w:b/>
          <w:bCs/>
          <w:w w:val="99"/>
          <w:sz w:val="18"/>
          <w:szCs w:val="18"/>
        </w:rPr>
        <w:t> </w:t>
      </w:r>
      <w:r>
        <w:rPr>
          <w:rFonts w:ascii="宋体" w:hAnsi="宋体" w:cs="宋体" w:eastAsia="宋体" w:hint="default"/>
          <w:sz w:val="18"/>
          <w:szCs w:val="18"/>
        </w:rPr>
        <w:t>本公司发生的可直接归属于符合资本化条件的资产的购建或生产的借款费用在同时满足下列条件时予以资本化计入相</w:t>
      </w:r>
    </w:p>
    <w:p>
      <w:pPr>
        <w:pStyle w:val="BodyText"/>
        <w:spacing w:line="240" w:lineRule="auto" w:before="76"/>
        <w:ind w:right="0"/>
        <w:jc w:val="both"/>
      </w:pPr>
      <w:r>
        <w:rPr/>
        <w:t>关资产成本：</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①资产支出已经发生；</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②借款费用已经发生；</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③为使资产达到预定可使用状态所必要的购建或者生产活动已经开始。</w:t>
      </w:r>
    </w:p>
    <w:p>
      <w:pPr>
        <w:spacing w:after="0" w:line="240" w:lineRule="auto"/>
        <w:jc w:val="left"/>
        <w:sectPr>
          <w:footerReference w:type="default" r:id="rId25"/>
          <w:pgSz w:w="11910" w:h="16840"/>
          <w:pgMar w:footer="978" w:header="746" w:top="1060" w:bottom="1160" w:left="1020" w:right="0"/>
          <w:pgNumType w:start="130"/>
        </w:sectPr>
      </w:pPr>
    </w:p>
    <w:p>
      <w:pPr>
        <w:spacing w:line="240" w:lineRule="auto" w:before="12"/>
        <w:rPr>
          <w:rFonts w:ascii="宋体" w:hAnsi="宋体" w:cs="宋体" w:eastAsia="宋体" w:hint="default"/>
          <w:sz w:val="25"/>
          <w:szCs w:val="25"/>
        </w:rPr>
      </w:pPr>
    </w:p>
    <w:p>
      <w:pPr>
        <w:pStyle w:val="BodyText"/>
        <w:spacing w:line="439" w:lineRule="auto" w:before="44"/>
        <w:ind w:left="492" w:right="1034"/>
        <w:jc w:val="left"/>
      </w:pPr>
      <w:r>
        <w:rPr/>
        <w:t>其他的借款利息、折价或溢价和汇兑差额，计入发生当期的损益。 </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p>
    <w:p>
      <w:pPr>
        <w:pStyle w:val="BodyText"/>
        <w:spacing w:line="316" w:lineRule="auto" w:before="17"/>
        <w:ind w:left="132" w:right="1132" w:firstLine="360"/>
        <w:jc w:val="both"/>
      </w:pPr>
      <w:r>
        <w:rPr>
          <w:spacing w:val="-2"/>
        </w:rPr>
        <w:t>当购建或者生产符合资本化条件的资产达到预定可使用或者可销售状态时，停止其借款费用的资本化；以后发生的借款</w:t>
      </w:r>
      <w:r>
        <w:rPr/>
        <w:t> 费用于发生当期确认为费用。</w:t>
      </w:r>
    </w:p>
    <w:p>
      <w:pPr>
        <w:spacing w:line="432" w:lineRule="exact" w:before="3"/>
        <w:ind w:left="492" w:right="103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）借款费用资本化率以及资本化金额的计算方法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为购建或者生产符合资本化条件的资产而借入专门借款的，以专门借款当期实际发生的利息费用，减去将尚未动用的借</w:t>
      </w:r>
    </w:p>
    <w:p>
      <w:pPr>
        <w:pStyle w:val="BodyText"/>
        <w:spacing w:line="240" w:lineRule="auto" w:before="15"/>
        <w:ind w:left="132" w:right="1034"/>
        <w:jc w:val="left"/>
      </w:pPr>
      <w:r>
        <w:rPr/>
        <w:t>款资金存入银行取得的利息收入或者进行暂时性投资取得的投资收益后的金额，确定为专门借款利息费用的资本化金额。</w:t>
      </w:r>
    </w:p>
    <w:p>
      <w:pPr>
        <w:spacing w:line="240" w:lineRule="auto" w:before="0"/>
        <w:rPr>
          <w:rFonts w:ascii="宋体" w:hAnsi="宋体" w:cs="宋体" w:eastAsia="宋体" w:hint="default"/>
          <w:sz w:val="15"/>
          <w:szCs w:val="15"/>
        </w:rPr>
      </w:pPr>
    </w:p>
    <w:p>
      <w:pPr>
        <w:pStyle w:val="BodyText"/>
        <w:spacing w:line="316" w:lineRule="auto"/>
        <w:ind w:left="132" w:right="1132" w:firstLine="360"/>
        <w:jc w:val="both"/>
      </w:pPr>
      <w:r>
        <w:rPr>
          <w:spacing w:val="-2"/>
        </w:rPr>
        <w:t>购建或者生产符合资本化条件的资产占用了一般借款的，一般借款应予资本化的利息金额按累计资产支出超过专门借款</w:t>
      </w:r>
      <w:r>
        <w:rPr/>
        <w:t> </w:t>
      </w:r>
      <w:r>
        <w:rPr>
          <w:spacing w:val="-2"/>
        </w:rPr>
        <w:t>部分的资产支出加权平均数乘以所占用一般借款的资本化率，计算确定一般借款应予资本化的利息金额。资本化率根据一般</w:t>
      </w:r>
      <w:r>
        <w:rPr>
          <w:spacing w:val="-64"/>
        </w:rPr>
        <w:t> </w:t>
      </w:r>
      <w:r>
        <w:rPr>
          <w:spacing w:val="-64"/>
        </w:rPr>
      </w:r>
      <w:r>
        <w:rPr/>
        <w:t>借款加权平均利率计算确定。</w:t>
      </w:r>
    </w:p>
    <w:p>
      <w:pPr>
        <w:spacing w:line="240" w:lineRule="auto" w:before="6"/>
        <w:rPr>
          <w:rFonts w:ascii="宋体" w:hAnsi="宋体" w:cs="宋体" w:eastAsia="宋体" w:hint="default"/>
          <w:sz w:val="22"/>
          <w:szCs w:val="22"/>
        </w:rPr>
      </w:pPr>
    </w:p>
    <w:p>
      <w:pPr>
        <w:pStyle w:val="Heading3"/>
        <w:spacing w:line="240" w:lineRule="auto"/>
        <w:ind w:left="132" w:right="1034"/>
        <w:jc w:val="left"/>
        <w:rPr>
          <w:b w:val="0"/>
          <w:bCs w:val="0"/>
        </w:rPr>
      </w:pPr>
      <w:bookmarkStart w:name="20、无形资产" w:id="188"/>
      <w:bookmarkEnd w:id="188"/>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1034"/>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spacing w:line="439" w:lineRule="auto" w:before="0"/>
        <w:ind w:left="492" w:right="8234" w:firstLine="2"/>
        <w:jc w:val="left"/>
        <w:rPr>
          <w:rFonts w:ascii="宋体" w:hAnsi="宋体" w:cs="宋体" w:eastAsia="宋体" w:hint="default"/>
          <w:sz w:val="18"/>
          <w:szCs w:val="18"/>
        </w:rPr>
      </w:pPr>
      <w:r>
        <w:rPr>
          <w:rFonts w:ascii="宋体" w:hAnsi="宋体" w:cs="宋体" w:eastAsia="宋体" w:hint="default"/>
          <w:b/>
          <w:bCs/>
          <w:sz w:val="18"/>
          <w:szCs w:val="18"/>
        </w:rPr>
        <w:t>无形资产的计价方法</w:t>
      </w:r>
      <w:r>
        <w:rPr>
          <w:rFonts w:ascii="宋体" w:hAnsi="宋体" w:cs="宋体" w:eastAsia="宋体" w:hint="default"/>
          <w:b/>
          <w:bCs/>
          <w:w w:val="99"/>
          <w:sz w:val="18"/>
          <w:szCs w:val="18"/>
        </w:rPr>
        <w:t> </w:t>
      </w:r>
      <w:r>
        <w:rPr>
          <w:rFonts w:ascii="宋体" w:hAnsi="宋体" w:cs="宋体" w:eastAsia="宋体" w:hint="default"/>
          <w:sz w:val="18"/>
          <w:szCs w:val="18"/>
        </w:rPr>
        <w:t>按取得时的实际成本入账。 </w:t>
      </w:r>
      <w:r>
        <w:rPr>
          <w:rFonts w:ascii="宋体" w:hAnsi="宋体" w:cs="宋体" w:eastAsia="宋体" w:hint="default"/>
          <w:b/>
          <w:bCs/>
          <w:sz w:val="18"/>
          <w:szCs w:val="18"/>
        </w:rPr>
        <w:t>无形资产使用寿命及摊销</w:t>
      </w:r>
      <w:r>
        <w:rPr>
          <w:rFonts w:ascii="宋体" w:hAnsi="宋体" w:cs="宋体" w:eastAsia="宋体" w:hint="default"/>
          <w:sz w:val="18"/>
          <w:szCs w:val="18"/>
        </w:rPr>
      </w:r>
    </w:p>
    <w:p>
      <w:pPr>
        <w:pStyle w:val="BodyText"/>
        <w:spacing w:line="240" w:lineRule="auto" w:before="47"/>
        <w:ind w:left="492" w:right="1034"/>
        <w:jc w:val="left"/>
      </w:pPr>
      <w:r>
        <w:rPr/>
        <w:t>①使用寿命有限的无形资产的使用寿命估计情况：</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415"/>
        <w:gridCol w:w="3834"/>
        <w:gridCol w:w="3409"/>
      </w:tblGrid>
      <w:tr>
        <w:trPr>
          <w:trHeight w:val="347" w:hRule="exact"/>
        </w:trPr>
        <w:tc>
          <w:tcPr>
            <w:tcW w:w="241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40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3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预计受益年限</w:t>
            </w:r>
          </w:p>
        </w:tc>
      </w:tr>
    </w:tbl>
    <w:p>
      <w:pPr>
        <w:spacing w:line="240" w:lineRule="auto" w:before="8"/>
        <w:rPr>
          <w:rFonts w:ascii="宋体" w:hAnsi="宋体" w:cs="宋体" w:eastAsia="宋体" w:hint="default"/>
          <w:sz w:val="6"/>
          <w:szCs w:val="6"/>
        </w:rPr>
      </w:pPr>
    </w:p>
    <w:p>
      <w:pPr>
        <w:pStyle w:val="BodyText"/>
        <w:spacing w:line="316" w:lineRule="auto" w:before="44"/>
        <w:ind w:left="132" w:right="1034" w:firstLine="360"/>
        <w:jc w:val="left"/>
      </w:pPr>
      <w:r>
        <w:rPr>
          <w:spacing w:val="-2"/>
        </w:rPr>
        <w:t>每年年度终了，公司对使用寿命有限的无形资产的使用寿命及摊销方法进行复核。经复核，本期末无形资产的使用寿命</w:t>
      </w:r>
      <w:r>
        <w:rPr/>
        <w:t> 及摊销方法与以前估计未有不同。</w:t>
      </w:r>
    </w:p>
    <w:p>
      <w:pPr>
        <w:pStyle w:val="BodyText"/>
        <w:spacing w:line="316" w:lineRule="auto" w:before="139"/>
        <w:ind w:left="132" w:right="1034" w:firstLine="360"/>
        <w:jc w:val="left"/>
      </w:pPr>
      <w:r>
        <w:rPr/>
        <w:t>②无法预见无形资产为企业带来经济利益期限的，视为使用寿命不确定的无形资产。对于使用寿命不确定的无形资产，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w:t>
      </w:r>
    </w:p>
    <w:p>
      <w:pPr>
        <w:pStyle w:val="BodyText"/>
        <w:spacing w:line="432" w:lineRule="exact" w:before="3"/>
        <w:ind w:left="492" w:right="1034"/>
        <w:jc w:val="left"/>
      </w:pPr>
      <w:r>
        <w:rPr/>
        <w:t>③无形资产的摊销 </w:t>
      </w:r>
      <w:r>
        <w:rPr>
          <w:spacing w:val="-2"/>
        </w:rPr>
        <w:t>对于使用寿命有限的无形资产，本公司在取得时判定其使用寿命，在使用寿命内采用直线法系统合理摊销，摊销金额按</w:t>
      </w:r>
    </w:p>
    <w:p>
      <w:pPr>
        <w:pStyle w:val="BodyText"/>
        <w:spacing w:line="316" w:lineRule="auto" w:before="15"/>
        <w:ind w:left="132" w:right="1130"/>
        <w:jc w:val="both"/>
      </w:pPr>
      <w:r>
        <w:rPr>
          <w:spacing w:val="-2"/>
        </w:rPr>
        <w:t>受益项目计入当期损益。具体应摊销金额为其成本扣除预计残值后的金额。已计提减值准备的无形资产，还应扣除已计提的</w:t>
      </w:r>
      <w:r>
        <w:rPr>
          <w:spacing w:val="-63"/>
        </w:rPr>
        <w:t> </w:t>
      </w:r>
      <w:r>
        <w:rPr>
          <w:spacing w:val="-63"/>
        </w:rPr>
      </w:r>
      <w:r>
        <w:rPr>
          <w:spacing w:val="-2"/>
        </w:rPr>
        <w:t>无形资产减值准备累计金额，残值为零。但下列情况除外：有第三方承诺在无形资产使用寿命结束时购买该无形资产或可以</w:t>
      </w:r>
      <w:r>
        <w:rPr>
          <w:spacing w:val="-65"/>
        </w:rPr>
        <w:t> </w:t>
      </w:r>
      <w:r>
        <w:rPr>
          <w:spacing w:val="-65"/>
        </w:rPr>
      </w:r>
      <w:r>
        <w:rPr/>
        <w:t>根据活跃市场得到预计残值信息，并且该市场在无形资产使用寿命结束时很可能存在。</w:t>
      </w:r>
    </w:p>
    <w:p>
      <w:pPr>
        <w:pStyle w:val="BodyText"/>
        <w:spacing w:line="316" w:lineRule="auto" w:before="139"/>
        <w:ind w:left="132" w:right="1130"/>
        <w:jc w:val="both"/>
      </w:pPr>
      <w:r>
        <w:rPr>
          <w:spacing w:val="-2"/>
        </w:rPr>
        <w:t>对使用寿命不确定的无形资产，不予摊销。每年年度终了对使用寿命不确定的无形资产的使用寿命进行复核，如果有证据表</w:t>
      </w:r>
      <w:r>
        <w:rPr>
          <w:spacing w:val="-63"/>
        </w:rPr>
        <w:t> </w:t>
      </w:r>
      <w:r>
        <w:rPr>
          <w:spacing w:val="-63"/>
        </w:rPr>
      </w:r>
      <w:r>
        <w:rPr/>
        <w:t>明无形资产的使用寿命是有限的，估计其使用寿命并在预计使用年限内系统合理摊销。</w:t>
      </w:r>
    </w:p>
    <w:p>
      <w:pPr>
        <w:spacing w:line="240" w:lineRule="auto" w:before="6"/>
        <w:rPr>
          <w:rFonts w:ascii="宋体" w:hAnsi="宋体" w:cs="宋体" w:eastAsia="宋体" w:hint="default"/>
          <w:sz w:val="22"/>
          <w:szCs w:val="22"/>
        </w:rPr>
      </w:pPr>
    </w:p>
    <w:p>
      <w:pPr>
        <w:pStyle w:val="Heading3"/>
        <w:spacing w:line="240" w:lineRule="auto"/>
        <w:ind w:left="132" w:right="0"/>
        <w:jc w:val="both"/>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left="495" w:right="1034"/>
        <w:jc w:val="left"/>
        <w:rPr>
          <w:b w:val="0"/>
          <w:bCs w:val="0"/>
        </w:rPr>
      </w:pPr>
      <w:r>
        <w:rPr/>
        <w:t>划分内部研究开发项目的研究阶段和开发阶段具体标准</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left="132" w:right="1034" w:firstLine="360"/>
        <w:jc w:val="left"/>
      </w:pPr>
      <w:r>
        <w:rPr>
          <w:spacing w:val="-2"/>
        </w:rPr>
        <w:t>①本公司将为进一步开发活动进行的资料及相关方面的准备活动作为研究阶段，无形资产研究阶段的支出在发生时计入</w:t>
      </w:r>
      <w:r>
        <w:rPr/>
        <w:t> 当期损益。</w:t>
      </w:r>
    </w:p>
    <w:p>
      <w:pPr>
        <w:spacing w:after="0" w:line="316" w:lineRule="auto"/>
        <w:jc w:val="left"/>
        <w:sectPr>
          <w:pgSz w:w="11910" w:h="16840"/>
          <w:pgMar w:header="746" w:footer="978" w:top="1060" w:bottom="1160" w:left="1000" w:right="0"/>
        </w:sectPr>
      </w:pPr>
    </w:p>
    <w:p>
      <w:pPr>
        <w:spacing w:line="240" w:lineRule="auto" w:before="12"/>
        <w:rPr>
          <w:rFonts w:ascii="宋体" w:hAnsi="宋体" w:cs="宋体" w:eastAsia="宋体" w:hint="default"/>
          <w:sz w:val="25"/>
          <w:szCs w:val="25"/>
        </w:rPr>
      </w:pPr>
    </w:p>
    <w:p>
      <w:pPr>
        <w:pStyle w:val="BodyText"/>
        <w:spacing w:line="434" w:lineRule="auto" w:before="44"/>
        <w:ind w:left="472" w:right="4814"/>
        <w:jc w:val="left"/>
      </w:pPr>
      <w:r>
        <w:rPr/>
        <w:t>②在本公司已完成研究阶段的工作后再进行的开发活动作为开发阶段。 </w:t>
      </w:r>
      <w:r>
        <w:rPr>
          <w:rFonts w:ascii="宋体" w:hAnsi="宋体" w:cs="宋体" w:eastAsia="宋体" w:hint="default"/>
          <w:b/>
          <w:bCs/>
        </w:rPr>
        <w:t>开发阶段支出资本化的具体条件</w:t>
      </w:r>
      <w:r>
        <w:rPr>
          <w:rFonts w:ascii="宋体" w:hAnsi="宋体" w:cs="宋体" w:eastAsia="宋体" w:hint="default"/>
          <w:b/>
          <w:bCs/>
          <w:w w:val="99"/>
        </w:rPr>
        <w:t> </w:t>
      </w:r>
      <w:r>
        <w:rPr/>
        <w:t>开发阶段的支出同时满足下列条件时，才能确认为无形资产：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21"/>
        <w:ind w:right="0" w:firstLine="360"/>
        <w:jc w:val="left"/>
      </w:pPr>
      <w:r>
        <w:rPr>
          <w:rFonts w:ascii="Times New Roman" w:hAnsi="Times New Roman" w:cs="Times New Roman" w:eastAsia="Times New Roman" w:hint="default"/>
          <w:spacing w:val="-2"/>
        </w:rPr>
        <w:t>C.</w:t>
      </w:r>
      <w:r>
        <w:rPr>
          <w:spacing w:val="-2"/>
        </w:rPr>
        <w:t>无形资产产生经济利益的方式，包括能够证明运用该无形资产生产的产品存在市场或无形资产自身存在市场，无形资</w:t>
      </w:r>
      <w:r>
        <w:rPr/>
        <w:t> 产将在内部使用的，能够证明其有用性；</w:t>
      </w:r>
    </w:p>
    <w:p>
      <w:pPr>
        <w:pStyle w:val="BodyText"/>
        <w:spacing w:line="415" w:lineRule="auto" w:before="151"/>
        <w:ind w:left="472" w:right="1939"/>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21、长期资产减值" w:id="191"/>
      <w:bookmarkEnd w:id="191"/>
      <w:r>
        <w:rPr>
          <w:b w:val="0"/>
          <w:bCs w:val="0"/>
        </w:rPr>
      </w:r>
      <w:r>
        <w:rPr>
          <w:rFonts w:ascii="Times New Roman" w:hAnsi="Times New Roman" w:cs="Times New Roman" w:eastAsia="Times New Roman" w:hint="default"/>
        </w:rPr>
        <w:t>21</w:t>
      </w:r>
      <w:r>
        <w:rPr/>
        <w:t>、长期资产减值</w:t>
      </w:r>
      <w:r>
        <w:rPr>
          <w:b w:val="0"/>
          <w:bCs w:val="0"/>
        </w:rPr>
      </w:r>
    </w:p>
    <w:p>
      <w:pPr>
        <w:spacing w:line="420" w:lineRule="atLeast" w:before="176"/>
        <w:ind w:left="472" w:right="0" w:firstLine="67"/>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）长期股权投资减值测试方法及会计处理方法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本公司在资产负债表日对长期股权投资进行逐项检查，根据被投资单位经营政策、法律环境、市场需求、行业及盈利能</w:t>
      </w:r>
    </w:p>
    <w:p>
      <w:pPr>
        <w:pStyle w:val="BodyText"/>
        <w:spacing w:line="316" w:lineRule="auto" w:before="76"/>
        <w:ind w:right="0"/>
        <w:jc w:val="left"/>
      </w:pPr>
      <w:r>
        <w:rPr>
          <w:spacing w:val="-2"/>
        </w:rPr>
        <w:t>力等的各种变化判断长期股权投资是否存在减值迹象。当长期股权投资可收回金额低于账面价值时，将可收回金额低于长期</w:t>
      </w:r>
      <w:r>
        <w:rPr>
          <w:spacing w:val="-64"/>
        </w:rPr>
        <w:t> </w:t>
      </w:r>
      <w:r>
        <w:rPr>
          <w:spacing w:val="-64"/>
        </w:rPr>
      </w:r>
      <w:r>
        <w:rPr/>
        <w:t>股权投资账面价值的差额作为长期股权投资减值准备予以计提。资产减值损失一经确认，在以后会计期间不再转回。</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）投资性房地产减值测试方法及会计处理方法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资产负债表日按投资性房产的成本与可收回金额孰低计价，可收回金额低于成本的，按两者的差额计提减值准备。如果</w:t>
      </w:r>
    </w:p>
    <w:p>
      <w:pPr>
        <w:pStyle w:val="BodyText"/>
        <w:spacing w:line="240" w:lineRule="auto" w:before="15"/>
        <w:ind w:right="0"/>
        <w:jc w:val="left"/>
      </w:pPr>
      <w:r>
        <w:rPr/>
        <w:t>已经计提减值准备的投资性房地产的价值又得以恢复，前期已计提的减值准备不得转回。</w:t>
      </w:r>
    </w:p>
    <w:p>
      <w:pPr>
        <w:spacing w:line="420" w:lineRule="atLeast" w:before="25"/>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）固定资产的减值测试方法及会计处理方法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本公司在资产负债表日对各项固定资产进行判断，当存在减值迹象，估计可收回金额低于其账面价值时，账面价值减记</w:t>
      </w:r>
    </w:p>
    <w:p>
      <w:pPr>
        <w:pStyle w:val="BodyText"/>
        <w:spacing w:line="316" w:lineRule="auto" w:before="76"/>
        <w:ind w:right="1034"/>
        <w:jc w:val="left"/>
      </w:pPr>
      <w:r>
        <w:rPr/>
        <w:t>至可收回金额，减记的金额确认为资产减值损失，计入当期损益，同时计提相应的资产减值准备。资产减值损失一经确认， 在以后会计期间不再转回。当存在下列迹象的，按固定资产单项项目全额计提减值准备：</w:t>
      </w:r>
    </w:p>
    <w:p>
      <w:pPr>
        <w:pStyle w:val="BodyText"/>
        <w:spacing w:line="240" w:lineRule="auto" w:before="139"/>
        <w:ind w:left="472" w:right="0"/>
        <w:jc w:val="left"/>
      </w:pPr>
      <w:r>
        <w:rPr/>
        <w:t>①长期闲置不用，在可预见的未来不会再使用，且已无转让价值的固定资产；</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②由于技术进步等原因，已不可使用的固定资产；</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③虽然固定资产尚可使用，但使用后产生大量不合格品的固定资产；</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④已遭毁损，以至于不再具有使用价值和转让价值的固定资产；</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⑤其他实质上已经不能再给公司带来经济利益的固定资产。</w:t>
      </w:r>
    </w:p>
    <w:p>
      <w:pPr>
        <w:spacing w:line="420" w:lineRule="atLeast" w:before="25"/>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）在建工程减值测试方法及会计处理方法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本公司于资产负债表日对在建工程进行全面检查，如果有证据表明在建工程已经发生了减值，估计可收回金额低于其账</w:t>
      </w:r>
    </w:p>
    <w:p>
      <w:pPr>
        <w:pStyle w:val="BodyText"/>
        <w:spacing w:line="316" w:lineRule="auto" w:before="76"/>
        <w:ind w:right="1034"/>
        <w:jc w:val="left"/>
      </w:pPr>
      <w:r>
        <w:rPr/>
        <w:t>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p>
    <w:p>
      <w:pPr>
        <w:pStyle w:val="BodyText"/>
        <w:spacing w:line="240" w:lineRule="auto" w:before="139"/>
        <w:ind w:left="472" w:right="0"/>
        <w:jc w:val="left"/>
      </w:pPr>
      <w:r>
        <w:rPr/>
        <w:t>①长期停建并且预计在未来</w:t>
      </w:r>
      <w:r>
        <w:rPr>
          <w:rFonts w:ascii="Times New Roman" w:hAnsi="Times New Roman" w:cs="Times New Roman" w:eastAsia="Times New Roman" w:hint="default"/>
        </w:rPr>
        <w:t>3</w:t>
      </w:r>
      <w:r>
        <w:rPr/>
        <w:t>年内不会重新开工的在建工程；</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②所建项目无论在性能上，还是在技术上已经落后，并且给企业带来的经济利益具有很大的不确定性；</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③其他足以证明在建工程已经发生减值的情形。</w:t>
      </w: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）无形资产减值测试方法及会计处理方法</w:t>
      </w:r>
      <w:r>
        <w:rPr>
          <w:b w:val="0"/>
          <w:bCs w:val="0"/>
        </w:rPr>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b/>
          <w:bCs/>
          <w:sz w:val="25"/>
          <w:szCs w:val="25"/>
        </w:rPr>
      </w:pPr>
    </w:p>
    <w:p>
      <w:pPr>
        <w:pStyle w:val="BodyText"/>
        <w:spacing w:line="316" w:lineRule="auto" w:before="44"/>
        <w:ind w:left="132" w:right="1034" w:firstLine="360"/>
        <w:jc w:val="left"/>
      </w:pPr>
      <w:r>
        <w:rPr/>
        <w:t>当无形资产的可收回金额低于其账面价值时，将资产的账面价值减记至可收回金额，减记的金额确认为资产减值损失， </w:t>
      </w:r>
      <w:r>
        <w:rPr>
          <w:spacing w:val="-2"/>
        </w:rPr>
        <w:t>计入当期损益，同时计提相应的无形资产减值准备。无形资产减值损失一经确认，在以后会计期间不再转回。存在下列一项</w:t>
      </w:r>
      <w:r>
        <w:rPr>
          <w:spacing w:val="-64"/>
        </w:rPr>
        <w:t> </w:t>
      </w:r>
      <w:r>
        <w:rPr>
          <w:spacing w:val="-64"/>
        </w:rPr>
      </w:r>
      <w:r>
        <w:rPr/>
        <w:t>或多项以下情况的，对无形资产进行减值测试：</w:t>
      </w:r>
    </w:p>
    <w:p>
      <w:pPr>
        <w:pStyle w:val="BodyText"/>
        <w:spacing w:line="240" w:lineRule="auto" w:before="139"/>
        <w:ind w:left="492" w:right="1034"/>
        <w:jc w:val="left"/>
      </w:pPr>
      <w:r>
        <w:rPr/>
        <w:t>①该无形资产已被其他新技术等所替代，使其为企业创造经济利益的能力受到重大不利影响；</w:t>
      </w:r>
    </w:p>
    <w:p>
      <w:pPr>
        <w:spacing w:line="240" w:lineRule="auto" w:before="0"/>
        <w:rPr>
          <w:rFonts w:ascii="宋体" w:hAnsi="宋体" w:cs="宋体" w:eastAsia="宋体" w:hint="default"/>
          <w:sz w:val="15"/>
          <w:szCs w:val="15"/>
        </w:rPr>
      </w:pPr>
    </w:p>
    <w:p>
      <w:pPr>
        <w:pStyle w:val="BodyText"/>
        <w:spacing w:line="240" w:lineRule="auto"/>
        <w:ind w:left="492" w:right="1034"/>
        <w:jc w:val="left"/>
      </w:pPr>
      <w:r>
        <w:rPr/>
        <w:t>②该无形资产的市价在当期大幅下跌，并在剩余年限内可能不会回升；</w:t>
      </w:r>
    </w:p>
    <w:p>
      <w:pPr>
        <w:spacing w:line="240" w:lineRule="auto" w:before="0"/>
        <w:rPr>
          <w:rFonts w:ascii="宋体" w:hAnsi="宋体" w:cs="宋体" w:eastAsia="宋体" w:hint="default"/>
          <w:sz w:val="15"/>
          <w:szCs w:val="15"/>
        </w:rPr>
      </w:pPr>
    </w:p>
    <w:p>
      <w:pPr>
        <w:pStyle w:val="BodyText"/>
        <w:spacing w:line="240" w:lineRule="auto"/>
        <w:ind w:left="492" w:right="1034"/>
        <w:jc w:val="left"/>
      </w:pPr>
      <w:r>
        <w:rPr/>
        <w:t>③其他足以表明该无形资产的账面价值已超过可收回金额的情况。</w:t>
      </w:r>
    </w:p>
    <w:p>
      <w:pPr>
        <w:pStyle w:val="BodyText"/>
        <w:spacing w:line="420" w:lineRule="atLeast" w:before="25"/>
        <w:ind w:left="492" w:right="1034" w:hanging="178"/>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）商誉减值测试</w:t>
      </w:r>
      <w:r>
        <w:rPr>
          <w:rFonts w:ascii="宋体" w:hAnsi="宋体" w:cs="宋体" w:eastAsia="宋体" w:hint="default"/>
          <w:b/>
          <w:bCs/>
          <w:w w:val="99"/>
        </w:rPr>
        <w:t> </w:t>
      </w:r>
      <w:r>
        <w:rPr>
          <w:spacing w:val="-2"/>
        </w:rPr>
        <w:t>企业合并形成的商誉，至少在每年年度终了进行减值测试。本公司在对包含商誉的相关资产组或者资产组组合进行减值</w:t>
      </w:r>
    </w:p>
    <w:p>
      <w:pPr>
        <w:pStyle w:val="BodyText"/>
        <w:spacing w:line="240" w:lineRule="auto" w:before="76"/>
        <w:ind w:left="132" w:right="1034"/>
        <w:jc w:val="left"/>
      </w:pPr>
      <w:r>
        <w:rPr/>
        <w:t>测试时，如与商誉相关的资产组或者资产组组合存在减值迹象的，按以下步骤处理：</w:t>
      </w:r>
    </w:p>
    <w:p>
      <w:pPr>
        <w:spacing w:line="240" w:lineRule="auto" w:before="0"/>
        <w:rPr>
          <w:rFonts w:ascii="宋体" w:hAnsi="宋体" w:cs="宋体" w:eastAsia="宋体" w:hint="default"/>
          <w:sz w:val="15"/>
          <w:szCs w:val="15"/>
        </w:rPr>
      </w:pPr>
    </w:p>
    <w:p>
      <w:pPr>
        <w:pStyle w:val="BodyText"/>
        <w:spacing w:line="316" w:lineRule="auto"/>
        <w:ind w:left="132" w:right="1130" w:firstLine="360"/>
        <w:jc w:val="both"/>
      </w:pPr>
      <w:r>
        <w:rPr>
          <w:spacing w:val="-2"/>
        </w:rPr>
        <w:t>首先对不包含商誉的资产组或者资产组组合进行减值测试，计算可收回金额，并与相关资产账面价值比较，确认相应的</w:t>
      </w:r>
      <w:r>
        <w:rPr/>
        <w:t> </w:t>
      </w:r>
      <w:r>
        <w:rPr>
          <w:spacing w:val="-5"/>
        </w:rPr>
        <w:t>减值损失；然后再对包含商誉的资产组或者资产组这组合进行减值测试，比较这些相关资产组或者资产组组合的账面价值（包</w:t>
      </w:r>
      <w:r>
        <w:rPr>
          <w:spacing w:val="-75"/>
        </w:rPr>
        <w:t> </w:t>
      </w:r>
      <w:r>
        <w:rPr>
          <w:spacing w:val="-75"/>
        </w:rPr>
      </w:r>
      <w:r>
        <w:rPr>
          <w:spacing w:val="-2"/>
        </w:rPr>
        <w:t>括所分摊的商誉的账面价值部分）与其可收回金额，如相关资产组或者资产组组合的可收回金额低于其账面价值的，就其差</w:t>
      </w:r>
      <w:r>
        <w:rPr>
          <w:spacing w:val="-63"/>
        </w:rPr>
        <w:t> </w:t>
      </w:r>
      <w:r>
        <w:rPr>
          <w:spacing w:val="-63"/>
        </w:rPr>
      </w:r>
      <w:r>
        <w:rPr>
          <w:spacing w:val="-2"/>
        </w:rPr>
        <w:t>额确认减值损失。减值损失金额首先抵减分摊至资产组或者资产组组合中商誉的账面价值；再根据资产组或者资产组组合中</w:t>
      </w:r>
      <w:r>
        <w:rPr>
          <w:spacing w:val="-64"/>
        </w:rPr>
        <w:t> </w:t>
      </w:r>
      <w:r>
        <w:rPr>
          <w:spacing w:val="-64"/>
        </w:rPr>
      </w:r>
      <w:r>
        <w:rPr/>
        <w:t>除商誉之外的其他各项资产的账面价值所占比重，按比例抵减其他各项资产的账面价值。</w:t>
      </w:r>
    </w:p>
    <w:p>
      <w:pPr>
        <w:spacing w:line="240" w:lineRule="auto" w:before="6"/>
        <w:rPr>
          <w:rFonts w:ascii="宋体" w:hAnsi="宋体" w:cs="宋体" w:eastAsia="宋体" w:hint="default"/>
          <w:sz w:val="22"/>
          <w:szCs w:val="22"/>
        </w:rPr>
      </w:pPr>
    </w:p>
    <w:p>
      <w:pPr>
        <w:pStyle w:val="Heading3"/>
        <w:spacing w:line="240" w:lineRule="auto"/>
        <w:ind w:left="132" w:right="1034"/>
        <w:jc w:val="left"/>
        <w:rPr>
          <w:b w:val="0"/>
          <w:bCs w:val="0"/>
        </w:rPr>
      </w:pPr>
      <w:bookmarkStart w:name="22、长期待摊费用" w:id="192"/>
      <w:bookmarkEnd w:id="192"/>
      <w:r>
        <w:rPr>
          <w:b w:val="0"/>
          <w:bCs w:val="0"/>
        </w:rPr>
      </w:r>
      <w:r>
        <w:rPr>
          <w:rFonts w:ascii="Times New Roman" w:hAnsi="Times New Roman" w:cs="Times New Roman" w:eastAsia="Times New Roman" w:hint="default"/>
        </w:rPr>
        <w:t>22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492" w:right="2654"/>
        <w:jc w:val="left"/>
      </w:pPr>
      <w:r>
        <w:rPr/>
        <w:t>长期待摊费用核算本公司已经发生但应由本期和以后各期负担的分摊期限在一年以上的各项费用。 本公司长期待摊费用在受益期内平均摊销，各项费用摊销的年限如下：</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550"/>
        <w:gridCol w:w="6108"/>
      </w:tblGrid>
      <w:tr>
        <w:trPr>
          <w:trHeight w:val="347" w:hRule="exact"/>
        </w:trPr>
        <w:tc>
          <w:tcPr>
            <w:tcW w:w="355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10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7" w:hRule="exact"/>
        </w:trPr>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按房屋租赁期限</w:t>
            </w:r>
          </w:p>
        </w:tc>
      </w:tr>
      <w:tr>
        <w:trPr>
          <w:trHeight w:val="347" w:hRule="exact"/>
        </w:trPr>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按租赁期限</w:t>
            </w:r>
          </w:p>
        </w:tc>
      </w:tr>
    </w:tbl>
    <w:p>
      <w:pPr>
        <w:spacing w:line="240" w:lineRule="auto" w:before="5"/>
        <w:rPr>
          <w:rFonts w:ascii="宋体" w:hAnsi="宋体" w:cs="宋体" w:eastAsia="宋体" w:hint="default"/>
          <w:sz w:val="19"/>
          <w:szCs w:val="19"/>
        </w:rPr>
      </w:pPr>
    </w:p>
    <w:p>
      <w:pPr>
        <w:pStyle w:val="Heading3"/>
        <w:spacing w:line="240" w:lineRule="auto" w:before="34"/>
        <w:ind w:left="132" w:right="1034"/>
        <w:jc w:val="left"/>
        <w:rPr>
          <w:b w:val="0"/>
          <w:bCs w:val="0"/>
        </w:rPr>
      </w:pPr>
      <w:bookmarkStart w:name="23、职工薪酬" w:id="193"/>
      <w:bookmarkEnd w:id="193"/>
      <w:r>
        <w:rPr>
          <w:b w:val="0"/>
          <w:bCs w:val="0"/>
        </w:rPr>
      </w:r>
      <w:r>
        <w:rPr>
          <w:rFonts w:ascii="Times New Roman" w:hAnsi="Times New Roman" w:cs="Times New Roman" w:eastAsia="Times New Roman" w:hint="default"/>
        </w:rPr>
        <w:t>23</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034"/>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32" w:right="1034" w:firstLine="360"/>
        <w:jc w:val="left"/>
      </w:pPr>
      <w:r>
        <w:rPr>
          <w:spacing w:val="-4"/>
        </w:rPr>
        <w:t>职工薪酬，是指本公司为获得职工提供的服务或解除劳动关系而给予的各种形式的报酬或补偿。职工薪酬包括短期薪酬、</w:t>
      </w:r>
      <w:r>
        <w:rPr/>
        <w:t> </w:t>
      </w:r>
      <w:r>
        <w:rPr>
          <w:spacing w:val="-2"/>
        </w:rPr>
        <w:t>离职后福利、辞退福利和其他长期职工福利。本公司提供给职工配偶、子女、受赡养人、已故员工遗属及其他受益人等的福</w:t>
      </w:r>
      <w:r>
        <w:rPr>
          <w:spacing w:val="-63"/>
        </w:rPr>
        <w:t> </w:t>
      </w:r>
      <w:r>
        <w:rPr>
          <w:spacing w:val="-63"/>
        </w:rPr>
      </w:r>
      <w:r>
        <w:rPr/>
        <w:t>利，也属于职工薪酬。</w:t>
      </w:r>
    </w:p>
    <w:p>
      <w:pPr>
        <w:pStyle w:val="BodyText"/>
        <w:spacing w:line="432" w:lineRule="exact" w:before="3"/>
        <w:ind w:left="492" w:right="1034"/>
        <w:jc w:val="left"/>
      </w:pPr>
      <w:r>
        <w:rPr/>
        <w:t>①职工基本薪酬（工资、奖金、津贴、补贴） </w:t>
      </w:r>
      <w:r>
        <w:rPr>
          <w:spacing w:val="-2"/>
        </w:rPr>
        <w:t>本公司在职工为其提供服务的会计期间，将实际发生的短期薪酬确认为负债，并计入当期损益，其他会计准则要求或允</w:t>
      </w:r>
    </w:p>
    <w:p>
      <w:pPr>
        <w:pStyle w:val="BodyText"/>
        <w:spacing w:line="240" w:lineRule="auto" w:before="15"/>
        <w:ind w:left="132" w:right="1034"/>
        <w:jc w:val="left"/>
      </w:pPr>
      <w:r>
        <w:rPr/>
        <w:t>许计入资产成本的除外。</w:t>
      </w:r>
    </w:p>
    <w:p>
      <w:pPr>
        <w:pStyle w:val="BodyText"/>
        <w:spacing w:line="430" w:lineRule="atLeast" w:before="2"/>
        <w:ind w:left="492" w:right="1034"/>
        <w:jc w:val="left"/>
      </w:pPr>
      <w:r>
        <w:rPr/>
        <w:t>②职工福利费 </w:t>
      </w:r>
      <w:r>
        <w:rPr>
          <w:spacing w:val="-4"/>
        </w:rPr>
        <w:t>本公司发生的职工福利费，在实际发生时根据实际发生额计入当期损益或相关资产成本。职工福利费为非货币性福利的，</w:t>
      </w:r>
    </w:p>
    <w:p>
      <w:pPr>
        <w:pStyle w:val="BodyText"/>
        <w:spacing w:line="240" w:lineRule="auto" w:before="76"/>
        <w:ind w:left="132" w:right="1034"/>
        <w:jc w:val="left"/>
      </w:pPr>
      <w:r>
        <w:rPr/>
        <w:t>按照公允价值计量。</w:t>
      </w:r>
    </w:p>
    <w:p>
      <w:pPr>
        <w:pStyle w:val="BodyText"/>
        <w:spacing w:line="430" w:lineRule="atLeast" w:before="2"/>
        <w:ind w:left="492" w:right="1034"/>
        <w:jc w:val="left"/>
      </w:pPr>
      <w:r>
        <w:rPr/>
        <w:t>③医疗保险费、工伤保险费、生育保险费等社会保险费和住房公积金，以及工会经费和职工教育经费。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w:t>
      </w:r>
    </w:p>
    <w:p>
      <w:pPr>
        <w:pStyle w:val="BodyText"/>
        <w:spacing w:line="240" w:lineRule="auto" w:before="76"/>
        <w:ind w:left="132" w:right="952"/>
        <w:jc w:val="left"/>
      </w:pPr>
      <w:r>
        <w:rPr/>
        <w:t>职工教育经费，在职工为其提供服务的会计期间，根据规定的计提基础和计提比例计算确定相应的职工薪酬金额，并确认相</w:t>
      </w:r>
    </w:p>
    <w:p>
      <w:pPr>
        <w:spacing w:after="0" w:line="240" w:lineRule="auto"/>
        <w:jc w:val="left"/>
        <w:sectPr>
          <w:pgSz w:w="11910" w:h="16840"/>
          <w:pgMar w:header="746" w:footer="978" w:top="1060" w:bottom="1160" w:left="100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应负债，计入当期损益或相关资产成本。</w:t>
      </w:r>
    </w:p>
    <w:p>
      <w:pPr>
        <w:pStyle w:val="BodyText"/>
        <w:spacing w:line="430" w:lineRule="atLeast" w:before="2"/>
        <w:ind w:left="472" w:right="0"/>
        <w:jc w:val="left"/>
      </w:pPr>
      <w:r>
        <w:rPr/>
        <w:t>④短期带薪缺勤 </w:t>
      </w:r>
      <w:r>
        <w:rPr>
          <w:spacing w:val="-2"/>
        </w:rPr>
        <w:t>本公司在职工提供服务从而增加了其未来享有的带薪缺勤权利时，确认与累积带薪缺勤相关的职工薪酬，并以累积未行</w:t>
      </w:r>
    </w:p>
    <w:p>
      <w:pPr>
        <w:pStyle w:val="BodyText"/>
        <w:spacing w:line="240" w:lineRule="auto" w:before="76"/>
        <w:ind w:right="0"/>
        <w:jc w:val="left"/>
      </w:pPr>
      <w:r>
        <w:rPr/>
        <w:t>使权利而增加的预期支付金额计量。本公司在职工实际发生缺勤的会计期间确认与非累积带薪缺勤相关的职工薪酬。</w:t>
      </w:r>
    </w:p>
    <w:p>
      <w:pPr>
        <w:spacing w:line="240" w:lineRule="auto" w:before="0"/>
        <w:rPr>
          <w:rFonts w:ascii="宋体" w:hAnsi="宋体" w:cs="宋体" w:eastAsia="宋体" w:hint="default"/>
          <w:sz w:val="15"/>
          <w:szCs w:val="15"/>
        </w:rPr>
      </w:pPr>
    </w:p>
    <w:p>
      <w:pPr>
        <w:pStyle w:val="BodyText"/>
        <w:spacing w:line="432" w:lineRule="auto"/>
        <w:ind w:left="472" w:right="4814"/>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30" w:lineRule="atLeast" w:before="152"/>
        <w:ind w:left="472" w:right="0"/>
        <w:jc w:val="left"/>
      </w:pPr>
      <w:r>
        <w:rPr/>
        <w:t>①设定提存计划 </w:t>
      </w:r>
      <w:r>
        <w:rPr>
          <w:spacing w:val="-2"/>
        </w:rPr>
        <w:t>本公司在职工为其提供服务的会计期间，将根据设定提存计划计算的应缴存金额确认为负债，并计入当期损益或相关资</w:t>
      </w:r>
    </w:p>
    <w:p>
      <w:pPr>
        <w:pStyle w:val="BodyText"/>
        <w:spacing w:line="240" w:lineRule="auto" w:before="76"/>
        <w:ind w:right="0"/>
        <w:jc w:val="left"/>
      </w:pPr>
      <w:r>
        <w:rPr/>
        <w:t>产成本。</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根据设定提存计划，预期不会在职工提供相关服务的年度报告期结束后十二个月内支付全部应缴存金额的，本公司参照</w:t>
      </w:r>
      <w:r>
        <w:rPr/>
        <w:t> </w:t>
      </w:r>
      <w:r>
        <w:rPr>
          <w:spacing w:val="-2"/>
        </w:rPr>
        <w:t>相应的折现率（根据资产负债表日与设定受益计划义务期限和币种相匹配的国债或活跃市场上的高质量公司债券的市场收益</w:t>
      </w:r>
      <w:r>
        <w:rPr>
          <w:spacing w:val="-64"/>
        </w:rPr>
        <w:t> </w:t>
      </w:r>
      <w:r>
        <w:rPr>
          <w:spacing w:val="-64"/>
        </w:rPr>
      </w:r>
      <w:r>
        <w:rPr/>
        <w:t>率确定），将全部应缴存金额以折现后的金额计量应付职工薪酬。</w:t>
      </w:r>
    </w:p>
    <w:p>
      <w:pPr>
        <w:pStyle w:val="BodyText"/>
        <w:spacing w:line="240" w:lineRule="auto" w:before="139"/>
        <w:ind w:left="472" w:right="0"/>
        <w:jc w:val="left"/>
      </w:pPr>
      <w:r>
        <w:rPr/>
        <w:t>②设定受益计划</w:t>
      </w:r>
    </w:p>
    <w:p>
      <w:pPr>
        <w:pStyle w:val="BodyText"/>
        <w:spacing w:line="420" w:lineRule="atLeast" w:before="25"/>
        <w:ind w:left="472" w:right="0"/>
        <w:jc w:val="left"/>
      </w:pPr>
      <w:r>
        <w:rPr>
          <w:rFonts w:ascii="Times New Roman" w:hAnsi="Times New Roman" w:cs="Times New Roman" w:eastAsia="Times New Roman" w:hint="default"/>
        </w:rPr>
        <w:t>A</w:t>
      </w:r>
      <w:r>
        <w:rPr/>
        <w:t>．确定设定受益计划义务的现值和当期服务成本 </w:t>
      </w:r>
      <w:r>
        <w:rPr>
          <w:spacing w:val="-2"/>
        </w:rPr>
        <w:t>根据预期累计福利单位法，采用无偏且相互一致的精算假设对有关人口统计变量和财务变量等做出估计，计量设定受益</w:t>
      </w:r>
    </w:p>
    <w:p>
      <w:pPr>
        <w:pStyle w:val="BodyText"/>
        <w:spacing w:line="316" w:lineRule="auto" w:before="76"/>
        <w:ind w:right="1130"/>
        <w:jc w:val="both"/>
      </w:pPr>
      <w:r>
        <w:rPr>
          <w:spacing w:val="-2"/>
        </w:rPr>
        <w:t>计划所产生的义务，并确定相关义务的归属期间。本公司按照相应的折现率（根据资产负债表日与设定受益计划义务期限和</w:t>
      </w:r>
      <w:r>
        <w:rPr>
          <w:spacing w:val="-63"/>
        </w:rPr>
        <w:t> </w:t>
      </w:r>
      <w:r>
        <w:rPr>
          <w:spacing w:val="-63"/>
        </w:rPr>
      </w:r>
      <w:r>
        <w:rPr>
          <w:spacing w:val="-2"/>
        </w:rPr>
        <w:t>币种相匹配的国债或活跃市场上的高质量公司债券的市场收益率确定）将设定受益计划所产生的义务予以折现，以确定设定</w:t>
      </w:r>
      <w:r>
        <w:rPr>
          <w:spacing w:val="-64"/>
        </w:rPr>
        <w:t> </w:t>
      </w:r>
      <w:r>
        <w:rPr>
          <w:spacing w:val="-64"/>
        </w:rPr>
      </w:r>
      <w:r>
        <w:rPr/>
        <w:t>受益计划义务的现值和当期服务成本。</w:t>
      </w:r>
    </w:p>
    <w:p>
      <w:pPr>
        <w:pStyle w:val="BodyText"/>
        <w:spacing w:line="432" w:lineRule="exact" w:before="3"/>
        <w:ind w:left="472" w:right="0"/>
        <w:jc w:val="left"/>
      </w:pPr>
      <w:r>
        <w:rPr>
          <w:rFonts w:ascii="Times New Roman" w:hAnsi="Times New Roman" w:cs="Times New Roman" w:eastAsia="Times New Roman" w:hint="default"/>
        </w:rPr>
        <w:t>B.</w:t>
      </w:r>
      <w:r>
        <w:rPr/>
        <w:t>确认设定受益计划净负债或净资产 </w:t>
      </w:r>
      <w:r>
        <w:rPr>
          <w:spacing w:val="-2"/>
        </w:rPr>
        <w:t>设定受益计划存在资产的，本公司将设定受益计划义务现值减去设定受益计划资产公允价值所形成的赤字或盈余确认为</w:t>
      </w:r>
    </w:p>
    <w:p>
      <w:pPr>
        <w:pStyle w:val="BodyText"/>
        <w:spacing w:line="439" w:lineRule="auto" w:before="15"/>
        <w:ind w:left="472" w:right="0" w:hanging="360"/>
        <w:jc w:val="left"/>
      </w:pPr>
      <w:r>
        <w:rPr/>
        <w:t>一项设定受益计划净负债或净资产。 设定受益计划存在盈余的，本公司以设定受益计划的盈余和资产上限两项的孰低者计量设定受益计划净资产。 </w:t>
      </w:r>
      <w:r>
        <w:rPr>
          <w:rFonts w:ascii="Times New Roman" w:hAnsi="Times New Roman" w:cs="Times New Roman" w:eastAsia="Times New Roman" w:hint="default"/>
        </w:rPr>
        <w:t>C.</w:t>
      </w:r>
      <w:r>
        <w:rPr/>
        <w:t>确定应计入资产成本或当期损益的金额</w:t>
      </w:r>
    </w:p>
    <w:p>
      <w:pPr>
        <w:pStyle w:val="BodyText"/>
        <w:spacing w:line="316" w:lineRule="auto" w:before="17"/>
        <w:ind w:right="1130" w:firstLine="360"/>
        <w:jc w:val="both"/>
      </w:pPr>
      <w:r>
        <w:rPr>
          <w:spacing w:val="-2"/>
        </w:rPr>
        <w:t>服务成本，包括当期服务成本、过去服务成本和结算利得或损失。其中，除了其他会计准则要求或允许计入资产成本的</w:t>
      </w:r>
      <w:r>
        <w:rPr/>
        <w:t> 当期服务成本之外，其他服务成本均计入当期损益。</w:t>
      </w:r>
    </w:p>
    <w:p>
      <w:pPr>
        <w:pStyle w:val="BodyText"/>
        <w:spacing w:line="316" w:lineRule="auto" w:before="139"/>
        <w:ind w:right="1132" w:firstLine="360"/>
        <w:jc w:val="both"/>
      </w:pPr>
      <w:r>
        <w:rPr>
          <w:spacing w:val="-2"/>
        </w:rPr>
        <w:t>设定受益计划净负债或净资产的利息净额，包括计划资产的利息收益、设定受益计划义务的利息费用以及资产上限影响</w:t>
      </w:r>
      <w:r>
        <w:rPr/>
        <w:t> 的利息，均计入当期损益。</w:t>
      </w:r>
    </w:p>
    <w:p>
      <w:pPr>
        <w:pStyle w:val="BodyText"/>
        <w:spacing w:line="415" w:lineRule="auto" w:before="139"/>
        <w:ind w:left="472" w:right="5534"/>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240" w:lineRule="auto" w:before="65"/>
        <w:ind w:left="472" w:right="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spacing w:line="240" w:lineRule="auto" w:before="13"/>
        <w:rPr>
          <w:rFonts w:ascii="宋体" w:hAnsi="宋体" w:cs="宋体" w:eastAsia="宋体" w:hint="default"/>
          <w:sz w:val="13"/>
          <w:szCs w:val="13"/>
        </w:rPr>
      </w:pPr>
    </w:p>
    <w:p>
      <w:pPr>
        <w:pStyle w:val="BodyText"/>
        <w:spacing w:line="240" w:lineRule="auto"/>
        <w:ind w:left="472" w:right="0"/>
        <w:jc w:val="left"/>
      </w:pPr>
      <w:r>
        <w:rPr/>
        <w:t>（</w:t>
      </w:r>
      <w:r>
        <w:rPr>
          <w:rFonts w:ascii="Times New Roman" w:hAnsi="Times New Roman" w:cs="Times New Roman" w:eastAsia="Times New Roman" w:hint="default"/>
        </w:rPr>
        <w:t>b</w:t>
      </w:r>
      <w:r>
        <w:rPr/>
        <w:t>）计划资产回报，扣除包括在设定受益计划净负债或净资产的利息净额中的金额；</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t>上述重新计量设定受益计划净负债或净资产所产生的变动直接计入其他综合收益</w:t>
      </w:r>
      <w:r>
        <w:rPr>
          <w:rFonts w:ascii="Times New Roman" w:hAnsi="Times New Roman" w:cs="Times New Roman" w:eastAsia="Times New Roman" w:hint="default"/>
        </w:rPr>
        <w:t>,</w:t>
      </w:r>
      <w:r>
        <w:rPr/>
        <w:t>并且在后续会计期间不允许转回至损 益，但本公司可以在权益范围内转移这些在其他综合收益中确认的金额。</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0"/>
        <w:jc w:val="left"/>
      </w:pPr>
      <w:r>
        <w:rPr/>
        <w:t>本公司向职工提供辞退福利的，在下列两者孰早日确认辞退福利产生的职工薪酬负债，并计入当期损益：</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①企业不能单方面撤回因解除劳动关系计划或裁减建议所提供的辞退福利时；</w:t>
      </w:r>
    </w:p>
    <w:p>
      <w:pPr>
        <w:pStyle w:val="BodyText"/>
        <w:spacing w:line="430" w:lineRule="atLeast" w:before="2"/>
        <w:ind w:left="472" w:right="0"/>
        <w:jc w:val="left"/>
      </w:pPr>
      <w:r>
        <w:rPr/>
        <w:t>②企业确认与涉及支付辞退福利的重组相关的成本或费用时。 </w:t>
      </w:r>
      <w:r>
        <w:rPr>
          <w:spacing w:val="-2"/>
        </w:rPr>
        <w:t>辞退福利预期在年度报告期结束后十二个月内不能完全支付的，参照相应的折现率（根据资产负债表日与设定受益计划</w:t>
      </w:r>
    </w:p>
    <w:p>
      <w:pPr>
        <w:pStyle w:val="BodyText"/>
        <w:spacing w:line="316" w:lineRule="auto" w:before="76"/>
        <w:ind w:right="0"/>
        <w:jc w:val="left"/>
      </w:pPr>
      <w:r>
        <w:rPr>
          <w:spacing w:val="-2"/>
        </w:rPr>
        <w:t>义务期限和币种相匹配的国债或活跃市场上的高质量公司债券的市场收益率确定）将辞退福利金额予以折现，以折现后的金</w:t>
      </w:r>
      <w:r>
        <w:rPr>
          <w:spacing w:val="-64"/>
        </w:rPr>
        <w:t> </w:t>
      </w:r>
      <w:r>
        <w:rPr>
          <w:spacing w:val="-64"/>
        </w:rPr>
      </w:r>
      <w:r>
        <w:rPr/>
        <w:t>额计量应付职工薪酬。</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197"/>
      <w:bookmarkEnd w:id="19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pStyle w:val="BodyText"/>
        <w:spacing w:line="430" w:lineRule="atLeast" w:before="150"/>
        <w:ind w:left="472" w:right="0"/>
        <w:jc w:val="left"/>
      </w:pPr>
      <w:r>
        <w:rPr/>
        <w:t>①符合设定提存计划条件的 </w:t>
      </w:r>
      <w:r>
        <w:rPr>
          <w:spacing w:val="-2"/>
        </w:rPr>
        <w:t>本公司向职工提供的其他长期职工福利，符合设定提存计划条件的，将全部应缴存金额以折现后的金额计量应付职工薪</w:t>
      </w:r>
    </w:p>
    <w:p>
      <w:pPr>
        <w:pStyle w:val="BodyText"/>
        <w:spacing w:line="240" w:lineRule="auto" w:before="76"/>
        <w:ind w:right="0"/>
        <w:jc w:val="left"/>
      </w:pPr>
      <w:r>
        <w:rPr/>
        <w:t>酬。</w:t>
      </w:r>
    </w:p>
    <w:p>
      <w:pPr>
        <w:spacing w:line="240" w:lineRule="auto" w:before="0"/>
        <w:rPr>
          <w:rFonts w:ascii="宋体" w:hAnsi="宋体" w:cs="宋体" w:eastAsia="宋体" w:hint="default"/>
          <w:sz w:val="15"/>
          <w:szCs w:val="15"/>
        </w:rPr>
      </w:pPr>
    </w:p>
    <w:p>
      <w:pPr>
        <w:pStyle w:val="BodyText"/>
        <w:spacing w:line="439" w:lineRule="auto"/>
        <w:ind w:left="472" w:right="3734"/>
        <w:jc w:val="left"/>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rPr>
        <w:t>A.</w:t>
      </w:r>
      <w:r>
        <w:rPr/>
        <w:t>服务成本；</w:t>
      </w:r>
    </w:p>
    <w:p>
      <w:pPr>
        <w:pStyle w:val="BodyText"/>
        <w:spacing w:line="415" w:lineRule="auto" w:before="17"/>
        <w:ind w:left="472" w:right="4634"/>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 为简化相关会计处理，上述项目的总净额计入当期损益或相关资产成本。</w:t>
      </w:r>
    </w:p>
    <w:p>
      <w:pPr>
        <w:spacing w:line="240" w:lineRule="auto" w:before="13"/>
        <w:rPr>
          <w:rFonts w:ascii="宋体" w:hAnsi="宋体" w:cs="宋体" w:eastAsia="宋体" w:hint="default"/>
          <w:sz w:val="16"/>
          <w:szCs w:val="16"/>
        </w:rPr>
      </w:pPr>
    </w:p>
    <w:p>
      <w:pPr>
        <w:pStyle w:val="Heading3"/>
        <w:spacing w:line="240" w:lineRule="auto"/>
        <w:ind w:right="0"/>
        <w:jc w:val="left"/>
        <w:rPr>
          <w:b w:val="0"/>
          <w:bCs w:val="0"/>
        </w:rPr>
      </w:pPr>
      <w:bookmarkStart w:name="24、预计负债" w:id="198"/>
      <w:bookmarkEnd w:id="198"/>
      <w:r>
        <w:rPr>
          <w:b w:val="0"/>
          <w:bCs w:val="0"/>
        </w:rPr>
      </w:r>
      <w:r>
        <w:rPr>
          <w:rFonts w:ascii="Times New Roman" w:hAnsi="Times New Roman" w:cs="Times New Roman" w:eastAsia="Times New Roman" w:hint="default"/>
        </w:rPr>
        <w:t>24</w:t>
      </w:r>
      <w:r>
        <w:rPr/>
        <w:t>、预计负债</w:t>
      </w:r>
      <w:r>
        <w:rPr>
          <w:b w:val="0"/>
          <w:bCs w:val="0"/>
        </w:rPr>
      </w:r>
    </w:p>
    <w:p>
      <w:pPr>
        <w:spacing w:line="240" w:lineRule="auto" w:before="6"/>
        <w:rPr>
          <w:rFonts w:ascii="宋体" w:hAnsi="宋体" w:cs="宋体" w:eastAsia="宋体" w:hint="default"/>
          <w:b/>
          <w:bCs/>
          <w:sz w:val="26"/>
          <w:szCs w:val="26"/>
        </w:rPr>
      </w:pPr>
    </w:p>
    <w:p>
      <w:pPr>
        <w:spacing w:line="415" w:lineRule="auto" w:before="0"/>
        <w:ind w:left="472" w:right="427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）预计负债的的确认标准</w:t>
      </w:r>
      <w:r>
        <w:rPr>
          <w:rFonts w:ascii="宋体" w:hAnsi="宋体" w:cs="宋体" w:eastAsia="宋体" w:hint="default"/>
          <w:b/>
          <w:bCs/>
          <w:w w:val="99"/>
          <w:sz w:val="18"/>
          <w:szCs w:val="18"/>
        </w:rPr>
        <w:t> </w:t>
      </w:r>
      <w:r>
        <w:rPr>
          <w:rFonts w:ascii="宋体" w:hAnsi="宋体" w:cs="宋体" w:eastAsia="宋体" w:hint="default"/>
          <w:sz w:val="18"/>
          <w:szCs w:val="18"/>
        </w:rPr>
        <w:t>如果与或有事项相关的义务同时符合以下条件，本公司将其确认为预计负债：</w:t>
      </w:r>
    </w:p>
    <w:p>
      <w:pPr>
        <w:pStyle w:val="BodyText"/>
        <w:spacing w:line="240" w:lineRule="auto" w:before="65"/>
        <w:ind w:left="472" w:right="0"/>
        <w:jc w:val="left"/>
      </w:pPr>
      <w:r>
        <w:rPr/>
        <w:t>①该义务是本公司承担的现时义务；</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②该义务的履行很可能导致经济利益流出本公司；</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③该义务的金额能够可靠地计量。</w:t>
      </w:r>
    </w:p>
    <w:p>
      <w:pPr>
        <w:spacing w:line="240" w:lineRule="auto" w:before="0"/>
        <w:rPr>
          <w:rFonts w:ascii="宋体" w:hAnsi="宋体" w:cs="宋体" w:eastAsia="宋体" w:hint="default"/>
          <w:sz w:val="15"/>
          <w:szCs w:val="15"/>
        </w:rPr>
      </w:pPr>
    </w:p>
    <w:p>
      <w:pPr>
        <w:pStyle w:val="BodyText"/>
        <w:spacing w:line="300" w:lineRule="auto"/>
        <w:ind w:left="472" w:right="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b/>
          <w:bCs/>
          <w:w w:val="99"/>
        </w:rPr>
        <w:t> </w:t>
      </w:r>
      <w:r>
        <w:rPr>
          <w:spacing w:val="-2"/>
        </w:rPr>
        <w:t>预计负债按照履行相关现时义务所需支出的最佳估计数进行初始计量，并综合考虑与或事项有关的风险、不确定性和货</w:t>
      </w:r>
    </w:p>
    <w:p>
      <w:pPr>
        <w:pStyle w:val="BodyText"/>
        <w:spacing w:line="316" w:lineRule="auto" w:before="31"/>
        <w:ind w:right="0"/>
        <w:jc w:val="left"/>
      </w:pPr>
      <w:r>
        <w:rPr>
          <w:spacing w:val="-2"/>
        </w:rPr>
        <w:t>币时间价值等因素。每个资产负债表日对预计负债的账面价值进行复核。有确凿证据表明该账面价值不能反映当前最佳估计</w:t>
      </w:r>
      <w:r>
        <w:rPr>
          <w:spacing w:val="-64"/>
        </w:rPr>
        <w:t> </w:t>
      </w:r>
      <w:r>
        <w:rPr>
          <w:spacing w:val="-64"/>
        </w:rPr>
      </w:r>
      <w:r>
        <w:rPr/>
        <w:t>数的，按照当前最佳估计数对该账面价值进行调整。</w:t>
      </w:r>
    </w:p>
    <w:p>
      <w:pPr>
        <w:spacing w:after="0" w:line="316"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5、股份支付" w:id="199"/>
      <w:bookmarkEnd w:id="199"/>
      <w:r>
        <w:rPr>
          <w:b w:val="0"/>
          <w:bCs w:val="0"/>
        </w:rPr>
      </w:r>
      <w:r>
        <w:rPr>
          <w:rFonts w:ascii="Times New Roman" w:hAnsi="Times New Roman" w:cs="Times New Roman" w:eastAsia="Times New Roman" w:hint="default"/>
        </w:rPr>
        <w:t>25</w:t>
      </w:r>
      <w:r>
        <w:rPr/>
        <w:t>、股份支付</w:t>
      </w:r>
      <w:r>
        <w:rPr>
          <w:b w:val="0"/>
          <w:bCs w:val="0"/>
        </w:rPr>
      </w:r>
    </w:p>
    <w:p>
      <w:pPr>
        <w:spacing w:line="240" w:lineRule="auto" w:before="7"/>
        <w:rPr>
          <w:rFonts w:ascii="宋体" w:hAnsi="宋体" w:cs="宋体" w:eastAsia="宋体" w:hint="default"/>
          <w:b/>
          <w:bCs/>
          <w:sz w:val="26"/>
          <w:szCs w:val="26"/>
        </w:rPr>
      </w:pPr>
    </w:p>
    <w:p>
      <w:pPr>
        <w:spacing w:line="415" w:lineRule="auto" w:before="0"/>
        <w:ind w:left="472" w:right="481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本公司股份支付包括以现金结算的股份支付和以权益结算的股份支付。</w:t>
      </w:r>
    </w:p>
    <w:p>
      <w:pPr>
        <w:pStyle w:val="Heading4"/>
        <w:spacing w:line="240" w:lineRule="auto" w:before="65"/>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130" w:firstLine="360"/>
        <w:jc w:val="both"/>
      </w:pPr>
      <w:r>
        <w:rPr>
          <w:spacing w:val="-2"/>
        </w:rPr>
        <w:t>①对于授予职工的股份，其公允价值按公司股份的市场价格计量，同时考虑授予股份所依据的条款和条件（不包括市场</w:t>
      </w:r>
      <w:r>
        <w:rPr/>
        <w:t> 条件之外的可行权条件）进行调整。</w:t>
      </w:r>
    </w:p>
    <w:p>
      <w:pPr>
        <w:pStyle w:val="BodyText"/>
        <w:spacing w:line="316" w:lineRule="auto" w:before="139"/>
        <w:ind w:right="1130" w:firstLine="360"/>
        <w:jc w:val="both"/>
      </w:pPr>
      <w:r>
        <w:rPr>
          <w:spacing w:val="-2"/>
        </w:rPr>
        <w:t>②对于授予职工的股票期权，在许多情况下难以获得其市场价格。如果不存在条款和条件相似的交易期权，公司选择适</w:t>
      </w:r>
      <w:r>
        <w:rPr/>
        <w:t> 用的期权定价模型估计所授予的期权的公允价值。</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在等待期内每个资产负债表日，公司根据最新取得的可行权职工人数变动等后续信息作出最佳估计，修正预计可行权的</w:t>
      </w:r>
    </w:p>
    <w:p>
      <w:pPr>
        <w:pStyle w:val="BodyText"/>
        <w:spacing w:line="240" w:lineRule="auto" w:before="15"/>
        <w:ind w:right="0"/>
        <w:jc w:val="left"/>
      </w:pPr>
      <w:r>
        <w:rPr/>
        <w:t>权益工具数量，以作出可行权权益工具的最佳估计。</w:t>
      </w: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）股份支付计划实施的会计处理</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132" w:firstLine="360"/>
        <w:jc w:val="both"/>
      </w:pPr>
      <w:r>
        <w:rPr>
          <w:spacing w:val="-2"/>
        </w:rPr>
        <w:t>①授予后立即可行权的以现金结算的股份支付，在授予日以本公司承担负债的公允价值计入相关成本或费用，相应增加</w:t>
      </w:r>
      <w:r>
        <w:rPr/>
        <w:t> 负债。并在结算前的每个资产负债表日和结算日对负债的公允价值重新计量，将其变动计入损益。</w:t>
      </w:r>
    </w:p>
    <w:p>
      <w:pPr>
        <w:pStyle w:val="BodyText"/>
        <w:spacing w:line="316" w:lineRule="auto" w:before="139"/>
        <w:ind w:right="1132" w:firstLine="360"/>
        <w:jc w:val="both"/>
      </w:pPr>
      <w:r>
        <w:rPr>
          <w:spacing w:val="-2"/>
        </w:rPr>
        <w:t>②完成等待期内的服务或达到规定业绩条件以后才可行权的以现金结算的股份支付，在等待期内的每个资产负债表日以</w:t>
      </w:r>
      <w:r>
        <w:rPr/>
        <w:t> 对可行权情况的最佳估计为基础，按本公司承担负债的公允价值金额，将当期取得的服务计入成本或费用和相应的负债。</w:t>
      </w:r>
    </w:p>
    <w:p>
      <w:pPr>
        <w:pStyle w:val="BodyText"/>
        <w:spacing w:line="316" w:lineRule="auto" w:before="139"/>
        <w:ind w:right="1051" w:firstLine="360"/>
        <w:jc w:val="both"/>
      </w:pPr>
      <w:r>
        <w:rPr/>
        <w:t>③授予后立即可行权的换取职工服务的以权益结算的股份支付，在授予日以权益工具的公允价值计入相关成本或费用， 相应增加资本公积。</w:t>
      </w:r>
    </w:p>
    <w:p>
      <w:pPr>
        <w:pStyle w:val="BodyText"/>
        <w:spacing w:line="316" w:lineRule="auto" w:before="139"/>
        <w:ind w:right="1130" w:firstLine="360"/>
        <w:jc w:val="both"/>
      </w:pPr>
      <w:r>
        <w:rPr>
          <w:spacing w:val="-2"/>
        </w:rPr>
        <w:t>④完成等待期内的服务或达到规定业绩条件以后才可行权换取职工服务的以权益结算的股份支付，在等待期内的每个资</w:t>
      </w:r>
      <w:r>
        <w:rPr/>
        <w:t> </w:t>
      </w:r>
      <w:r>
        <w:rPr>
          <w:spacing w:val="-2"/>
        </w:rPr>
        <w:t>产负债表日，以对可行权权益工具数量的最佳估计为基础，按权益工具授予日的公允价值，将当期取得的服务计入成本或费</w:t>
      </w:r>
      <w:r>
        <w:rPr>
          <w:spacing w:val="-63"/>
        </w:rPr>
        <w:t> </w:t>
      </w:r>
      <w:r>
        <w:rPr>
          <w:spacing w:val="-63"/>
        </w:rPr>
      </w:r>
      <w:r>
        <w:rPr/>
        <w:t>用和资本公积。</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）股份支付计划修改的会计处理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本公司对股份支付计划进行修改时，若修改增加了所授予权益工具的公允价值，按照权益工具公允价值的增加相应地确</w:t>
      </w:r>
    </w:p>
    <w:p>
      <w:pPr>
        <w:pStyle w:val="BodyText"/>
        <w:spacing w:line="316" w:lineRule="auto" w:before="15"/>
        <w:ind w:right="1034"/>
        <w:jc w:val="left"/>
      </w:pPr>
      <w:r>
        <w:rPr/>
        <w:t>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1"/>
        </w:rPr>
        <w:t> </w:t>
      </w:r>
      <w:r>
        <w:rPr>
          <w:spacing w:val="-41"/>
        </w:rPr>
      </w:r>
      <w:r>
        <w:rPr/>
        <w:t>除非本公司取消了部分或全部已授予的权益工具。</w:t>
      </w:r>
    </w:p>
    <w:p>
      <w:pPr>
        <w:spacing w:line="415" w:lineRule="auto" w:before="139"/>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）股份支付计划终止的会计处理</w:t>
      </w:r>
      <w:r>
        <w:rPr>
          <w:rFonts w:ascii="宋体" w:hAnsi="宋体" w:cs="宋体" w:eastAsia="宋体" w:hint="default"/>
          <w:b/>
          <w:bCs/>
          <w:w w:val="99"/>
          <w:sz w:val="18"/>
          <w:szCs w:val="18"/>
        </w:rPr>
        <w:t> </w:t>
      </w:r>
      <w:r>
        <w:rPr>
          <w:rFonts w:ascii="宋体" w:hAnsi="宋体" w:cs="宋体" w:eastAsia="宋体" w:hint="default"/>
          <w:spacing w:val="-4"/>
          <w:sz w:val="18"/>
          <w:szCs w:val="18"/>
        </w:rPr>
        <w:t>如果在等待期内取消了所授予的权益工具或结算了所授予的权益工具（因未满足可行权条件而被取消的除外），本公司：</w:t>
      </w:r>
    </w:p>
    <w:p>
      <w:pPr>
        <w:pStyle w:val="BodyText"/>
        <w:spacing w:line="240" w:lineRule="auto" w:before="65"/>
        <w:ind w:left="472" w:right="0"/>
        <w:jc w:val="left"/>
      </w:pPr>
      <w:r>
        <w:rPr/>
        <w:t>①将取消或结算作为加速可行权处理，立即确认原本应在剩余等待期内确认的金额；</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②在取消或结算时支付给职工的所有款项均作为权益的回购处理，回购支付的金额高于该权益工具在回购日公允价值的</w:t>
      </w:r>
      <w:r>
        <w:rPr/>
        <w:t> 部分，计入当期费用。</w:t>
      </w:r>
    </w:p>
    <w:p>
      <w:pPr>
        <w:pStyle w:val="BodyText"/>
        <w:spacing w:line="316" w:lineRule="auto" w:before="139"/>
        <w:ind w:right="1132" w:firstLine="360"/>
        <w:jc w:val="both"/>
      </w:pPr>
      <w:r>
        <w:rPr>
          <w:spacing w:val="-2"/>
        </w:rPr>
        <w:t>本公司如果回购其职工已可行权的权益工具，冲减企业的所有者权益；回购支付的款项高于该权益工具在回购日公允价</w:t>
      </w:r>
      <w:r>
        <w:rPr/>
        <w:t> 值的部分，计入当期损益。</w:t>
      </w:r>
    </w:p>
    <w:p>
      <w:pPr>
        <w:spacing w:after="0" w:line="316"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6、收入" w:id="200"/>
      <w:bookmarkEnd w:id="200"/>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420" w:lineRule="atLeast" w:before="12"/>
        <w:ind w:left="472" w:right="0" w:hanging="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w:t>
      </w:r>
      <w:r>
        <w:rPr>
          <w:rFonts w:ascii="宋体" w:hAnsi="宋体" w:cs="宋体" w:eastAsia="宋体" w:hint="default"/>
          <w:b/>
          <w:bCs/>
          <w:w w:val="99"/>
        </w:rPr>
        <w:t> </w:t>
      </w:r>
      <w:r>
        <w:rPr>
          <w:spacing w:val="-2"/>
        </w:rPr>
        <w:t>公司已将商品所有权上的主要风险和报酬转移给购买方；公司既没有保留与所有权相联系的继续管理权，也没有对已售</w:t>
      </w:r>
    </w:p>
    <w:p>
      <w:pPr>
        <w:pStyle w:val="BodyText"/>
        <w:spacing w:line="316" w:lineRule="auto" w:before="76"/>
        <w:ind w:right="0"/>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432" w:lineRule="exact" w:before="3"/>
        <w:ind w:left="472" w:right="0" w:hanging="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）定制软件销售收入</w:t>
      </w:r>
      <w:r>
        <w:rPr>
          <w:rFonts w:ascii="宋体" w:hAnsi="宋体" w:cs="宋体" w:eastAsia="宋体" w:hint="default"/>
          <w:b/>
          <w:bCs/>
          <w:w w:val="99"/>
        </w:rPr>
        <w:t> </w:t>
      </w:r>
      <w:r>
        <w:rPr>
          <w:spacing w:val="-2"/>
        </w:rPr>
        <w:t>提供定制软件劳务交易的结果在资产负债表日能够可靠估计的（同时满足收入的金额能够可靠地计量、相关经济利益很</w:t>
      </w:r>
    </w:p>
    <w:p>
      <w:pPr>
        <w:pStyle w:val="BodyText"/>
        <w:spacing w:line="316" w:lineRule="auto" w:before="15"/>
        <w:ind w:right="1120"/>
        <w:jc w:val="left"/>
      </w:pPr>
      <w:r>
        <w:rPr>
          <w:spacing w:val="-2"/>
        </w:rPr>
        <w:t>可能流入、交易的完工进度能够可靠地确定、交易中已发生和将发生的成本能够可靠地计量），采用完工百分比法确认提供</w:t>
      </w:r>
      <w:r>
        <w:rPr>
          <w:spacing w:val="-64"/>
        </w:rPr>
        <w:t> </w:t>
      </w:r>
      <w:r>
        <w:rPr>
          <w:spacing w:val="-64"/>
        </w:rPr>
      </w:r>
      <w:r>
        <w:rPr/>
        <w:t>劳务的收入。</w:t>
      </w:r>
    </w:p>
    <w:p>
      <w:pPr>
        <w:pStyle w:val="BodyText"/>
        <w:spacing w:line="316" w:lineRule="auto" w:before="139"/>
        <w:ind w:right="1130" w:firstLine="360"/>
        <w:jc w:val="both"/>
      </w:pPr>
      <w:r>
        <w:rPr>
          <w:spacing w:val="-2"/>
        </w:rPr>
        <w:t>提供定制软件劳务交易的结果在资产负债表日不能够可靠估计的，若已经发生的劳务成本预计能够得到补偿，按已经发</w:t>
      </w:r>
      <w:r>
        <w:rPr/>
        <w:t> </w:t>
      </w:r>
      <w:r>
        <w:rPr>
          <w:spacing w:val="-2"/>
        </w:rPr>
        <w:t>生的劳务成本金额确认提供劳务收入，并按相同金额结转劳务成本；若已经发生的劳务成本预计不能够得到补偿，将已经发</w:t>
      </w:r>
      <w:r>
        <w:rPr>
          <w:spacing w:val="-63"/>
        </w:rPr>
        <w:t> </w:t>
      </w:r>
      <w:r>
        <w:rPr>
          <w:spacing w:val="-63"/>
        </w:rPr>
      </w:r>
      <w:r>
        <w:rPr/>
        <w:t>生的劳务成本计入当期损益，不确认劳务收入。</w:t>
      </w:r>
    </w:p>
    <w:p>
      <w:pPr>
        <w:pStyle w:val="BodyText"/>
        <w:spacing w:line="240" w:lineRule="auto" w:before="139"/>
        <w:ind w:left="472" w:right="0"/>
        <w:jc w:val="left"/>
      </w:pPr>
      <w:r>
        <w:rPr/>
        <w:t>由公司负责免费维护的完工软件产品，在确认收入的同时，合理地估计并按收入的</w:t>
      </w:r>
      <w:r>
        <w:rPr>
          <w:rFonts w:ascii="Times New Roman" w:hAnsi="Times New Roman" w:cs="Times New Roman" w:eastAsia="Times New Roman" w:hint="default"/>
        </w:rPr>
        <w:t>2%</w:t>
      </w:r>
      <w:r>
        <w:rPr/>
        <w:t>预提软件维护费用。</w:t>
      </w:r>
    </w:p>
    <w:p>
      <w:pPr>
        <w:pStyle w:val="BodyText"/>
        <w:spacing w:line="420" w:lineRule="atLeast" w:before="12"/>
        <w:ind w:left="472" w:right="0" w:firstLine="12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）提供劳务收入</w:t>
      </w:r>
      <w:r>
        <w:rPr>
          <w:rFonts w:ascii="宋体" w:hAnsi="宋体" w:cs="宋体" w:eastAsia="宋体" w:hint="default"/>
          <w:b/>
          <w:bCs/>
          <w:w w:val="99"/>
        </w:rPr>
        <w:t> </w:t>
      </w:r>
      <w:r>
        <w:rPr>
          <w:spacing w:val="-2"/>
        </w:rPr>
        <w:t>根据合同约定提供了相应服务，取得明确的收款证据，相关成本能够可靠地计量时，确认收入。合同规定约定服务期限</w:t>
      </w:r>
    </w:p>
    <w:p>
      <w:pPr>
        <w:pStyle w:val="BodyText"/>
        <w:spacing w:line="316" w:lineRule="auto" w:before="76"/>
        <w:ind w:right="0"/>
        <w:jc w:val="left"/>
      </w:pPr>
      <w:r>
        <w:rPr>
          <w:spacing w:val="-2"/>
        </w:rPr>
        <w:t>的，在合同约定的服务期限内，按进度确认收入；合同明确约定了服务成果需经客户验收确认的，根据客户验收情况确认收</w:t>
      </w:r>
      <w:r>
        <w:rPr>
          <w:spacing w:val="-64"/>
        </w:rPr>
        <w:t> </w:t>
      </w:r>
      <w:r>
        <w:rPr>
          <w:spacing w:val="-64"/>
        </w:rPr>
      </w:r>
      <w:r>
        <w:rPr/>
        <w:t>入。与定制软件销售具有类似特征的服务收入参照定制软件销售收入确认政策采用完工百分比法确认提供劳务的收入。</w:t>
      </w:r>
    </w:p>
    <w:p>
      <w:pPr>
        <w:pStyle w:val="BodyText"/>
        <w:spacing w:line="415" w:lineRule="auto" w:before="139"/>
        <w:ind w:left="472" w:right="1034" w:firstLine="67"/>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）让渡资产使用权收入</w:t>
      </w:r>
      <w:r>
        <w:rPr>
          <w:rFonts w:ascii="宋体" w:hAnsi="宋体" w:cs="宋体" w:eastAsia="宋体" w:hint="default"/>
          <w:b/>
          <w:bCs/>
          <w:w w:val="99"/>
        </w:rPr>
        <w:t> </w:t>
      </w:r>
      <w:r>
        <w:rPr/>
        <w:t>与交易相关的经济利益很可能流入企业，收入的金额能够可靠地计量时，分别下列情况确定让渡资产使用权收入金额：</w:t>
      </w:r>
    </w:p>
    <w:p>
      <w:pPr>
        <w:pStyle w:val="BodyText"/>
        <w:spacing w:line="240" w:lineRule="auto" w:before="65"/>
        <w:ind w:left="472" w:right="0"/>
        <w:jc w:val="left"/>
      </w:pPr>
      <w:r>
        <w:rPr/>
        <w:t>①利息收入金额，按照他人使用本企业货币资金的时间和实际利率计算确定。</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②使用费收入金额，按照有关合同或协议约定的收费时间和方法计算确定。</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7、政府补助" w:id="201"/>
      <w:bookmarkEnd w:id="201"/>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4"/>
        <w:rPr>
          <w:rFonts w:ascii="宋体" w:hAnsi="宋体" w:cs="宋体" w:eastAsia="宋体" w:hint="default"/>
          <w:b/>
          <w:bCs/>
          <w:sz w:val="26"/>
          <w:szCs w:val="26"/>
        </w:rPr>
      </w:pPr>
    </w:p>
    <w:p>
      <w:pPr>
        <w:spacing w:line="415" w:lineRule="auto" w:before="0"/>
        <w:ind w:left="472" w:right="6614"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）政府补助的确认</w:t>
      </w:r>
      <w:r>
        <w:rPr>
          <w:rFonts w:ascii="宋体" w:hAnsi="宋体" w:cs="宋体" w:eastAsia="宋体" w:hint="default"/>
          <w:b/>
          <w:bCs/>
          <w:w w:val="99"/>
          <w:sz w:val="18"/>
          <w:szCs w:val="18"/>
        </w:rPr>
        <w:t> </w:t>
      </w:r>
      <w:r>
        <w:rPr>
          <w:rFonts w:ascii="宋体" w:hAnsi="宋体" w:cs="宋体" w:eastAsia="宋体" w:hint="default"/>
          <w:sz w:val="18"/>
          <w:szCs w:val="18"/>
        </w:rPr>
        <w:t>政府补助同时满足下列条件的，才能予以确认：</w:t>
      </w:r>
    </w:p>
    <w:p>
      <w:pPr>
        <w:pStyle w:val="BodyText"/>
        <w:spacing w:line="240" w:lineRule="auto" w:before="65"/>
        <w:ind w:left="472" w:right="0"/>
        <w:jc w:val="left"/>
      </w:pPr>
      <w:r>
        <w:rPr/>
        <w:t>①本公司能够满足政府补助所附条件；</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②本公司能够收到政府补助。</w:t>
      </w:r>
    </w:p>
    <w:p>
      <w:pPr>
        <w:pStyle w:val="BodyText"/>
        <w:spacing w:line="420" w:lineRule="atLeast" w:before="25"/>
        <w:ind w:left="472" w:right="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）政府补助的计量</w:t>
      </w:r>
      <w:r>
        <w:rPr>
          <w:rFonts w:ascii="宋体" w:hAnsi="宋体" w:cs="宋体" w:eastAsia="宋体" w:hint="default"/>
          <w:b/>
          <w:bCs/>
          <w:w w:val="99"/>
        </w:rPr>
        <w:t> </w:t>
      </w:r>
      <w:r>
        <w:rPr>
          <w:spacing w:val="-2"/>
        </w:rPr>
        <w:t>政府补助为货币性资产的，按照收到或应收的金额计量。政府补助为非货币性资产的，按照公允价值计量；公允价值不</w:t>
      </w:r>
    </w:p>
    <w:p>
      <w:pPr>
        <w:pStyle w:val="BodyText"/>
        <w:spacing w:line="240" w:lineRule="auto" w:before="76"/>
        <w:ind w:right="0"/>
        <w:jc w:val="left"/>
      </w:pPr>
      <w:r>
        <w:rPr/>
        <w:t>能可靠取得的，按照名义金额计量。</w:t>
      </w: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）政府补助的会计处理</w:t>
      </w:r>
      <w:r>
        <w:rPr>
          <w:b w:val="0"/>
          <w:bCs w:val="0"/>
        </w:rPr>
      </w:r>
    </w:p>
    <w:p>
      <w:pPr>
        <w:pStyle w:val="BodyText"/>
        <w:spacing w:line="432" w:lineRule="exact" w:before="47"/>
        <w:ind w:left="472" w:right="0"/>
        <w:jc w:val="left"/>
      </w:pPr>
      <w:r>
        <w:rPr/>
        <w:t>①与资产相关的政府补助 </w:t>
      </w:r>
      <w:r>
        <w:rPr>
          <w:spacing w:val="-2"/>
        </w:rPr>
        <w:t>公司取得的、用于购建或以其他方式形成长期资产的政府补助划分为与资产相关的政府补助。与资产相关的政府补助确</w:t>
      </w:r>
    </w:p>
    <w:p>
      <w:pPr>
        <w:pStyle w:val="BodyText"/>
        <w:spacing w:line="240" w:lineRule="auto" w:before="15"/>
        <w:ind w:right="0"/>
        <w:jc w:val="left"/>
      </w:pPr>
      <w:r>
        <w:rPr/>
        <w:t>认为递延收益，在相关资产使用期限内按照合理、系统的方法分期计入损益。按照名义金额计量的政府补助，直接计入当期</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20"/>
        <w:jc w:val="left"/>
      </w:pPr>
      <w:r>
        <w:rPr>
          <w:spacing w:val="-2"/>
        </w:rPr>
        <w:t>损益。相关资产在使用寿命结束前被出售、转让、报废或发生毁损的，将尚未分配的相关递延收益余额转入资产处置当期的</w:t>
      </w:r>
      <w:r>
        <w:rPr>
          <w:spacing w:val="-64"/>
        </w:rPr>
        <w:t> </w:t>
      </w:r>
      <w:r>
        <w:rPr>
          <w:spacing w:val="-64"/>
        </w:rPr>
      </w:r>
      <w:r>
        <w:rPr/>
        <w:t>损益。</w:t>
      </w:r>
    </w:p>
    <w:p>
      <w:pPr>
        <w:pStyle w:val="BodyText"/>
        <w:spacing w:line="432" w:lineRule="exact" w:before="3"/>
        <w:ind w:left="472" w:right="0"/>
        <w:jc w:val="left"/>
      </w:pPr>
      <w:r>
        <w:rPr/>
        <w:t>②与收益相关的政府补助 </w:t>
      </w:r>
      <w:r>
        <w:rPr>
          <w:spacing w:val="-2"/>
        </w:rPr>
        <w:t>除与资产相关的政府补助之外的政府补助划分为与收益相关的政府补助。与收益相关的政府补助，分情况按照以下规定</w:t>
      </w:r>
    </w:p>
    <w:p>
      <w:pPr>
        <w:pStyle w:val="BodyText"/>
        <w:spacing w:line="240" w:lineRule="auto" w:before="15"/>
        <w:ind w:right="0"/>
        <w:jc w:val="left"/>
      </w:pPr>
      <w:r>
        <w:rPr/>
        <w:t>进行会计处理：</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用于补偿本公司以后期间的相关成本费用或损失的，确认为递延收益，并在确认相关成本费用或损失的期间，计入当期</w:t>
      </w:r>
      <w:r>
        <w:rPr/>
        <w:t> 损益；</w:t>
      </w:r>
    </w:p>
    <w:p>
      <w:pPr>
        <w:pStyle w:val="BodyText"/>
        <w:spacing w:line="432" w:lineRule="exact" w:before="3"/>
        <w:ind w:left="472" w:right="0"/>
        <w:jc w:val="left"/>
      </w:pPr>
      <w:r>
        <w:rPr/>
        <w:t>用于补偿本公司已发生的相关成本费用或损失的，直接计入当期损益。 </w:t>
      </w:r>
      <w:r>
        <w:rPr>
          <w:spacing w:val="-2"/>
        </w:rPr>
        <w:t>对于同时包含与资产相关部分和与收益相关部分的政府补助，区分不同部分分别进行会计处理；难以区分的，整体归类</w:t>
      </w:r>
    </w:p>
    <w:p>
      <w:pPr>
        <w:pStyle w:val="BodyText"/>
        <w:spacing w:line="240" w:lineRule="auto" w:before="15"/>
        <w:ind w:right="0"/>
        <w:jc w:val="left"/>
      </w:pPr>
      <w:r>
        <w:rPr/>
        <w:t>为与收益相关的政府补助。</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与本公司日常活动相关的政府补助，按照经济业务实质，计入其他收益。与本公司日常活动无关的政府补助，计入营业</w:t>
      </w:r>
      <w:r>
        <w:rPr/>
        <w:t> 外收支。</w:t>
      </w:r>
    </w:p>
    <w:p>
      <w:pPr>
        <w:pStyle w:val="BodyText"/>
        <w:spacing w:line="432" w:lineRule="exact" w:before="3"/>
        <w:ind w:left="472" w:right="1034"/>
        <w:jc w:val="left"/>
      </w:pPr>
      <w:r>
        <w:rPr/>
        <w:t>③政府补助退回 已确认的政府补助需要返还时，初始确认时冲减相关资产账面价值的，调整资产账面价值；存在相关递延收益余额的，</w:t>
      </w:r>
    </w:p>
    <w:p>
      <w:pPr>
        <w:pStyle w:val="BodyText"/>
        <w:spacing w:line="240" w:lineRule="auto" w:before="15"/>
        <w:ind w:right="0"/>
        <w:jc w:val="left"/>
      </w:pPr>
      <w:r>
        <w:rPr/>
        <w:t>冲减相关递延收益账面余额，超出部分计入当期损益；属于其他情况的，直接计入当期损益。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递延所得税资产/递延所得税负债" w:id="202"/>
      <w:bookmarkEnd w:id="202"/>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暂时性差异或可抵扣暂时性差异对所得税的影响额确认和计量递延所得税负债或递延所得税资产。本公司不对递延所得税资</w:t>
      </w:r>
      <w:r>
        <w:rPr>
          <w:spacing w:val="-64"/>
        </w:rPr>
        <w:t> </w:t>
      </w:r>
      <w:r>
        <w:rPr>
          <w:spacing w:val="-64"/>
        </w:rPr>
      </w:r>
      <w:r>
        <w:rPr/>
        <w:t>产和递延所得税负债进行折现。</w:t>
      </w:r>
    </w:p>
    <w:p>
      <w:pPr>
        <w:spacing w:line="432" w:lineRule="exact" w:before="3"/>
        <w:ind w:left="472"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）递延所得税资产的确认</w:t>
      </w:r>
      <w:r>
        <w:rPr>
          <w:rFonts w:ascii="宋体" w:hAnsi="宋体" w:cs="宋体" w:eastAsia="宋体" w:hint="default"/>
          <w:b/>
          <w:bCs/>
          <w:w w:val="99"/>
          <w:sz w:val="18"/>
          <w:szCs w:val="18"/>
        </w:rPr>
        <w:t> </w:t>
      </w:r>
      <w:r>
        <w:rPr>
          <w:rFonts w:ascii="宋体" w:hAnsi="宋体" w:cs="宋体" w:eastAsia="宋体" w:hint="default"/>
          <w:spacing w:val="-4"/>
          <w:sz w:val="18"/>
          <w:szCs w:val="18"/>
        </w:rPr>
        <w:t>对于可抵扣暂时性差异，其对所得税的影响额按预计转回期间的所得税税率计算，并将该影响额确认为递延所得税资产，</w:t>
      </w:r>
    </w:p>
    <w:p>
      <w:pPr>
        <w:pStyle w:val="BodyText"/>
        <w:spacing w:line="240" w:lineRule="auto" w:before="15"/>
        <w:ind w:right="0"/>
        <w:jc w:val="left"/>
      </w:pPr>
      <w:r>
        <w:rPr/>
        <w:t>但是以本公司很可能取得用来抵扣可抵扣暂时性差异、可抵扣亏损和税款抵减的未来应纳税所得额为限。</w:t>
      </w:r>
    </w:p>
    <w:p>
      <w:pPr>
        <w:spacing w:line="240" w:lineRule="auto" w:before="0"/>
        <w:rPr>
          <w:rFonts w:ascii="宋体" w:hAnsi="宋体" w:cs="宋体" w:eastAsia="宋体" w:hint="default"/>
          <w:sz w:val="15"/>
          <w:szCs w:val="15"/>
        </w:rPr>
      </w:pPr>
    </w:p>
    <w:p>
      <w:pPr>
        <w:pStyle w:val="BodyText"/>
        <w:spacing w:line="316" w:lineRule="auto"/>
        <w:ind w:right="1133" w:firstLine="360"/>
        <w:jc w:val="both"/>
      </w:pPr>
      <w:r>
        <w:rPr/>
        <w:t>同时具有下列特征的交易或事项中因资产或负债的初始确认所产生的可抵扣暂时性差异对所得税的影响额不确认为递 延所得税资产：</w:t>
      </w:r>
    </w:p>
    <w:p>
      <w:pPr>
        <w:pStyle w:val="BodyText"/>
        <w:spacing w:line="415" w:lineRule="auto" w:before="139"/>
        <w:ind w:left="472" w:right="4468"/>
        <w:jc w:val="left"/>
      </w:pP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rPr>
        <w:t>B.</w:t>
      </w:r>
      <w:r>
        <w:rPr/>
        <w:t>交易发生时既不影响会计利润也不影响应纳税所得额（或可抵扣亏损）。</w:t>
      </w:r>
    </w:p>
    <w:p>
      <w:pPr>
        <w:pStyle w:val="BodyText"/>
        <w:spacing w:line="316" w:lineRule="auto" w:before="37"/>
        <w:ind w:right="1130" w:firstLine="360"/>
        <w:jc w:val="both"/>
      </w:pPr>
      <w:r>
        <w:rPr>
          <w:spacing w:val="-2"/>
        </w:rPr>
        <w:t>本公司对与子公司、联营公司及合营企业投资相关的可抵扣暂时性差异，同时满足下列两项条件的，其对所得税的影响</w:t>
      </w:r>
      <w:r>
        <w:rPr/>
        <w:t> 额（才能）确认为递延所得税资产：</w:t>
      </w:r>
    </w:p>
    <w:p>
      <w:pPr>
        <w:pStyle w:val="BodyText"/>
        <w:spacing w:line="415" w:lineRule="auto" w:before="139"/>
        <w:ind w:left="472" w:right="5368"/>
        <w:jc w:val="left"/>
      </w:pPr>
      <w:r>
        <w:rPr>
          <w:rFonts w:ascii="Times New Roman" w:hAnsi="Times New Roman" w:cs="Times New Roman" w:eastAsia="Times New Roman" w:hint="default"/>
        </w:rPr>
        <w:t>A.</w:t>
      </w:r>
      <w:r>
        <w:rPr/>
        <w:t>暂时性差异在可预见的未来很可能转回； </w:t>
      </w:r>
      <w:r>
        <w:rPr>
          <w:rFonts w:ascii="Times New Roman" w:hAnsi="Times New Roman" w:cs="Times New Roman" w:eastAsia="Times New Roman" w:hint="default"/>
        </w:rPr>
        <w:t>B.</w:t>
      </w:r>
      <w:r>
        <w:rPr/>
        <w:t>未来很可能获得用来抵扣可抵扣暂时性差异的应纳税所得额；</w:t>
      </w:r>
    </w:p>
    <w:p>
      <w:pPr>
        <w:pStyle w:val="BodyText"/>
        <w:spacing w:line="316" w:lineRule="auto" w:before="37"/>
        <w:ind w:right="1132" w:firstLine="360"/>
        <w:jc w:val="both"/>
      </w:pPr>
      <w:r>
        <w:rPr>
          <w:spacing w:val="-2"/>
        </w:rPr>
        <w:t>资产负债表日，有确凿证据表明未来期间很可能获得足够的应纳税所得额用来抵扣可抵扣暂时性差异的，确认以前期间</w:t>
      </w:r>
      <w:r>
        <w:rPr/>
        <w:t> 未确认的递延所得税资产。</w:t>
      </w:r>
    </w:p>
    <w:p>
      <w:pPr>
        <w:pStyle w:val="BodyText"/>
        <w:spacing w:line="316" w:lineRule="auto" w:before="139"/>
        <w:ind w:right="1130" w:firstLine="360"/>
        <w:jc w:val="both"/>
      </w:pPr>
      <w:r>
        <w:rPr>
          <w:spacing w:val="-2"/>
        </w:rPr>
        <w:t>在资产负债表日，本公司对递延所得税资产的账面价值进行复核。如果未来期间很可能无法获得足够的应纳税所得额用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3"/>
        </w:rPr>
        <w:t> </w:t>
      </w:r>
      <w:r>
        <w:rPr>
          <w:spacing w:val="-63"/>
        </w:rPr>
      </w:r>
      <w:r>
        <w:rPr/>
        <w:t>回。</w:t>
      </w:r>
    </w:p>
    <w:p>
      <w:pPr>
        <w:spacing w:after="0" w:line="316"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Heading4"/>
        <w:spacing w:line="240" w:lineRule="auto" w:before="44"/>
        <w:ind w:right="0"/>
        <w:jc w:val="left"/>
        <w:rPr>
          <w:b w:val="0"/>
          <w:bCs w:val="0"/>
        </w:rPr>
      </w:pPr>
      <w:r>
        <w:rPr/>
        <w:t>（</w:t>
      </w:r>
      <w:r>
        <w:rPr>
          <w:rFonts w:ascii="Times New Roman" w:hAnsi="Times New Roman" w:cs="Times New Roman" w:eastAsia="Times New Roman" w:hint="default"/>
        </w:rPr>
        <w:t>2</w:t>
      </w:r>
      <w:r>
        <w:rPr/>
        <w:t>）递延所得税负债的确认</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0" w:firstLine="360"/>
        <w:jc w:val="left"/>
      </w:pPr>
      <w:r>
        <w:rPr>
          <w:spacing w:val="-2"/>
        </w:rPr>
        <w:t>本公司所有应纳税暂时性差异均按预计转回期间的所得税税率计量对所得税的影响，并将该影响额确认为递延所得税负</w:t>
      </w:r>
      <w:r>
        <w:rPr/>
        <w:t> 债，但下列情况的除外：</w:t>
      </w:r>
    </w:p>
    <w:p>
      <w:pPr>
        <w:pStyle w:val="BodyText"/>
        <w:spacing w:line="240" w:lineRule="auto" w:before="139"/>
        <w:ind w:left="472" w:right="0"/>
        <w:jc w:val="left"/>
      </w:pPr>
      <w:r>
        <w:rPr/>
        <w:t>①因下列交易或事项中产生的应纳税暂时性差异对所得税的影响不确认为递延所得税负债：</w:t>
      </w:r>
    </w:p>
    <w:p>
      <w:pPr>
        <w:pStyle w:val="BodyText"/>
        <w:spacing w:line="430" w:lineRule="atLeast" w:before="15"/>
        <w:ind w:left="472" w:right="0"/>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spacing w:val="-2"/>
        </w:rPr>
        <w:t>B.</w:t>
      </w:r>
      <w:r>
        <w:rPr>
          <w:spacing w:val="-2"/>
        </w:rPr>
        <w:t>具有以下特征的交易中产生的资产或负债的初始确认：该交易不是企业合并，并且交易发生时既不影响会计利润也不</w:t>
      </w:r>
    </w:p>
    <w:p>
      <w:pPr>
        <w:pStyle w:val="BodyText"/>
        <w:spacing w:line="240" w:lineRule="auto" w:before="63"/>
        <w:ind w:right="0"/>
        <w:jc w:val="both"/>
      </w:pPr>
      <w:r>
        <w:rPr/>
        <w:t>影响应纳税所得额或可抵扣亏损。</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②本公司对与子公司、合营企业及联营企业投资相关的应纳税暂时性差异，其对所得税的影响额一般确认为递延所得税</w:t>
      </w:r>
      <w:r>
        <w:rPr/>
        <w:t> 负债，但同时满足以下两项条件的除外：</w:t>
      </w:r>
    </w:p>
    <w:p>
      <w:pPr>
        <w:pStyle w:val="BodyText"/>
        <w:spacing w:line="415" w:lineRule="auto" w:before="139"/>
        <w:ind w:left="472" w:right="6448"/>
        <w:jc w:val="left"/>
      </w:pP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pStyle w:val="Heading4"/>
        <w:spacing w:line="240" w:lineRule="auto" w:before="37"/>
        <w:ind w:left="379" w:right="0"/>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432" w:lineRule="exact" w:before="47"/>
        <w:ind w:left="472" w:right="0"/>
        <w:jc w:val="left"/>
      </w:pPr>
      <w:r>
        <w:rPr/>
        <w:t>①与企业合并相关的递延所得税负债或资产 </w:t>
      </w:r>
      <w:r>
        <w:rPr>
          <w:spacing w:val="-2"/>
        </w:rPr>
        <w:t>非同一控制下企业合并产生的应纳税暂时性差异或可抵扣暂时性差异，在确认递延所得税负债或递延所得税资产的同时，</w:t>
      </w:r>
    </w:p>
    <w:p>
      <w:pPr>
        <w:pStyle w:val="BodyText"/>
        <w:spacing w:line="240" w:lineRule="auto" w:before="15"/>
        <w:ind w:right="0"/>
        <w:jc w:val="both"/>
      </w:pPr>
      <w:r>
        <w:rPr/>
        <w:t>相关的递延所得税费用（或收益），通常调整企业合并中所确认的商誉。</w:t>
      </w:r>
    </w:p>
    <w:p>
      <w:pPr>
        <w:pStyle w:val="BodyText"/>
        <w:spacing w:line="430" w:lineRule="atLeast" w:before="2"/>
        <w:ind w:left="472" w:right="0"/>
        <w:jc w:val="left"/>
      </w:pPr>
      <w:r>
        <w:rPr/>
        <w:t>②直接计入所有者权益的项目 </w:t>
      </w:r>
      <w:r>
        <w:rPr>
          <w:spacing w:val="-2"/>
        </w:rPr>
        <w:t>与直接计入所有者权益的交易或者事项相关的当期所得税和递延所得税，计入所有者权益。暂时性差异对所得税的影响</w:t>
      </w:r>
    </w:p>
    <w:p>
      <w:pPr>
        <w:pStyle w:val="BodyText"/>
        <w:spacing w:line="316" w:lineRule="auto" w:before="76"/>
        <w:ind w:right="1130"/>
        <w:jc w:val="both"/>
      </w:pPr>
      <w:r>
        <w:rPr>
          <w:spacing w:val="-2"/>
        </w:rPr>
        <w:t>计入所有者权益的交易或事项包括：可供出售金融资产公允价值变动等形成的其他综合收益、会计政策变更采用追溯调整法</w:t>
      </w:r>
      <w:r>
        <w:rPr>
          <w:spacing w:val="-64"/>
        </w:rPr>
        <w:t> </w:t>
      </w:r>
      <w:r>
        <w:rPr>
          <w:spacing w:val="-64"/>
        </w:rPr>
      </w:r>
      <w:r>
        <w:rPr>
          <w:spacing w:val="-2"/>
        </w:rPr>
        <w:t>或对前期（重要）会计差错更正差异追溯重述法调整期初留存收益、同时包含负债成份及权益成份的混合金融工具在初始确</w:t>
      </w:r>
      <w:r>
        <w:rPr>
          <w:spacing w:val="-63"/>
        </w:rPr>
        <w:t> </w:t>
      </w:r>
      <w:r>
        <w:rPr>
          <w:spacing w:val="-63"/>
        </w:rPr>
      </w:r>
      <w:r>
        <w:rPr/>
        <w:t>认时计入所有者权益等。</w:t>
      </w:r>
    </w:p>
    <w:p>
      <w:pPr>
        <w:pStyle w:val="BodyText"/>
        <w:spacing w:line="240" w:lineRule="auto" w:before="139"/>
        <w:ind w:left="472" w:right="0"/>
        <w:jc w:val="left"/>
      </w:pPr>
      <w:r>
        <w:rPr/>
        <w:t>③可弥补亏损和税款抵减</w:t>
      </w:r>
    </w:p>
    <w:p>
      <w:pPr>
        <w:pStyle w:val="BodyText"/>
        <w:spacing w:line="420" w:lineRule="atLeast" w:before="25"/>
        <w:ind w:left="472" w:right="0"/>
        <w:jc w:val="left"/>
      </w:pPr>
      <w:r>
        <w:rPr>
          <w:rFonts w:ascii="Times New Roman" w:hAnsi="Times New Roman" w:cs="Times New Roman" w:eastAsia="Times New Roman" w:hint="default"/>
        </w:rPr>
        <w:t>A.</w:t>
      </w:r>
      <w:r>
        <w:rPr/>
        <w:t>本公司自身经营产生的可弥补亏损以及税款抵减 </w:t>
      </w:r>
      <w:r>
        <w:rPr>
          <w:spacing w:val="-2"/>
        </w:rPr>
        <w:t>可抵扣亏损是指按照税法规定计算确定的准予用以后年度的应纳税所得额弥补的亏损。对于按照税法规定可以结转以后</w:t>
      </w:r>
    </w:p>
    <w:p>
      <w:pPr>
        <w:pStyle w:val="BodyText"/>
        <w:spacing w:line="316" w:lineRule="auto" w:before="76"/>
        <w:ind w:right="1130"/>
        <w:jc w:val="both"/>
      </w:pPr>
      <w:r>
        <w:rPr>
          <w:spacing w:val="-2"/>
        </w:rPr>
        <w:t>年度的未弥补亏损（可抵扣亏损）和税款抵减，视同可抵扣暂时性差异处理。在预计可利用可弥补亏损或税款抵减的未来期</w:t>
      </w:r>
      <w:r>
        <w:rPr>
          <w:spacing w:val="-64"/>
        </w:rPr>
        <w:t> </w:t>
      </w:r>
      <w:r>
        <w:rPr>
          <w:spacing w:val="-64"/>
        </w:rPr>
      </w:r>
      <w:r>
        <w:rPr>
          <w:spacing w:val="-2"/>
        </w:rPr>
        <w:t>间内很可能取得足够的应纳税所得额时，以很可能取得的应纳税所得额为限，确认相应的递延所得税资产，同时减少当期利</w:t>
      </w:r>
      <w:r>
        <w:rPr>
          <w:spacing w:val="-63"/>
        </w:rPr>
        <w:t> </w:t>
      </w:r>
      <w:r>
        <w:rPr>
          <w:spacing w:val="-63"/>
        </w:rPr>
      </w:r>
      <w:r>
        <w:rPr/>
        <w:t>润表中的所得税费用。</w:t>
      </w:r>
    </w:p>
    <w:p>
      <w:pPr>
        <w:pStyle w:val="BodyText"/>
        <w:spacing w:line="415" w:lineRule="auto" w:before="139"/>
        <w:ind w:left="472" w:right="1034"/>
        <w:jc w:val="left"/>
      </w:pPr>
      <w:r>
        <w:rPr>
          <w:rFonts w:ascii="Times New Roman" w:hAnsi="Times New Roman" w:cs="Times New Roman" w:eastAsia="Times New Roman" w:hint="default"/>
        </w:rPr>
        <w:t>B.</w:t>
      </w:r>
      <w:r>
        <w:rPr/>
        <w:t>因企业合并而形成的可弥补的被合并企业的未弥补亏损 在企业合并中，本公司取得被购买方的可抵扣暂时性差异，在购买日不符合递延所得税资产确认条件的，不予以确认。</w:t>
      </w:r>
    </w:p>
    <w:p>
      <w:pPr>
        <w:pStyle w:val="BodyText"/>
        <w:spacing w:line="194" w:lineRule="exact"/>
        <w:ind w:right="0"/>
        <w:jc w:val="both"/>
      </w:pPr>
      <w:r>
        <w:rPr/>
        <w:t>购买日后</w:t>
      </w:r>
      <w:r>
        <w:rPr>
          <w:rFonts w:ascii="Times New Roman" w:hAnsi="Times New Roman" w:cs="Times New Roman" w:eastAsia="Times New Roman" w:hint="default"/>
        </w:rPr>
        <w:t>12</w:t>
      </w:r>
      <w:r>
        <w:rPr/>
        <w:t>个月内，如取得新的或进一步的信息表明购买日的相关情况已经存在，预期被购买方在购买日可抵扣暂时性差异</w:t>
      </w:r>
    </w:p>
    <w:p>
      <w:pPr>
        <w:pStyle w:val="BodyText"/>
        <w:spacing w:line="316" w:lineRule="auto" w:before="63"/>
        <w:ind w:right="1129"/>
        <w:jc w:val="both"/>
      </w:pPr>
      <w:r>
        <w:rPr>
          <w:spacing w:val="-2"/>
        </w:rPr>
        <w:t>带来的经济利益能够实现的，确认相关的递延所得税资产，同时减少商誉，商誉不足冲减的，差额部分确认为当期损益；除</w:t>
      </w:r>
      <w:r>
        <w:rPr>
          <w:spacing w:val="-63"/>
        </w:rPr>
        <w:t> </w:t>
      </w:r>
      <w:r>
        <w:rPr>
          <w:spacing w:val="-63"/>
        </w:rPr>
      </w:r>
      <w:r>
        <w:rPr/>
        <w:t>上述情况以外，确认与企业合并相关的递延所得税资产，计入当期损益。</w:t>
      </w:r>
    </w:p>
    <w:p>
      <w:pPr>
        <w:pStyle w:val="BodyText"/>
        <w:spacing w:line="432" w:lineRule="exact" w:before="3"/>
        <w:ind w:left="472" w:right="0"/>
        <w:jc w:val="left"/>
      </w:pPr>
      <w:r>
        <w:rPr/>
        <w:t>④合并抵销形成的暂时性差异 </w:t>
      </w:r>
      <w:r>
        <w:rPr>
          <w:spacing w:val="-2"/>
        </w:rPr>
        <w:t>本公司在编制合并财务报表时，因抵销未实现内部销售损益导致合并资产负债表中资产、负债的账面价值与其在所属纳</w:t>
      </w:r>
    </w:p>
    <w:p>
      <w:pPr>
        <w:pStyle w:val="BodyText"/>
        <w:spacing w:line="316" w:lineRule="auto" w:before="15"/>
        <w:ind w:right="1132"/>
        <w:jc w:val="both"/>
      </w:pPr>
      <w:r>
        <w:rPr>
          <w:spacing w:val="-2"/>
        </w:rPr>
        <w:t>税主体的计税基础之间产生暂时性差异的，在合并资产负债表中确认递延所得税资产或递延所得税负债，同时调整合并利润</w:t>
      </w:r>
      <w:r>
        <w:rPr>
          <w:spacing w:val="-64"/>
        </w:rPr>
        <w:t> </w:t>
      </w:r>
      <w:r>
        <w:rPr>
          <w:spacing w:val="-64"/>
        </w:rPr>
      </w:r>
      <w:r>
        <w:rPr/>
        <w:t>表中的所得税费用，但与直接计入所有者权益的交易或事项及企业合并相关的递延所得税除外。</w:t>
      </w:r>
    </w:p>
    <w:p>
      <w:pPr>
        <w:pStyle w:val="BodyText"/>
        <w:spacing w:line="240" w:lineRule="auto" w:before="139"/>
        <w:ind w:left="472" w:right="0"/>
        <w:jc w:val="left"/>
      </w:pPr>
      <w:r>
        <w:rPr/>
        <w:t>⑤以权益结算的股份支付</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spacing w:val="-2"/>
        </w:rPr>
        <w:t>如果税法规定与股份支付相关的支出允许税前扣除，在按照会计准则规定确认成本费用的期间内，本公司根据会计期末</w:t>
      </w:r>
      <w:r>
        <w:rPr/>
        <w:t> </w:t>
      </w:r>
      <w:r>
        <w:rPr>
          <w:spacing w:val="-2"/>
        </w:rPr>
        <w:t>取得信息估计可税前扣除的金额计算确定其计税基础及由此产生的暂时性差异，符合确认条件的情况下确认相关的递延所得</w:t>
      </w:r>
      <w:r>
        <w:rPr>
          <w:spacing w:val="-64"/>
        </w:rPr>
        <w:t> </w:t>
      </w:r>
      <w:r>
        <w:rPr>
          <w:spacing w:val="-64"/>
        </w:rPr>
      </w:r>
      <w:r>
        <w:rPr>
          <w:spacing w:val="-2"/>
        </w:rPr>
        <w:t>税。其中预计未来期间可税前扣除的金额超过按照会计准则规定确认的与股份支付相关的成本费用，超过部分的所得税影响</w:t>
      </w:r>
      <w:r>
        <w:rPr>
          <w:spacing w:val="-64"/>
        </w:rPr>
        <w:t> </w:t>
      </w:r>
      <w:r>
        <w:rPr>
          <w:spacing w:val="-64"/>
        </w:rPr>
      </w:r>
      <w:r>
        <w:rPr/>
        <w:t>应直接计入所有者权益。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9、租赁" w:id="203"/>
      <w:bookmarkEnd w:id="203"/>
      <w:r>
        <w:rPr>
          <w:b w:val="0"/>
          <w:bCs w:val="0"/>
        </w:rPr>
      </w:r>
      <w:r>
        <w:rPr>
          <w:rFonts w:ascii="Times New Roman" w:hAnsi="Times New Roman" w:cs="Times New Roman" w:eastAsia="Times New Roman" w:hint="default"/>
        </w:rPr>
        <w:t>29</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4"/>
      <w:bookmarkEnd w:id="20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0"/>
        <w:jc w:val="left"/>
      </w:pPr>
      <w:r>
        <w:rPr/>
        <w:t>实质上转移了与资产所有权有关的全部风险和报酬的租赁为融资租赁，除此之外的均为经营租赁。</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①本公司作为经营租赁承租人时，将经营租赁的租金支出，在租赁期内各个期间按照直线法或根据租赁资产的使用量计</w:t>
      </w:r>
      <w:r>
        <w:rPr/>
        <w:t> </w:t>
      </w:r>
      <w:r>
        <w:rPr>
          <w:spacing w:val="-2"/>
        </w:rPr>
        <w:t>入当期损益。出租人提供免租期的，本公司将租金总额在不扣除免租期的整个租赁期内，按直线法或其他合理的方法进行分</w:t>
      </w:r>
      <w:r>
        <w:rPr>
          <w:spacing w:val="-63"/>
        </w:rPr>
        <w:t> </w:t>
      </w:r>
      <w:r>
        <w:rPr>
          <w:spacing w:val="-63"/>
        </w:rPr>
      </w:r>
      <w:r>
        <w:rPr>
          <w:spacing w:val="-2"/>
        </w:rPr>
        <w:t>摊，免租期内确认租金费用及相应的负债。出租人承担了承租人某些费用的，本公司按该费用从租金费用总额中扣除后的租</w:t>
      </w:r>
      <w:r>
        <w:rPr>
          <w:spacing w:val="-63"/>
        </w:rPr>
        <w:t> </w:t>
      </w:r>
      <w:r>
        <w:rPr>
          <w:spacing w:val="-63"/>
        </w:rPr>
      </w:r>
      <w:r>
        <w:rPr/>
        <w:t>金费用余额在租赁期内进行分摊。</w:t>
      </w:r>
    </w:p>
    <w:p>
      <w:pPr>
        <w:pStyle w:val="BodyText"/>
        <w:spacing w:line="240" w:lineRule="auto" w:before="139"/>
        <w:ind w:left="472" w:right="0"/>
        <w:jc w:val="left"/>
      </w:pPr>
      <w:r>
        <w:rPr/>
        <w:t>初始直接费用，计入当期损益。如协议约定或有租金的在实际发生时计入当期损益。</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②本公司作为经营租赁出租人时，采用直线法将收到的租金在租赁期内确认为收益。出租人提供免租期的，出租人将租</w:t>
      </w:r>
      <w:r>
        <w:rPr/>
        <w:t> </w:t>
      </w:r>
      <w:r>
        <w:rPr>
          <w:spacing w:val="-2"/>
        </w:rPr>
        <w:t>金总额在不扣除免租期的整个租赁期内，按直线法或其他合理的方法进行分配，免租期内出租人也确认租金收入。承担了承</w:t>
      </w:r>
      <w:r>
        <w:rPr>
          <w:spacing w:val="-63"/>
        </w:rPr>
        <w:t> </w:t>
      </w:r>
      <w:r>
        <w:rPr>
          <w:spacing w:val="-63"/>
        </w:rPr>
      </w:r>
      <w:r>
        <w:rPr/>
        <w:t>租人某些费用的，本公司按该费用自租金收入总额中扣除后的租金收入余额在租赁期内进行分配。</w:t>
      </w:r>
    </w:p>
    <w:p>
      <w:pPr>
        <w:pStyle w:val="BodyText"/>
        <w:spacing w:line="316" w:lineRule="auto" w:before="139"/>
        <w:ind w:right="0"/>
        <w:jc w:val="left"/>
      </w:pPr>
      <w:r>
        <w:rPr>
          <w:spacing w:val="-2"/>
        </w:rPr>
        <w:t>初始直接费用，计入当期损益。金额较大的予以资本化，在整个经营租赁期内按照与确认租金收入相同的基础分期计入当期</w:t>
      </w:r>
      <w:r>
        <w:rPr>
          <w:spacing w:val="-65"/>
        </w:rPr>
        <w:t> </w:t>
      </w:r>
      <w:r>
        <w:rPr>
          <w:spacing w:val="-65"/>
        </w:rPr>
      </w:r>
      <w:r>
        <w:rPr/>
        <w:t>损益。如协议约定或有租金的在实际发生时计入当期收益。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05"/>
      <w:bookmarkEnd w:id="20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①本公司作为融资租赁承租人时，在租赁期开始日，将租赁开始日租赁资产公允价值与最低租赁付款额现值两者中较低</w:t>
      </w:r>
      <w:r>
        <w:rPr/>
        <w:t> </w:t>
      </w:r>
      <w:r>
        <w:rPr>
          <w:spacing w:val="-2"/>
        </w:rPr>
        <w:t>者作为租入资产的入账价值，将最低租赁付款额作为长期应付款的入账价值，其差额作为未确认融资费用。在租赁期内各个</w:t>
      </w:r>
      <w:r>
        <w:rPr>
          <w:spacing w:val="-63"/>
        </w:rPr>
        <w:t> </w:t>
      </w:r>
      <w:r>
        <w:rPr>
          <w:spacing w:val="-63"/>
        </w:rPr>
      </w:r>
      <w:r>
        <w:rPr/>
        <w:t>期间采用实际利率法进行分摊，确认为当期融资费用，计入财务费用。</w:t>
      </w:r>
    </w:p>
    <w:p>
      <w:pPr>
        <w:pStyle w:val="BodyText"/>
        <w:spacing w:line="432" w:lineRule="exact" w:before="3"/>
        <w:ind w:left="472" w:right="0"/>
        <w:jc w:val="left"/>
      </w:pPr>
      <w:r>
        <w:rPr/>
        <w:t>发生的初始直接费用，计入租入资产价值。 </w:t>
      </w:r>
      <w:r>
        <w:rPr>
          <w:spacing w:val="-2"/>
        </w:rPr>
        <w:t>在计提融资租赁资产折旧时，本公司采用与自有应折旧资产相一致的折旧政策，折旧期间以租赁合同而定。如果能够合</w:t>
      </w:r>
    </w:p>
    <w:p>
      <w:pPr>
        <w:pStyle w:val="BodyText"/>
        <w:spacing w:line="316" w:lineRule="auto" w:before="15"/>
        <w:ind w:right="0"/>
        <w:jc w:val="left"/>
      </w:pP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p>
    <w:p>
      <w:pPr>
        <w:pStyle w:val="BodyText"/>
        <w:spacing w:line="312" w:lineRule="auto" w:before="139"/>
        <w:ind w:right="1130" w:firstLine="360"/>
        <w:jc w:val="both"/>
      </w:pPr>
      <w:r>
        <w:rPr>
          <w:spacing w:val="-2"/>
        </w:rPr>
        <w:t>②本公司作为融资租赁出租人时，于租赁期开始日将租赁开始日最低租赁应收款额与初始直接费用之和作为应收融资租</w:t>
      </w:r>
      <w:r>
        <w:rPr/>
        <w:t> </w:t>
      </w:r>
      <w:r>
        <w:rPr>
          <w:spacing w:val="-2"/>
        </w:rPr>
        <w:t>赁款的入账价值，计入资产负债表的长期应收款，同时记录未担保余值；将最低租赁应收款额、初始直接费用及未担保余值</w:t>
      </w:r>
      <w:r>
        <w:rPr>
          <w:spacing w:val="-64"/>
        </w:rPr>
        <w:t> </w:t>
      </w:r>
      <w:r>
        <w:rPr>
          <w:spacing w:val="-64"/>
        </w:rPr>
      </w:r>
      <w:r>
        <w:rPr/>
        <w:t>之和与其现值之和的差额作为未实现融资收益，在租赁期内各个期间采用实际利率法确认为租赁收入，计入租赁收入</w:t>
      </w:r>
      <w:r>
        <w:rPr>
          <w:rFonts w:ascii="Times New Roman" w:hAnsi="Times New Roman" w:cs="Times New Roman" w:eastAsia="Times New Roman" w:hint="default"/>
        </w:rPr>
        <w:t>/</w:t>
      </w:r>
      <w:r>
        <w:rPr/>
        <w:t>其他</w:t>
      </w:r>
      <w:r>
        <w:rPr>
          <w:spacing w:val="-51"/>
        </w:rPr>
        <w:t> </w:t>
      </w:r>
      <w:r>
        <w:rPr/>
        <w:t>业务收入。</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30、 终止经营" w:id="206"/>
      <w:bookmarkEnd w:id="206"/>
      <w:r>
        <w:rPr>
          <w:b w:val="0"/>
          <w:bCs w:val="0"/>
        </w:rPr>
      </w:r>
      <w:r>
        <w:rPr>
          <w:rFonts w:ascii="Times New Roman" w:hAnsi="Times New Roman" w:cs="Times New Roman" w:eastAsia="Times New Roman" w:hint="default"/>
        </w:rPr>
        <w:t>30</w:t>
      </w:r>
      <w:r>
        <w:rPr/>
        <w:t>、</w:t>
      </w:r>
      <w:r>
        <w:rPr>
          <w:spacing w:val="-4"/>
        </w:rPr>
        <w:t> </w:t>
      </w:r>
      <w:r>
        <w:rPr/>
        <w:t>终止经营</w:t>
      </w:r>
      <w:r>
        <w:rPr>
          <w:b w:val="0"/>
          <w:bCs w:val="0"/>
        </w:rPr>
      </w:r>
    </w:p>
    <w:p>
      <w:pPr>
        <w:spacing w:line="240" w:lineRule="auto" w:before="9"/>
        <w:rPr>
          <w:rFonts w:ascii="宋体" w:hAnsi="宋体" w:cs="宋体" w:eastAsia="宋体" w:hint="default"/>
          <w:b/>
          <w:bCs/>
          <w:sz w:val="26"/>
          <w:szCs w:val="26"/>
        </w:rPr>
      </w:pPr>
    </w:p>
    <w:p>
      <w:pPr>
        <w:pStyle w:val="BodyText"/>
        <w:spacing w:line="415" w:lineRule="auto"/>
        <w:ind w:left="472" w:right="0"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）终止经营的认定标准</w:t>
      </w:r>
      <w:r>
        <w:rPr>
          <w:rFonts w:ascii="宋体" w:hAnsi="宋体" w:cs="宋体" w:eastAsia="宋体" w:hint="default"/>
          <w:b/>
          <w:bCs/>
          <w:w w:val="99"/>
        </w:rPr>
        <w:t> </w:t>
      </w:r>
      <w:r>
        <w:rPr>
          <w:spacing w:val="-4"/>
        </w:rPr>
        <w:t>终止经营，是指本公司满足下列条件之一的、能够单独区分的组成部分，且该组成部分已经处置或划分为持有待售类别：</w:t>
      </w:r>
    </w:p>
    <w:p>
      <w:pPr>
        <w:pStyle w:val="BodyText"/>
        <w:spacing w:line="240" w:lineRule="auto" w:before="65"/>
        <w:ind w:left="472" w:right="0"/>
        <w:jc w:val="left"/>
      </w:pPr>
      <w:r>
        <w:rPr/>
        <w:t>①该组成部分代表一项独立的主要业务或一个单独的主要经营地区；</w:t>
      </w:r>
    </w:p>
    <w:p>
      <w:pPr>
        <w:spacing w:line="240" w:lineRule="auto" w:before="0"/>
        <w:rPr>
          <w:rFonts w:ascii="宋体" w:hAnsi="宋体" w:cs="宋体" w:eastAsia="宋体" w:hint="default"/>
          <w:sz w:val="15"/>
          <w:szCs w:val="15"/>
        </w:rPr>
      </w:pPr>
    </w:p>
    <w:p>
      <w:pPr>
        <w:pStyle w:val="BodyText"/>
        <w:spacing w:line="240" w:lineRule="auto"/>
        <w:ind w:left="472" w:right="0"/>
        <w:jc w:val="left"/>
      </w:pPr>
      <w:r>
        <w:rPr/>
        <w:t>②该组成部分是拟对一项独立的主要业务或一个单独的主要经营地区进行处置的一项相关联计划的一部分；</w:t>
      </w:r>
    </w:p>
    <w:p>
      <w:pPr>
        <w:spacing w:after="0" w:line="240" w:lineRule="auto"/>
        <w:jc w:val="left"/>
        <w:sectPr>
          <w:footerReference w:type="default" r:id="rId26"/>
          <w:pgSz w:w="11910" w:h="16840"/>
          <w:pgMar w:footer="978" w:header="746" w:top="1060" w:bottom="1160" w:left="1020" w:right="0"/>
          <w:pgNumType w:start="14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t>③该组成部分是专为转售而取得的子公司。</w:t>
      </w:r>
    </w:p>
    <w:p>
      <w:pPr>
        <w:pStyle w:val="Heading4"/>
        <w:spacing w:line="240" w:lineRule="auto" w:before="76"/>
        <w:ind w:right="0"/>
        <w:jc w:val="left"/>
        <w:rPr>
          <w:b w:val="0"/>
          <w:bCs w:val="0"/>
        </w:rPr>
      </w:pPr>
      <w:r>
        <w:rPr/>
        <w:t>（</w:t>
      </w:r>
      <w:r>
        <w:rPr>
          <w:rFonts w:ascii="Times New Roman" w:hAnsi="Times New Roman" w:cs="Times New Roman" w:eastAsia="Times New Roman" w:hint="default"/>
        </w:rPr>
        <w:t>2</w:t>
      </w:r>
      <w:r>
        <w:rPr/>
        <w:t>）终止经营的列示</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034" w:firstLine="360"/>
        <w:jc w:val="left"/>
      </w:pPr>
      <w:r>
        <w:rPr>
          <w:spacing w:val="-2"/>
        </w:rPr>
        <w:t>本公司在利润表中分别列示持续经营损益和终止经营损益。对于当期列报的终止经营，本公司在当期财务报表中，将原</w:t>
      </w:r>
      <w:r>
        <w:rPr/>
        <w:t> 来作为持续经营损益列报的信息重新作为可比会计期间的终止经营损益列报。终止经营不再满足持有待售类别划分条件的， 本公司在当期财务报表中，将原来作为终止经营损益列报的信息重新作为可比会计期间的持续经营损益列报。</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1、限制性股票" w:id="207"/>
      <w:bookmarkEnd w:id="207"/>
      <w:r>
        <w:rPr>
          <w:b w:val="0"/>
          <w:bCs w:val="0"/>
        </w:rPr>
      </w:r>
      <w:r>
        <w:rPr>
          <w:rFonts w:ascii="Times New Roman" w:hAnsi="Times New Roman" w:cs="Times New Roman" w:eastAsia="Times New Roman" w:hint="default"/>
        </w:rPr>
        <w:t>31</w:t>
      </w:r>
      <w:r>
        <w:rPr/>
        <w:t>、限制性股票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1" w:firstLine="360"/>
        <w:jc w:val="both"/>
      </w:pPr>
      <w:r>
        <w:rPr>
          <w:spacing w:val="-2"/>
        </w:rPr>
        <w:t>股权激励计划中，本公司授予被激励对象限制性股票，被激励对象先认购股票，如果后续未达到股权激励计划规定的解</w:t>
      </w:r>
      <w:r>
        <w:rPr/>
        <w:t> </w:t>
      </w:r>
      <w:r>
        <w:rPr>
          <w:spacing w:val="-2"/>
        </w:rPr>
        <w:t>锁条件，则本公司按照事先约定的价格回购股票。向职工发行的限制性股票按有关规定履行了注册登记等增资手续的，在授</w:t>
      </w:r>
      <w:r>
        <w:rPr>
          <w:spacing w:val="-63"/>
        </w:rPr>
        <w:t> </w:t>
      </w:r>
      <w:r>
        <w:rPr>
          <w:spacing w:val="-63"/>
        </w:rPr>
      </w:r>
      <w:r>
        <w:rPr/>
        <w:t>予日，本公司根据收到的职工缴纳的认股款确认股本和资本公积（股本溢价）；同时就回购义务确认库存股和其他应付款。</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32、重要会计政策和会计估计变更" w:id="208"/>
      <w:bookmarkEnd w:id="208"/>
      <w:r>
        <w:rPr>
          <w:b w:val="0"/>
          <w:bCs w:val="0"/>
        </w:rPr>
      </w:r>
      <w:r>
        <w:rPr>
          <w:rFonts w:ascii="Times New Roman" w:hAnsi="Times New Roman" w:cs="Times New Roman" w:eastAsia="Times New Roman" w:hint="default"/>
        </w:rPr>
        <w:t>32</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pict>
          <v:shape style="position:absolute;margin-left:210.358994pt;margin-top:37.552723pt;width:165.25pt;height:362.95pt;mso-position-horizontal-relative:page;mso-position-vertical-relative:paragraph;z-index:-12721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6"/>
                    <w:ind w:left="0" w:right="0"/>
                    <w:jc w:val="left"/>
                  </w:pPr>
                  <w:r>
                    <w:rPr/>
                    <w:t>，</w:t>
                  </w:r>
                </w:p>
              </w:txbxContent>
            </v:textbox>
            <w10:wrap type="none"/>
          </v:shape>
        </w:pict>
      </w:r>
      <w:r>
        <w:rPr/>
        <w:pict>
          <v:group style="position:absolute;margin-left:216.399994pt;margin-top:37.552723pt;width:159.2pt;height:363.05pt;mso-position-horizontal-relative:page;mso-position-vertical-relative:paragraph;z-index:-1272160" coordorigin="4328,751" coordsize="3184,7261">
            <v:shape style="position:absolute;left:4328;top:751;width:3184;height:7261" coordorigin="4328,751" coordsize="3184,7261" path="m4328,751l7512,751,7512,8012,4328,8012,4328,751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财政部于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日分别发布了</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vMerge w:val="restart"/>
            <w:tcBorders>
              <w:top w:val="single" w:sz="4" w:space="0" w:color="000000"/>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2"/>
                <w:sz w:val="18"/>
                <w:szCs w:val="18"/>
              </w:rPr>
              <w:t>和</w:t>
            </w:r>
            <w:r>
              <w:rPr>
                <w:rFonts w:ascii="宋体" w:hAnsi="宋体" w:cs="宋体" w:eastAsia="宋体" w:hint="default"/>
                <w:sz w:val="18"/>
                <w:szCs w:val="18"/>
              </w:rPr>
              <w:t>计</w:t>
            </w:r>
            <w:r>
              <w:rPr>
                <w:rFonts w:ascii="宋体" w:hAnsi="宋体" w:cs="宋体" w:eastAsia="宋体" w:hint="default"/>
                <w:spacing w:val="2"/>
                <w:sz w:val="18"/>
                <w:szCs w:val="18"/>
              </w:rPr>
              <w:t>量</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财</w:t>
            </w:r>
            <w:r>
              <w:rPr>
                <w:rFonts w:ascii="宋体" w:hAnsi="宋体" w:cs="宋体" w:eastAsia="宋体" w:hint="default"/>
                <w:spacing w:val="2"/>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号</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企</w:t>
            </w:r>
            <w:r>
              <w:rPr>
                <w:rFonts w:ascii="宋体" w:hAnsi="宋体" w:cs="宋体" w:eastAsia="宋体" w:hint="default"/>
                <w:spacing w:val="2"/>
                <w:sz w:val="18"/>
                <w:szCs w:val="18"/>
              </w:rPr>
              <w:t>业</w:t>
            </w:r>
            <w:r>
              <w:rPr>
                <w:rFonts w:ascii="宋体" w:hAnsi="宋体" w:cs="宋体" w:eastAsia="宋体" w:hint="default"/>
                <w:sz w:val="18"/>
                <w:szCs w:val="18"/>
              </w:rPr>
              <w:t>会</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4"/>
                <w:sz w:val="18"/>
                <w:szCs w:val="18"/>
              </w:rPr>
              <w:t>计准则</w:t>
            </w: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金融资产转移</w:t>
            </w:r>
            <w:r>
              <w:rPr>
                <w:rFonts w:ascii="宋体" w:hAnsi="宋体" w:cs="宋体" w:eastAsia="宋体" w:hint="default"/>
                <w:spacing w:val="-87"/>
                <w:sz w:val="18"/>
                <w:szCs w:val="18"/>
              </w:rPr>
              <w:t>》</w:t>
            </w:r>
            <w:r>
              <w:rPr>
                <w:rFonts w:ascii="宋体" w:hAnsi="宋体" w:cs="宋体" w:eastAsia="宋体" w:hint="default"/>
                <w:spacing w:val="4"/>
                <w:sz w:val="18"/>
                <w:szCs w:val="18"/>
              </w:rPr>
              <w:t>（财</w:t>
            </w:r>
            <w:r>
              <w:rPr>
                <w:rFonts w:ascii="宋体" w:hAnsi="宋体" w:cs="宋体" w:eastAsia="宋体" w:hint="default"/>
                <w:sz w:val="18"/>
                <w:szCs w:val="18"/>
              </w:rPr>
              <w:t>会</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号</w:t>
            </w:r>
            <w:r>
              <w:rPr>
                <w:rFonts w:ascii="宋体" w:hAnsi="宋体" w:cs="宋体" w:eastAsia="宋体" w:hint="default"/>
                <w:spacing w:val="-89"/>
                <w:sz w:val="18"/>
                <w:szCs w:val="18"/>
              </w:rPr>
              <w:t>）</w:t>
            </w:r>
            <w:r>
              <w:rPr>
                <w:rFonts w:ascii="宋体" w:hAnsi="宋体" w:cs="宋体" w:eastAsia="宋体" w:hint="default"/>
                <w:spacing w:val="-87"/>
                <w:sz w:val="18"/>
                <w:szCs w:val="18"/>
              </w:rPr>
              <w:t>、</w:t>
            </w:r>
            <w:r>
              <w:rPr>
                <w:rFonts w:ascii="宋体" w:hAnsi="宋体" w:cs="宋体" w:eastAsia="宋体" w:hint="default"/>
                <w:spacing w:val="2"/>
                <w:sz w:val="18"/>
                <w:szCs w:val="18"/>
              </w:rPr>
              <w:t>《企</w:t>
            </w:r>
            <w:r>
              <w:rPr>
                <w:rFonts w:ascii="宋体" w:hAnsi="宋体" w:cs="宋体" w:eastAsia="宋体" w:hint="default"/>
                <w:sz w:val="18"/>
                <w:szCs w:val="18"/>
              </w:rPr>
              <w:t>业</w:t>
            </w:r>
            <w:r>
              <w:rPr>
                <w:rFonts w:ascii="宋体" w:hAnsi="宋体" w:cs="宋体" w:eastAsia="宋体" w:hint="default"/>
                <w:spacing w:val="2"/>
                <w:sz w:val="18"/>
                <w:szCs w:val="18"/>
              </w:rPr>
              <w:t>会计准</w:t>
            </w:r>
            <w:r>
              <w:rPr>
                <w:rFonts w:ascii="宋体" w:hAnsi="宋体" w:cs="宋体" w:eastAsia="宋体" w:hint="default"/>
                <w:sz w:val="18"/>
                <w:szCs w:val="18"/>
              </w:rPr>
              <w:t>则第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套期会</w:t>
            </w:r>
            <w:r>
              <w:rPr>
                <w:rFonts w:ascii="宋体" w:hAnsi="宋体" w:cs="宋体" w:eastAsia="宋体" w:hint="default"/>
                <w:spacing w:val="9"/>
                <w:sz w:val="18"/>
                <w:szCs w:val="18"/>
              </w:rPr>
              <w:t>计</w:t>
            </w:r>
            <w:r>
              <w:rPr>
                <w:rFonts w:ascii="宋体" w:hAnsi="宋体" w:cs="宋体" w:eastAsia="宋体" w:hint="default"/>
                <w:spacing w:val="-84"/>
                <w:sz w:val="18"/>
                <w:szCs w:val="18"/>
              </w:rPr>
              <w:t>》</w:t>
            </w:r>
            <w:r>
              <w:rPr>
                <w:rFonts w:ascii="宋体" w:hAnsi="宋体" w:cs="宋体" w:eastAsia="宋体" w:hint="default"/>
                <w:spacing w:val="7"/>
                <w:sz w:val="18"/>
                <w:szCs w:val="18"/>
              </w:rPr>
              <w:t>（财会</w:t>
            </w:r>
            <w:r>
              <w:rPr>
                <w:rFonts w:ascii="宋体" w:hAnsi="宋体" w:cs="宋体" w:eastAsia="宋体" w:hint="default"/>
                <w:spacing w:val="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6"/>
                <w:sz w:val="18"/>
                <w:szCs w:val="18"/>
              </w:rPr>
              <w:t>7</w:t>
            </w:r>
            <w:r>
              <w:rPr>
                <w:rFonts w:ascii="宋体" w:hAnsi="宋体" w:cs="宋体" w:eastAsia="宋体" w:hint="default"/>
                <w:spacing w:val="7"/>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号</w:t>
            </w:r>
            <w:r>
              <w:rPr>
                <w:rFonts w:ascii="宋体" w:hAnsi="宋体" w:cs="宋体" w:eastAsia="宋体" w:hint="default"/>
                <w:spacing w:val="-84"/>
                <w:sz w:val="18"/>
                <w:szCs w:val="18"/>
              </w:rPr>
              <w:t>）</w:t>
            </w:r>
            <w:r>
              <w:rPr>
                <w:rFonts w:ascii="宋体" w:hAnsi="宋体" w:cs="宋体" w:eastAsia="宋体" w:hint="default"/>
                <w:spacing w:val="7"/>
                <w:sz w:val="18"/>
                <w:szCs w:val="18"/>
              </w:rPr>
              <w:t>，</w:t>
            </w:r>
            <w:r>
              <w:rPr>
                <w:rFonts w:ascii="宋体" w:hAnsi="宋体" w:cs="宋体" w:eastAsia="宋体" w:hint="default"/>
                <w:sz w:val="18"/>
                <w:szCs w:val="18"/>
              </w:rPr>
              <w:t>于</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日发布了《企业会计准则</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9"/>
                <w:sz w:val="18"/>
                <w:szCs w:val="18"/>
              </w:rPr>
              <w:t>》</w:t>
            </w:r>
            <w:r>
              <w:rPr>
                <w:rFonts w:ascii="宋体" w:hAnsi="宋体" w:cs="宋体" w:eastAsia="宋体" w:hint="default"/>
                <w:sz w:val="18"/>
                <w:szCs w:val="18"/>
              </w:rPr>
              <w:t>（财</w:t>
            </w:r>
            <w:r>
              <w:rPr>
                <w:rFonts w:ascii="宋体" w:hAnsi="宋体" w:cs="宋体" w:eastAsia="宋体" w:hint="default"/>
                <w:spacing w:val="-8"/>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号</w:t>
            </w:r>
            <w:r>
              <w:rPr>
                <w:rFonts w:ascii="宋体" w:hAnsi="宋体" w:cs="宋体" w:eastAsia="宋体" w:hint="default"/>
                <w:spacing w:val="-89"/>
                <w:sz w:val="18"/>
                <w:szCs w:val="18"/>
              </w:rPr>
              <w:t>）</w:t>
            </w:r>
            <w:r>
              <w:rPr>
                <w:rFonts w:ascii="宋体" w:hAnsi="宋体" w:cs="宋体" w:eastAsia="宋体" w:hint="default"/>
                <w:spacing w:val="2"/>
                <w:sz w:val="18"/>
                <w:szCs w:val="18"/>
              </w:rPr>
              <w:t>（上述准则以下统称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2"/>
                <w:sz w:val="18"/>
                <w:szCs w:val="18"/>
              </w:rPr>
              <w:t>新金融工</w:t>
            </w:r>
            <w:r>
              <w:rPr>
                <w:rFonts w:ascii="宋体" w:hAnsi="宋体" w:cs="宋体" w:eastAsia="宋体" w:hint="default"/>
                <w:sz w:val="18"/>
                <w:szCs w:val="18"/>
              </w:rPr>
              <w:t>具</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准则</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。要求境内上市企业自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93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日起执行新金融工具准则。本公司</w:t>
            </w:r>
          </w:p>
          <w:p>
            <w:pPr>
              <w:pStyle w:val="TableParagraph"/>
              <w:spacing w:line="300"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日执行上述新金融工具 准则，对会计政策的相关内容进行调整</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第四届董事会第十次会议，审议通过了</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《关于公司会计政策变更的议案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89" w:type="dxa"/>
            <w:vMerge/>
            <w:tcBorders>
              <w:left w:val="single" w:sz="4" w:space="0" w:color="000000"/>
              <w:right w:val="single" w:sz="4" w:space="0" w:color="000000"/>
            </w:tcBorders>
          </w:tcPr>
          <w:p>
            <w:pPr/>
          </w:p>
        </w:tc>
      </w:tr>
      <w:tr>
        <w:trPr>
          <w:trHeight w:val="316"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详见附注三、</w:t>
            </w:r>
            <w:r>
              <w:rPr>
                <w:rFonts w:ascii="Times New Roman" w:hAnsi="Times New Roman" w:cs="Times New Roman" w:eastAsia="Times New Roman" w:hint="default"/>
                <w:sz w:val="18"/>
                <w:szCs w:val="18"/>
              </w:rPr>
              <w:t>10</w:t>
            </w: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日之</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08"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前的金融工具确认和计量与新金融工具</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准则要求不一致的，本公司按照新金融</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工具准则的规定，对金融工具的分类和</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计量（含减值）进行追溯调整，将金融</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工具原账面价值和在新金融工具准则施</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6"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行日（即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日）的新账面价</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值之间的差额计入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日的留</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08"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存收益或其他综合收益。同时，本公司</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55"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未对比较财务报表数据进行调整。</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361"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日，财政部发布的《关于</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vMerge w:val="restart"/>
            <w:tcBorders>
              <w:top w:val="single" w:sz="4" w:space="0" w:color="000000"/>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年度一般企业财务报表格</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式的通知</w:t>
            </w:r>
            <w:r>
              <w:rPr>
                <w:rFonts w:ascii="宋体" w:hAnsi="宋体" w:cs="宋体" w:eastAsia="宋体" w:hint="default"/>
                <w:spacing w:val="-106"/>
                <w:sz w:val="18"/>
                <w:szCs w:val="18"/>
              </w:rPr>
              <w:t>》</w:t>
            </w:r>
            <w:r>
              <w:rPr>
                <w:rFonts w:ascii="宋体" w:hAnsi="宋体" w:cs="宋体" w:eastAsia="宋体" w:hint="default"/>
                <w:sz w:val="18"/>
                <w:szCs w:val="18"/>
              </w:rPr>
              <w:t>（财</w:t>
            </w:r>
            <w:r>
              <w:rPr>
                <w:rFonts w:ascii="宋体" w:hAnsi="宋体" w:cs="宋体" w:eastAsia="宋体" w:hint="default"/>
                <w:spacing w:val="-15"/>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要求对</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已执行新金融工具准则但未执行新收入</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准则和新租赁准则的企业应按如下规定</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编制财务报表：资产负债表中将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第四届董事会第十四次会议，审议通过</w:t>
            </w: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了《关于公司会计政策变更的议案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应收账款</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；增加</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应收款项融资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项</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目，反映资产负债表日以公允价值计量</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且其变动计入其他综合收益的应收票据</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和应收账款等</w:t>
            </w:r>
            <w:r>
              <w:rPr>
                <w:rFonts w:ascii="宋体" w:hAnsi="宋体" w:cs="宋体" w:eastAsia="宋体" w:hint="default"/>
                <w:spacing w:val="-84"/>
                <w:sz w:val="18"/>
                <w:szCs w:val="18"/>
              </w:rPr>
              <w:t>；</w:t>
            </w:r>
            <w:r>
              <w:rPr>
                <w:rFonts w:ascii="宋体" w:hAnsi="宋体" w:cs="宋体" w:eastAsia="宋体" w:hint="default"/>
                <w:sz w:val="18"/>
                <w:szCs w:val="18"/>
              </w:rPr>
              <w:t>将</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应付票据及应付账</w:t>
            </w:r>
            <w:r>
              <w:rPr>
                <w:rFonts w:ascii="宋体" w:hAnsi="宋体" w:cs="宋体" w:eastAsia="宋体" w:hint="default"/>
                <w:spacing w:val="2"/>
                <w:sz w:val="18"/>
                <w:szCs w:val="18"/>
              </w:rPr>
              <w:t>款</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53"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p>
        </w:tc>
        <w:tc>
          <w:tcPr>
            <w:tcW w:w="3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189" w:type="dxa"/>
            <w:vMerge/>
            <w:tcBorders>
              <w:left w:val="single" w:sz="4" w:space="0" w:color="000000"/>
              <w:bottom w:val="single" w:sz="4" w:space="0" w:color="000000"/>
              <w:right w:val="single" w:sz="4" w:space="0" w:color="000000"/>
            </w:tcBorders>
          </w:tcPr>
          <w:p>
            <w:pPr/>
          </w:p>
        </w:tc>
      </w:tr>
      <w:tr>
        <w:trPr>
          <w:trHeight w:val="36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日，财政部发布《企业会</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vMerge w:val="restart"/>
            <w:tcBorders>
              <w:top w:val="single" w:sz="4" w:space="0" w:color="000000"/>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计准则第</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宋体" w:hAnsi="宋体" w:cs="宋体" w:eastAsia="宋体" w:hint="default"/>
                <w:spacing w:val="-178"/>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财</w:t>
            </w:r>
            <w:r>
              <w:rPr>
                <w:rFonts w:ascii="宋体" w:hAnsi="宋体" w:cs="宋体" w:eastAsia="宋体" w:hint="default"/>
                <w:spacing w:val="-89"/>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根据要求</w:t>
            </w:r>
            <w:r>
              <w:rPr>
                <w:rFonts w:ascii="宋体" w:hAnsi="宋体" w:cs="宋体" w:eastAsia="宋体" w:hint="default"/>
                <w:spacing w:val="-29"/>
                <w:sz w:val="18"/>
                <w:szCs w:val="18"/>
              </w:rPr>
              <w:t>，</w:t>
            </w:r>
            <w:r>
              <w:rPr>
                <w:rFonts w:ascii="宋体" w:hAnsi="宋体" w:cs="宋体" w:eastAsia="宋体" w:hint="default"/>
                <w:sz w:val="18"/>
                <w:szCs w:val="18"/>
              </w:rPr>
              <w:t>本公司对</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日至执行日之间发生的债务重组，根据</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第四届董事会第二十二次会议，审议通</w:t>
            </w: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本准则进行调整，对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日之</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
              <w:jc w:val="right"/>
              <w:rPr>
                <w:rFonts w:ascii="宋体" w:hAnsi="宋体" w:cs="宋体" w:eastAsia="宋体" w:hint="default"/>
                <w:sz w:val="18"/>
                <w:szCs w:val="18"/>
              </w:rPr>
            </w:pPr>
            <w:r>
              <w:rPr>
                <w:rFonts w:ascii="宋体" w:hAnsi="宋体" w:cs="宋体" w:eastAsia="宋体" w:hint="default"/>
                <w:sz w:val="18"/>
                <w:szCs w:val="18"/>
              </w:rPr>
              <w:t>过了《关于公司会计政策变更的议案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89" w:type="dxa"/>
            <w:vMerge/>
            <w:tcBorders>
              <w:left w:val="single" w:sz="4" w:space="0" w:color="000000"/>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前发生的债务重组，不进行追溯调整，</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本公司于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日起执行本准</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则。</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r>
        <w:trPr>
          <w:trHeight w:val="361"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日，财政部发布《企业会</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vMerge w:val="restart"/>
            <w:tcBorders>
              <w:top w:val="single" w:sz="4" w:space="0" w:color="000000"/>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宋体" w:hAnsi="宋体" w:cs="宋体" w:eastAsia="宋体" w:hint="default"/>
                <w:spacing w:val="-106"/>
                <w:sz w:val="18"/>
                <w:szCs w:val="18"/>
              </w:rPr>
              <w:t>》</w:t>
            </w:r>
            <w:r>
              <w:rPr>
                <w:rFonts w:ascii="宋体" w:hAnsi="宋体" w:cs="宋体" w:eastAsia="宋体" w:hint="default"/>
                <w:sz w:val="18"/>
                <w:szCs w:val="18"/>
              </w:rPr>
              <w:t>（财</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z w:val="18"/>
                <w:szCs w:val="18"/>
              </w:rPr>
              <w:t>，根据要求，本公司对</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日至执行日之间发生的非</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第四届董事会第二十二次会议，审议通</w:t>
            </w:r>
          </w:p>
        </w:tc>
        <w:tc>
          <w:tcPr>
            <w:tcW w:w="3189" w:type="dxa"/>
            <w:vMerge/>
            <w:tcBorders>
              <w:left w:val="single" w:sz="4" w:space="0" w:color="000000"/>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货币性资产交换，根据本准则进行调整</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
              <w:jc w:val="right"/>
              <w:rPr>
                <w:rFonts w:ascii="宋体" w:hAnsi="宋体" w:cs="宋体" w:eastAsia="宋体" w:hint="default"/>
                <w:sz w:val="18"/>
                <w:szCs w:val="18"/>
              </w:rPr>
            </w:pPr>
            <w:r>
              <w:rPr>
                <w:rFonts w:ascii="宋体" w:hAnsi="宋体" w:cs="宋体" w:eastAsia="宋体" w:hint="default"/>
                <w:sz w:val="18"/>
                <w:szCs w:val="18"/>
              </w:rPr>
              <w:t>过了《关于公司会计政策变更的议案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89"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日之前发生的非货币性</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资产交换，不进行追溯调整，本公司于</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58"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日起执行本准则。</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r>
        <w:trPr>
          <w:trHeight w:val="36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日，财政部发布了《关于</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vMerge w:val="restart"/>
            <w:tcBorders>
              <w:top w:val="single" w:sz="4" w:space="0" w:color="000000"/>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修订印</w:t>
            </w:r>
            <w:r>
              <w:rPr>
                <w:rFonts w:ascii="宋体" w:hAnsi="宋体" w:cs="宋体" w:eastAsia="宋体" w:hint="default"/>
                <w:spacing w:val="-75"/>
                <w:sz w:val="18"/>
                <w:szCs w:val="18"/>
              </w:rPr>
              <w:t>发</w:t>
            </w:r>
            <w:r>
              <w:rPr>
                <w:rFonts w:ascii="宋体" w:hAnsi="宋体" w:cs="宋体" w:eastAsia="宋体" w:hint="default"/>
                <w:sz w:val="18"/>
                <w:szCs w:val="18"/>
              </w:rPr>
              <w:t>《合并财务报表格</w:t>
            </w:r>
            <w:r>
              <w:rPr>
                <w:rFonts w:ascii="宋体" w:hAnsi="宋体" w:cs="宋体" w:eastAsia="宋体" w:hint="default"/>
                <w:spacing w:val="-75"/>
                <w:sz w:val="18"/>
                <w:szCs w:val="18"/>
              </w:rPr>
              <w:t>式</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版）</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936"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的通</w:t>
            </w:r>
            <w:r>
              <w:rPr>
                <w:rFonts w:ascii="宋体" w:hAnsi="宋体" w:cs="宋体" w:eastAsia="宋体" w:hint="default"/>
                <w:sz w:val="18"/>
                <w:szCs w:val="18"/>
              </w:rPr>
              <w:t>知</w:t>
            </w:r>
            <w:r>
              <w:rPr>
                <w:rFonts w:ascii="宋体" w:hAnsi="宋体" w:cs="宋体" w:eastAsia="宋体" w:hint="default"/>
                <w:spacing w:val="-87"/>
                <w:sz w:val="18"/>
                <w:szCs w:val="18"/>
              </w:rPr>
              <w:t>》</w:t>
            </w:r>
            <w:r>
              <w:rPr>
                <w:rFonts w:ascii="宋体" w:hAnsi="宋体" w:cs="宋体" w:eastAsia="宋体" w:hint="default"/>
                <w:spacing w:val="2"/>
                <w:sz w:val="18"/>
                <w:szCs w:val="18"/>
              </w:rPr>
              <w:t>（财</w:t>
            </w:r>
            <w:r>
              <w:rPr>
                <w:rFonts w:ascii="宋体" w:hAnsi="宋体" w:cs="宋体" w:eastAsia="宋体" w:hint="default"/>
                <w:sz w:val="18"/>
                <w:szCs w:val="18"/>
              </w:rPr>
              <w:t>会</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号</w:t>
            </w:r>
            <w:r>
              <w:rPr>
                <w:rFonts w:ascii="宋体" w:hAnsi="宋体" w:cs="宋体" w:eastAsia="宋体" w:hint="default"/>
                <w:spacing w:val="-89"/>
                <w:sz w:val="18"/>
                <w:szCs w:val="18"/>
              </w:rPr>
              <w:t>）</w:t>
            </w:r>
            <w:r>
              <w:rPr>
                <w:rFonts w:ascii="宋体" w:hAnsi="宋体" w:cs="宋体" w:eastAsia="宋体" w:hint="default"/>
                <w:spacing w:val="2"/>
                <w:sz w:val="18"/>
                <w:szCs w:val="18"/>
              </w:rPr>
              <w:t>，与</w:t>
            </w:r>
            <w:r>
              <w:rPr>
                <w:rFonts w:ascii="宋体" w:hAnsi="宋体" w:cs="宋体" w:eastAsia="宋体" w:hint="default"/>
                <w:sz w:val="18"/>
                <w:szCs w:val="18"/>
              </w:rPr>
              <w:t>财会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号配套执行。本公司根据财会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号、财会【</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w:t>
            </w:r>
            <w:r>
              <w:rPr>
                <w:rFonts w:ascii="Times New Roman" w:hAnsi="Times New Roman" w:cs="Times New Roman" w:eastAsia="Times New Roman" w:hint="default"/>
                <w:spacing w:val="33"/>
                <w:sz w:val="18"/>
                <w:szCs w:val="18"/>
              </w:rPr>
              <w:t> </w:t>
            </w:r>
            <w:r>
              <w:rPr>
                <w:rFonts w:ascii="宋体" w:hAnsi="宋体" w:cs="宋体" w:eastAsia="宋体" w:hint="default"/>
                <w:spacing w:val="2"/>
                <w:sz w:val="18"/>
                <w:szCs w:val="18"/>
              </w:rPr>
              <w:t>号规定</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4"/>
              <w:jc w:val="left"/>
              <w:rPr>
                <w:rFonts w:ascii="宋体" w:hAnsi="宋体" w:cs="宋体" w:eastAsia="宋体" w:hint="default"/>
                <w:sz w:val="18"/>
                <w:szCs w:val="18"/>
              </w:rPr>
            </w:pPr>
            <w:r>
              <w:rPr>
                <w:rFonts w:ascii="宋体" w:hAnsi="宋体" w:cs="宋体" w:eastAsia="宋体" w:hint="default"/>
                <w:sz w:val="18"/>
                <w:szCs w:val="18"/>
              </w:rPr>
              <w:t>第四届董事会第二十二次会议，审议通 </w:t>
            </w:r>
            <w:r>
              <w:rPr>
                <w:rFonts w:ascii="宋体" w:hAnsi="宋体" w:cs="宋体" w:eastAsia="宋体" w:hint="default"/>
                <w:spacing w:val="-6"/>
                <w:sz w:val="18"/>
                <w:szCs w:val="18"/>
              </w:rPr>
              <w:t>过了《关于公司会计政策变更的议案》。</w:t>
            </w:r>
          </w:p>
        </w:tc>
        <w:tc>
          <w:tcPr>
            <w:tcW w:w="3189" w:type="dxa"/>
            <w:vMerge/>
            <w:tcBorders>
              <w:left w:val="single" w:sz="4" w:space="0" w:color="000000"/>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的财务报表格式编制比较报表，并采用</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vMerge/>
            <w:tcBorders>
              <w:left w:val="single" w:sz="4" w:space="0" w:color="000000"/>
              <w:right w:val="single" w:sz="4" w:space="0" w:color="000000"/>
            </w:tcBorders>
          </w:tcPr>
          <w:p>
            <w:pPr/>
          </w:p>
        </w:tc>
      </w:tr>
      <w:tr>
        <w:trPr>
          <w:trHeight w:val="356"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追溯调整法变更了相关财务报表列报。</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pict>
          <v:shape style="position:absolute;margin-left:210.358994pt;margin-top:-126.386322pt;width:165.25pt;height:113.45pt;mso-position-horizontal-relative:page;mso-position-vertical-relative:paragraph;z-index:-127208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9"/>
                    <w:ind w:left="0" w:right="0"/>
                    <w:jc w:val="left"/>
                  </w:pPr>
                  <w:r>
                    <w:rPr/>
                    <w:t>》</w:t>
                  </w:r>
                </w:p>
              </w:txbxContent>
            </v:textbox>
            <w10:wrap type="none"/>
          </v:shape>
        </w:pict>
      </w:r>
      <w:r>
        <w:rPr/>
        <w:pict>
          <v:group style="position:absolute;margin-left:216.399994pt;margin-top:-576.68634pt;width:159.2pt;height:563.75pt;mso-position-horizontal-relative:page;mso-position-vertical-relative:paragraph;z-index:-1272064" coordorigin="4328,-11534" coordsize="3184,11275">
            <v:group style="position:absolute;left:4328;top:-11534;width:3184;height:3829" coordorigin="4328,-11534" coordsize="3184,3829">
              <v:shape style="position:absolute;left:4328;top:-11534;width:3184;height:3829" coordorigin="4328,-11534" coordsize="3184,3829" path="m4328,-11534l7512,-11534,7512,-7705,4328,-7705,4328,-11534xe" filled="true" fillcolor="#ffffff" stroked="false">
                <v:path arrowok="t"/>
                <v:fill type="solid"/>
              </v:shape>
            </v:group>
            <v:group style="position:absolute;left:4328;top:-7700;width:3184;height:2581" coordorigin="4328,-7700" coordsize="3184,2581">
              <v:shape style="position:absolute;left:4328;top:-7700;width:3184;height:2581" coordorigin="4328,-7700" coordsize="3184,2581" path="m4328,-7700l7512,-7700,7512,-5119,4328,-5119,4328,-7700xe" filled="true" fillcolor="#ffffff" stroked="false">
                <v:path arrowok="t"/>
                <v:fill type="solid"/>
              </v:shape>
            </v:group>
            <v:group style="position:absolute;left:4328;top:-5114;width:3184;height:2581" coordorigin="4328,-5114" coordsize="3184,2581">
              <v:shape style="position:absolute;left:4328;top:-5114;width:3184;height:2581" coordorigin="4328,-5114" coordsize="3184,2581" path="m4328,-5114l7512,-5114,7512,-2533,4328,-2533,4328,-5114xe" filled="true" fillcolor="#ffffff" stroked="false">
                <v:path arrowok="t"/>
                <v:fill type="solid"/>
              </v:shape>
            </v:group>
            <v:group style="position:absolute;left:4328;top:-2528;width:3184;height:2269" coordorigin="4328,-2528" coordsize="3184,2269">
              <v:shape style="position:absolute;left:4328;top:-2528;width:3184;height:2269" coordorigin="4328,-2528" coordsize="3184,2269" path="m4328,-2528l7512,-2528,7512,-259,4328,-259,4328,-2528xe" filled="true" fillcolor="#ffffff" stroked="false">
                <v:path arrowok="t"/>
                <v:fill type="solid"/>
              </v:shape>
            </v:group>
            <w10:wrap type="none"/>
          </v:group>
        </w:pict>
      </w:r>
      <w:bookmarkStart w:name="（2）2019年起执行新金融工具准则、新收入准则或新租赁准则调整执行当年年初财务" w:id="210"/>
      <w:bookmarkEnd w:id="210"/>
      <w:r>
        <w:rPr>
          <w:b w:val="0"/>
          <w:bCs w:val="0"/>
        </w:rPr>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0"/>
          <w:cols w:num="2" w:equalWidth="0">
            <w:col w:w="1491" w:space="7427"/>
            <w:col w:w="1972"/>
          </w:cols>
        </w:sectPr>
      </w:pPr>
    </w:p>
    <w:p>
      <w:pPr>
        <w:spacing w:line="240" w:lineRule="auto" w:before="13"/>
        <w:rPr>
          <w:rFonts w:ascii="宋体" w:hAnsi="宋体" w:cs="宋体" w:eastAsia="宋体" w:hint="default"/>
          <w:sz w:val="7"/>
          <w:szCs w:val="7"/>
        </w:rPr>
      </w:pPr>
      <w:r>
        <w:rPr/>
        <w:pict>
          <v:shape style="position:absolute;margin-left:210.358994pt;margin-top:264.100037pt;width:165.25pt;height:128.9pt;mso-position-horizontal-relative:page;mso-position-vertical-relative:page;z-index:-127213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9"/>
                    <w:ind w:left="0" w:right="0"/>
                    <w:jc w:val="left"/>
                  </w:pPr>
                  <w:r>
                    <w:rPr/>
                    <w:t>】</w:t>
                  </w:r>
                </w:p>
              </w:txbxContent>
            </v:textbox>
            <w10:wrap type="none"/>
          </v:shape>
        </w:pict>
      </w:r>
      <w:r>
        <w:rPr/>
        <w:pict>
          <v:shape style="position:absolute;margin-left:210.358994pt;margin-top:393.400024pt;width:165.25pt;height:128.9pt;mso-position-horizontal-relative:page;mso-position-vertical-relative:page;z-index:-12721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2"/>
                    <w:ind w:left="0" w:right="0"/>
                    <w:jc w:val="left"/>
                  </w:pPr>
                  <w:r>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514,652,940.19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514,652,940.19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4,635,400.00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4,635,400.00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1,184,042,150.03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1,165,117,421.33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-18,924,728.70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35,713,171.38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35,713,171.38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142,088,842.19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142,088,842.19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157,873,311.87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157,873,311.87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5,582,397.04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5,582,397.04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22,236,363.61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22,236,363.61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2,066,824,576.31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2,047,899,847.61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-18,924,728.70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186,959,476.37</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-186,959,476.37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541,048,033.77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541,048,033.77</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274,158,390.40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274,158,390.40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89,850,597.05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89,850,597.05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435,370,374.49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435,370,374.49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554,938.19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554,938.19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116,917,946.29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116,917,946.29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247,976,798.10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247,976,798.10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474,897,113.17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474,897,113.17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2,435,451.36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2,435,451.36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74,482,807.99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77,338,980.39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2,856,172.40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2,170,493,536.78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2,260,548,623.21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90,055,086.43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4,237,318,113.09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4,308,448,470.82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71,130,357.73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151,135,000.00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151,135,000.00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2,244,376.00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2,244,376.00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194,754,625.51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194,754,625.51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204,929,609.94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204,929,609.94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66,987,144.10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66,987,144.10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98,520,411.20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98,520,411.20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145,440,641.64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145,440,641.64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199,616.67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199,616.67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882,251,808.39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882,251,808.39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15,840,385.10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15,840,385.10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3,386,877.00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3,386,877.00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61,305,750.03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74,485,071.33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13,179,321.30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80,533,012.13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93,712,333.43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13,179,321.30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962,784,820.52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975,964,141.82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13,179,321.30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1,621,867,400.00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1,621,867,400.00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535,182,079.93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535,182,079.93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95,390,524.08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95,390,524.08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113,501,457.21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120,462,356.97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6,960,899.76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959,024,092.67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1,010,706,322.00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51,682,229.33</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3,134,184,505.73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3,192,827,634.82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58,643,129.09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140,348,786.84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139,656,694.18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-692,092.66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3,274,533,292.57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3,332,484,329.00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57,951,036.43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4,237,318,113.09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4,308,448,470.82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71,130,357.73</w:t>
            </w:r>
          </w:p>
        </w:tc>
      </w:tr>
    </w:tbl>
    <w:p>
      <w:pPr>
        <w:pStyle w:val="BodyText"/>
        <w:spacing w:line="240" w:lineRule="auto" w:before="51"/>
        <w:ind w:left="132" w:right="1034"/>
        <w:jc w:val="left"/>
      </w:pPr>
      <w:r>
        <w:rPr/>
        <w:t>调整情况说明</w:t>
      </w:r>
    </w:p>
    <w:p>
      <w:pPr>
        <w:spacing w:line="240" w:lineRule="auto" w:before="8"/>
        <w:rPr>
          <w:rFonts w:ascii="宋体" w:hAnsi="宋体" w:cs="宋体" w:eastAsia="宋体" w:hint="default"/>
          <w:sz w:val="11"/>
          <w:szCs w:val="11"/>
        </w:rPr>
      </w:pPr>
    </w:p>
    <w:p>
      <w:pPr>
        <w:pStyle w:val="BodyText"/>
        <w:spacing w:line="240" w:lineRule="auto" w:before="44"/>
        <w:ind w:left="492" w:right="1034"/>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pStyle w:val="BodyText"/>
        <w:spacing w:line="240" w:lineRule="auto" w:before="103"/>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516"/>
        <w:gridCol w:w="1617"/>
        <w:gridCol w:w="1746"/>
        <w:gridCol w:w="1406"/>
        <w:gridCol w:w="1715"/>
        <w:gridCol w:w="1658"/>
      </w:tblGrid>
      <w:tr>
        <w:trPr>
          <w:trHeight w:val="347" w:hRule="exact"/>
        </w:trPr>
        <w:tc>
          <w:tcPr>
            <w:tcW w:w="4879" w:type="dxa"/>
            <w:gridSpan w:val="3"/>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left="9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p>
        </w:tc>
        <w:tc>
          <w:tcPr>
            <w:tcW w:w="4779" w:type="dxa"/>
            <w:gridSpan w:val="3"/>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left="10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p>
        </w:tc>
      </w:tr>
      <w:tr>
        <w:trPr>
          <w:trHeight w:val="347" w:hRule="exact"/>
        </w:trPr>
        <w:tc>
          <w:tcPr>
            <w:tcW w:w="151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4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0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48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5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46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59"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6"/>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以成本计量（权益工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186,959,476.37</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 w:right="3"/>
              <w:jc w:val="left"/>
              <w:rPr>
                <w:rFonts w:ascii="宋体" w:hAnsi="宋体" w:cs="宋体" w:eastAsia="宋体" w:hint="default"/>
                <w:sz w:val="18"/>
                <w:szCs w:val="18"/>
              </w:rPr>
            </w:pPr>
            <w:r>
              <w:rPr>
                <w:rFonts w:ascii="宋体" w:hAnsi="宋体" w:cs="宋体" w:eastAsia="宋体" w:hint="default"/>
                <w:spacing w:val="17"/>
                <w:sz w:val="18"/>
                <w:szCs w:val="18"/>
              </w:rPr>
              <w:t>其他非流动金融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6"/>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6" w:right="0"/>
              <w:jc w:val="left"/>
              <w:rPr>
                <w:rFonts w:ascii="Times New Roman" w:hAnsi="Times New Roman" w:cs="Times New Roman" w:eastAsia="Times New Roman" w:hint="default"/>
                <w:sz w:val="18"/>
                <w:szCs w:val="18"/>
              </w:rPr>
            </w:pPr>
            <w:r>
              <w:rPr>
                <w:rFonts w:ascii="Times New Roman"/>
                <w:sz w:val="18"/>
              </w:rPr>
              <w:t>274,158,390.40</w:t>
            </w:r>
          </w:p>
        </w:tc>
      </w:tr>
    </w:tbl>
    <w:p>
      <w:pPr>
        <w:spacing w:line="240" w:lineRule="auto" w:before="8"/>
        <w:rPr>
          <w:rFonts w:ascii="宋体" w:hAnsi="宋体" w:cs="宋体" w:eastAsia="宋体" w:hint="default"/>
          <w:sz w:val="6"/>
          <w:szCs w:val="6"/>
        </w:rPr>
      </w:pPr>
    </w:p>
    <w:p>
      <w:pPr>
        <w:pStyle w:val="BodyText"/>
        <w:spacing w:line="240" w:lineRule="auto" w:before="44"/>
        <w:ind w:left="492" w:right="1034"/>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日，按新金融工具准则将原金融资产账面价值调整为新金融工具准则账面价值的调节表</w:t>
      </w:r>
    </w:p>
    <w:p>
      <w:pPr>
        <w:pStyle w:val="BodyText"/>
        <w:spacing w:line="240" w:lineRule="auto" w:before="103"/>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93"/>
        <w:gridCol w:w="1816"/>
        <w:gridCol w:w="1632"/>
        <w:gridCol w:w="1632"/>
        <w:gridCol w:w="2185"/>
      </w:tblGrid>
      <w:tr>
        <w:trPr>
          <w:trHeight w:val="971" w:hRule="exact"/>
        </w:trPr>
        <w:tc>
          <w:tcPr>
            <w:tcW w:w="239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309" w:lineRule="auto" w:before="21"/>
              <w:ind w:left="3" w:right="0"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 面价值（按原金融工具 准则）</w:t>
            </w:r>
          </w:p>
        </w:tc>
        <w:tc>
          <w:tcPr>
            <w:tcW w:w="163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63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8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日的账面价值</w:t>
            </w:r>
          </w:p>
          <w:p>
            <w:pPr>
              <w:pStyle w:val="TableParagraph"/>
              <w:spacing w:line="240" w:lineRule="auto" w:before="63"/>
              <w:ind w:left="184" w:right="0"/>
              <w:jc w:val="left"/>
              <w:rPr>
                <w:rFonts w:ascii="宋体" w:hAnsi="宋体" w:cs="宋体" w:eastAsia="宋体" w:hint="default"/>
                <w:sz w:val="18"/>
                <w:szCs w:val="18"/>
              </w:rPr>
            </w:pPr>
            <w:r>
              <w:rPr>
                <w:rFonts w:ascii="宋体" w:hAnsi="宋体" w:cs="宋体" w:eastAsia="宋体" w:hint="default"/>
                <w:sz w:val="18"/>
                <w:szCs w:val="18"/>
              </w:rPr>
              <w:t>（按新金融工具准则）</w:t>
            </w:r>
          </w:p>
        </w:tc>
      </w:tr>
      <w:tr>
        <w:trPr>
          <w:trHeight w:val="347" w:hRule="exact"/>
        </w:trPr>
        <w:tc>
          <w:tcPr>
            <w:tcW w:w="965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一、新金融工具准则下以公允价值计量且其变动计入当期损益的金融资产</w:t>
            </w:r>
          </w:p>
        </w:tc>
      </w:tr>
      <w:tr>
        <w:trPr>
          <w:trHeight w:val="659"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 w:right="36"/>
              <w:jc w:val="left"/>
              <w:rPr>
                <w:rFonts w:ascii="宋体" w:hAnsi="宋体" w:cs="宋体" w:eastAsia="宋体" w:hint="default"/>
                <w:sz w:val="18"/>
                <w:szCs w:val="18"/>
              </w:rPr>
            </w:pPr>
            <w:r>
              <w:rPr>
                <w:rFonts w:ascii="宋体" w:hAnsi="宋体" w:cs="宋体" w:eastAsia="宋体" w:hint="default"/>
                <w:sz w:val="18"/>
                <w:szCs w:val="18"/>
              </w:rPr>
              <w:t>可供出售金融资产（按原金融 工具准则列示金额）</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186,959,476.37</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3"/>
              <w:jc w:val="center"/>
              <w:rPr>
                <w:rFonts w:ascii="宋体" w:hAnsi="宋体" w:cs="宋体" w:eastAsia="宋体" w:hint="default"/>
                <w:sz w:val="18"/>
                <w:szCs w:val="18"/>
              </w:rPr>
            </w:pPr>
            <w:r>
              <w:rPr>
                <w:rFonts w:ascii="宋体" w:hAnsi="宋体" w:cs="宋体" w:eastAsia="宋体" w:hint="default"/>
                <w:sz w:val="18"/>
                <w:szCs w:val="18"/>
              </w:rPr>
              <w:t>加：从可供出售金融资产转入</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186,959,476.37</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87,198,914.03</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9"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 w:right="36"/>
              <w:jc w:val="left"/>
              <w:rPr>
                <w:rFonts w:ascii="宋体" w:hAnsi="宋体" w:cs="宋体" w:eastAsia="宋体" w:hint="default"/>
                <w:sz w:val="18"/>
                <w:szCs w:val="18"/>
              </w:rPr>
            </w:pPr>
            <w:r>
              <w:rPr>
                <w:rFonts w:ascii="宋体" w:hAnsi="宋体" w:cs="宋体" w:eastAsia="宋体" w:hint="default"/>
                <w:sz w:val="18"/>
                <w:szCs w:val="18"/>
              </w:rPr>
              <w:t>其他非流动金融资产（按新金 融工具准则列示金额）</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274,158,390.40</w:t>
            </w:r>
          </w:p>
        </w:tc>
      </w:tr>
    </w:tbl>
    <w:p>
      <w:pPr>
        <w:spacing w:line="240" w:lineRule="auto" w:before="9"/>
        <w:rPr>
          <w:rFonts w:ascii="宋体" w:hAnsi="宋体" w:cs="宋体" w:eastAsia="宋体" w:hint="default"/>
          <w:sz w:val="6"/>
          <w:szCs w:val="6"/>
        </w:rPr>
      </w:pPr>
    </w:p>
    <w:p>
      <w:pPr>
        <w:pStyle w:val="BodyText"/>
        <w:spacing w:line="240" w:lineRule="auto" w:before="44"/>
        <w:ind w:left="492" w:right="1034"/>
        <w:jc w:val="left"/>
      </w:pPr>
      <w:r>
        <w:rPr/>
        <w:t>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日，执行新金融工具准则将原金融资产减值准备调整到新金融工具准则金融资产减值准备的调节表</w:t>
      </w:r>
    </w:p>
    <w:p>
      <w:pPr>
        <w:pStyle w:val="BodyText"/>
        <w:spacing w:line="240" w:lineRule="auto" w:before="101"/>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74"/>
        <w:gridCol w:w="1823"/>
        <w:gridCol w:w="1640"/>
        <w:gridCol w:w="1640"/>
        <w:gridCol w:w="2181"/>
      </w:tblGrid>
      <w:tr>
        <w:trPr>
          <w:trHeight w:val="971" w:hRule="exact"/>
        </w:trPr>
        <w:tc>
          <w:tcPr>
            <w:tcW w:w="237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2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309" w:lineRule="auto" w:before="22"/>
              <w:ind w:left="3"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日计提的 减值准备（按原金融工 具准则）</w:t>
            </w:r>
          </w:p>
        </w:tc>
        <w:tc>
          <w:tcPr>
            <w:tcW w:w="164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64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8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91" w:right="1" w:hanging="8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日计提的减值准 备（按新金融工具准则）</w:t>
            </w:r>
          </w:p>
        </w:tc>
      </w:tr>
      <w:tr>
        <w:trPr>
          <w:trHeight w:val="6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 w:right="17"/>
              <w:jc w:val="left"/>
              <w:rPr>
                <w:rFonts w:ascii="宋体" w:hAnsi="宋体" w:cs="宋体" w:eastAsia="宋体" w:hint="default"/>
                <w:sz w:val="18"/>
                <w:szCs w:val="18"/>
              </w:rPr>
            </w:pPr>
            <w:r>
              <w:rPr>
                <w:rFonts w:ascii="宋体" w:hAnsi="宋体" w:cs="宋体" w:eastAsia="宋体" w:hint="default"/>
                <w:sz w:val="18"/>
                <w:szCs w:val="18"/>
              </w:rPr>
              <w:t>（一）以摊余成本计量的金融 资产</w:t>
            </w:r>
          </w:p>
        </w:tc>
        <w:tc>
          <w:tcPr>
            <w:tcW w:w="1823"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
        </w:tc>
        <w:tc>
          <w:tcPr>
            <w:tcW w:w="218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其中：应收票据减值准备</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219,419,614.27</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219,419,614.27</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18,924,728.70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238,344,342.97</w:t>
            </w:r>
          </w:p>
        </w:tc>
      </w:tr>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18,956,225.55</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18,956,225.55</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18,956,225.55</w:t>
            </w:r>
          </w:p>
        </w:tc>
      </w:tr>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289,939.54</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289,939.54</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289,939.54</w:t>
            </w:r>
          </w:p>
        </w:tc>
      </w:tr>
    </w:tbl>
    <w:p>
      <w:pPr>
        <w:pStyle w:val="BodyText"/>
        <w:spacing w:line="240" w:lineRule="auto" w:before="52"/>
        <w:ind w:left="132" w:right="1034"/>
        <w:jc w:val="left"/>
      </w:pPr>
      <w:r>
        <w:rPr/>
        <w:t>母公司资产负债表</w:t>
      </w:r>
    </w:p>
    <w:p>
      <w:pPr>
        <w:spacing w:after="0" w:line="240" w:lineRule="auto"/>
        <w:jc w:val="left"/>
        <w:sectPr>
          <w:pgSz w:w="11910" w:h="16840"/>
          <w:pgMar w:header="746" w:footer="978" w:top="1060" w:bottom="1160" w:left="1000" w:right="0"/>
        </w:sectPr>
      </w:pPr>
    </w:p>
    <w:p>
      <w:pPr>
        <w:spacing w:line="240" w:lineRule="auto" w:before="12"/>
        <w:rPr>
          <w:rFonts w:ascii="宋体" w:hAnsi="宋体" w:cs="宋体" w:eastAsia="宋体" w:hint="default"/>
          <w:sz w:val="25"/>
          <w:szCs w:val="25"/>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269,992,711.15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269,992,711.15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4,575,400.00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4,575,400.00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853,110,706.74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848,799,573.02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-4,311,133.72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41,805,313.36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41,805,313.36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231,872,273.44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231,872,273.44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124,723,331.46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124,723,331.46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5,582,397.04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5,582,397.04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19,042,676.57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19,042,676.57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1,550,704,809.76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1,546,393,676.04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-4,311,133.72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192,016,231.03</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-192,016,231.03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1,044,219,725.06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1,044,219,725.06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278,220,303.06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278,220,303.06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174,610,506.27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174,610,506.27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341,148,532.48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341,148,532.48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231,818.19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231,818.19</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82,529,960.09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82,529,960.09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200,139,182.51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200,139,182.51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150,189.89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150,189.89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25,931,719.78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26,578,389.84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646,670.06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2,060,977,865.30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2,147,828,607.39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86,850,742.09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3,611,682,675.06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3,694,222,283.43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82,539,608.37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2,244,376.00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2,244,376.00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332,711,272.93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332,711,272.93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151,808,878.67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151,808,878.67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16,270,107.77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16,270,107.77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39,904,524.32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39,904,524.32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145,296,836.46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145,296,836.46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199,616.67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199,616.67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856,475,996.15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856,475,996.15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10,917,213.36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10,917,213.36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3,125,000.00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13,174,987.85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26,105,598.65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12,930,610.80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27,217,201.21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40,147,812.01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12,930,610.80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883,693,197.36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896,623,808.16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12,930,610.80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1,621,867,400.00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1,621,867,400.00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570,087,929.42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570,087,929.42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95,390,524.08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95,390,524.08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113,501,457.21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120,462,356.97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6,960,899.76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517,923,215.15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580,571,312.96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62,648,097.81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2,727,989,477.70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2,797,598,475.27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69,608,997.57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3,611,682,675.06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3,694,222,283.43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82,539,608.37</w:t>
            </w:r>
          </w:p>
        </w:tc>
      </w:tr>
    </w:tbl>
    <w:p>
      <w:pPr>
        <w:pStyle w:val="BodyText"/>
        <w:spacing w:line="240" w:lineRule="auto" w:before="50"/>
        <w:ind w:left="132" w:right="1034"/>
        <w:jc w:val="left"/>
      </w:pPr>
      <w:r>
        <w:rPr/>
        <w:t>调整情况说明</w:t>
      </w:r>
    </w:p>
    <w:p>
      <w:pPr>
        <w:spacing w:line="240" w:lineRule="auto" w:before="8"/>
        <w:rPr>
          <w:rFonts w:ascii="宋体" w:hAnsi="宋体" w:cs="宋体" w:eastAsia="宋体" w:hint="default"/>
          <w:sz w:val="11"/>
          <w:szCs w:val="11"/>
        </w:rPr>
      </w:pPr>
    </w:p>
    <w:p>
      <w:pPr>
        <w:pStyle w:val="BodyText"/>
        <w:spacing w:line="240" w:lineRule="auto" w:before="44"/>
        <w:ind w:left="492" w:right="1034"/>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pStyle w:val="BodyText"/>
        <w:spacing w:line="240" w:lineRule="auto" w:before="103"/>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485"/>
        <w:gridCol w:w="1626"/>
        <w:gridCol w:w="1756"/>
        <w:gridCol w:w="1451"/>
        <w:gridCol w:w="1767"/>
        <w:gridCol w:w="1573"/>
      </w:tblGrid>
      <w:tr>
        <w:trPr>
          <w:trHeight w:val="347" w:hRule="exact"/>
        </w:trPr>
        <w:tc>
          <w:tcPr>
            <w:tcW w:w="4867" w:type="dxa"/>
            <w:gridSpan w:val="3"/>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9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p>
        </w:tc>
        <w:tc>
          <w:tcPr>
            <w:tcW w:w="4791" w:type="dxa"/>
            <w:gridSpan w:val="3"/>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10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p>
        </w:tc>
      </w:tr>
      <w:tr>
        <w:trPr>
          <w:trHeight w:val="347" w:hRule="exact"/>
        </w:trPr>
        <w:tc>
          <w:tcPr>
            <w:tcW w:w="148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44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5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50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5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51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7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4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8" w:hRule="exact"/>
        </w:trPr>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2"/>
                <w:sz w:val="18"/>
                <w:szCs w:val="18"/>
              </w:rPr>
              <w:t>以成本计量（权益工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具）</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612" w:right="0"/>
              <w:jc w:val="left"/>
              <w:rPr>
                <w:rFonts w:ascii="Times New Roman" w:hAnsi="Times New Roman" w:cs="Times New Roman" w:eastAsia="Times New Roman" w:hint="default"/>
                <w:sz w:val="18"/>
                <w:szCs w:val="18"/>
              </w:rPr>
            </w:pPr>
            <w:r>
              <w:rPr>
                <w:rFonts w:ascii="Times New Roman"/>
                <w:sz w:val="18"/>
              </w:rPr>
              <w:t>192,016,231.03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 w:right="2"/>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2"/>
                <w:sz w:val="18"/>
                <w:szCs w:val="18"/>
              </w:rPr>
              <w:t> </w:t>
            </w:r>
            <w:r>
              <w:rPr>
                <w:rFonts w:ascii="宋体" w:hAnsi="宋体" w:cs="宋体" w:eastAsia="宋体" w:hint="default"/>
                <w:sz w:val="18"/>
                <w:szCs w:val="18"/>
              </w:rPr>
              <w:t>他</w:t>
            </w:r>
            <w:r>
              <w:rPr>
                <w:rFonts w:ascii="宋体" w:hAnsi="宋体" w:cs="宋体" w:eastAsia="宋体" w:hint="default"/>
                <w:spacing w:val="-62"/>
                <w:sz w:val="18"/>
                <w:szCs w:val="18"/>
              </w:rPr>
              <w:t> </w:t>
            </w:r>
            <w:r>
              <w:rPr>
                <w:rFonts w:ascii="宋体" w:hAnsi="宋体" w:cs="宋体" w:eastAsia="宋体" w:hint="default"/>
                <w:sz w:val="18"/>
                <w:szCs w:val="18"/>
              </w:rPr>
              <w:t>非</w:t>
            </w:r>
            <w:r>
              <w:rPr>
                <w:rFonts w:ascii="宋体" w:hAnsi="宋体" w:cs="宋体" w:eastAsia="宋体" w:hint="default"/>
                <w:spacing w:val="-62"/>
                <w:sz w:val="18"/>
                <w:szCs w:val="18"/>
              </w:rPr>
              <w:t> </w:t>
            </w:r>
            <w:r>
              <w:rPr>
                <w:rFonts w:ascii="宋体" w:hAnsi="宋体" w:cs="宋体" w:eastAsia="宋体" w:hint="default"/>
                <w:sz w:val="18"/>
                <w:szCs w:val="18"/>
              </w:rPr>
              <w:t>流</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z w:val="18"/>
                <w:szCs w:val="18"/>
              </w:rPr>
              <w:t> 资产</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27"/>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z w:val="18"/>
              </w:rPr>
              <w:t>278,220,303.06</w:t>
            </w:r>
          </w:p>
        </w:tc>
      </w:tr>
    </w:tbl>
    <w:p>
      <w:pPr>
        <w:spacing w:line="240" w:lineRule="auto" w:before="7"/>
        <w:rPr>
          <w:rFonts w:ascii="宋体" w:hAnsi="宋体" w:cs="宋体" w:eastAsia="宋体" w:hint="default"/>
          <w:sz w:val="6"/>
          <w:szCs w:val="6"/>
        </w:rPr>
      </w:pPr>
    </w:p>
    <w:p>
      <w:pPr>
        <w:pStyle w:val="BodyText"/>
        <w:spacing w:line="240" w:lineRule="auto" w:before="44"/>
        <w:ind w:left="492" w:right="1034"/>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日，按新金融工具准则将原金融资产账面价值调整为新金融工具准则账面价值的调节表</w:t>
      </w:r>
    </w:p>
    <w:p>
      <w:pPr>
        <w:pStyle w:val="BodyText"/>
        <w:spacing w:line="240" w:lineRule="auto" w:before="103"/>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99"/>
        <w:gridCol w:w="1816"/>
        <w:gridCol w:w="1632"/>
        <w:gridCol w:w="1632"/>
        <w:gridCol w:w="2179"/>
      </w:tblGrid>
      <w:tr>
        <w:trPr>
          <w:trHeight w:val="657" w:hRule="exact"/>
        </w:trPr>
        <w:tc>
          <w:tcPr>
            <w:tcW w:w="239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300" w:lineRule="auto" w:before="21"/>
              <w:ind w:left="2" w:right="1" w:firstLine="8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 面价值（按原金融工具</w:t>
            </w:r>
          </w:p>
        </w:tc>
        <w:tc>
          <w:tcPr>
            <w:tcW w:w="163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63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7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日的账面价值</w:t>
            </w:r>
          </w:p>
          <w:p>
            <w:pPr>
              <w:pStyle w:val="TableParagraph"/>
              <w:spacing w:line="240" w:lineRule="auto" w:before="63"/>
              <w:ind w:left="180" w:right="0"/>
              <w:jc w:val="left"/>
              <w:rPr>
                <w:rFonts w:ascii="宋体" w:hAnsi="宋体" w:cs="宋体" w:eastAsia="宋体" w:hint="default"/>
                <w:sz w:val="18"/>
                <w:szCs w:val="18"/>
              </w:rPr>
            </w:pPr>
            <w:r>
              <w:rPr>
                <w:rFonts w:ascii="宋体" w:hAnsi="宋体" w:cs="宋体" w:eastAsia="宋体" w:hint="default"/>
                <w:sz w:val="18"/>
                <w:szCs w:val="18"/>
              </w:rPr>
              <w:t>（按新金融工具准则）</w:t>
            </w:r>
          </w:p>
        </w:tc>
      </w:tr>
    </w:tbl>
    <w:p>
      <w:pPr>
        <w:spacing w:after="0" w:line="240" w:lineRule="auto"/>
        <w:jc w:val="left"/>
        <w:rPr>
          <w:rFonts w:ascii="宋体" w:hAnsi="宋体" w:cs="宋体" w:eastAsia="宋体" w:hint="default"/>
          <w:sz w:val="18"/>
          <w:szCs w:val="18"/>
        </w:rPr>
        <w:sectPr>
          <w:pgSz w:w="11910" w:h="16840"/>
          <w:pgMar w:header="746" w:footer="978" w:top="1060" w:bottom="1160" w:left="1000" w:right="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399"/>
        <w:gridCol w:w="1816"/>
        <w:gridCol w:w="1632"/>
        <w:gridCol w:w="1632"/>
        <w:gridCol w:w="2179"/>
      </w:tblGrid>
      <w:tr>
        <w:trPr>
          <w:trHeight w:val="347" w:hRule="exact"/>
        </w:trPr>
        <w:tc>
          <w:tcPr>
            <w:tcW w:w="2399" w:type="dxa"/>
            <w:tcBorders>
              <w:top w:val="single" w:sz="6" w:space="0" w:color="000000"/>
              <w:left w:val="single" w:sz="6" w:space="0" w:color="000000"/>
              <w:bottom w:val="single" w:sz="6" w:space="0" w:color="000000"/>
              <w:right w:val="single" w:sz="6" w:space="0" w:color="000000"/>
            </w:tcBorders>
            <w:shd w:val="clear" w:color="auto" w:fill="D7D7D7"/>
          </w:tcPr>
          <w:p>
            <w:pPr/>
          </w:p>
        </w:tc>
        <w:tc>
          <w:tcPr>
            <w:tcW w:w="181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准则）</w:t>
            </w:r>
          </w:p>
        </w:tc>
        <w:tc>
          <w:tcPr>
            <w:tcW w:w="1632" w:type="dxa"/>
            <w:tcBorders>
              <w:top w:val="single" w:sz="6" w:space="0" w:color="000000"/>
              <w:left w:val="single" w:sz="6" w:space="0" w:color="000000"/>
              <w:bottom w:val="single" w:sz="6" w:space="0" w:color="000000"/>
              <w:right w:val="single" w:sz="6" w:space="0" w:color="000000"/>
            </w:tcBorders>
            <w:shd w:val="clear" w:color="auto" w:fill="D7D7D7"/>
          </w:tcPr>
          <w:p>
            <w:pPr/>
          </w:p>
        </w:tc>
        <w:tc>
          <w:tcPr>
            <w:tcW w:w="1632" w:type="dxa"/>
            <w:tcBorders>
              <w:top w:val="single" w:sz="6" w:space="0" w:color="000000"/>
              <w:left w:val="single" w:sz="6" w:space="0" w:color="000000"/>
              <w:bottom w:val="single" w:sz="6" w:space="0" w:color="000000"/>
              <w:right w:val="single" w:sz="6" w:space="0" w:color="000000"/>
            </w:tcBorders>
            <w:shd w:val="clear" w:color="auto" w:fill="D7D7D7"/>
          </w:tcPr>
          <w:p>
            <w:pPr/>
          </w:p>
        </w:tc>
        <w:tc>
          <w:tcPr>
            <w:tcW w:w="2179" w:type="dxa"/>
            <w:tcBorders>
              <w:top w:val="single" w:sz="6" w:space="0" w:color="000000"/>
              <w:left w:val="single" w:sz="6" w:space="0" w:color="000000"/>
              <w:bottom w:val="single" w:sz="6" w:space="0" w:color="000000"/>
              <w:right w:val="single" w:sz="6" w:space="0" w:color="000000"/>
            </w:tcBorders>
            <w:shd w:val="clear" w:color="auto" w:fill="D7D7D7"/>
          </w:tcPr>
          <w:p>
            <w:pPr/>
          </w:p>
        </w:tc>
      </w:tr>
      <w:tr>
        <w:trPr>
          <w:trHeight w:val="347" w:hRule="exact"/>
        </w:trPr>
        <w:tc>
          <w:tcPr>
            <w:tcW w:w="965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一、新金融工具准则下以公允价值计量且其变动计入当期损益的金融资产</w:t>
            </w:r>
          </w:p>
        </w:tc>
      </w:tr>
      <w:tr>
        <w:trPr>
          <w:trHeight w:val="659" w:hRule="exact"/>
        </w:trPr>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 w:right="42"/>
              <w:jc w:val="left"/>
              <w:rPr>
                <w:rFonts w:ascii="宋体" w:hAnsi="宋体" w:cs="宋体" w:eastAsia="宋体" w:hint="default"/>
                <w:sz w:val="18"/>
                <w:szCs w:val="18"/>
              </w:rPr>
            </w:pPr>
            <w:r>
              <w:rPr>
                <w:rFonts w:ascii="宋体" w:hAnsi="宋体" w:cs="宋体" w:eastAsia="宋体" w:hint="default"/>
                <w:sz w:val="18"/>
                <w:szCs w:val="18"/>
              </w:rPr>
              <w:t>可供出售金融资产（按原金融 工具准则列示金额）</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192,016,231.03</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加：从可供出售金融资产转入</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192,016,231.03</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86,204,072.03</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9" w:hRule="exact"/>
        </w:trPr>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 w:right="42"/>
              <w:jc w:val="left"/>
              <w:rPr>
                <w:rFonts w:ascii="宋体" w:hAnsi="宋体" w:cs="宋体" w:eastAsia="宋体" w:hint="default"/>
                <w:sz w:val="18"/>
                <w:szCs w:val="18"/>
              </w:rPr>
            </w:pPr>
            <w:r>
              <w:rPr>
                <w:rFonts w:ascii="宋体" w:hAnsi="宋体" w:cs="宋体" w:eastAsia="宋体" w:hint="default"/>
                <w:sz w:val="18"/>
                <w:szCs w:val="18"/>
              </w:rPr>
              <w:t>其他非流动金融资产（按新金 融工具准则列示金额）</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278,220,303.06</w:t>
            </w:r>
          </w:p>
        </w:tc>
      </w:tr>
    </w:tbl>
    <w:p>
      <w:pPr>
        <w:spacing w:line="240" w:lineRule="auto" w:before="9"/>
        <w:rPr>
          <w:rFonts w:ascii="宋体" w:hAnsi="宋体" w:cs="宋体" w:eastAsia="宋体" w:hint="default"/>
          <w:sz w:val="6"/>
          <w:szCs w:val="6"/>
        </w:rPr>
      </w:pPr>
    </w:p>
    <w:p>
      <w:pPr>
        <w:pStyle w:val="BodyText"/>
        <w:spacing w:line="240" w:lineRule="auto" w:before="44"/>
        <w:ind w:left="492" w:right="1034"/>
        <w:jc w:val="left"/>
      </w:pPr>
      <w:r>
        <w:rPr/>
        <w:t>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日，执行新金融工具准则将原金融资产减值准备调整到新金融工具准则金融资产减值准备的调节表</w:t>
      </w:r>
    </w:p>
    <w:p>
      <w:pPr>
        <w:pStyle w:val="BodyText"/>
        <w:spacing w:line="240" w:lineRule="auto" w:before="101"/>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403"/>
        <w:gridCol w:w="1818"/>
        <w:gridCol w:w="1632"/>
        <w:gridCol w:w="1634"/>
        <w:gridCol w:w="2171"/>
      </w:tblGrid>
      <w:tr>
        <w:trPr>
          <w:trHeight w:val="971" w:hRule="exact"/>
        </w:trPr>
        <w:tc>
          <w:tcPr>
            <w:tcW w:w="240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1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309" w:lineRule="auto" w:before="2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日计提 的减值准备（按原金融 工具准则）</w:t>
            </w:r>
          </w:p>
        </w:tc>
        <w:tc>
          <w:tcPr>
            <w:tcW w:w="163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63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7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2" w:right="-7" w:firstLine="8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日计提的减值 准备（按新金融工具准则）</w:t>
            </w:r>
          </w:p>
        </w:tc>
      </w:tr>
      <w:tr>
        <w:trPr>
          <w:trHeight w:val="659"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 w:right="46"/>
              <w:jc w:val="left"/>
              <w:rPr>
                <w:rFonts w:ascii="宋体" w:hAnsi="宋体" w:cs="宋体" w:eastAsia="宋体" w:hint="default"/>
                <w:sz w:val="18"/>
                <w:szCs w:val="18"/>
              </w:rPr>
            </w:pPr>
            <w:r>
              <w:rPr>
                <w:rFonts w:ascii="宋体" w:hAnsi="宋体" w:cs="宋体" w:eastAsia="宋体" w:hint="default"/>
                <w:sz w:val="18"/>
                <w:szCs w:val="18"/>
              </w:rPr>
              <w:t>（一）以摊余成本计量的金融 资产</w:t>
            </w:r>
          </w:p>
        </w:tc>
        <w:tc>
          <w:tcPr>
            <w:tcW w:w="181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
        </w:tc>
        <w:tc>
          <w:tcPr>
            <w:tcW w:w="217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其中：应收票据减值准备</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144,153,896.35</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144,153,896.35</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4,311,133.72</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148,465,030.07</w:t>
            </w:r>
          </w:p>
        </w:tc>
      </w:tr>
      <w:tr>
        <w:trPr>
          <w:trHeight w:val="347"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14,482,405.53</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14,482,405.53</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14,482,405.53</w:t>
            </w:r>
          </w:p>
        </w:tc>
      </w:tr>
      <w:tr>
        <w:trPr>
          <w:trHeight w:val="347"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289,939.54</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289,939.54</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289,939.54</w:t>
            </w:r>
          </w:p>
        </w:tc>
      </w:tr>
    </w:tbl>
    <w:p>
      <w:pPr>
        <w:spacing w:line="240" w:lineRule="auto" w:before="3"/>
        <w:rPr>
          <w:rFonts w:ascii="宋体" w:hAnsi="宋体" w:cs="宋体" w:eastAsia="宋体" w:hint="default"/>
          <w:sz w:val="19"/>
          <w:szCs w:val="19"/>
        </w:rPr>
      </w:pPr>
    </w:p>
    <w:p>
      <w:pPr>
        <w:pStyle w:val="Heading3"/>
        <w:spacing w:line="240" w:lineRule="auto" w:before="34"/>
        <w:ind w:left="132" w:right="1034"/>
        <w:jc w:val="left"/>
        <w:rPr>
          <w:b w:val="0"/>
          <w:bCs w:val="0"/>
        </w:rPr>
      </w:pPr>
      <w:bookmarkStart w:name="（3）2019年起执行新金融工具准则或新租赁准则追溯调整前期比较数据说明" w:id="211"/>
      <w:bookmarkEnd w:id="211"/>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年起执行新金融工具准则或新租赁准则追溯调整前期比较数据说明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32" w:right="1034"/>
        <w:jc w:val="left"/>
        <w:rPr>
          <w:b w:val="0"/>
          <w:bCs w:val="0"/>
        </w:rPr>
      </w:pPr>
      <w:bookmarkStart w:name="六、税项" w:id="212"/>
      <w:bookmarkEnd w:id="212"/>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2" w:right="1034"/>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pStyle w:val="BodyText"/>
        <w:spacing w:line="240" w:lineRule="auto" w:before="49"/>
        <w:ind w:left="132" w:right="1034"/>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西安卫宁软件有限公司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新疆卫宁软件有限公司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山西卫宁软件有限公司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footerReference w:type="default" r:id="rId27"/>
          <w:pgSz w:w="11910" w:h="16840"/>
          <w:pgMar w:footer="978" w:header="746" w:top="1060" w:bottom="1160" w:left="1000" w:right="0"/>
          <w:pgNumType w:start="15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北京卫宁健康科技有限公司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杭州东联软件有限公司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浙江万鼎信息技术有限公司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合肥汉思信息技术有限责任公司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深圳卫宁中天软件有限公司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卫宁互联网科技有限公司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快享医疗科技（上海）有限公司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宣城卫宁软件科技有限公司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陕西卫宁互联网科技有限公司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上海卫心科技有限公司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spacing w:val="-1"/>
        </w:rPr>
        <w:t>（</w:t>
      </w:r>
      <w:r>
        <w:rPr>
          <w:rFonts w:ascii="Times New Roman" w:hAnsi="Times New Roman" w:cs="Times New Roman" w:eastAsia="Times New Roman" w:hint="default"/>
          <w:spacing w:val="-1"/>
        </w:rPr>
        <w:t>1</w:t>
      </w:r>
      <w:r>
        <w:rPr>
          <w:spacing w:val="-1"/>
        </w:rPr>
        <w:t>）根据《财政部国家税务总局关于软件产品增值税政策的通知》（财税</w:t>
      </w:r>
      <w:r>
        <w:rPr>
          <w:rFonts w:ascii="Times New Roman" w:hAnsi="Times New Roman" w:cs="Times New Roman" w:eastAsia="Times New Roman" w:hint="default"/>
          <w:spacing w:val="-1"/>
        </w:rPr>
        <w:t>[2011]100</w:t>
      </w:r>
      <w:r>
        <w:rPr>
          <w:spacing w:val="-1"/>
        </w:rPr>
        <w:t>号），增值税一般纳税人销售其自</w:t>
      </w:r>
      <w:r>
        <w:rPr/>
        <w:t> 行开发生产的软件产品，按照适用税率征收增值税后，对其增值税实际税负超过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00" w:lineRule="auto" w:before="133"/>
        <w:ind w:right="1128" w:firstLine="360"/>
        <w:jc w:val="both"/>
      </w:pPr>
      <w:r>
        <w:rPr>
          <w:spacing w:val="-1"/>
        </w:rPr>
        <w:t>（</w:t>
      </w:r>
      <w:r>
        <w:rPr>
          <w:rFonts w:ascii="Times New Roman" w:hAnsi="Times New Roman" w:cs="Times New Roman" w:eastAsia="Times New Roman" w:hint="default"/>
          <w:spacing w:val="-1"/>
        </w:rPr>
        <w:t>2</w:t>
      </w:r>
      <w:r>
        <w:rPr>
          <w:spacing w:val="-1"/>
        </w:rPr>
        <w:t>）根据财税</w:t>
      </w:r>
      <w:r>
        <w:rPr>
          <w:rFonts w:ascii="Times New Roman" w:hAnsi="Times New Roman" w:cs="Times New Roman" w:eastAsia="Times New Roman" w:hint="default"/>
          <w:spacing w:val="-1"/>
        </w:rPr>
        <w:t>[2011]111</w:t>
      </w:r>
      <w:r>
        <w:rPr>
          <w:spacing w:val="-1"/>
        </w:rPr>
        <w:t>号财政部、国家税务总局《关于在上海市开展交通运输业和部分现代服务业营业税改征增值税</w:t>
      </w:r>
      <w:r>
        <w:rPr/>
        <w:t> 试点的通知》的相关规定，本公司部分符合技术合同免征条件的营业收入免征增值税。</w:t>
      </w:r>
    </w:p>
    <w:p>
      <w:pPr>
        <w:pStyle w:val="BodyText"/>
        <w:spacing w:line="309" w:lineRule="auto" w:before="151"/>
        <w:ind w:right="1132" w:firstLine="360"/>
        <w:jc w:val="both"/>
      </w:pPr>
      <w:r>
        <w:rPr/>
        <w:t>（</w:t>
      </w:r>
      <w:r>
        <w:rPr>
          <w:rFonts w:ascii="Times New Roman" w:hAnsi="Times New Roman" w:cs="Times New Roman" w:eastAsia="Times New Roman" w:hint="default"/>
        </w:rPr>
        <w:t>3</w:t>
      </w:r>
      <w:r>
        <w:rPr/>
        <w:t>）本公司根据国家税务总局上海市浦东新区税务局《企业所得税优惠事项办理表》，符合《财政部、国家税务总局 </w:t>
      </w:r>
      <w:r>
        <w:rPr>
          <w:spacing w:val="-2"/>
        </w:rPr>
        <w:t>关于进一步鼓励软件产业和集成电路产业发展企业所得税政策的通知》的相关规定，依照国家规划布局内重点软件企业减按</w:t>
      </w:r>
      <w:r>
        <w:rPr>
          <w:spacing w:val="-64"/>
        </w:rPr>
        <w:t> </w:t>
      </w:r>
      <w:r>
        <w:rPr>
          <w:spacing w:val="-64"/>
        </w:rPr>
      </w:r>
      <w:r>
        <w:rPr>
          <w:rFonts w:ascii="Times New Roman" w:hAnsi="Times New Roman" w:cs="Times New Roman" w:eastAsia="Times New Roman" w:hint="default"/>
        </w:rPr>
        <w:t>10%</w:t>
      </w:r>
      <w:r>
        <w:rPr/>
        <w:t>的税率征收企业所得税。</w:t>
      </w:r>
    </w:p>
    <w:p>
      <w:pPr>
        <w:pStyle w:val="BodyText"/>
        <w:spacing w:line="300" w:lineRule="auto" w:before="125"/>
        <w:ind w:right="1130" w:firstLine="360"/>
        <w:jc w:val="both"/>
      </w:pPr>
      <w:r>
        <w:rPr/>
        <w:t>（</w:t>
      </w:r>
      <w:r>
        <w:rPr>
          <w:rFonts w:ascii="Times New Roman" w:hAnsi="Times New Roman" w:cs="Times New Roman" w:eastAsia="Times New Roman" w:hint="default"/>
        </w:rPr>
        <w:t>4</w:t>
      </w:r>
      <w:r>
        <w:rPr/>
        <w:t>）江苏卫宁软件有限公司根据常州市国家税务局第一税务分局《企业所得税优惠事项备案表》，符合《国务院关于 印发进一步鼓励软件产业和集成电路产业发展若干政策的通知》（国发</w:t>
      </w:r>
      <w:r>
        <w:rPr>
          <w:rFonts w:ascii="Times New Roman" w:hAnsi="Times New Roman" w:cs="Times New Roman" w:eastAsia="Times New Roman" w:hint="default"/>
        </w:rPr>
        <w:t>[2011]4</w:t>
      </w:r>
      <w:r>
        <w:rPr/>
        <w:t>号），自</w:t>
      </w:r>
      <w:r>
        <w:rPr>
          <w:rFonts w:ascii="Times New Roman" w:hAnsi="Times New Roman" w:cs="Times New Roman" w:eastAsia="Times New Roman" w:hint="default"/>
        </w:rPr>
        <w:t>2015</w:t>
      </w:r>
      <w:r>
        <w:rPr/>
        <w:t>年度起，第一年至第二年免征</w:t>
      </w:r>
      <w:r>
        <w:rPr>
          <w:spacing w:val="-35"/>
        </w:rPr>
        <w:t> </w:t>
      </w:r>
      <w:r>
        <w:rPr>
          <w:spacing w:val="-35"/>
        </w:rPr>
      </w:r>
      <w:r>
        <w:rPr/>
        <w:t>企业所得税，第三年至第五年按</w:t>
      </w:r>
      <w:r>
        <w:rPr>
          <w:rFonts w:ascii="Times New Roman" w:hAnsi="Times New Roman" w:cs="Times New Roman" w:eastAsia="Times New Roman" w:hint="default"/>
        </w:rPr>
        <w:t>25%</w:t>
      </w:r>
      <w:r>
        <w:rPr/>
        <w:t>的法定税率减半征收所得税。江苏卫宁软件有限公司本年度按</w:t>
      </w:r>
      <w:r>
        <w:rPr>
          <w:rFonts w:ascii="Times New Roman" w:hAnsi="Times New Roman" w:cs="Times New Roman" w:eastAsia="Times New Roman" w:hint="default"/>
        </w:rPr>
        <w:t>12.5%</w:t>
      </w:r>
      <w:r>
        <w:rPr/>
        <w:t>的税率缴纳企业所</w:t>
      </w:r>
      <w:r>
        <w:rPr>
          <w:spacing w:val="-75"/>
        </w:rPr>
        <w:t> </w:t>
      </w:r>
      <w:r>
        <w:rPr>
          <w:spacing w:val="-75"/>
        </w:rPr>
      </w:r>
      <w:r>
        <w:rPr/>
        <w:t>得税。</w:t>
      </w:r>
    </w:p>
    <w:p>
      <w:pPr>
        <w:pStyle w:val="BodyText"/>
        <w:spacing w:line="300" w:lineRule="auto" w:before="151"/>
        <w:ind w:right="1130" w:firstLine="360"/>
        <w:jc w:val="both"/>
      </w:pPr>
      <w:r>
        <w:rPr>
          <w:spacing w:val="10"/>
        </w:rPr>
        <w:t>（</w:t>
      </w:r>
      <w:r>
        <w:rPr>
          <w:rFonts w:ascii="Times New Roman" w:hAnsi="Times New Roman" w:cs="Times New Roman" w:eastAsia="Times New Roman" w:hint="default"/>
          <w:spacing w:val="10"/>
        </w:rPr>
        <w:t>5</w:t>
      </w:r>
      <w:r>
        <w:rPr>
          <w:spacing w:val="10"/>
        </w:rPr>
        <w:t>）山西卫宁软件有限公司</w:t>
      </w:r>
      <w:r>
        <w:rPr>
          <w:rFonts w:ascii="Times New Roman" w:hAnsi="Times New Roman" w:cs="Times New Roman" w:eastAsia="Times New Roman" w:hint="default"/>
          <w:spacing w:val="10"/>
        </w:rPr>
        <w:t>2017</w:t>
      </w:r>
      <w:r>
        <w:rPr>
          <w:spacing w:val="10"/>
        </w:rPr>
        <w:t>年在高新技术企业重新认定中获得通过，获得高新技术企业证书（证书编号：</w:t>
      </w:r>
      <w:r>
        <w:rPr/>
        <w:t> </w:t>
      </w:r>
      <w:r>
        <w:rPr>
          <w:rFonts w:ascii="Times New Roman" w:hAnsi="Times New Roman" w:cs="Times New Roman" w:eastAsia="Times New Roman" w:hint="default"/>
        </w:rPr>
        <w:t>GR201714000249</w:t>
      </w:r>
      <w:r>
        <w:rPr/>
        <w:t>，有效期三年），根据国家对高新技术企业的相关税收政策，山西卫宁软件有限公司本年度按</w:t>
      </w:r>
      <w:r>
        <w:rPr>
          <w:rFonts w:ascii="Times New Roman" w:hAnsi="Times New Roman" w:cs="Times New Roman" w:eastAsia="Times New Roman" w:hint="default"/>
        </w:rPr>
        <w:t>15%</w:t>
      </w:r>
      <w:r>
        <w:rPr/>
        <w:t>的税率</w:t>
      </w:r>
      <w:r>
        <w:rPr>
          <w:spacing w:val="-47"/>
        </w:rPr>
        <w:t> </w:t>
      </w:r>
      <w:r>
        <w:rPr>
          <w:spacing w:val="-47"/>
        </w:rPr>
      </w:r>
      <w:r>
        <w:rPr/>
        <w:t>缴纳企业所得税。</w:t>
      </w:r>
    </w:p>
    <w:p>
      <w:pPr>
        <w:pStyle w:val="BodyText"/>
        <w:spacing w:line="300" w:lineRule="auto" w:before="151"/>
        <w:ind w:right="1130" w:firstLine="360"/>
        <w:jc w:val="both"/>
      </w:pPr>
      <w:r>
        <w:rPr>
          <w:spacing w:val="-2"/>
        </w:rPr>
        <w:t>（</w:t>
      </w:r>
      <w:r>
        <w:rPr>
          <w:rFonts w:ascii="Times New Roman" w:hAnsi="Times New Roman" w:cs="Times New Roman" w:eastAsia="Times New Roman" w:hint="default"/>
          <w:spacing w:val="-2"/>
        </w:rPr>
        <w:t>6</w:t>
      </w:r>
      <w:r>
        <w:rPr>
          <w:spacing w:val="-2"/>
        </w:rPr>
        <w:t>）北京卫宁健康科技有限公司</w:t>
      </w:r>
      <w:r>
        <w:rPr>
          <w:rFonts w:ascii="Times New Roman" w:hAnsi="Times New Roman" w:cs="Times New Roman" w:eastAsia="Times New Roman" w:hint="default"/>
          <w:spacing w:val="-2"/>
        </w:rPr>
        <w:t>2018</w:t>
      </w:r>
      <w:r>
        <w:rPr>
          <w:spacing w:val="-2"/>
        </w:rPr>
        <w:t>年在高新技术企业重新认定中获得通过（证书编号：</w:t>
      </w:r>
      <w:r>
        <w:rPr>
          <w:rFonts w:ascii="Times New Roman" w:hAnsi="Times New Roman" w:cs="Times New Roman" w:eastAsia="Times New Roman" w:hint="default"/>
          <w:spacing w:val="-2"/>
        </w:rPr>
        <w:t>GR201811004134</w:t>
      </w:r>
      <w:r>
        <w:rPr>
          <w:spacing w:val="-2"/>
        </w:rPr>
        <w:t>，有效期三</w:t>
      </w:r>
      <w:r>
        <w:rPr/>
        <w:t> 年），根据国家对高新技术企业的相关税收政策，北京卫宁健康科技有限公司本年度按</w:t>
      </w:r>
      <w:r>
        <w:rPr>
          <w:rFonts w:ascii="Times New Roman" w:hAnsi="Times New Roman" w:cs="Times New Roman" w:eastAsia="Times New Roman" w:hint="default"/>
        </w:rPr>
        <w:t>15%</w:t>
      </w:r>
      <w:r>
        <w:rPr/>
        <w:t>的税率缴纳企业所得税。</w:t>
      </w:r>
    </w:p>
    <w:p>
      <w:pPr>
        <w:pStyle w:val="BodyText"/>
        <w:spacing w:line="240" w:lineRule="auto" w:before="133"/>
        <w:ind w:left="472" w:right="0"/>
        <w:jc w:val="left"/>
      </w:pPr>
      <w:r>
        <w:rPr>
          <w:spacing w:val="10"/>
        </w:rPr>
        <w:t>（</w:t>
      </w:r>
      <w:r>
        <w:rPr>
          <w:rFonts w:ascii="Times New Roman" w:hAnsi="Times New Roman" w:cs="Times New Roman" w:eastAsia="Times New Roman" w:hint="default"/>
          <w:spacing w:val="10"/>
        </w:rPr>
        <w:t>7</w:t>
      </w:r>
      <w:r>
        <w:rPr>
          <w:spacing w:val="10"/>
        </w:rPr>
        <w:t>）新疆卫宁软件有限公司</w:t>
      </w:r>
      <w:r>
        <w:rPr>
          <w:rFonts w:ascii="Times New Roman" w:hAnsi="Times New Roman" w:cs="Times New Roman" w:eastAsia="Times New Roman" w:hint="default"/>
          <w:spacing w:val="10"/>
        </w:rPr>
        <w:t>2019</w:t>
      </w:r>
      <w:r>
        <w:rPr>
          <w:spacing w:val="10"/>
        </w:rPr>
        <w:t>年在高新技术企业重新认定中获得通过，获得高新技术企业证书（证书编号：</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rFonts w:ascii="Times New Roman" w:hAnsi="Times New Roman" w:cs="Times New Roman" w:eastAsia="Times New Roman" w:hint="default"/>
        </w:rPr>
        <w:t>GR201965000106</w:t>
      </w:r>
      <w:r>
        <w:rPr/>
        <w:t>，有效期三年），根据国家对高新技术企业的相关税收政策，新疆卫宁软件有限公司本年度按</w:t>
      </w:r>
      <w:r>
        <w:rPr>
          <w:rFonts w:ascii="Times New Roman" w:hAnsi="Times New Roman" w:cs="Times New Roman" w:eastAsia="Times New Roman" w:hint="default"/>
        </w:rPr>
        <w:t>15%</w:t>
      </w:r>
      <w:r>
        <w:rPr/>
        <w:t>的税率</w:t>
      </w:r>
      <w:r>
        <w:rPr>
          <w:spacing w:val="-47"/>
        </w:rPr>
        <w:t> </w:t>
      </w:r>
      <w:r>
        <w:rPr>
          <w:spacing w:val="-47"/>
        </w:rPr>
      </w:r>
      <w:r>
        <w:rPr/>
        <w:t>缴纳企业所得税。</w:t>
      </w:r>
    </w:p>
    <w:p>
      <w:pPr>
        <w:pStyle w:val="BodyText"/>
        <w:spacing w:line="300" w:lineRule="auto" w:before="151"/>
        <w:ind w:right="1130" w:firstLine="360"/>
        <w:jc w:val="both"/>
      </w:pPr>
      <w:r>
        <w:rPr>
          <w:spacing w:val="10"/>
        </w:rPr>
        <w:t>（</w:t>
      </w:r>
      <w:r>
        <w:rPr>
          <w:rFonts w:ascii="Times New Roman" w:hAnsi="Times New Roman" w:cs="Times New Roman" w:eastAsia="Times New Roman" w:hint="default"/>
          <w:spacing w:val="10"/>
        </w:rPr>
        <w:t>8</w:t>
      </w:r>
      <w:r>
        <w:rPr>
          <w:spacing w:val="10"/>
        </w:rPr>
        <w:t>）杭州东联软件有限公司</w:t>
      </w:r>
      <w:r>
        <w:rPr>
          <w:rFonts w:ascii="Times New Roman" w:hAnsi="Times New Roman" w:cs="Times New Roman" w:eastAsia="Times New Roman" w:hint="default"/>
          <w:spacing w:val="10"/>
        </w:rPr>
        <w:t>2018</w:t>
      </w:r>
      <w:r>
        <w:rPr>
          <w:spacing w:val="10"/>
        </w:rPr>
        <w:t>年在高新技术企业重新认定中获得通过，获得高新技术企业证书（证书编号：</w:t>
      </w:r>
      <w:r>
        <w:rPr/>
        <w:t> </w:t>
      </w:r>
      <w:r>
        <w:rPr>
          <w:rFonts w:ascii="Times New Roman" w:hAnsi="Times New Roman" w:cs="Times New Roman" w:eastAsia="Times New Roman" w:hint="default"/>
        </w:rPr>
        <w:t>GR201833003534</w:t>
      </w:r>
      <w:r>
        <w:rPr/>
        <w:t>，有效期三年），根据国家对高新技术企业的相关税收政策，杭州东联软件有限公司本年度按</w:t>
      </w:r>
      <w:r>
        <w:rPr>
          <w:rFonts w:ascii="Times New Roman" w:hAnsi="Times New Roman" w:cs="Times New Roman" w:eastAsia="Times New Roman" w:hint="default"/>
        </w:rPr>
        <w:t>15%</w:t>
      </w:r>
      <w:r>
        <w:rPr/>
        <w:t>的税率</w:t>
      </w:r>
      <w:r>
        <w:rPr>
          <w:spacing w:val="-47"/>
        </w:rPr>
        <w:t> </w:t>
      </w:r>
      <w:r>
        <w:rPr>
          <w:spacing w:val="-47"/>
        </w:rPr>
      </w:r>
      <w:r>
        <w:rPr/>
        <w:t>缴纳企业所得税。</w:t>
      </w:r>
    </w:p>
    <w:p>
      <w:pPr>
        <w:pStyle w:val="BodyText"/>
        <w:spacing w:line="300" w:lineRule="auto" w:before="151"/>
        <w:ind w:right="1130" w:firstLine="360"/>
        <w:jc w:val="both"/>
      </w:pPr>
      <w:r>
        <w:rPr>
          <w:spacing w:val="-2"/>
        </w:rPr>
        <w:t>（</w:t>
      </w:r>
      <w:r>
        <w:rPr>
          <w:rFonts w:ascii="Times New Roman" w:hAnsi="Times New Roman" w:cs="Times New Roman" w:eastAsia="Times New Roman" w:hint="default"/>
          <w:spacing w:val="-2"/>
        </w:rPr>
        <w:t>9</w:t>
      </w:r>
      <w:r>
        <w:rPr>
          <w:spacing w:val="-2"/>
        </w:rPr>
        <w:t>）浙江万鼎信息技术有限公司</w:t>
      </w:r>
      <w:r>
        <w:rPr>
          <w:rFonts w:ascii="Times New Roman" w:hAnsi="Times New Roman" w:cs="Times New Roman" w:eastAsia="Times New Roman" w:hint="default"/>
          <w:spacing w:val="-2"/>
        </w:rPr>
        <w:t>2019</w:t>
      </w:r>
      <w:r>
        <w:rPr>
          <w:spacing w:val="-2"/>
        </w:rPr>
        <w:t>年在高新技术企业重新认定中获得通过（证书编号：</w:t>
      </w:r>
      <w:r>
        <w:rPr>
          <w:rFonts w:ascii="Times New Roman" w:hAnsi="Times New Roman" w:cs="Times New Roman" w:eastAsia="Times New Roman" w:hint="default"/>
          <w:spacing w:val="-2"/>
        </w:rPr>
        <w:t>GR201933005391</w:t>
      </w:r>
      <w:r>
        <w:rPr>
          <w:spacing w:val="-2"/>
        </w:rPr>
        <w:t>，有效期三</w:t>
      </w:r>
      <w:r>
        <w:rPr/>
        <w:t> 年），根据国家对高新技术企业的相关税收政策，浙江万鼎信息技术有限公司本年度按</w:t>
      </w:r>
      <w:r>
        <w:rPr>
          <w:rFonts w:ascii="Times New Roman" w:hAnsi="Times New Roman" w:cs="Times New Roman" w:eastAsia="Times New Roman" w:hint="default"/>
        </w:rPr>
        <w:t>15%</w:t>
      </w:r>
      <w:r>
        <w:rPr/>
        <w:t>的税率缴纳企业所得税。</w:t>
      </w:r>
    </w:p>
    <w:p>
      <w:pPr>
        <w:pStyle w:val="BodyText"/>
        <w:spacing w:line="300" w:lineRule="auto" w:before="133"/>
        <w:ind w:right="1129" w:firstLine="360"/>
        <w:jc w:val="both"/>
      </w:pPr>
      <w:r>
        <w:rPr>
          <w:spacing w:val="-2"/>
        </w:rPr>
        <w:t>（</w:t>
      </w:r>
      <w:r>
        <w:rPr>
          <w:rFonts w:ascii="Times New Roman" w:hAnsi="Times New Roman" w:cs="Times New Roman" w:eastAsia="Times New Roman" w:hint="default"/>
          <w:spacing w:val="-2"/>
        </w:rPr>
        <w:t>10</w:t>
      </w:r>
      <w:r>
        <w:rPr>
          <w:spacing w:val="-2"/>
        </w:rPr>
        <w:t>）重庆卫宁软件有限公司根据重庆市两江新区国家税务局《企业所得税优惠事项备案表》，符合《财政部国家税务</w:t>
      </w:r>
      <w:r>
        <w:rPr/>
        <w:t> </w:t>
      </w:r>
      <w:r>
        <w:rPr>
          <w:spacing w:val="-1"/>
        </w:rPr>
        <w:t>总局关于软件和集成电路产业企业所得税优惠政策有关问题的通知》（财税</w:t>
      </w:r>
      <w:r>
        <w:rPr>
          <w:rFonts w:ascii="Times New Roman" w:hAnsi="Times New Roman" w:cs="Times New Roman" w:eastAsia="Times New Roman" w:hint="default"/>
          <w:spacing w:val="-1"/>
        </w:rPr>
        <w:t>[2016]49</w:t>
      </w:r>
      <w:r>
        <w:rPr>
          <w:spacing w:val="-1"/>
        </w:rPr>
        <w:t>号），自</w:t>
      </w:r>
      <w:r>
        <w:rPr>
          <w:rFonts w:ascii="Times New Roman" w:hAnsi="Times New Roman" w:cs="Times New Roman" w:eastAsia="Times New Roman" w:hint="default"/>
          <w:spacing w:val="-1"/>
        </w:rPr>
        <w:t>2017</w:t>
      </w:r>
      <w:r>
        <w:rPr>
          <w:spacing w:val="-1"/>
        </w:rPr>
        <w:t>年度起，第一年至第二年</w:t>
      </w:r>
      <w:r>
        <w:rPr>
          <w:spacing w:val="-54"/>
        </w:rPr>
        <w:t> </w:t>
      </w:r>
      <w:r>
        <w:rPr>
          <w:spacing w:val="-54"/>
        </w:rPr>
      </w:r>
      <w:r>
        <w:rPr/>
        <w:t>免征企业所得税，第三年至第五年按</w:t>
      </w:r>
      <w:r>
        <w:rPr>
          <w:rFonts w:ascii="Times New Roman" w:hAnsi="Times New Roman" w:cs="Times New Roman" w:eastAsia="Times New Roman" w:hint="default"/>
        </w:rPr>
        <w:t>25%</w:t>
      </w:r>
      <w:r>
        <w:rPr/>
        <w:t>的法定税率减半征收所得税。重庆卫宁软件有限公司本年度按</w:t>
      </w:r>
      <w:r>
        <w:rPr>
          <w:rFonts w:ascii="Times New Roman" w:hAnsi="Times New Roman" w:cs="Times New Roman" w:eastAsia="Times New Roman" w:hint="default"/>
        </w:rPr>
        <w:t>12.5%</w:t>
      </w:r>
      <w:r>
        <w:rPr/>
        <w:t>的税率缴纳企</w:t>
      </w:r>
      <w:r>
        <w:rPr>
          <w:spacing w:val="-74"/>
        </w:rPr>
        <w:t> </w:t>
      </w:r>
      <w:r>
        <w:rPr>
          <w:spacing w:val="-74"/>
        </w:rPr>
      </w:r>
      <w:r>
        <w:rPr/>
        <w:t>业所得税。</w:t>
      </w:r>
    </w:p>
    <w:p>
      <w:pPr>
        <w:pStyle w:val="BodyText"/>
        <w:spacing w:line="300" w:lineRule="auto" w:before="151"/>
        <w:ind w:right="0" w:firstLine="360"/>
        <w:jc w:val="left"/>
      </w:pPr>
      <w:r>
        <w:rPr>
          <w:spacing w:val="-4"/>
        </w:rPr>
        <w:t>（</w:t>
      </w:r>
      <w:r>
        <w:rPr>
          <w:rFonts w:ascii="Times New Roman" w:hAnsi="Times New Roman" w:cs="Times New Roman" w:eastAsia="Times New Roman" w:hint="default"/>
          <w:spacing w:val="-4"/>
        </w:rPr>
        <w:t>11</w:t>
      </w:r>
      <w:r>
        <w:rPr>
          <w:spacing w:val="-4"/>
        </w:rPr>
        <w:t>）合肥汉思信息技术有限责任公司</w:t>
      </w:r>
      <w:r>
        <w:rPr>
          <w:rFonts w:ascii="Times New Roman" w:hAnsi="Times New Roman" w:cs="Times New Roman" w:eastAsia="Times New Roman" w:hint="default"/>
          <w:spacing w:val="-4"/>
        </w:rPr>
        <w:t>2017</w:t>
      </w:r>
      <w:r>
        <w:rPr>
          <w:spacing w:val="-4"/>
        </w:rPr>
        <w:t>年在高新技术企业重新认定中获得通过，获得高新技术企业证书（证书编号：</w:t>
      </w:r>
      <w:r>
        <w:rPr/>
        <w:t> </w:t>
      </w:r>
      <w:r>
        <w:rPr>
          <w:rFonts w:ascii="Times New Roman" w:hAnsi="Times New Roman" w:cs="Times New Roman" w:eastAsia="Times New Roman" w:hint="default"/>
          <w:spacing w:val="-3"/>
        </w:rPr>
        <w:t>GR201734001478</w:t>
      </w:r>
      <w:r>
        <w:rPr>
          <w:spacing w:val="-3"/>
        </w:rPr>
        <w:t>，有效期三年），根据国家对高新技术企业的相关税收政策，合肥汉思信息技术有限责任公司本年度按</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的税率缴纳企业所得税。</w:t>
      </w:r>
    </w:p>
    <w:p>
      <w:pPr>
        <w:pStyle w:val="BodyText"/>
        <w:spacing w:line="300" w:lineRule="auto" w:before="151"/>
        <w:ind w:right="1039" w:firstLine="360"/>
        <w:jc w:val="both"/>
      </w:pPr>
      <w:r>
        <w:rPr>
          <w:spacing w:val="-2"/>
        </w:rPr>
        <w:t>（</w:t>
      </w:r>
      <w:r>
        <w:rPr>
          <w:rFonts w:ascii="Times New Roman" w:hAnsi="Times New Roman" w:cs="Times New Roman" w:eastAsia="Times New Roman" w:hint="default"/>
          <w:spacing w:val="-2"/>
        </w:rPr>
        <w:t>12</w:t>
      </w:r>
      <w:r>
        <w:rPr>
          <w:spacing w:val="-2"/>
        </w:rPr>
        <w:t>）深圳卫宁中天软件有限公司</w:t>
      </w:r>
      <w:r>
        <w:rPr>
          <w:rFonts w:ascii="Times New Roman" w:hAnsi="Times New Roman" w:cs="Times New Roman" w:eastAsia="Times New Roman" w:hint="default"/>
          <w:spacing w:val="-2"/>
        </w:rPr>
        <w:t>2017</w:t>
      </w:r>
      <w:r>
        <w:rPr>
          <w:spacing w:val="-2"/>
        </w:rPr>
        <w:t>年取得高新技术企业认证，获得高新技术企业证书（证书编号</w:t>
      </w:r>
      <w:r>
        <w:rPr>
          <w:rFonts w:ascii="Times New Roman" w:hAnsi="Times New Roman" w:cs="Times New Roman" w:eastAsia="Times New Roman" w:hint="default"/>
          <w:spacing w:val="-2"/>
        </w:rPr>
        <w:t>GR201744204286</w:t>
      </w:r>
      <w:r>
        <w:rPr>
          <w:spacing w:val="-2"/>
        </w:rPr>
        <w:t>，</w:t>
      </w:r>
      <w:r>
        <w:rPr/>
        <w:t> </w:t>
      </w:r>
      <w:r>
        <w:rPr>
          <w:spacing w:val="-3"/>
        </w:rPr>
        <w:t>有效期为三年），据国家对高新技术企业的相关税收政策，深圳卫宁中天软件有限公司本年度按</w:t>
      </w:r>
      <w:r>
        <w:rPr>
          <w:rFonts w:ascii="Times New Roman" w:hAnsi="Times New Roman" w:cs="Times New Roman" w:eastAsia="Times New Roman" w:hint="default"/>
          <w:spacing w:val="-3"/>
        </w:rPr>
        <w:t>15%</w:t>
      </w:r>
      <w:r>
        <w:rPr>
          <w:spacing w:val="-3"/>
        </w:rPr>
        <w:t>的税率缴纳企业所得税。</w:t>
      </w:r>
    </w:p>
    <w:p>
      <w:pPr>
        <w:pStyle w:val="BodyText"/>
        <w:spacing w:line="300" w:lineRule="auto" w:before="133"/>
        <w:ind w:right="1130" w:firstLine="360"/>
        <w:jc w:val="both"/>
      </w:pPr>
      <w:r>
        <w:rPr>
          <w:spacing w:val="-2"/>
        </w:rPr>
        <w:t>（</w:t>
      </w:r>
      <w:r>
        <w:rPr>
          <w:rFonts w:ascii="Times New Roman" w:hAnsi="Times New Roman" w:cs="Times New Roman" w:eastAsia="Times New Roman" w:hint="default"/>
          <w:spacing w:val="-2"/>
        </w:rPr>
        <w:t>13</w:t>
      </w:r>
      <w:r>
        <w:rPr>
          <w:spacing w:val="-2"/>
        </w:rPr>
        <w:t>）广东卫宁软件有限公司根据广州市国家税务局《企业所得税优惠事项备案表》，符合《财政部国家税务总局关于</w:t>
      </w:r>
      <w:r>
        <w:rPr/>
        <w:t> 企业所得税若干优惠政策的通知》（财税</w:t>
      </w:r>
      <w:r>
        <w:rPr>
          <w:rFonts w:ascii="Times New Roman" w:hAnsi="Times New Roman" w:cs="Times New Roman" w:eastAsia="Times New Roman" w:hint="default"/>
        </w:rPr>
        <w:t>[2008]1</w:t>
      </w:r>
      <w:r>
        <w:rPr/>
        <w:t>号），自</w:t>
      </w:r>
      <w:r>
        <w:rPr>
          <w:rFonts w:ascii="Times New Roman" w:hAnsi="Times New Roman" w:cs="Times New Roman" w:eastAsia="Times New Roman" w:hint="default"/>
        </w:rPr>
        <w:t>2016</w:t>
      </w:r>
      <w:r>
        <w:rPr/>
        <w:t>年度起，第一年至第二年免征企业所得税，第三年至第五年</w:t>
      </w:r>
      <w:r>
        <w:rPr>
          <w:spacing w:val="-35"/>
        </w:rPr>
        <w:t> </w:t>
      </w:r>
      <w:r>
        <w:rPr>
          <w:spacing w:val="-35"/>
        </w:rPr>
      </w:r>
      <w:r>
        <w:rPr/>
        <w:t>按</w:t>
      </w:r>
      <w:r>
        <w:rPr>
          <w:rFonts w:ascii="Times New Roman" w:hAnsi="Times New Roman" w:cs="Times New Roman" w:eastAsia="Times New Roman" w:hint="default"/>
        </w:rPr>
        <w:t>25%</w:t>
      </w:r>
      <w:r>
        <w:rPr/>
        <w:t>的法定税率减半征收所得税。广东卫宁软件有限公司本年度为按</w:t>
      </w:r>
      <w:r>
        <w:rPr>
          <w:rFonts w:ascii="Times New Roman" w:hAnsi="Times New Roman" w:cs="Times New Roman" w:eastAsia="Times New Roman" w:hint="default"/>
        </w:rPr>
        <w:t>12.5%</w:t>
      </w:r>
      <w:r>
        <w:rPr/>
        <w:t>的税率缴纳企业所得税。</w:t>
      </w:r>
    </w:p>
    <w:p>
      <w:pPr>
        <w:pStyle w:val="BodyText"/>
        <w:spacing w:line="300" w:lineRule="auto" w:before="133"/>
        <w:ind w:right="1130" w:firstLine="360"/>
        <w:jc w:val="both"/>
      </w:pPr>
      <w:r>
        <w:rPr>
          <w:spacing w:val="12"/>
        </w:rPr>
        <w:t>（</w:t>
      </w:r>
      <w:r>
        <w:rPr>
          <w:rFonts w:ascii="Times New Roman" w:hAnsi="Times New Roman" w:cs="Times New Roman" w:eastAsia="Times New Roman" w:hint="default"/>
          <w:spacing w:val="12"/>
        </w:rPr>
        <w:t>14</w:t>
      </w:r>
      <w:r>
        <w:rPr>
          <w:spacing w:val="12"/>
        </w:rPr>
        <w:t>）天津卫宁软件有限公司</w:t>
      </w:r>
      <w:r>
        <w:rPr>
          <w:rFonts w:ascii="Times New Roman" w:hAnsi="Times New Roman" w:cs="Times New Roman" w:eastAsia="Times New Roman" w:hint="default"/>
          <w:spacing w:val="12"/>
        </w:rPr>
        <w:t>2018</w:t>
      </w:r>
      <w:r>
        <w:rPr>
          <w:spacing w:val="12"/>
        </w:rPr>
        <w:t>年在高新技术企业重新认定中获得通过，获得高新技术企业证书（证书编号</w:t>
      </w:r>
      <w:r>
        <w:rPr/>
        <w:t> </w:t>
      </w:r>
      <w:r>
        <w:rPr>
          <w:rFonts w:ascii="Times New Roman" w:hAnsi="Times New Roman" w:cs="Times New Roman" w:eastAsia="Times New Roman" w:hint="default"/>
        </w:rPr>
        <w:t>GR201812000159</w:t>
      </w:r>
      <w:r>
        <w:rPr/>
        <w:t>，有效期为三年），据国家对高新技术企业的相关税收政策，天津卫宁软件有限公司本年度按</w:t>
      </w:r>
      <w:r>
        <w:rPr>
          <w:rFonts w:ascii="Times New Roman" w:hAnsi="Times New Roman" w:cs="Times New Roman" w:eastAsia="Times New Roman" w:hint="default"/>
        </w:rPr>
        <w:t>15%</w:t>
      </w:r>
      <w:r>
        <w:rPr/>
        <w:t>的税率</w:t>
      </w:r>
      <w:r>
        <w:rPr>
          <w:spacing w:val="-47"/>
        </w:rPr>
        <w:t> </w:t>
      </w:r>
      <w:r>
        <w:rPr>
          <w:spacing w:val="-47"/>
        </w:rPr>
      </w:r>
      <w:r>
        <w:rPr/>
        <w:t>缴纳企业所得税。</w:t>
      </w:r>
    </w:p>
    <w:p>
      <w:pPr>
        <w:pStyle w:val="BodyText"/>
        <w:spacing w:line="300" w:lineRule="auto" w:before="151"/>
        <w:ind w:right="1081" w:firstLine="360"/>
        <w:jc w:val="both"/>
      </w:pPr>
      <w:r>
        <w:rPr/>
        <w:t>（</w:t>
      </w:r>
      <w:r>
        <w:rPr>
          <w:rFonts w:ascii="Times New Roman" w:hAnsi="Times New Roman" w:cs="Times New Roman" w:eastAsia="Times New Roman" w:hint="default"/>
        </w:rPr>
        <w:t>15</w:t>
      </w:r>
      <w:r>
        <w:rPr/>
        <w:t>）黑龙江卫宁软件有限公司</w:t>
      </w:r>
      <w:r>
        <w:rPr>
          <w:rFonts w:ascii="Times New Roman" w:hAnsi="Times New Roman" w:cs="Times New Roman" w:eastAsia="Times New Roman" w:hint="default"/>
        </w:rPr>
        <w:t>2017</w:t>
      </w:r>
      <w:r>
        <w:rPr/>
        <w:t>年取得高新技术企业认证，获得高新技术企业证书（证书编号</w:t>
      </w:r>
      <w:r>
        <w:rPr>
          <w:rFonts w:ascii="Times New Roman" w:hAnsi="Times New Roman" w:cs="Times New Roman" w:eastAsia="Times New Roman" w:hint="default"/>
        </w:rPr>
        <w:t>GR201723000026</w:t>
      </w:r>
      <w:r>
        <w:rPr/>
        <w:t>， 有效期为三年），据国家对高新技术企业的相关税收政策，黑龙江卫宁软件有限公司本年度按</w:t>
      </w:r>
      <w:r>
        <w:rPr>
          <w:rFonts w:ascii="Times New Roman" w:hAnsi="Times New Roman" w:cs="Times New Roman" w:eastAsia="Times New Roman" w:hint="default"/>
        </w:rPr>
        <w:t>15%</w:t>
      </w:r>
      <w:r>
        <w:rPr/>
        <w:t>的税率缴纳企业所得税。</w:t>
      </w:r>
    </w:p>
    <w:p>
      <w:pPr>
        <w:pStyle w:val="BodyText"/>
        <w:spacing w:line="300" w:lineRule="auto" w:before="133"/>
        <w:ind w:right="0" w:firstLine="360"/>
        <w:jc w:val="left"/>
      </w:pPr>
      <w:r>
        <w:rPr>
          <w:spacing w:val="-2"/>
        </w:rPr>
        <w:t>（</w:t>
      </w:r>
      <w:r>
        <w:rPr>
          <w:rFonts w:ascii="Times New Roman" w:hAnsi="Times New Roman" w:cs="Times New Roman" w:eastAsia="Times New Roman" w:hint="default"/>
          <w:spacing w:val="-2"/>
        </w:rPr>
        <w:t>16</w:t>
      </w:r>
      <w:r>
        <w:rPr>
          <w:spacing w:val="-2"/>
        </w:rPr>
        <w:t>）四川卫宁软件有限公司根据成都高新技术产业开发区国家税务局《企业所得税优惠事项备案表》，符合《财政部</w:t>
      </w:r>
      <w:r>
        <w:rPr/>
        <w:t> </w:t>
      </w:r>
      <w:r>
        <w:rPr>
          <w:spacing w:val="-1"/>
        </w:rPr>
        <w:t>国家税务总局关于企业所得税若干优惠政策的通知》（财税</w:t>
      </w:r>
      <w:r>
        <w:rPr>
          <w:rFonts w:ascii="Times New Roman" w:hAnsi="Times New Roman" w:cs="Times New Roman" w:eastAsia="Times New Roman" w:hint="default"/>
          <w:spacing w:val="-1"/>
        </w:rPr>
        <w:t>[2008]1</w:t>
      </w:r>
      <w:r>
        <w:rPr>
          <w:spacing w:val="-1"/>
        </w:rPr>
        <w:t>号），自</w:t>
      </w:r>
      <w:r>
        <w:rPr>
          <w:rFonts w:ascii="Times New Roman" w:hAnsi="Times New Roman" w:cs="Times New Roman" w:eastAsia="Times New Roman" w:hint="default"/>
          <w:spacing w:val="-1"/>
        </w:rPr>
        <w:t>2017</w:t>
      </w:r>
      <w:r>
        <w:rPr>
          <w:spacing w:val="-1"/>
        </w:rPr>
        <w:t>年度起，第一年至第二年免征企业所得税，</w:t>
      </w:r>
      <w:r>
        <w:rPr>
          <w:spacing w:val="-56"/>
        </w:rPr>
        <w:t> </w:t>
      </w:r>
      <w:r>
        <w:rPr>
          <w:spacing w:val="-56"/>
        </w:rPr>
      </w:r>
      <w:r>
        <w:rPr/>
        <w:t>第三年至第五年按</w:t>
      </w:r>
      <w:r>
        <w:rPr>
          <w:rFonts w:ascii="Times New Roman" w:hAnsi="Times New Roman" w:cs="Times New Roman" w:eastAsia="Times New Roman" w:hint="default"/>
        </w:rPr>
        <w:t>25%</w:t>
      </w:r>
      <w:r>
        <w:rPr/>
        <w:t>的法定税率减半征收所得税。四川卫宁软件有限公司本年度按</w:t>
      </w:r>
      <w:r>
        <w:rPr>
          <w:rFonts w:ascii="Times New Roman" w:hAnsi="Times New Roman" w:cs="Times New Roman" w:eastAsia="Times New Roman" w:hint="default"/>
        </w:rPr>
        <w:t>12.5%</w:t>
      </w:r>
      <w:r>
        <w:rPr/>
        <w:t>的税率缴纳企业所得税。</w:t>
      </w:r>
    </w:p>
    <w:p>
      <w:pPr>
        <w:pStyle w:val="BodyText"/>
        <w:spacing w:line="240" w:lineRule="auto" w:before="51"/>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其他" w:id="215"/>
      <w:bookmarkEnd w:id="215"/>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5" w:firstLine="360"/>
        <w:jc w:val="both"/>
      </w:pPr>
      <w:r>
        <w:rPr/>
        <w:t>根据《财政部、税务总局、海关总署关于深化增值税改革有关政策的公告》</w:t>
      </w:r>
      <w:r>
        <w:rPr>
          <w:rFonts w:ascii="Times New Roman" w:hAnsi="Times New Roman" w:cs="Times New Roman" w:eastAsia="Times New Roman" w:hint="default"/>
        </w:rPr>
        <w:t>(</w:t>
      </w:r>
      <w:r>
        <w:rPr/>
        <w:t>财政部、税务总局、海关总署公告</w:t>
      </w:r>
      <w:r>
        <w:rPr>
          <w:rFonts w:ascii="Times New Roman" w:hAnsi="Times New Roman" w:cs="Times New Roman" w:eastAsia="Times New Roman" w:hint="default"/>
        </w:rPr>
        <w:t>2019</w:t>
      </w:r>
      <w:r>
        <w:rPr/>
        <w:t>年 </w:t>
      </w:r>
      <w:r>
        <w:rPr>
          <w:spacing w:val="-1"/>
        </w:rPr>
        <w:t>第</w:t>
      </w:r>
      <w:r>
        <w:rPr>
          <w:rFonts w:ascii="Times New Roman" w:hAnsi="Times New Roman" w:cs="Times New Roman" w:eastAsia="Times New Roman" w:hint="default"/>
          <w:spacing w:val="-1"/>
        </w:rPr>
        <w:t>39</w:t>
      </w:r>
      <w:r>
        <w:rPr>
          <w:spacing w:val="-1"/>
        </w:rPr>
        <w:t>号</w:t>
      </w:r>
      <w:r>
        <w:rPr>
          <w:rFonts w:ascii="Times New Roman" w:hAnsi="Times New Roman" w:cs="Times New Roman" w:eastAsia="Times New Roman" w:hint="default"/>
          <w:spacing w:val="-1"/>
        </w:rPr>
        <w:t>)</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日起，纳税人发生增值税应税销售行为，原适用</w:t>
      </w:r>
      <w:r>
        <w:rPr>
          <w:rFonts w:ascii="Times New Roman" w:hAnsi="Times New Roman" w:cs="Times New Roman" w:eastAsia="Times New Roman" w:hint="default"/>
          <w:spacing w:val="-1"/>
        </w:rPr>
        <w:t>16%</w:t>
      </w:r>
      <w:r>
        <w:rPr>
          <w:spacing w:val="-1"/>
        </w:rPr>
        <w:t>的增值税税率，税率调整为</w:t>
      </w:r>
      <w:r>
        <w:rPr>
          <w:rFonts w:ascii="Times New Roman" w:hAnsi="Times New Roman" w:cs="Times New Roman" w:eastAsia="Times New Roman" w:hint="default"/>
          <w:spacing w:val="-1"/>
        </w:rPr>
        <w:t>13%</w:t>
      </w:r>
      <w:r>
        <w:rPr>
          <w:spacing w:val="-1"/>
        </w:rPr>
        <w:t>，原适用</w:t>
      </w:r>
      <w:r>
        <w:rPr>
          <w:rFonts w:ascii="Times New Roman" w:hAnsi="Times New Roman" w:cs="Times New Roman" w:eastAsia="Times New Roman" w:hint="default"/>
          <w:spacing w:val="-1"/>
        </w:rPr>
        <w:t>10%</w:t>
      </w:r>
      <w:r>
        <w:rPr>
          <w:spacing w:val="-1"/>
        </w:rPr>
        <w:t>的</w:t>
      </w:r>
      <w:r>
        <w:rPr>
          <w:spacing w:val="-83"/>
        </w:rPr>
        <w:t> </w:t>
      </w:r>
      <w:r>
        <w:rPr/>
        <w:t>增值税税率，税率调整为</w:t>
      </w:r>
      <w:r>
        <w:rPr>
          <w:rFonts w:ascii="Times New Roman" w:hAnsi="Times New Roman" w:cs="Times New Roman" w:eastAsia="Times New Roman" w:hint="default"/>
        </w:rPr>
        <w:t>9%</w:t>
      </w:r>
      <w:r>
        <w:rPr/>
        <w:t>。</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7"/>
      <w:bookmarkEnd w:id="21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3,064,048.07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820,453.37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693,296,236.33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502,395,157.50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18,762,525.05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11,437,329.32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715,122,809.45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514,652,940.19</w:t>
            </w:r>
          </w:p>
        </w:tc>
      </w:tr>
    </w:tbl>
    <w:p>
      <w:pPr>
        <w:pStyle w:val="BodyText"/>
        <w:spacing w:line="240" w:lineRule="auto" w:before="51"/>
        <w:ind w:right="0"/>
        <w:jc w:val="left"/>
      </w:pPr>
      <w:r>
        <w:rPr/>
        <w:t>其他说明</w:t>
      </w:r>
    </w:p>
    <w:p>
      <w:pPr>
        <w:pStyle w:val="BodyText"/>
        <w:spacing w:line="300" w:lineRule="auto" w:before="117"/>
        <w:ind w:right="1131" w:firstLine="360"/>
        <w:jc w:val="both"/>
      </w:pPr>
      <w:r>
        <w:rPr/>
        <w:t>其他货币资金期末余额中</w:t>
      </w:r>
      <w:r>
        <w:rPr>
          <w:rFonts w:ascii="Times New Roman" w:hAnsi="Times New Roman" w:cs="Times New Roman" w:eastAsia="Times New Roman" w:hint="default"/>
        </w:rPr>
        <w:t>18,762,525.05</w:t>
      </w:r>
      <w:r>
        <w:rPr/>
        <w:t>元系公司及子公司为开立保函及银行承兑票据存入的保证金（其中</w:t>
      </w:r>
      <w:r>
        <w:rPr>
          <w:rFonts w:ascii="Times New Roman" w:hAnsi="Times New Roman" w:cs="Times New Roman" w:eastAsia="Times New Roman" w:hint="default"/>
        </w:rPr>
        <w:t>10,619,790.79 </w:t>
      </w:r>
      <w:r>
        <w:rPr/>
        <w:t>元到期日距资产负债表日超过</w:t>
      </w:r>
      <w:r>
        <w:rPr>
          <w:rFonts w:ascii="Times New Roman" w:hAnsi="Times New Roman" w:cs="Times New Roman" w:eastAsia="Times New Roman" w:hint="default"/>
        </w:rPr>
        <w:t>3</w:t>
      </w:r>
      <w:r>
        <w:rPr/>
        <w:t>个月）。除此之外，期末货币资金中无其他因抵押、质押或冻结等对使用有限制、有潜在回</w:t>
      </w:r>
      <w:r>
        <w:rPr>
          <w:spacing w:val="-84"/>
        </w:rPr>
        <w:t> </w:t>
      </w:r>
      <w:r>
        <w:rPr>
          <w:spacing w:val="-84"/>
        </w:rPr>
      </w:r>
      <w:r>
        <w:rPr/>
        <w:t>收风险的款项。</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2、应收票据" w:id="218"/>
      <w:bookmarkEnd w:id="218"/>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19"/>
      <w:bookmarkEnd w:id="21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4,635,400.00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1,880,779.34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4,380,779.34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4,635,400.00</w:t>
            </w:r>
          </w:p>
        </w:tc>
      </w:tr>
    </w:tbl>
    <w:p>
      <w:pPr>
        <w:pStyle w:val="BodyText"/>
        <w:spacing w:line="240" w:lineRule="auto" w:before="5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930"/>
        <w:gridCol w:w="798"/>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0"/>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4,479,76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98,988.3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4,380,779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1,979,76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44.19%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98,988.3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1,880,779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55.81%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4,635,400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100.00%</w:t>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4,635,400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4,479,76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98,988.3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4,380,779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0"/>
        <w:ind w:right="0"/>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5pt;height:20.75pt;mso-position-horizontal-relative:char;mso-position-vertical-relative:line" coordorigin="0,0" coordsize="9590,415">
            <v:group style="position:absolute;left:13;top:12;width:1908;height:397" coordorigin="13,12" coordsize="1908,397">
              <v:shape style="position:absolute;left:13;top:12;width:1908;height:397" coordorigin="13,12" coordsize="1908,397" path="m13,12l1921,12,1921,409,13,409,13,12xe" filled="true" fillcolor="#d2d2d2" stroked="false">
                <v:path arrowok="t"/>
                <v:fill type="solid"/>
              </v:shape>
            </v:group>
            <v:group style="position:absolute;left:1926;top:12;width:7652;height:397" coordorigin="1926,12" coordsize="7652,397">
              <v:shape style="position:absolute;left:1926;top:12;width:7652;height:397" coordorigin="1926,12" coordsize="7652,397" path="m1926,12l9578,12,9578,409,1926,409,1926,12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0;width:9580;height:2" coordorigin="5,410" coordsize="9580,2">
              <v:shape style="position:absolute;left:5;top:410;width:9580;height:2" coordorigin="5,410" coordsize="9580,0" path="m5,410l9584,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1923;top:5;width:2;height:400" coordorigin="1923,5" coordsize="2,400">
              <v:shape style="position:absolute;left:1923;top:5;width:2;height:400" coordorigin="1923,5" coordsize="0,400" path="m1923,5l1923,405e" filled="false" stroked="true" strokeweight=".48pt" strokecolor="#000000">
                <v:path arrowok="t"/>
              </v:shape>
            </v:group>
            <v:group style="position:absolute;left:9580;top:5;width:2;height:400" coordorigin="9580,5" coordsize="2,400">
              <v:shape style="position:absolute;left:9580;top:5;width:2;height:400" coordorigin="9580,5" coordsize="0,400" path="m9580,5l9580,405e" filled="false" stroked="true" strokeweight=".48pt" strokecolor="#000000">
                <v:path arrowok="t"/>
              </v:shape>
              <v:shape style="position:absolute;left:10;top:10;width:1913;height:400"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5392;top:12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left="132" w:right="1034"/>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left="132" w:right="1034"/>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left="132" w:right="1034"/>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left="132" w:right="1034"/>
        <w:jc w:val="left"/>
      </w:pPr>
      <w:r>
        <w:rPr/>
        <w:t>按组合计提坏账准备：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1,979,767.73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1,979,767.73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98,988.39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32" w:right="1034"/>
        <w:jc w:val="left"/>
      </w:pPr>
      <w:r>
        <w:rPr/>
        <w:t>确定该组合依据的说明：</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592"/>
        <w:gridCol w:w="1655"/>
        <w:gridCol w:w="1354"/>
        <w:gridCol w:w="1203"/>
        <w:gridCol w:w="1354"/>
        <w:gridCol w:w="1500"/>
      </w:tblGrid>
      <w:tr>
        <w:trPr>
          <w:trHeight w:val="347" w:hRule="exact"/>
        </w:trPr>
        <w:tc>
          <w:tcPr>
            <w:tcW w:w="2592" w:type="dxa"/>
            <w:vMerge w:val="restart"/>
            <w:tcBorders>
              <w:top w:val="single" w:sz="6" w:space="0" w:color="000000"/>
              <w:left w:val="single" w:sz="6" w:space="0" w:color="000000"/>
              <w:right w:val="single" w:sz="6"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7066" w:type="dxa"/>
            <w:gridSpan w:val="5"/>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2592" w:type="dxa"/>
            <w:vMerge/>
            <w:tcBorders>
              <w:left w:val="single" w:sz="6" w:space="0" w:color="000000"/>
              <w:right w:val="single" w:sz="6" w:space="0" w:color="000000"/>
            </w:tcBorders>
            <w:shd w:val="clear" w:color="auto" w:fill="D7D7D7"/>
          </w:tcPr>
          <w:p>
            <w:pPr/>
          </w:p>
        </w:tc>
        <w:tc>
          <w:tcPr>
            <w:tcW w:w="3009"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7"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00" w:type="dxa"/>
            <w:vMerge w:val="restart"/>
            <w:tcBorders>
              <w:top w:val="single" w:sz="6" w:space="0" w:color="000000"/>
              <w:left w:val="single" w:sz="6" w:space="0" w:color="000000"/>
              <w:right w:val="single" w:sz="6" w:space="0" w:color="000000"/>
            </w:tcBorders>
            <w:shd w:val="clear" w:color="auto" w:fill="D7D7D7"/>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7" w:hRule="exact"/>
        </w:trPr>
        <w:tc>
          <w:tcPr>
            <w:tcW w:w="2592" w:type="dxa"/>
            <w:vMerge/>
            <w:tcBorders>
              <w:left w:val="single" w:sz="6" w:space="0" w:color="000000"/>
              <w:bottom w:val="single" w:sz="6" w:space="0" w:color="000000"/>
              <w:right w:val="single" w:sz="6" w:space="0" w:color="000000"/>
            </w:tcBorders>
            <w:shd w:val="clear" w:color="auto" w:fill="D7D7D7"/>
          </w:tcPr>
          <w:p>
            <w:pPr/>
          </w:p>
        </w:tc>
        <w:tc>
          <w:tcPr>
            <w:tcW w:w="165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left="3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0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500" w:type="dxa"/>
            <w:vMerge/>
            <w:tcBorders>
              <w:left w:val="single" w:sz="6" w:space="0" w:color="000000"/>
              <w:bottom w:val="single" w:sz="6" w:space="0" w:color="000000"/>
              <w:right w:val="single" w:sz="6" w:space="0" w:color="000000"/>
            </w:tcBorders>
            <w:shd w:val="clear" w:color="auto" w:fill="D7D7D7"/>
          </w:tcPr>
          <w:p>
            <w:pP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4,479,767.73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98,988.39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4,380,779.34</w:t>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1,979,767.73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44.19</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98,988.39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1,880,779.34</w:t>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2,500,000.00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55.81</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4,479,767.73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98,988.39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4,380,779.34</w:t>
            </w:r>
          </w:p>
        </w:tc>
      </w:tr>
    </w:tbl>
    <w:p>
      <w:pPr>
        <w:pStyle w:val="BodyText"/>
        <w:spacing w:line="240" w:lineRule="auto" w:before="52"/>
        <w:ind w:left="132" w:right="1034"/>
        <w:jc w:val="left"/>
      </w:pPr>
      <w:r>
        <w:rPr/>
        <w:t>按组合计提坏账准备：</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1"/>
        <w:ind w:left="132"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left="13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w:t>
      </w:r>
      <w:r>
        <w:rPr>
          <w:spacing w:val="-2"/>
        </w:rPr>
        <w:t> </w:t>
      </w:r>
      <w:r>
        <w:rPr/>
        <w:t>元</w:t>
      </w:r>
    </w:p>
    <w:p>
      <w:pPr>
        <w:spacing w:after="0" w:line="240" w:lineRule="auto"/>
        <w:jc w:val="right"/>
        <w:sectPr>
          <w:pgSz w:w="11910" w:h="16840"/>
          <w:pgMar w:header="746" w:footer="978" w:top="1060" w:bottom="1160" w:left="1000" w:right="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592"/>
        <w:gridCol w:w="1655"/>
        <w:gridCol w:w="1354"/>
        <w:gridCol w:w="1203"/>
        <w:gridCol w:w="1354"/>
        <w:gridCol w:w="1500"/>
      </w:tblGrid>
      <w:tr>
        <w:trPr>
          <w:trHeight w:val="347" w:hRule="exact"/>
        </w:trPr>
        <w:tc>
          <w:tcPr>
            <w:tcW w:w="2592" w:type="dxa"/>
            <w:vMerge w:val="restart"/>
            <w:tcBorders>
              <w:top w:val="single" w:sz="6" w:space="0" w:color="000000"/>
              <w:left w:val="single" w:sz="6" w:space="0" w:color="000000"/>
              <w:right w:val="single" w:sz="6"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7066" w:type="dxa"/>
            <w:gridSpan w:val="5"/>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2592" w:type="dxa"/>
            <w:vMerge/>
            <w:tcBorders>
              <w:left w:val="single" w:sz="6" w:space="0" w:color="000000"/>
              <w:right w:val="single" w:sz="6" w:space="0" w:color="000000"/>
            </w:tcBorders>
            <w:shd w:val="clear" w:color="auto" w:fill="D7D7D7"/>
          </w:tcPr>
          <w:p>
            <w:pPr/>
          </w:p>
        </w:tc>
        <w:tc>
          <w:tcPr>
            <w:tcW w:w="3009"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7" w:type="dxa"/>
            <w:gridSpan w:val="2"/>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00" w:type="dxa"/>
            <w:vMerge w:val="restart"/>
            <w:tcBorders>
              <w:top w:val="single" w:sz="6" w:space="0" w:color="000000"/>
              <w:left w:val="single" w:sz="6" w:space="0" w:color="000000"/>
              <w:right w:val="single" w:sz="6" w:space="0" w:color="000000"/>
            </w:tcBorders>
            <w:shd w:val="clear" w:color="auto" w:fill="D7D7D7"/>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7" w:hRule="exact"/>
        </w:trPr>
        <w:tc>
          <w:tcPr>
            <w:tcW w:w="2592" w:type="dxa"/>
            <w:vMerge/>
            <w:tcBorders>
              <w:left w:val="single" w:sz="6" w:space="0" w:color="000000"/>
              <w:bottom w:val="single" w:sz="6" w:space="0" w:color="000000"/>
              <w:right w:val="single" w:sz="6" w:space="0" w:color="000000"/>
            </w:tcBorders>
            <w:shd w:val="clear" w:color="auto" w:fill="D7D7D7"/>
          </w:tcPr>
          <w:p>
            <w:pPr/>
          </w:p>
        </w:tc>
        <w:tc>
          <w:tcPr>
            <w:tcW w:w="165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3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0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500" w:type="dxa"/>
            <w:vMerge/>
            <w:tcBorders>
              <w:left w:val="single" w:sz="6" w:space="0" w:color="000000"/>
              <w:bottom w:val="single" w:sz="6" w:space="0" w:color="000000"/>
              <w:right w:val="single" w:sz="6" w:space="0" w:color="000000"/>
            </w:tcBorders>
            <w:shd w:val="clear" w:color="auto" w:fill="D7D7D7"/>
          </w:tcPr>
          <w:p>
            <w:pP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4,479,767.73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98,988.39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4,380,779.34</w:t>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1,979,767.73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44.19</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98,988.39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1,880,779.34</w:t>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2,500,000.00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55.81</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4,479,767.73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98,988.39</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4,380,779.34</w:t>
            </w:r>
          </w:p>
        </w:tc>
      </w:tr>
    </w:tbl>
    <w:p>
      <w:pPr>
        <w:spacing w:line="240" w:lineRule="auto" w:before="4"/>
        <w:rPr>
          <w:rFonts w:ascii="宋体" w:hAnsi="宋体" w:cs="宋体" w:eastAsia="宋体" w:hint="default"/>
          <w:sz w:val="19"/>
          <w:szCs w:val="19"/>
        </w:rPr>
      </w:pPr>
    </w:p>
    <w:p>
      <w:pPr>
        <w:pStyle w:val="Heading3"/>
        <w:spacing w:line="240" w:lineRule="auto" w:before="34"/>
        <w:ind w:left="132" w:right="1034"/>
        <w:jc w:val="left"/>
        <w:rPr>
          <w:b w:val="0"/>
          <w:bCs w:val="0"/>
        </w:rPr>
      </w:pPr>
      <w:bookmarkStart w:name="（2）本期计提、收回或转回的坏账准备情况" w:id="220"/>
      <w:bookmarkEnd w:id="2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034"/>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应收票据坏账准 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98,988.39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98,988.39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98,988.39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98,988.39</w:t>
            </w:r>
          </w:p>
        </w:tc>
      </w:tr>
    </w:tbl>
    <w:p>
      <w:pPr>
        <w:pStyle w:val="BodyText"/>
        <w:spacing w:line="240" w:lineRule="auto" w:before="50"/>
        <w:ind w:left="132" w:right="1034"/>
        <w:jc w:val="left"/>
      </w:pPr>
      <w:r>
        <w:rPr/>
        <w:t>其中本期坏账准备收回或转回金额重要的：</w:t>
      </w:r>
    </w:p>
    <w:p>
      <w:pPr>
        <w:pStyle w:val="BodyText"/>
        <w:spacing w:line="240" w:lineRule="auto" w:before="117"/>
        <w:ind w:left="13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32" w:right="1034"/>
        <w:jc w:val="left"/>
        <w:rPr>
          <w:b w:val="0"/>
          <w:bCs w:val="0"/>
        </w:rPr>
      </w:pPr>
      <w:bookmarkStart w:name="（3）期末公司已背书或贴现且在资产负债表日尚未到期的应收票据" w:id="221"/>
      <w:bookmarkEnd w:id="22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149,817.73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149,817.73</w:t>
            </w:r>
          </w:p>
        </w:tc>
      </w:tr>
    </w:tbl>
    <w:p>
      <w:pPr>
        <w:spacing w:line="240" w:lineRule="auto" w:before="3"/>
        <w:rPr>
          <w:rFonts w:ascii="宋体" w:hAnsi="宋体" w:cs="宋体" w:eastAsia="宋体" w:hint="default"/>
          <w:sz w:val="19"/>
          <w:szCs w:val="19"/>
        </w:rPr>
      </w:pPr>
    </w:p>
    <w:p>
      <w:pPr>
        <w:pStyle w:val="Heading3"/>
        <w:spacing w:line="240" w:lineRule="auto" w:before="34"/>
        <w:ind w:left="132" w:right="1034"/>
        <w:jc w:val="left"/>
        <w:rPr>
          <w:b w:val="0"/>
          <w:bCs w:val="0"/>
        </w:rPr>
      </w:pPr>
      <w:bookmarkStart w:name="3、应收账款" w:id="222"/>
      <w:bookmarkEnd w:id="22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1034"/>
        <w:jc w:val="left"/>
        <w:rPr>
          <w:b w:val="0"/>
          <w:bCs w:val="0"/>
        </w:rPr>
      </w:pPr>
      <w:bookmarkStart w:name="（1）应收账款分类披露" w:id="223"/>
      <w:bookmarkEnd w:id="2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15,311,6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85.17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0.85%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15,311,6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85.17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15,311,68</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5.17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15,311,68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1,788,79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9,621.24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99.15%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305,592,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923.59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1,483,206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,697.65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1,388,150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,079.13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223,032,6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left"/>
              <w:rPr>
                <w:rFonts w:ascii="Times New Roman" w:hAnsi="Times New Roman" w:cs="Times New Roman" w:eastAsia="Times New Roman" w:hint="default"/>
                <w:sz w:val="18"/>
                <w:szCs w:val="18"/>
              </w:rPr>
            </w:pPr>
            <w:r>
              <w:rPr>
                <w:rFonts w:ascii="Times New Roman"/>
                <w:sz w:val="18"/>
              </w:rPr>
              <w:t>1,165,117,4</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21.33</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合并范围内公司</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非合并范围内公司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1,788,79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9,621.24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99.15%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305,592,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923.59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1,483,206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,697.65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1,388,150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,079.13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223,032,6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1,165,117,4</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21.33</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1,804,111</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,306.41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320,904,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608.76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1,483,206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,697.65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1,403,461</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,764.30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238,344,3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left"/>
              <w:rPr>
                <w:rFonts w:ascii="Times New Roman" w:hAnsi="Times New Roman" w:cs="Times New Roman" w:eastAsia="Times New Roman" w:hint="default"/>
                <w:sz w:val="18"/>
                <w:szCs w:val="18"/>
              </w:rPr>
            </w:pPr>
            <w:r>
              <w:rPr>
                <w:rFonts w:ascii="Times New Roman"/>
                <w:sz w:val="18"/>
              </w:rPr>
              <w:t>1,165,117,4</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21.33</w:t>
            </w:r>
          </w:p>
        </w:tc>
      </w:tr>
    </w:tbl>
    <w:p>
      <w:pPr>
        <w:pStyle w:val="BodyText"/>
        <w:spacing w:line="240" w:lineRule="auto" w:before="50"/>
        <w:ind w:right="0"/>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2,318,531.65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2,318,531.65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1,156,533.30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1,156,533.30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673,040.00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673,040.00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609,720.00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609,720.00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单位六</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600,194.00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600,194.00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其他明细小计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8,873,166.22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8,873,166.22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15,311,685.17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15,311,685.17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按单项计提坏账准备：</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0"/>
        <w:jc w:val="left"/>
      </w:pPr>
      <w:r>
        <w:rPr/>
        <w:t>按组合计提坏账准备：</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按账龄披露</w:t>
      </w:r>
    </w:p>
    <w:p>
      <w:pPr>
        <w:pStyle w:val="BodyText"/>
        <w:spacing w:line="240" w:lineRule="auto" w:before="41"/>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993,502,577.30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389,584,366.23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224,813,581.52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80,811,711.05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44,737,177.82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70,661,892.49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1,804,111,306.41</w:t>
            </w:r>
          </w:p>
        </w:tc>
      </w:tr>
    </w:tbl>
    <w:p>
      <w:pPr>
        <w:pStyle w:val="BodyText"/>
        <w:spacing w:line="240" w:lineRule="auto" w:before="50"/>
        <w:ind w:right="0"/>
        <w:jc w:val="left"/>
      </w:pPr>
      <w:r>
        <w:rPr/>
        <w:t>公司需要遵守《深圳证券交易所行业信息披露指引第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238,344,342.97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82,560,265.79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320,904,608.76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238,344,342.97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82,560,265.79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320,904,608.76</w:t>
            </w:r>
          </w:p>
        </w:tc>
      </w:tr>
    </w:tbl>
    <w:p>
      <w:pPr>
        <w:pStyle w:val="BodyText"/>
        <w:spacing w:line="240" w:lineRule="auto" w:before="51"/>
        <w:ind w:right="0"/>
        <w:jc w:val="left"/>
      </w:pPr>
      <w:r>
        <w:rPr/>
        <w:t>其中本期坏账准备收回或转回金额重要的：</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3）按欠款方归集的期末余额前五名的应收账款情况" w:id="225"/>
      <w:bookmarkEnd w:id="22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1"/>
        <w:gridCol w:w="2529"/>
        <w:gridCol w:w="2529"/>
        <w:gridCol w:w="2528"/>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78" w:right="87" w:hanging="989"/>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22,914,570.00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1,714,009.84</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22,110,870.00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1,663,321.33</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21,480,665.80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2,548,099.88</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18,495,707.00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2,041,876.00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17,497,150.00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1,308,786.82</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102,498,962.80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5.69%</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4、预付款项" w:id="226"/>
      <w:bookmarkEnd w:id="22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7"/>
      <w:bookmarkEnd w:id="22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23,066,454.34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31,552,741.31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3,613,353.03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3,301,819.91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959,554.46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606,535.92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493,600.13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252,074.24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28,132,961.96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35,713,171.38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32" w:right="1034"/>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left="132" w:right="1034"/>
        <w:jc w:val="left"/>
        <w:rPr>
          <w:b w:val="0"/>
          <w:bCs w:val="0"/>
        </w:rPr>
      </w:pPr>
      <w:bookmarkStart w:name="（2）按预付对象归集的期末余额前五名的预付款情况" w:id="228"/>
      <w:bookmarkEnd w:id="22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105"/>
        <w:gridCol w:w="2766"/>
        <w:gridCol w:w="2787"/>
      </w:tblGrid>
      <w:tr>
        <w:trPr>
          <w:trHeight w:val="659" w:hRule="exact"/>
        </w:trPr>
        <w:tc>
          <w:tcPr>
            <w:tcW w:w="410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6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278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316" w:lineRule="auto" w:before="21"/>
              <w:ind w:left="592" w:right="575" w:hanging="17"/>
              <w:jc w:val="left"/>
              <w:rPr>
                <w:rFonts w:ascii="宋体" w:hAnsi="宋体" w:cs="宋体" w:eastAsia="宋体" w:hint="default"/>
                <w:sz w:val="18"/>
                <w:szCs w:val="18"/>
              </w:rPr>
            </w:pPr>
            <w:r>
              <w:rPr>
                <w:rFonts w:ascii="宋体" w:hAnsi="宋体" w:cs="宋体" w:eastAsia="宋体" w:hint="default"/>
                <w:sz w:val="18"/>
                <w:szCs w:val="18"/>
              </w:rPr>
              <w:t>占预付账款期末余额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2,486,897.17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8.84</w:t>
            </w:r>
          </w:p>
        </w:tc>
      </w:tr>
      <w:tr>
        <w:trPr>
          <w:trHeight w:val="347"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905,660.40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3.22</w:t>
            </w:r>
          </w:p>
        </w:tc>
      </w:tr>
      <w:tr>
        <w:trPr>
          <w:trHeight w:val="347"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698,556.64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2.48</w:t>
            </w:r>
          </w:p>
        </w:tc>
      </w:tr>
      <w:tr>
        <w:trPr>
          <w:trHeight w:val="347"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600,059.20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2.13</w:t>
            </w:r>
          </w:p>
        </w:tc>
      </w:tr>
      <w:tr>
        <w:trPr>
          <w:trHeight w:val="347"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512,000.00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1.82</w:t>
            </w:r>
          </w:p>
        </w:tc>
      </w:tr>
      <w:tr>
        <w:trPr>
          <w:trHeight w:val="347"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5,203,173.41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18.49</w:t>
            </w:r>
          </w:p>
        </w:tc>
      </w:tr>
    </w:tbl>
    <w:p>
      <w:pPr>
        <w:pStyle w:val="BodyText"/>
        <w:spacing w:line="240" w:lineRule="auto" w:before="50"/>
        <w:ind w:left="132" w:right="103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132" w:right="1034"/>
        <w:jc w:val="left"/>
        <w:rPr>
          <w:b w:val="0"/>
          <w:bCs w:val="0"/>
        </w:rPr>
      </w:pPr>
      <w:bookmarkStart w:name="5、其他应收款" w:id="229"/>
      <w:bookmarkEnd w:id="22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6,375,000.00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146,364,256.53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142,088,842.19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152,739,256.53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142,088,842.19</w:t>
            </w:r>
          </w:p>
        </w:tc>
      </w:tr>
    </w:tbl>
    <w:p>
      <w:pPr>
        <w:spacing w:line="240" w:lineRule="auto" w:before="3"/>
        <w:rPr>
          <w:rFonts w:ascii="宋体" w:hAnsi="宋体" w:cs="宋体" w:eastAsia="宋体" w:hint="default"/>
          <w:sz w:val="19"/>
          <w:szCs w:val="19"/>
        </w:rPr>
      </w:pPr>
    </w:p>
    <w:p>
      <w:pPr>
        <w:pStyle w:val="Heading3"/>
        <w:spacing w:line="240" w:lineRule="auto" w:before="34"/>
        <w:ind w:left="132" w:right="1034"/>
        <w:jc w:val="left"/>
        <w:rPr>
          <w:b w:val="0"/>
          <w:bCs w:val="0"/>
        </w:rPr>
      </w:pPr>
      <w:bookmarkStart w:name="（1）应收股利" w:id="230"/>
      <w:bookmarkEnd w:id="23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1034"/>
        <w:jc w:val="left"/>
        <w:rPr>
          <w:b w:val="0"/>
          <w:bCs w:val="0"/>
        </w:rPr>
      </w:pPr>
      <w:bookmarkStart w:name="1）应收股利分类" w:id="231"/>
      <w:bookmarkEnd w:id="231"/>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北京梦天门科技股份有限公司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重要的账龄超过1年的应收股利" w:id="232"/>
      <w:bookmarkEnd w:id="232"/>
      <w:r>
        <w:rPr>
          <w:b w:val="0"/>
          <w:bCs w:val="0"/>
        </w:rPr>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坏账准备计提情况" w:id="233"/>
      <w:bookmarkEnd w:id="23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其他说明：</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其他应收款" w:id="234"/>
      <w:bookmarkEnd w:id="234"/>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35"/>
      <w:bookmarkEnd w:id="23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84,921,190.96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62,816,413.68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46,404,398.29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42,128,099.34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20,452,397.76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21,568,954.47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股权拍卖保证金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1,196,570.20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2,121,588.75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软件产品增值税即征即退款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13,803,468.35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9,868,902.54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7,106,543.15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174,743,459.75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161,045,067.74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坏账准备计提情况" w:id="236"/>
      <w:bookmarkEnd w:id="23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50" w:right="54"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18,789,615.55</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166,610.00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18,956,225.55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9,430,499.05</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9,430,499.05</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-7,521.38</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-7,521.38</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28,212,593.22</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166,610.00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28,379,203.22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8"/>
          <w:pgSz w:w="11910" w:h="16840"/>
          <w:pgMar w:footer="978" w:header="746" w:top="1060" w:bottom="1160" w:left="1020" w:right="0"/>
          <w:pgNumType w:start="160"/>
        </w:sectPr>
      </w:pPr>
    </w:p>
    <w:p>
      <w:pPr>
        <w:pStyle w:val="BodyText"/>
        <w:spacing w:line="240" w:lineRule="auto" w:before="44"/>
        <w:ind w:right="-20"/>
        <w:jc w:val="left"/>
      </w:pPr>
      <w:r>
        <w:rPr/>
        <w:t>损失准备本期变动金额重大的账面余额变动情况</w:t>
      </w:r>
    </w:p>
    <w:p>
      <w:pPr>
        <w:pStyle w:val="BodyText"/>
        <w:spacing w:line="340" w:lineRule="auto" w:before="115"/>
        <w:ind w:right="15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3893" w:space="493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78,399,887.17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42,855,079.75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38,152,250.39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6,172,769.35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3,618,587.99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5,544,885.10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174,743,459.75</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本期计提、收回或转回的坏账准备情况" w:id="237"/>
      <w:bookmarkEnd w:id="23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5"/>
        <w:gridCol w:w="1098"/>
        <w:gridCol w:w="1340"/>
        <w:gridCol w:w="1332"/>
        <w:gridCol w:w="1330"/>
        <w:gridCol w:w="1326"/>
        <w:gridCol w:w="172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8"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18,956,225.55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9,430,499.05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-7,521.38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28,379,203.22</w:t>
            </w:r>
          </w:p>
        </w:tc>
      </w:tr>
    </w:tbl>
    <w:p>
      <w:pPr>
        <w:pStyle w:val="BodyText"/>
        <w:spacing w:line="240" w:lineRule="auto" w:before="52"/>
        <w:ind w:right="0"/>
        <w:jc w:val="left"/>
      </w:pPr>
      <w:r>
        <w:rPr/>
        <w:t>其中本期坏账准备转回或收回金额重要的：</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4）本期实际核销的其他应收款情况" w:id="238"/>
      <w:bookmarkEnd w:id="23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3"/>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t>其中重要的其他应收款核销情况：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按欠款方归集的期末余额前五名的其他应收款情况" w:id="239"/>
      <w:bookmarkEnd w:id="23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2" w:right="160"/>
              <w:jc w:val="left"/>
              <w:rPr>
                <w:rFonts w:ascii="宋体" w:hAnsi="宋体" w:cs="宋体" w:eastAsia="宋体" w:hint="default"/>
                <w:sz w:val="18"/>
                <w:szCs w:val="18"/>
              </w:rPr>
            </w:pPr>
            <w:r>
              <w:rPr>
                <w:rFonts w:ascii="宋体" w:hAnsi="宋体" w:cs="宋体" w:eastAsia="宋体" w:hint="default"/>
                <w:sz w:val="18"/>
                <w:szCs w:val="18"/>
              </w:rPr>
              <w:t>上海天健源达信 息科技有限公司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20,452,397.76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年以内、</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11.70%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3,889,697.71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8,600,000.00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1" w:right="0"/>
              <w:jc w:val="left"/>
              <w:rPr>
                <w:rFonts w:ascii="Times New Roman" w:hAnsi="Times New Roman" w:cs="Times New Roman" w:eastAsia="Times New Roman" w:hint="default"/>
                <w:sz w:val="18"/>
                <w:szCs w:val="18"/>
              </w:rPr>
            </w:pPr>
            <w:r>
              <w:rPr>
                <w:rFonts w:ascii="Times New Roman"/>
                <w:sz w:val="18"/>
              </w:rPr>
              <w:t>4.92%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武汉市第六医院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7,617,400.00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1" w:right="0"/>
              <w:jc w:val="left"/>
              <w:rPr>
                <w:rFonts w:ascii="Times New Roman" w:hAnsi="Times New Roman" w:cs="Times New Roman" w:eastAsia="Times New Roman" w:hint="default"/>
                <w:sz w:val="18"/>
                <w:szCs w:val="18"/>
              </w:rPr>
            </w:pPr>
            <w:r>
              <w:rPr>
                <w:rFonts w:ascii="Times New Roman"/>
                <w:sz w:val="18"/>
              </w:rPr>
              <w:t>4.36%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380,870.00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342" w:right="160" w:hanging="180"/>
              <w:jc w:val="left"/>
              <w:rPr>
                <w:rFonts w:ascii="宋体" w:hAnsi="宋体" w:cs="宋体" w:eastAsia="宋体" w:hint="default"/>
                <w:sz w:val="18"/>
                <w:szCs w:val="18"/>
              </w:rPr>
            </w:pPr>
            <w:r>
              <w:rPr>
                <w:rFonts w:ascii="宋体" w:hAnsi="宋体" w:cs="宋体" w:eastAsia="宋体" w:hint="default"/>
                <w:sz w:val="18"/>
                <w:szCs w:val="18"/>
              </w:rPr>
              <w:t>北京市卫生计生 委信息中心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3,781,838.00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2.16%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235,833.80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22" w:right="160" w:hanging="360"/>
              <w:jc w:val="left"/>
              <w:rPr>
                <w:rFonts w:ascii="宋体" w:hAnsi="宋体" w:cs="宋体" w:eastAsia="宋体" w:hint="default"/>
                <w:sz w:val="18"/>
                <w:szCs w:val="18"/>
              </w:rPr>
            </w:pPr>
            <w:r>
              <w:rPr>
                <w:rFonts w:ascii="宋体" w:hAnsi="宋体" w:cs="宋体" w:eastAsia="宋体" w:hint="default"/>
                <w:sz w:val="18"/>
                <w:szCs w:val="18"/>
              </w:rPr>
              <w:t>北京登记结算有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股权拍卖保证金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43,751,635.76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5" w:right="0"/>
              <w:jc w:val="left"/>
              <w:rPr>
                <w:rFonts w:ascii="Times New Roman" w:hAnsi="Times New Roman" w:cs="Times New Roman" w:eastAsia="Times New Roman" w:hint="default"/>
                <w:sz w:val="18"/>
                <w:szCs w:val="18"/>
              </w:rPr>
            </w:pPr>
            <w:r>
              <w:rPr>
                <w:rFonts w:ascii="Times New Roman"/>
                <w:sz w:val="18"/>
              </w:rPr>
              <w:t>25.03%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4,506,401.51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6、存货" w:id="240"/>
      <w:bookmarkEnd w:id="240"/>
      <w:r>
        <w:rPr>
          <w:b w:val="0"/>
          <w:bCs w:val="0"/>
        </w:rPr>
      </w:r>
      <w:r>
        <w:rPr>
          <w:rFonts w:ascii="Times New Roman" w:hAnsi="Times New Roman" w:cs="Times New Roman" w:eastAsia="Times New Roman" w:hint="default"/>
        </w:rPr>
        <w:t>6</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存货分类" w:id="241"/>
      <w:bookmarkEnd w:id="24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56,366,410.22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56,366,410.22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42,675,657.75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42,675,657.75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118,754,204.31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118,754,204.31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115,197,654.12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115,197,654.12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175,120,614.53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175,120,614.53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157,873,311.87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157,873,311.87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7、一年内到期的非流动资产" w:id="242"/>
      <w:bookmarkEnd w:id="242"/>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5,582,397.04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5,582,397.04</w:t>
            </w:r>
          </w:p>
        </w:tc>
      </w:tr>
    </w:tbl>
    <w:p>
      <w:pPr>
        <w:pStyle w:val="BodyText"/>
        <w:spacing w:line="240" w:lineRule="auto" w:before="51"/>
        <w:ind w:right="0"/>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957"/>
        <w:gridCol w:w="958"/>
        <w:gridCol w:w="956"/>
        <w:gridCol w:w="957"/>
        <w:gridCol w:w="956"/>
        <w:gridCol w:w="957"/>
        <w:gridCol w:w="956"/>
        <w:gridCol w:w="957"/>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8、其他流动资产" w:id="243"/>
      <w:bookmarkEnd w:id="243"/>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待抵扣</w:t>
            </w:r>
            <w:r>
              <w:rPr>
                <w:rFonts w:ascii="Times New Roman" w:hAnsi="Times New Roman" w:cs="Times New Roman" w:eastAsia="Times New Roman" w:hint="default"/>
                <w:sz w:val="18"/>
                <w:szCs w:val="18"/>
              </w:rPr>
              <w:t>/</w:t>
            </w: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45,454,231.97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19,570,077.83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预付房租及物业费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861,574.23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1,323,823.56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931,987.46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1,304,601.78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37,860.44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47,250,593.66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22,236,363.61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长期股权投资" w:id="244"/>
      <w:bookmarkEnd w:id="244"/>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0"/>
              <w:ind w:left="22" w:right="22"/>
              <w:jc w:val="left"/>
              <w:rPr>
                <w:rFonts w:ascii="Times New Roman" w:hAnsi="Times New Roman" w:cs="Times New Roman" w:eastAsia="Times New Roman" w:hint="default"/>
                <w:sz w:val="18"/>
                <w:szCs w:val="18"/>
              </w:rPr>
            </w:pPr>
            <w:r>
              <w:rPr>
                <w:rFonts w:ascii="Times New Roman"/>
                <w:sz w:val="18"/>
              </w:rPr>
              <w:t>ODIN</w:t>
            </w:r>
            <w:r>
              <w:rPr>
                <w:rFonts w:ascii="Times New Roman"/>
                <w:w w:val="99"/>
                <w:sz w:val="18"/>
              </w:rPr>
              <w:t> </w:t>
            </w:r>
            <w:r>
              <w:rPr>
                <w:rFonts w:ascii="Times New Roman"/>
                <w:spacing w:val="-4"/>
                <w:sz w:val="18"/>
              </w:rPr>
              <w:t>HEALTH</w:t>
            </w:r>
            <w:r>
              <w:rPr>
                <w:rFonts w:ascii="Times New Roman"/>
                <w:spacing w:val="-41"/>
                <w:sz w:val="18"/>
              </w:rPr>
              <w:t> </w:t>
            </w:r>
            <w:r>
              <w:rPr>
                <w:rFonts w:ascii="Times New Roman"/>
                <w:spacing w:val="-41"/>
                <w:sz w:val="18"/>
              </w:rPr>
            </w:r>
            <w:r>
              <w:rPr>
                <w:rFonts w:ascii="Times New Roman"/>
                <w:sz w:val="18"/>
              </w:rPr>
              <w:t>LIMITED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3,291,396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-741,325.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上海金仕</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达卫宁软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365,165,5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-30,951,1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52,703,33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386,917,7</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件科技有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63.28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08.26</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85.14</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北京梦天</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门科技股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106,994,4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8,621,251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1,198,691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6,375,000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110,439,4</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份有限公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77.69</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20.61</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上海钥世</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圈云健康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41,100,42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-3,612,99</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-527,297.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36,960,12</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科技发展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5.53</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7.45</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南京市智 慧医疗投 资运营服 务有限公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12,046,20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-1,177,84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10,868,35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3.03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上海信医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7,848,984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-368,059.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-7,480,92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上海乐九 医疗科技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4,600,989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-1,643,24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4,657,740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南京大经 中医药信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29,562,50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-2,309,47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27,253,02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新疆智康 创联信息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-405,400.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1,594,599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湖北通卫 医疗科技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4,319,199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广西数字 医疗科技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-544.92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2,449,455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广东卫宁 云医健康 产业有限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-666,402.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222,340.3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555,937.8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541,048,0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41,212,50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-33,435,9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53,597,06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-7,480,92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588,565,7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541,048,0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41,212,50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-33,435,9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53,597,06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-7,480,92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588,565,7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17.04</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0、其他非流动金融资产" w:id="245"/>
      <w:bookmarkEnd w:id="245"/>
      <w:r>
        <w:rPr>
          <w:b w:val="0"/>
          <w:bCs w:val="0"/>
        </w:rPr>
      </w:r>
      <w:r>
        <w:rPr>
          <w:rFonts w:ascii="Times New Roman" w:hAnsi="Times New Roman" w:cs="Times New Roman" w:eastAsia="Times New Roman" w:hint="default"/>
        </w:rPr>
        <w:t>10</w:t>
      </w:r>
      <w:r>
        <w:rPr/>
        <w:t>、其他非流动金融资产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指定为公允价值计量且其变动计入当期 损益的金融资产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4" w:right="0"/>
              <w:jc w:val="left"/>
              <w:rPr>
                <w:rFonts w:ascii="Times New Roman" w:hAnsi="Times New Roman" w:cs="Times New Roman" w:eastAsia="Times New Roman" w:hint="default"/>
                <w:sz w:val="18"/>
                <w:szCs w:val="18"/>
              </w:rPr>
            </w:pPr>
            <w:r>
              <w:rPr>
                <w:rFonts w:ascii="Times New Roman"/>
                <w:sz w:val="18"/>
              </w:rPr>
              <w:t>315,033,833.23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2" w:right="0"/>
              <w:jc w:val="left"/>
              <w:rPr>
                <w:rFonts w:ascii="Times New Roman" w:hAnsi="Times New Roman" w:cs="Times New Roman" w:eastAsia="Times New Roman" w:hint="default"/>
                <w:sz w:val="18"/>
                <w:szCs w:val="18"/>
              </w:rPr>
            </w:pPr>
            <w:r>
              <w:rPr>
                <w:rFonts w:ascii="Times New Roman"/>
                <w:sz w:val="18"/>
              </w:rPr>
              <w:t>274,158,390.40</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315,033,833.23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274,158,390.40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1、投资性房地产" w:id="246"/>
      <w:bookmarkEnd w:id="246"/>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47"/>
      <w:bookmarkEnd w:id="24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90,993,718.69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90,993,718.69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90,993,718.69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90,993,718.69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1,143,121.64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1,143,121.64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1,852,959.26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1,852,959.26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1,852,959.26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1,852,959.26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2,996,080.90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2,996,080.90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4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87,997,637.79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87,997,637.79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0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89,850,597.05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89,850,597.05</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采用公允价值计量模式的投资性房地产" w:id="248"/>
      <w:bookmarkEnd w:id="24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2、固定资产" w:id="249"/>
      <w:bookmarkEnd w:id="249"/>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429,795,946.90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435,370,374.49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429,795,946.90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435,370,374.49</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1）固定资产情况" w:id="250"/>
      <w:bookmarkEnd w:id="25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426,354,543.74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33,682,785.20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6,775,855.81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14,466,569.83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481,279,754.58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2,526,412.35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7,230,532.30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684,684.95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2,879,486.87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13,321,116.47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2,273,641.53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6,907,412.30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684,684.95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2,879,486.87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12,745,225.65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252,770.82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323,120.00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575,890.82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2,435,595.00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2,069,517.55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1,009,133.51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680,350.73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6,194,596.79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2,069,517.55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1,009,133.51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449,834.09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3,528,485.15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处置子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230,516.64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230,516.64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2,435,595.00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2,435,595.00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426,445,361.09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38,843,799.95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6,451,407.25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16,665,705.97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488,406,274.26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14,788,551.85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20,445,359.32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4,729,147.45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5,946,321.47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45,909,380.09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9,345,031.09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3,803,821.25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468,278.38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2,268,664.88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15,885,795.60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9,345,031.09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3,803,821.25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468,278.38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2,268,664.88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15,885,795.60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1,842,618.64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833,689.83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508,539.86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3,184,848.33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1,842,618.64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833,689.83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365,694.57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3,042,003.04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处置子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142,845.29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142,845.29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24,133,582.94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22,406,561.93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4,363,736.00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7,706,446.49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58,610,327.36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402,311,778.15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16,437,238.02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2,087,671.25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8,959,259.48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429,795,946.90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411,565,991.89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13,237,425.88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2,046,708.36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8,520,248.36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435,370,374.49</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13、在建工程" w:id="251"/>
      <w:bookmarkEnd w:id="251"/>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554,938.19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554,938.19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1）在建工程情况" w:id="252"/>
      <w:bookmarkEnd w:id="25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办公场地装修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554,938.19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554,938.19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554,938.19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554,938.19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14、无形资产" w:id="253"/>
      <w:bookmarkEnd w:id="253"/>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4"/>
      <w:bookmarkEnd w:id="25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169,116,572.18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169,116,572.18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299,500,984.45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299,500,984.45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299,500,984.45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299,500,984.45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468,617,556.63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468,617,556.63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52,198,625.89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52,198,625.89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34,562,029.02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34,562,029.02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34,562,029.02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34,562,029.02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86,760,654.91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86,760,654.91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381,856,901.72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381,856,901.72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116,917,946.29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116,917,946.29</w:t>
            </w:r>
          </w:p>
        </w:tc>
      </w:tr>
    </w:tbl>
    <w:p>
      <w:pPr>
        <w:pStyle w:val="BodyText"/>
        <w:spacing w:line="240" w:lineRule="auto" w:before="50"/>
        <w:ind w:left="132" w:right="1034"/>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96.54%</w:t>
      </w:r>
      <w:r>
        <w:rPr/>
        <w:t>。</w:t>
      </w:r>
    </w:p>
    <w:p>
      <w:pPr>
        <w:spacing w:line="240" w:lineRule="auto" w:before="13"/>
        <w:rPr>
          <w:rFonts w:ascii="宋体" w:hAnsi="宋体" w:cs="宋体" w:eastAsia="宋体" w:hint="default"/>
          <w:sz w:val="25"/>
          <w:szCs w:val="25"/>
        </w:rPr>
      </w:pPr>
    </w:p>
    <w:p>
      <w:pPr>
        <w:pStyle w:val="Heading3"/>
        <w:spacing w:line="240" w:lineRule="auto"/>
        <w:ind w:left="132" w:right="1034"/>
        <w:jc w:val="left"/>
        <w:rPr>
          <w:b w:val="0"/>
          <w:bCs w:val="0"/>
        </w:rPr>
      </w:pPr>
      <w:bookmarkStart w:name="15、开发支出" w:id="255"/>
      <w:bookmarkEnd w:id="255"/>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5" w:right="74" w:hanging="269"/>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361"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05"/>
              <w:jc w:val="center"/>
              <w:rPr>
                <w:rFonts w:ascii="宋体" w:hAnsi="宋体" w:cs="宋体" w:eastAsia="宋体" w:hint="default"/>
                <w:sz w:val="18"/>
                <w:szCs w:val="18"/>
              </w:rPr>
            </w:pPr>
            <w:r>
              <w:rPr>
                <w:rFonts w:ascii="宋体" w:hAnsi="宋体" w:cs="宋体" w:eastAsia="宋体" w:hint="default"/>
                <w:sz w:val="18"/>
                <w:szCs w:val="18"/>
              </w:rPr>
              <w:t>智慧医疗信</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200,139,182.</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44,940,294.7</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245,079,477.</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53"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105"/>
              <w:jc w:val="center"/>
              <w:rPr>
                <w:rFonts w:ascii="宋体" w:hAnsi="宋体" w:cs="宋体" w:eastAsia="宋体" w:hint="default"/>
                <w:sz w:val="18"/>
                <w:szCs w:val="18"/>
              </w:rPr>
            </w:pPr>
            <w:r>
              <w:rPr>
                <w:rFonts w:ascii="宋体" w:hAnsi="宋体" w:cs="宋体" w:eastAsia="宋体" w:hint="default"/>
                <w:sz w:val="18"/>
                <w:szCs w:val="18"/>
              </w:rPr>
              <w:t>息系统三期</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9</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30</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基于互联网 的家庭医生 签约管理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47,837,615.5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6,583,891.56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54,421,507.1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05"/>
              <w:jc w:val="center"/>
              <w:rPr>
                <w:rFonts w:ascii="宋体" w:hAnsi="宋体" w:cs="宋体" w:eastAsia="宋体" w:hint="default"/>
                <w:sz w:val="18"/>
                <w:szCs w:val="18"/>
              </w:rPr>
            </w:pPr>
            <w:r>
              <w:rPr>
                <w:rFonts w:ascii="宋体" w:hAnsi="宋体" w:cs="宋体" w:eastAsia="宋体" w:hint="default"/>
                <w:sz w:val="18"/>
                <w:szCs w:val="18"/>
              </w:rPr>
              <w:t>智慧医疗信</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118,273,276.</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118,273,276.</w:t>
            </w:r>
          </w:p>
        </w:tc>
      </w:tr>
      <w:tr>
        <w:trPr>
          <w:trHeight w:val="353"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105"/>
              <w:jc w:val="center"/>
              <w:rPr>
                <w:rFonts w:ascii="宋体" w:hAnsi="宋体" w:cs="宋体" w:eastAsia="宋体" w:hint="default"/>
                <w:sz w:val="18"/>
                <w:szCs w:val="18"/>
              </w:rPr>
            </w:pPr>
            <w:r>
              <w:rPr>
                <w:rFonts w:ascii="宋体" w:hAnsi="宋体" w:cs="宋体" w:eastAsia="宋体" w:hint="default"/>
                <w:sz w:val="18"/>
                <w:szCs w:val="18"/>
              </w:rPr>
              <w:t>息系统四期</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79</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79</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省级互联网 服务监管一 体化平台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10,531,394.2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10,531,394.2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247,976,798.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180,328,857.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299,500,984.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128,804,671.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r>
    </w:tbl>
    <w:p>
      <w:pPr>
        <w:pStyle w:val="BodyText"/>
        <w:spacing w:line="240" w:lineRule="auto" w:before="51"/>
        <w:ind w:left="132" w:right="1034"/>
        <w:jc w:val="left"/>
      </w:pPr>
      <w:r>
        <w:rPr/>
        <w:t>其他说明</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602"/>
        <w:gridCol w:w="1914"/>
        <w:gridCol w:w="1570"/>
        <w:gridCol w:w="3572"/>
      </w:tblGrid>
      <w:tr>
        <w:trPr>
          <w:trHeight w:val="661" w:hRule="exact"/>
        </w:trPr>
        <w:tc>
          <w:tcPr>
            <w:tcW w:w="2602" w:type="dxa"/>
            <w:tcBorders>
              <w:top w:val="single" w:sz="6" w:space="0" w:color="000000"/>
              <w:left w:val="single" w:sz="6" w:space="0" w:color="000000"/>
              <w:bottom w:val="single" w:sz="8"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6" w:space="0" w:color="000000"/>
              <w:left w:val="single" w:sz="6" w:space="0" w:color="000000"/>
              <w:bottom w:val="single" w:sz="8"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1570" w:type="dxa"/>
            <w:tcBorders>
              <w:top w:val="single" w:sz="6" w:space="0" w:color="000000"/>
              <w:left w:val="single" w:sz="6" w:space="0" w:color="000000"/>
              <w:bottom w:val="single" w:sz="8" w:space="0" w:color="000000"/>
              <w:right w:val="single" w:sz="6" w:space="0" w:color="000000"/>
            </w:tcBorders>
            <w:shd w:val="clear" w:color="auto" w:fill="D7D7D7"/>
          </w:tcPr>
          <w:p>
            <w:pPr>
              <w:pStyle w:val="TableParagraph"/>
              <w:spacing w:line="316" w:lineRule="auto" w:before="21"/>
              <w:ind w:left="683" w:right="58" w:hanging="629"/>
              <w:jc w:val="left"/>
              <w:rPr>
                <w:rFonts w:ascii="宋体" w:hAnsi="宋体" w:cs="宋体" w:eastAsia="宋体" w:hint="default"/>
                <w:sz w:val="18"/>
                <w:szCs w:val="18"/>
              </w:rPr>
            </w:pPr>
            <w:r>
              <w:rPr>
                <w:rFonts w:ascii="宋体" w:hAnsi="宋体" w:cs="宋体" w:eastAsia="宋体" w:hint="default"/>
                <w:sz w:val="18"/>
                <w:szCs w:val="18"/>
              </w:rPr>
              <w:t>截至期末的研发进 度</w:t>
            </w:r>
          </w:p>
        </w:tc>
        <w:tc>
          <w:tcPr>
            <w:tcW w:w="3572" w:type="dxa"/>
            <w:tcBorders>
              <w:top w:val="single" w:sz="6" w:space="0" w:color="000000"/>
              <w:left w:val="single" w:sz="6" w:space="0" w:color="000000"/>
              <w:bottom w:val="single" w:sz="8"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46"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r>
      <w:tr>
        <w:trPr>
          <w:trHeight w:val="352" w:hRule="exact"/>
        </w:trPr>
        <w:tc>
          <w:tcPr>
            <w:tcW w:w="2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智慧医疗信息系统四期</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5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进行中</w:t>
            </w:r>
          </w:p>
        </w:tc>
        <w:tc>
          <w:tcPr>
            <w:tcW w:w="3572" w:type="dxa"/>
            <w:vMerge w:val="restart"/>
            <w:tcBorders>
              <w:top w:val="single" w:sz="8" w:space="0" w:color="000000"/>
              <w:left w:val="single" w:sz="6" w:space="0" w:color="000000"/>
              <w:right w:val="single" w:sz="6" w:space="0" w:color="000000"/>
            </w:tcBorders>
          </w:tcPr>
          <w:p>
            <w:pPr>
              <w:pStyle w:val="TableParagraph"/>
              <w:spacing w:line="316" w:lineRule="auto" w:before="22"/>
              <w:ind w:left="969" w:right="1" w:hanging="968"/>
              <w:jc w:val="left"/>
              <w:rPr>
                <w:rFonts w:ascii="宋体" w:hAnsi="宋体" w:cs="宋体" w:eastAsia="宋体" w:hint="default"/>
                <w:sz w:val="18"/>
                <w:szCs w:val="18"/>
              </w:rPr>
            </w:pPr>
            <w:r>
              <w:rPr>
                <w:rFonts w:ascii="宋体" w:hAnsi="宋体" w:cs="宋体" w:eastAsia="宋体" w:hint="default"/>
                <w:spacing w:val="-3"/>
                <w:sz w:val="18"/>
                <w:szCs w:val="18"/>
              </w:rPr>
              <w:t>通过评审立项，项目开发工作开展，完成设计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方案并达到预期要求</w:t>
            </w:r>
          </w:p>
        </w:tc>
      </w:tr>
      <w:tr>
        <w:trPr>
          <w:trHeight w:val="352" w:hRule="exact"/>
        </w:trPr>
        <w:tc>
          <w:tcPr>
            <w:tcW w:w="2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省级互联网服务监管一体化平台</w:t>
            </w:r>
          </w:p>
        </w:tc>
        <w:tc>
          <w:tcPr>
            <w:tcW w:w="19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5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进行中</w:t>
            </w:r>
          </w:p>
        </w:tc>
        <w:tc>
          <w:tcPr>
            <w:tcW w:w="3572" w:type="dxa"/>
            <w:vMerge/>
            <w:tcBorders>
              <w:left w:val="single" w:sz="6" w:space="0" w:color="000000"/>
              <w:bottom w:val="single" w:sz="8" w:space="0" w:color="000000"/>
              <w:right w:val="single" w:sz="6"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132" w:right="1034"/>
        <w:jc w:val="left"/>
        <w:rPr>
          <w:b w:val="0"/>
          <w:bCs w:val="0"/>
        </w:rPr>
      </w:pPr>
      <w:bookmarkStart w:name="16、商誉" w:id="256"/>
      <w:bookmarkEnd w:id="256"/>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1034"/>
        <w:jc w:val="left"/>
        <w:rPr>
          <w:b w:val="0"/>
          <w:bCs w:val="0"/>
        </w:rPr>
      </w:pPr>
      <w:bookmarkStart w:name="（1）商誉账面原值" w:id="257"/>
      <w:bookmarkEnd w:id="25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山西卫宁软件有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242,582,492.94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242,582,492.94</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0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北京卫宁健康科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20,121,727.60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20,121,727.60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18,784,374.06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18,784,374.06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28,396,597.99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28,396,597.99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天津卫宁软件有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55,710,999.80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55,710,999.80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纳里健康科技有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43,011,824.21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43,011,824.21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合肥汉思信息技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37,356,180.79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37,356,180.79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深圳卫宁中天软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27,909,213.20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27,909,213.20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江门市易合医疗 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1,022,458.56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1,022,458.56</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both"/>
              <w:rPr>
                <w:rFonts w:ascii="宋体" w:hAnsi="宋体" w:cs="宋体" w:eastAsia="宋体" w:hint="default"/>
                <w:sz w:val="18"/>
                <w:szCs w:val="18"/>
              </w:rPr>
            </w:pPr>
            <w:r>
              <w:rPr>
                <w:rFonts w:ascii="宋体" w:hAnsi="宋体" w:cs="宋体" w:eastAsia="宋体" w:hint="default"/>
                <w:sz w:val="18"/>
                <w:szCs w:val="18"/>
              </w:rPr>
              <w:t>梅州市良医云诊 信息科技有限公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474,897,113.17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474,895,869.15</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商誉减值准备" w:id="258"/>
      <w:bookmarkEnd w:id="25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山西卫宁软件有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北京卫宁健康科 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天津卫宁软件有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纳里健康科技有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合肥汉思信息技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深圳卫宁中天软 件有限公司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江门市易合医疗 软件有限公司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0"/>
        <w:ind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6"/>
        </w:rPr>
        <w:t> </w:t>
      </w:r>
      <w:r>
        <w:rPr>
          <w:spacing w:val="-66"/>
        </w:rPr>
      </w:r>
      <w:r>
        <w:rPr/>
        <w:t>等）及商誉减值损失的确认方法：</w:t>
      </w:r>
    </w:p>
    <w:p>
      <w:pPr>
        <w:pStyle w:val="BodyText"/>
        <w:spacing w:line="300" w:lineRule="auto" w:before="122"/>
        <w:ind w:right="1129" w:firstLine="360"/>
        <w:jc w:val="both"/>
      </w:pPr>
      <w:r>
        <w:rPr/>
        <w:t>包含商誉的资产组可收回金额按照预计未来现金流量的现值计算，其预计现金流量根据公司批准的</w:t>
      </w:r>
      <w:r>
        <w:rPr>
          <w:rFonts w:ascii="Times New Roman" w:hAnsi="Times New Roman" w:cs="Times New Roman" w:eastAsia="Times New Roman" w:hint="default"/>
        </w:rPr>
        <w:t>5</w:t>
      </w:r>
      <w:r>
        <w:rPr/>
        <w:t>年期现金流量预测 </w:t>
      </w:r>
      <w:r>
        <w:rPr>
          <w:spacing w:val="-1"/>
        </w:rPr>
        <w:t>为基础，现金流量预测使用的折现率</w:t>
      </w:r>
      <w:r>
        <w:rPr>
          <w:rFonts w:ascii="Times New Roman" w:hAnsi="Times New Roman" w:cs="Times New Roman" w:eastAsia="Times New Roman" w:hint="default"/>
          <w:spacing w:val="-1"/>
        </w:rPr>
        <w:t>15.88%</w:t>
      </w:r>
      <w:r>
        <w:rPr>
          <w:spacing w:val="-1"/>
        </w:rPr>
        <w:t>-</w:t>
      </w:r>
      <w:r>
        <w:rPr>
          <w:rFonts w:ascii="Times New Roman" w:hAnsi="Times New Roman" w:cs="Times New Roman" w:eastAsia="Times New Roman" w:hint="default"/>
          <w:spacing w:val="-1"/>
        </w:rPr>
        <w:t>17.87%</w:t>
      </w:r>
      <w:r>
        <w:rPr>
          <w:spacing w:val="-1"/>
        </w:rPr>
        <w:t>，公司根据历史实际经营数据、行业发展趋势、预期收入增长率、毛利</w:t>
      </w:r>
      <w:r>
        <w:rPr>
          <w:spacing w:val="-56"/>
        </w:rPr>
        <w:t> </w:t>
      </w:r>
      <w:r>
        <w:rPr>
          <w:spacing w:val="-56"/>
        </w:rPr>
      </w:r>
      <w:r>
        <w:rPr/>
        <w:t>率等指标编制预测未来</w:t>
      </w:r>
      <w:r>
        <w:rPr>
          <w:rFonts w:ascii="Times New Roman" w:hAnsi="Times New Roman" w:cs="Times New Roman" w:eastAsia="Times New Roman" w:hint="default"/>
        </w:rPr>
        <w:t>5</w:t>
      </w:r>
      <w:r>
        <w:rPr/>
        <w:t>年现金流量，预测期以后的现金流量维持不变。</w:t>
      </w:r>
    </w:p>
    <w:p>
      <w:pPr>
        <w:pStyle w:val="BodyText"/>
        <w:spacing w:line="316" w:lineRule="auto" w:before="133"/>
        <w:ind w:right="1132" w:firstLine="360"/>
        <w:jc w:val="both"/>
      </w:pPr>
      <w:r>
        <w:rPr>
          <w:spacing w:val="-2"/>
        </w:rPr>
        <w:t>公司根据历史经验及对市场发展的预测确定上述关键数据。公司采用的折现率是反映当前市场货币时间价值和相关资产</w:t>
      </w:r>
      <w:r>
        <w:rPr/>
        <w:t> 组特定风险的税前利率。经减值测试，未发现商誉存在减值。</w:t>
      </w:r>
    </w:p>
    <w:p>
      <w:pPr>
        <w:pStyle w:val="BodyText"/>
        <w:spacing w:line="360" w:lineRule="auto" w:before="139"/>
        <w:ind w:right="8594"/>
        <w:jc w:val="left"/>
      </w:pPr>
      <w:r>
        <w:rPr/>
        <w:t>商誉减值测试的影响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17、长期待摊费用" w:id="259"/>
      <w:bookmarkEnd w:id="259"/>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2,426,209.36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2,455,406.88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773,967.08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496,386.22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3,611,262.94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租赁费及其他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257,889.43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43,232.81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223,898.62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2,435,451.36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2,713,296.31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817,199.89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496,386.22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3,835,161.56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递延所得税资产/递延所得税负债" w:id="260"/>
      <w:bookmarkEnd w:id="260"/>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1"/>
      <w:bookmarkEnd w:id="26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543,282.33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81,492.35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218,857,619.28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42,539,807.40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173,618,524.61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34,052,062.31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347,975,530.20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52,305,677.42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257,238,066.76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38,527,726.89</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6,111,666.67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905,750.01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468,750.00</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78" w:header="746" w:top="1060" w:bottom="1160" w:left="1020" w:right="0"/>
          <w:pgNumType w:start="17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18,978,502.84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2,859,303.19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15,840,385.10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2,368,519.44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271,083.35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40,662.50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199,616.67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29,942.50</w:t>
            </w:r>
          </w:p>
        </w:tc>
      </w:tr>
      <w:tr>
        <w:trPr>
          <w:trHeight w:val="356" w:hRule="exact"/>
        </w:trPr>
        <w:tc>
          <w:tcPr>
            <w:tcW w:w="1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因追加投资等原因能够</w:t>
            </w:r>
          </w:p>
        </w:tc>
        <w:tc>
          <w:tcPr>
            <w:tcW w:w="1916"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对非同一控制下的被投</w:t>
            </w:r>
          </w:p>
        </w:tc>
        <w:tc>
          <w:tcPr>
            <w:tcW w:w="1916"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资方实施控制的，购买</w:t>
            </w:r>
          </w:p>
        </w:tc>
        <w:tc>
          <w:tcPr>
            <w:tcW w:w="1916"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日之前持有的被购买方</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12,069,912.67</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1,810,486.90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12,069,912.67</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1,810,486.90</w:t>
            </w:r>
          </w:p>
        </w:tc>
      </w:tr>
      <w:tr>
        <w:trPr>
          <w:trHeight w:val="307"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的股权公允价值与其账</w:t>
            </w:r>
          </w:p>
        </w:tc>
        <w:tc>
          <w:tcPr>
            <w:tcW w:w="1916"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面价值的差额产生投资</w:t>
            </w:r>
          </w:p>
        </w:tc>
        <w:tc>
          <w:tcPr>
            <w:tcW w:w="1916"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916"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604,264,315.01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100,461,687.42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462,634,788.14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77,338,980.39</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未经抵销的递延所得税负债" w:id="262"/>
      <w:bookmarkEnd w:id="26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100,100,046.93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15,114,491.24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87,198,914.03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13,179,321.30</w:t>
            </w:r>
          </w:p>
        </w:tc>
      </w:tr>
      <w:tr>
        <w:trPr>
          <w:trHeight w:val="133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both"/>
              <w:rPr>
                <w:rFonts w:ascii="宋体" w:hAnsi="宋体" w:cs="宋体" w:eastAsia="宋体" w:hint="default"/>
                <w:sz w:val="18"/>
                <w:szCs w:val="18"/>
              </w:rPr>
            </w:pPr>
            <w:r>
              <w:rPr>
                <w:rFonts w:ascii="宋体" w:hAnsi="宋体" w:cs="宋体" w:eastAsia="宋体" w:hint="default"/>
                <w:sz w:val="18"/>
                <w:szCs w:val="18"/>
              </w:rPr>
              <w:t>公司对被投资方丧失控 制权后，剩余股权按公 允价值重新计量产生的 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408,705,000.18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61,305,750.03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408,705,000.18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61,305,750.03</w:t>
            </w:r>
          </w:p>
        </w:tc>
      </w:tr>
      <w:tr>
        <w:trPr>
          <w:trHeight w:val="133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公司对被投资方丧失重 大影响之日，股权公允 价值与账面价值之间的 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9,519,075.27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1,427,861.29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518,324,122.38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77,848,102.56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495,903,914.21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74,485,071.33</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3）以抵销后净额列示的递延所得税资产或负债" w:id="263"/>
      <w:bookmarkEnd w:id="26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100,461,687.42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77,338,980.39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77,848,102.56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74,485,071.33</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4）未确认递延所得税资产明细" w:id="264"/>
      <w:bookmarkEnd w:id="26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1,407,270.17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62,501.76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26,967,744.45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13,720,256.31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28,375,014.62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13,782,758.07</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9、其他非流动资产" w:id="265"/>
      <w:bookmarkEnd w:id="265"/>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8" w:top="1060" w:bottom="116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1913" w:space="691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1,702,000.00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短期借款" w:id="266"/>
      <w:bookmarkEnd w:id="266"/>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67"/>
      <w:bookmarkEnd w:id="26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1,135,000.00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271,083.35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224,271,083.35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151,135,000.00</w:t>
            </w:r>
          </w:p>
        </w:tc>
      </w:tr>
    </w:tbl>
    <w:p>
      <w:pPr>
        <w:pStyle w:val="BodyText"/>
        <w:spacing w:line="357" w:lineRule="auto" w:before="51"/>
        <w:ind w:right="6434"/>
        <w:jc w:val="left"/>
      </w:pPr>
      <w:r>
        <w:rPr/>
        <w:t>短期借款分类的说明： 保证借款担保情况详见附注十二、关联方及关联交易。</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1、应付票据" w:id="268"/>
      <w:bookmarkEnd w:id="268"/>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2,244,376.00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2,244,376.00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2、应付账款" w:id="269"/>
      <w:bookmarkEnd w:id="269"/>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70"/>
      <w:bookmarkEnd w:id="27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285,735,687.12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190,730,213.96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1,012,759.90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4,024,411.55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286,748,447.02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194,754,625.51</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3、预收款项" w:id="271"/>
      <w:bookmarkEnd w:id="271"/>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预收款项列示" w:id="272"/>
      <w:bookmarkEnd w:id="27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176,502,742.62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204,929,609.94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176,502,742.62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204,929,609.94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4、应付职工薪酬" w:id="273"/>
      <w:bookmarkEnd w:id="273"/>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74"/>
      <w:bookmarkEnd w:id="27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66,368,036.28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680,589,638.70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677,010,494.85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69,947,180.13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619,107.82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50,362,812.36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50,516,335.92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465,584.26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66,987,144.10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730,952,451.06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727,526,830.77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70,412,764.39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短期薪酬列示" w:id="275"/>
      <w:bookmarkEnd w:id="27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65,184,733.15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613,690,571.71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610,455,673.81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68,419,631.05</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9,633,977.46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9,633,977.46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892,996.72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28,613,260.29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28,290,381.29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1,215,875.72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821,486.36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25,872,412.68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25,534,545.85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1,159,353.19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45,594.77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611,191.66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616,526.51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40,259.92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25,915.59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2,129,655.95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2,139,308.93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16,262.61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231,680.21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24,922,497.21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24,916,099.07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238,078.35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58,626.20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3,729,332.03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3,714,363.22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73,595.01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66,368,036.28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680,589,638.70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677,010,494.85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69,947,180.13</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设定提存计划列示" w:id="276"/>
      <w:bookmarkEnd w:id="27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526,326.37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48,765,412.62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48,929,414.31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362,324.68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92,781.45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1,597,399.74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1,586,921.61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103,259.58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619,107.82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50,362,812.36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50,516,335.92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465,584.26</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5、应交税费" w:id="277"/>
      <w:bookmarkEnd w:id="277"/>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99,298,273.60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67,862,093.98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21,643,759.77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16,158,549.71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2,724,345.12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7,042,831.29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5,970,109.72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4,256,240.07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3,719,249.11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3,150,547.78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71,118.73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50,148.37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133,426,856.05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98,520,411.20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6、其他应付款" w:id="278"/>
      <w:bookmarkEnd w:id="278"/>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199,616.67</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212,442,483.55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145,241,024.97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212,442,483.55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145,440,641.64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1）应付利息" w:id="279"/>
      <w:bookmarkEnd w:id="27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199,616.67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199,616.67</w:t>
            </w:r>
          </w:p>
        </w:tc>
      </w:tr>
    </w:tbl>
    <w:p>
      <w:pPr>
        <w:pStyle w:val="BodyText"/>
        <w:spacing w:line="240" w:lineRule="auto" w:before="51"/>
        <w:ind w:right="0"/>
        <w:jc w:val="left"/>
      </w:pPr>
      <w:r>
        <w:rPr/>
        <w:t>重要的已逾期未支付的利息情况：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其他应付款" w:id="280"/>
      <w:bookmarkEnd w:id="280"/>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81"/>
      <w:bookmarkEnd w:id="281"/>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155,370,284.57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95,390,524.08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41,728,334.59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32,552,048.13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10,652,214.58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13,972,437.85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2,273,521.55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2,273,521.55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123,220.03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2,418,128.26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929,273.33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212,442,483.55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145,241,024.97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7、一年内到期的非流动负债" w:id="282"/>
      <w:bookmarkEnd w:id="282"/>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18,240,000.00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长期应付款" w:id="283"/>
      <w:bookmarkEnd w:id="283"/>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1）按款项性质列示长期应付款" w:id="284"/>
      <w:bookmarkEnd w:id="28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9、预计负债" w:id="285"/>
      <w:bookmarkEnd w:id="285"/>
      <w:r>
        <w:rPr>
          <w:b w:val="0"/>
          <w:bCs w:val="0"/>
        </w:rPr>
      </w:r>
      <w:r>
        <w:rPr>
          <w:rFonts w:ascii="Times New Roman" w:hAnsi="Times New Roman" w:cs="Times New Roman" w:eastAsia="Times New Roman" w:hint="default"/>
        </w:rPr>
        <w:t>29</w:t>
      </w:r>
      <w:r>
        <w:rPr/>
        <w:t>、预计负债</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19,132,385.57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15,840,385.10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软件销售免费服务期预提</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19,132,385.57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15,840,385.10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0、递延收益" w:id="286"/>
      <w:bookmarkEnd w:id="286"/>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3,386,877.00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7,903,333.33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6,373,543.67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与未来资产或收益 相关</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3,386,877.00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10,890,000.00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7,903,333.33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6,373,543.67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12"/>
        <w:gridCol w:w="1249"/>
        <w:gridCol w:w="1010"/>
        <w:gridCol w:w="1010"/>
        <w:gridCol w:w="1010"/>
        <w:gridCol w:w="1010"/>
        <w:gridCol w:w="1010"/>
        <w:gridCol w:w="1248"/>
        <w:gridCol w:w="1010"/>
      </w:tblGrid>
      <w:tr>
        <w:trPr>
          <w:trHeight w:val="1024"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8" w:right="4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 w:right="4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1" w:right="23"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12"/>
        <w:gridCol w:w="1249"/>
        <w:gridCol w:w="1010"/>
        <w:gridCol w:w="1010"/>
        <w:gridCol w:w="1010"/>
        <w:gridCol w:w="1010"/>
        <w:gridCol w:w="1010"/>
        <w:gridCol w:w="1248"/>
        <w:gridCol w:w="1010"/>
      </w:tblGrid>
      <w:tr>
        <w:trPr>
          <w:trHeight w:val="196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22"/>
              <w:jc w:val="both"/>
              <w:rPr>
                <w:rFonts w:ascii="宋体" w:hAnsi="宋体" w:cs="宋体" w:eastAsia="宋体" w:hint="default"/>
                <w:sz w:val="18"/>
                <w:szCs w:val="18"/>
              </w:rPr>
            </w:pPr>
            <w:r>
              <w:rPr>
                <w:rFonts w:ascii="宋体" w:hAnsi="宋体" w:cs="宋体" w:eastAsia="宋体" w:hint="default"/>
                <w:spacing w:val="10"/>
                <w:sz w:val="18"/>
                <w:szCs w:val="18"/>
              </w:rPr>
              <w:t>基于区块链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的医疗医保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医</w:t>
            </w:r>
            <w:r>
              <w:rPr>
                <w:rFonts w:ascii="宋体" w:hAnsi="宋体" w:cs="宋体" w:eastAsia="宋体" w:hint="default"/>
                <w:spacing w:val="-50"/>
                <w:sz w:val="18"/>
                <w:szCs w:val="18"/>
              </w:rPr>
              <w:t> </w:t>
            </w:r>
            <w:r>
              <w:rPr>
                <w:rFonts w:ascii="宋体" w:hAnsi="宋体" w:cs="宋体" w:eastAsia="宋体" w:hint="default"/>
                <w:sz w:val="18"/>
                <w:szCs w:val="18"/>
              </w:rPr>
              <w:t>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三</w:t>
            </w:r>
            <w:r>
              <w:rPr>
                <w:rFonts w:ascii="宋体" w:hAnsi="宋体" w:cs="宋体" w:eastAsia="宋体" w:hint="default"/>
                <w:spacing w:val="-50"/>
                <w:sz w:val="18"/>
                <w:szCs w:val="18"/>
              </w:rPr>
              <w:t> </w:t>
            </w:r>
            <w:r>
              <w:rPr>
                <w:rFonts w:ascii="宋体" w:hAnsi="宋体" w:cs="宋体" w:eastAsia="宋体" w:hint="default"/>
                <w:sz w:val="18"/>
                <w:szCs w:val="18"/>
              </w:rPr>
              <w:t>医</w:t>
            </w:r>
            <w:r>
              <w:rPr>
                <w:rFonts w:ascii="宋体" w:hAnsi="宋体" w:cs="宋体" w:eastAsia="宋体" w:hint="default"/>
                <w:sz w:val="18"/>
                <w:szCs w:val="18"/>
              </w:rPr>
              <w:t> 联</w:t>
            </w:r>
            <w:r>
              <w:rPr>
                <w:rFonts w:ascii="宋体" w:hAnsi="宋体" w:cs="宋体" w:eastAsia="宋体" w:hint="default"/>
                <w:spacing w:val="-50"/>
                <w:sz w:val="18"/>
                <w:szCs w:val="18"/>
              </w:rPr>
              <w:t> </w:t>
            </w:r>
            <w:r>
              <w:rPr>
                <w:rFonts w:ascii="宋体" w:hAnsi="宋体" w:cs="宋体" w:eastAsia="宋体" w:hint="default"/>
                <w:sz w:val="18"/>
                <w:szCs w:val="18"/>
              </w:rPr>
              <w:t>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关</w:t>
            </w:r>
            <w:r>
              <w:rPr>
                <w:rFonts w:ascii="宋体" w:hAnsi="宋体" w:cs="宋体" w:eastAsia="宋体" w:hint="default"/>
                <w:spacing w:val="-50"/>
                <w:sz w:val="18"/>
                <w:szCs w:val="18"/>
              </w:rPr>
              <w:t> </w:t>
            </w:r>
            <w:r>
              <w:rPr>
                <w:rFonts w:ascii="宋体" w:hAnsi="宋体" w:cs="宋体" w:eastAsia="宋体" w:hint="default"/>
                <w:sz w:val="18"/>
                <w:szCs w:val="18"/>
              </w:rPr>
              <w:t>键</w:t>
            </w:r>
            <w:r>
              <w:rPr>
                <w:rFonts w:ascii="宋体" w:hAnsi="宋体" w:cs="宋体" w:eastAsia="宋体" w:hint="default"/>
                <w:sz w:val="18"/>
                <w:szCs w:val="18"/>
              </w:rPr>
              <w:t> </w:t>
            </w:r>
            <w:r>
              <w:rPr>
                <w:rFonts w:ascii="宋体" w:hAnsi="宋体" w:cs="宋体" w:eastAsia="宋体" w:hint="default"/>
                <w:spacing w:val="10"/>
                <w:sz w:val="18"/>
                <w:szCs w:val="18"/>
              </w:rPr>
              <w:t>技术攻关及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应用示范</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120,000.00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浦东新区科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技发展基金</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127,500.00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pacing w:val="2"/>
                <w:sz w:val="18"/>
                <w:szCs w:val="18"/>
              </w:rPr>
              <w:t>年软件</w:t>
            </w:r>
            <w:r>
              <w:rPr>
                <w:rFonts w:ascii="宋体" w:hAnsi="宋体" w:cs="宋体" w:eastAsia="宋体" w:hint="default"/>
                <w:sz w:val="18"/>
                <w:szCs w:val="18"/>
              </w:rPr>
              <w:t> </w:t>
            </w:r>
            <w:r>
              <w:rPr>
                <w:rFonts w:ascii="宋体" w:hAnsi="宋体" w:cs="宋体" w:eastAsia="宋体" w:hint="default"/>
                <w:spacing w:val="10"/>
                <w:sz w:val="18"/>
                <w:szCs w:val="18"/>
              </w:rPr>
              <w:t>和集成电路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产业发展专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项资金（第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二批）</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757,500.00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pacing w:val="10"/>
                <w:sz w:val="18"/>
                <w:szCs w:val="18"/>
              </w:rPr>
              <w:t>基于互联网</w:t>
            </w:r>
          </w:p>
          <w:p>
            <w:pPr>
              <w:pStyle w:val="TableParagraph"/>
              <w:spacing w:line="316" w:lineRule="auto" w:before="76"/>
              <w:ind w:left="22" w:right="22"/>
              <w:jc w:val="both"/>
              <w:rPr>
                <w:rFonts w:ascii="宋体" w:hAnsi="宋体" w:cs="宋体" w:eastAsia="宋体" w:hint="default"/>
                <w:sz w:val="18"/>
                <w:szCs w:val="18"/>
              </w:rPr>
            </w:pPr>
            <w:r>
              <w:rPr>
                <w:rFonts w:ascii="宋体" w:hAnsi="宋体" w:cs="宋体" w:eastAsia="宋体" w:hint="default"/>
                <w:spacing w:val="10"/>
                <w:sz w:val="18"/>
                <w:szCs w:val="18"/>
              </w:rPr>
              <w:t>＋的区域医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养护一体化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智慧养老和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健康服务创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新应用</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6,458,333.33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2,916,666.67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0"/>
                <w:sz w:val="18"/>
                <w:szCs w:val="18"/>
              </w:rPr>
              <w:t>舟山惠民项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261,877.00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261,877.00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0"/>
                <w:sz w:val="18"/>
                <w:szCs w:val="18"/>
              </w:rPr>
              <w:t>成都高新科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技与人才工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作局专项资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440,000.00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3,386,877.00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10,890,000.0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7,903,333.33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6,373,543.67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1、股本" w:id="287"/>
      <w:bookmarkEnd w:id="287"/>
      <w:r>
        <w:rPr>
          <w:b w:val="0"/>
          <w:bCs w:val="0"/>
        </w:rPr>
      </w:r>
      <w:r>
        <w:rPr>
          <w:rFonts w:ascii="Times New Roman" w:hAnsi="Times New Roman" w:cs="Times New Roman" w:eastAsia="Times New Roman" w:hint="default"/>
        </w:rPr>
        <w:t>31</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1,621,867,400.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19,644,746.00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-442,290.00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19,202,456.00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1,641,069,856.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0"/>
        <w:ind w:right="0"/>
        <w:jc w:val="left"/>
      </w:pPr>
      <w:r>
        <w:rPr/>
        <w:t>其他说明：</w:t>
      </w:r>
    </w:p>
    <w:p>
      <w:pPr>
        <w:pStyle w:val="BodyText"/>
        <w:spacing w:line="240" w:lineRule="auto" w:before="117"/>
        <w:ind w:left="472" w:right="0"/>
        <w:jc w:val="left"/>
      </w:pPr>
      <w:r>
        <w:rPr/>
        <w:t>本期股本变动主要原因：</w:t>
      </w:r>
    </w:p>
    <w:p>
      <w:pPr>
        <w:pStyle w:val="BodyText"/>
        <w:spacing w:line="240" w:lineRule="auto" w:before="76"/>
        <w:ind w:left="47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年度公司股票期权行权新增股本</w:t>
      </w:r>
      <w:r>
        <w:rPr>
          <w:rFonts w:ascii="Times New Roman" w:hAnsi="Times New Roman" w:cs="Times New Roman" w:eastAsia="Times New Roman" w:hint="default"/>
        </w:rPr>
        <w:t>3,247,946</w:t>
      </w:r>
      <w:r>
        <w:rPr/>
        <w:t>股。</w:t>
      </w:r>
    </w:p>
    <w:p>
      <w:pPr>
        <w:pStyle w:val="BodyText"/>
        <w:spacing w:line="240" w:lineRule="auto" w:before="63"/>
        <w:ind w:left="47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年度公司发行限制性股票增加股本</w:t>
      </w:r>
      <w:r>
        <w:rPr>
          <w:rFonts w:ascii="Times New Roman" w:hAnsi="Times New Roman" w:cs="Times New Roman" w:eastAsia="Times New Roman" w:hint="default"/>
        </w:rPr>
        <w:t>16,396,800</w:t>
      </w:r>
      <w:r>
        <w:rPr/>
        <w:t>股。</w:t>
      </w:r>
    </w:p>
    <w:p>
      <w:pPr>
        <w:pStyle w:val="BodyText"/>
        <w:spacing w:line="240" w:lineRule="auto" w:before="63"/>
        <w:ind w:left="472" w:right="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年度公司对离职激励对象尚未解锁限制性股票合计回购</w:t>
      </w:r>
      <w:r>
        <w:rPr>
          <w:rFonts w:ascii="Times New Roman" w:hAnsi="Times New Roman" w:cs="Times New Roman" w:eastAsia="Times New Roman" w:hint="default"/>
          <w:spacing w:val="-3"/>
        </w:rPr>
        <w:t>442,290</w:t>
      </w:r>
      <w:r>
        <w:rPr>
          <w:spacing w:val="-3"/>
        </w:rPr>
        <w:t>股，导致公司股本减少</w:t>
      </w:r>
      <w:r>
        <w:rPr>
          <w:rFonts w:ascii="Times New Roman" w:hAnsi="Times New Roman" w:cs="Times New Roman" w:eastAsia="Times New Roman" w:hint="default"/>
          <w:spacing w:val="-3"/>
        </w:rPr>
        <w:t>442,290</w:t>
      </w:r>
      <w:r>
        <w:rPr>
          <w:spacing w:val="-3"/>
        </w:rPr>
        <w:t>股，其中</w:t>
      </w:r>
      <w:r>
        <w:rPr>
          <w:rFonts w:ascii="Times New Roman" w:hAnsi="Times New Roman" w:cs="Times New Roman" w:eastAsia="Times New Roman" w:hint="default"/>
          <w:spacing w:val="-3"/>
        </w:rPr>
        <w:t>113,880</w:t>
      </w:r>
    </w:p>
    <w:p>
      <w:pPr>
        <w:spacing w:after="0" w:line="240" w:lineRule="auto"/>
        <w:jc w:val="left"/>
        <w:rPr>
          <w:rFonts w:ascii="Times New Roman" w:hAnsi="Times New Roman" w:cs="Times New Roman" w:eastAsia="Times New Roman" w:hint="default"/>
        </w:rPr>
        <w:sectPr>
          <w:pgSz w:w="11910" w:h="16840"/>
          <w:pgMar w:header="746" w:footer="978" w:top="1060" w:bottom="1160" w:left="102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left"/>
      </w:pPr>
      <w:r>
        <w:rPr/>
        <w:t>股尚未在中国证券登记结算有限责任公司深圳分公司完成注销手续。</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资本公积" w:id="288"/>
      <w:bookmarkEnd w:id="288"/>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472,596,217.72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138,029,045.02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1,924,307.83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608,700,954.91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62,585,862.21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99,030,632.64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18,701,672.36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142,914,822.49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535,182,079.93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237,059,677.66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20,625,980.19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751,615,777.40</w:t>
            </w:r>
          </w:p>
        </w:tc>
      </w:tr>
    </w:tbl>
    <w:p>
      <w:pPr>
        <w:pStyle w:val="BodyText"/>
        <w:spacing w:line="357" w:lineRule="auto" w:before="52"/>
        <w:ind w:left="472" w:right="6614" w:hanging="360"/>
        <w:jc w:val="left"/>
      </w:pPr>
      <w:r>
        <w:rPr/>
        <w:t>其他说明，包括本期增减变动情况、变动原因说明： 资本公积本期增加主要为：</w:t>
      </w:r>
    </w:p>
    <w:p>
      <w:pPr>
        <w:pStyle w:val="BodyText"/>
        <w:spacing w:line="237" w:lineRule="exact"/>
        <w:ind w:left="47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年度有</w:t>
      </w:r>
      <w:r>
        <w:rPr>
          <w:rFonts w:ascii="Times New Roman" w:hAnsi="Times New Roman" w:cs="Times New Roman" w:eastAsia="Times New Roman" w:hint="default"/>
        </w:rPr>
        <w:t>3,247,946</w:t>
      </w:r>
      <w:r>
        <w:rPr/>
        <w:t>份股票期权行权，行权溢价部分</w:t>
      </w:r>
      <w:r>
        <w:rPr>
          <w:rFonts w:ascii="Times New Roman" w:hAnsi="Times New Roman" w:cs="Times New Roman" w:eastAsia="Times New Roman" w:hint="default"/>
        </w:rPr>
        <w:t>20,541,340.76</w:t>
      </w:r>
      <w:r>
        <w:rPr/>
        <w:t>元计入股本溢价。同时，从其他资本公积转入</w:t>
      </w:r>
    </w:p>
    <w:p>
      <w:pPr>
        <w:pStyle w:val="BodyText"/>
        <w:spacing w:line="240" w:lineRule="auto" w:before="63"/>
        <w:ind w:right="0"/>
        <w:jc w:val="left"/>
      </w:pPr>
      <w:r>
        <w:rPr/>
        <w:t>股本溢价</w:t>
      </w:r>
      <w:r>
        <w:rPr>
          <w:rFonts w:ascii="Times New Roman" w:hAnsi="Times New Roman" w:cs="Times New Roman" w:eastAsia="Times New Roman" w:hint="default"/>
        </w:rPr>
        <w:t>15,461,407.61</w:t>
      </w:r>
      <w:r>
        <w:rPr/>
        <w:t>元；</w:t>
      </w:r>
    </w:p>
    <w:p>
      <w:pPr>
        <w:pStyle w:val="BodyText"/>
        <w:spacing w:line="240" w:lineRule="auto" w:before="63"/>
        <w:ind w:left="472" w:right="0"/>
        <w:jc w:val="left"/>
      </w:pPr>
      <w:r>
        <w:rPr/>
        <w:t>（</w:t>
      </w:r>
      <w:r>
        <w:rPr>
          <w:rFonts w:ascii="Times New Roman" w:hAnsi="Times New Roman" w:cs="Times New Roman" w:eastAsia="Times New Roman" w:hint="default"/>
        </w:rPr>
        <w:t>2</w:t>
      </w:r>
      <w:r>
        <w:rPr/>
        <w:t>）子公司快享医疗科技</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有限公司对员工进行股份支付权益结算，增加股本溢价</w:t>
      </w:r>
      <w:r>
        <w:rPr>
          <w:rFonts w:ascii="Times New Roman" w:hAnsi="Times New Roman" w:cs="Times New Roman" w:eastAsia="Times New Roman" w:hint="default"/>
        </w:rPr>
        <w:t>3,481,528.65</w:t>
      </w:r>
      <w:r>
        <w:rPr/>
        <w:t>；</w:t>
      </w:r>
    </w:p>
    <w:p>
      <w:pPr>
        <w:pStyle w:val="BodyText"/>
        <w:spacing w:line="240" w:lineRule="auto" w:before="63"/>
        <w:ind w:left="472" w:right="0"/>
        <w:jc w:val="left"/>
      </w:pPr>
      <w:r>
        <w:rPr/>
        <w:t>（</w:t>
      </w:r>
      <w:r>
        <w:rPr>
          <w:rFonts w:ascii="Times New Roman" w:hAnsi="Times New Roman" w:cs="Times New Roman" w:eastAsia="Times New Roman" w:hint="default"/>
        </w:rPr>
        <w:t>3</w:t>
      </w:r>
      <w:r>
        <w:rPr/>
        <w:t>）公司股票激励计划本期分摊的股权激励成本</w:t>
      </w:r>
      <w:r>
        <w:rPr>
          <w:rFonts w:ascii="Times New Roman" w:hAnsi="Times New Roman" w:cs="Times New Roman" w:eastAsia="Times New Roman" w:hint="default"/>
        </w:rPr>
        <w:t>20,871,311.21</w:t>
      </w:r>
      <w:r>
        <w:rPr/>
        <w:t>元计入其他资本公积；</w:t>
      </w:r>
    </w:p>
    <w:p>
      <w:pPr>
        <w:pStyle w:val="BodyText"/>
        <w:spacing w:line="240" w:lineRule="auto" w:before="63"/>
        <w:ind w:left="472" w:right="0"/>
        <w:jc w:val="left"/>
      </w:pPr>
      <w:r>
        <w:rPr/>
        <w:t>（</w:t>
      </w:r>
      <w:r>
        <w:rPr>
          <w:rFonts w:ascii="Times New Roman" w:hAnsi="Times New Roman" w:cs="Times New Roman" w:eastAsia="Times New Roman" w:hint="default"/>
        </w:rPr>
        <w:t>4</w:t>
      </w:r>
      <w:r>
        <w:rPr/>
        <w:t>）因联营企业北京梦天门科技股份有限公司净资产变动，增加其他资本公积</w:t>
      </w:r>
      <w:r>
        <w:rPr>
          <w:rFonts w:ascii="Times New Roman" w:hAnsi="Times New Roman" w:cs="Times New Roman" w:eastAsia="Times New Roman" w:hint="default"/>
        </w:rPr>
        <w:t>1,198,691.31</w:t>
      </w:r>
      <w:r>
        <w:rPr/>
        <w:t>元；</w:t>
      </w:r>
    </w:p>
    <w:p>
      <w:pPr>
        <w:pStyle w:val="BodyText"/>
        <w:spacing w:line="240" w:lineRule="auto" w:before="63"/>
        <w:ind w:left="472" w:right="0"/>
        <w:jc w:val="left"/>
      </w:pPr>
      <w:r>
        <w:rPr/>
        <w:t>（</w:t>
      </w:r>
      <w:r>
        <w:rPr>
          <w:rFonts w:ascii="Times New Roman" w:hAnsi="Times New Roman" w:cs="Times New Roman" w:eastAsia="Times New Roman" w:hint="default"/>
        </w:rPr>
        <w:t>5</w:t>
      </w:r>
      <w:r>
        <w:rPr/>
        <w:t>）因联营企业上海金仕达卫宁软件科技有限公司净资产变动，增加其他资本公积</w:t>
      </w:r>
      <w:r>
        <w:rPr>
          <w:rFonts w:ascii="Times New Roman" w:hAnsi="Times New Roman" w:cs="Times New Roman" w:eastAsia="Times New Roman" w:hint="default"/>
        </w:rPr>
        <w:t>52,703,330.12</w:t>
      </w:r>
      <w:r>
        <w:rPr/>
        <w:t>元；</w:t>
      </w:r>
    </w:p>
    <w:p>
      <w:pPr>
        <w:pStyle w:val="BodyText"/>
        <w:spacing w:line="240" w:lineRule="auto" w:before="63"/>
        <w:ind w:left="472" w:right="0"/>
        <w:jc w:val="left"/>
      </w:pPr>
      <w:r>
        <w:rPr/>
        <w:t>（</w:t>
      </w:r>
      <w:r>
        <w:rPr>
          <w:rFonts w:ascii="Times New Roman" w:hAnsi="Times New Roman" w:cs="Times New Roman" w:eastAsia="Times New Roman" w:hint="default"/>
        </w:rPr>
        <w:t>6</w:t>
      </w:r>
      <w:r>
        <w:rPr/>
        <w:t>）因子公司卫宁互联网科技有限公司少数股东与本公司增资确认</w:t>
      </w:r>
      <w:r>
        <w:rPr>
          <w:rFonts w:ascii="Times New Roman" w:hAnsi="Times New Roman" w:cs="Times New Roman" w:eastAsia="Times New Roman" w:hint="default"/>
        </w:rPr>
        <w:t>24,257,300.00</w:t>
      </w:r>
      <w:r>
        <w:rPr/>
        <w:t>元计入其他资本公积；</w:t>
      </w:r>
    </w:p>
    <w:p>
      <w:pPr>
        <w:pStyle w:val="BodyText"/>
        <w:spacing w:line="300" w:lineRule="auto" w:before="63"/>
        <w:ind w:left="472" w:right="3329"/>
        <w:jc w:val="left"/>
      </w:pPr>
      <w:r>
        <w:rPr/>
        <w:t>（</w:t>
      </w:r>
      <w:r>
        <w:rPr>
          <w:rFonts w:ascii="Times New Roman" w:hAnsi="Times New Roman" w:cs="Times New Roman" w:eastAsia="Times New Roman" w:hint="default"/>
        </w:rPr>
        <w:t>7</w:t>
      </w:r>
      <w:r>
        <w:rPr/>
        <w:t>）公司向</w:t>
      </w:r>
      <w:r>
        <w:rPr>
          <w:rFonts w:ascii="Times New Roman" w:hAnsi="Times New Roman" w:cs="Times New Roman" w:eastAsia="Times New Roman" w:hint="default"/>
        </w:rPr>
        <w:t>523</w:t>
      </w:r>
      <w:r>
        <w:rPr/>
        <w:t>名激励对象授予限制性股票</w:t>
      </w:r>
      <w:r>
        <w:rPr>
          <w:rFonts w:ascii="Times New Roman" w:hAnsi="Times New Roman" w:cs="Times New Roman" w:eastAsia="Times New Roman" w:hint="default"/>
        </w:rPr>
        <w:t>16,396,800</w:t>
      </w:r>
      <w:r>
        <w:rPr/>
        <w:t>股，股本溢价增加</w:t>
      </w:r>
      <w:r>
        <w:rPr>
          <w:rFonts w:ascii="Times New Roman" w:hAnsi="Times New Roman" w:cs="Times New Roman" w:eastAsia="Times New Roman" w:hint="default"/>
        </w:rPr>
        <w:t>98,544,768.00</w:t>
      </w:r>
      <w:r>
        <w:rPr/>
        <w:t>元。 资本公积本期减少主要为：</w:t>
      </w:r>
    </w:p>
    <w:p>
      <w:pPr>
        <w:pStyle w:val="BodyText"/>
        <w:spacing w:line="240" w:lineRule="auto" w:before="31"/>
        <w:ind w:left="472" w:right="0"/>
        <w:jc w:val="left"/>
      </w:pPr>
      <w:r>
        <w:rPr/>
        <w:t>（</w:t>
      </w:r>
      <w:r>
        <w:rPr>
          <w:rFonts w:ascii="Times New Roman" w:hAnsi="Times New Roman" w:cs="Times New Roman" w:eastAsia="Times New Roman" w:hint="default"/>
        </w:rPr>
        <w:t>1</w:t>
      </w:r>
      <w:r>
        <w:rPr/>
        <w:t>）公司向不符合激励对象回购授予限制性股票</w:t>
      </w:r>
      <w:r>
        <w:rPr>
          <w:rFonts w:ascii="Times New Roman" w:hAnsi="Times New Roman" w:cs="Times New Roman" w:eastAsia="Times New Roman" w:hint="default"/>
        </w:rPr>
        <w:t>442,290</w:t>
      </w:r>
      <w:r>
        <w:rPr/>
        <w:t>股，导致减少股本溢价</w:t>
      </w:r>
      <w:r>
        <w:rPr>
          <w:rFonts w:ascii="Times New Roman" w:hAnsi="Times New Roman" w:cs="Times New Roman" w:eastAsia="Times New Roman" w:hint="default"/>
        </w:rPr>
        <w:t>1,924,307.83</w:t>
      </w:r>
      <w:r>
        <w:rPr/>
        <w:t>元；</w:t>
      </w:r>
    </w:p>
    <w:p>
      <w:pPr>
        <w:pStyle w:val="BodyText"/>
        <w:spacing w:line="240" w:lineRule="auto" w:before="63"/>
        <w:ind w:left="47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年度已行权和解锁的股权激励成本</w:t>
      </w:r>
      <w:r>
        <w:rPr>
          <w:rFonts w:ascii="Times New Roman" w:hAnsi="Times New Roman" w:cs="Times New Roman" w:eastAsia="Times New Roman" w:hint="default"/>
        </w:rPr>
        <w:t>15,461,407.61</w:t>
      </w:r>
      <w:r>
        <w:rPr/>
        <w:t>元从其他资本公积转入股本溢价；</w:t>
      </w:r>
    </w:p>
    <w:p>
      <w:pPr>
        <w:pStyle w:val="BodyText"/>
        <w:spacing w:line="240" w:lineRule="auto" w:before="63"/>
        <w:ind w:left="472" w:right="0"/>
        <w:jc w:val="left"/>
      </w:pPr>
      <w:r>
        <w:rPr/>
        <w:t>（</w:t>
      </w:r>
      <w:r>
        <w:rPr>
          <w:rFonts w:ascii="Times New Roman" w:hAnsi="Times New Roman" w:cs="Times New Roman" w:eastAsia="Times New Roman" w:hint="default"/>
        </w:rPr>
        <w:t>3</w:t>
      </w:r>
      <w:r>
        <w:rPr/>
        <w:t>）因向子公司快享医疗科技</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有限公司少数股东转让股权而减少其他资本公积</w:t>
      </w:r>
      <w:r>
        <w:rPr>
          <w:rFonts w:ascii="Times New Roman" w:hAnsi="Times New Roman" w:cs="Times New Roman" w:eastAsia="Times New Roman" w:hint="default"/>
        </w:rPr>
        <w:t>750,916.77</w:t>
      </w:r>
      <w:r>
        <w:rPr/>
        <w:t>元；</w:t>
      </w:r>
    </w:p>
    <w:p>
      <w:pPr>
        <w:pStyle w:val="BodyText"/>
        <w:spacing w:line="240" w:lineRule="auto" w:before="63"/>
        <w:ind w:left="472" w:right="0"/>
        <w:jc w:val="left"/>
      </w:pPr>
      <w:r>
        <w:rPr/>
        <w:t>（</w:t>
      </w:r>
      <w:r>
        <w:rPr>
          <w:rFonts w:ascii="Times New Roman" w:hAnsi="Times New Roman" w:cs="Times New Roman" w:eastAsia="Times New Roman" w:hint="default"/>
        </w:rPr>
        <w:t>4</w:t>
      </w:r>
      <w:r>
        <w:rPr/>
        <w:t>）因收购子公司深圳卫宁中天软件有限公司</w:t>
      </w:r>
      <w:r>
        <w:rPr>
          <w:rFonts w:ascii="Times New Roman" w:hAnsi="Times New Roman" w:cs="Times New Roman" w:eastAsia="Times New Roman" w:hint="default"/>
        </w:rPr>
        <w:t>9.25%</w:t>
      </w:r>
      <w:r>
        <w:rPr/>
        <w:t>少数股东权益减少其他资本公积</w:t>
      </w:r>
      <w:r>
        <w:rPr>
          <w:rFonts w:ascii="Times New Roman" w:hAnsi="Times New Roman" w:cs="Times New Roman" w:eastAsia="Times New Roman" w:hint="default"/>
        </w:rPr>
        <w:t>1,962,050.47</w:t>
      </w:r>
      <w:r>
        <w:rPr/>
        <w:t>元；</w:t>
      </w:r>
    </w:p>
    <w:p>
      <w:pPr>
        <w:pStyle w:val="BodyText"/>
        <w:spacing w:line="240" w:lineRule="auto" w:before="63"/>
        <w:ind w:left="472" w:right="0"/>
        <w:jc w:val="left"/>
      </w:pPr>
      <w:r>
        <w:rPr/>
        <w:t>（</w:t>
      </w:r>
      <w:r>
        <w:rPr>
          <w:rFonts w:ascii="Times New Roman" w:hAnsi="Times New Roman" w:cs="Times New Roman" w:eastAsia="Times New Roman" w:hint="default"/>
        </w:rPr>
        <w:t>5</w:t>
      </w:r>
      <w:r>
        <w:rPr/>
        <w:t>）因联营企业上海钥世圈云健康科技发展有限公司净资产变动，减少其他资本公积</w:t>
      </w:r>
      <w:r>
        <w:rPr>
          <w:rFonts w:ascii="Times New Roman" w:hAnsi="Times New Roman" w:cs="Times New Roman" w:eastAsia="Times New Roman" w:hint="default"/>
        </w:rPr>
        <w:t>527,297.51</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3、库存股" w:id="289"/>
      <w:bookmarkEnd w:id="289"/>
      <w:r>
        <w:rPr>
          <w:b w:val="0"/>
          <w:bCs w:val="0"/>
        </w:rPr>
      </w:r>
      <w:r>
        <w:rPr>
          <w:rFonts w:ascii="Times New Roman" w:hAnsi="Times New Roman" w:cs="Times New Roman" w:eastAsia="Times New Roman" w:hint="default"/>
        </w:rPr>
        <w:t>33</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实施限制性股票激励计 划锁定期股款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95,390,524.08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114,941,568.00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54,961,807.51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155,370,284.57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95,390,524.08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114,941,568.00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54,961,807.51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155,370,284.57</w:t>
            </w:r>
          </w:p>
        </w:tc>
      </w:tr>
    </w:tbl>
    <w:p>
      <w:pPr>
        <w:pStyle w:val="BodyText"/>
        <w:spacing w:line="240" w:lineRule="auto" w:before="51"/>
        <w:ind w:right="0"/>
        <w:jc w:val="left"/>
      </w:pPr>
      <w:r>
        <w:rPr/>
        <w:t>其他说明，包括本期增减变动情况、变动原因说明：</w:t>
      </w:r>
    </w:p>
    <w:p>
      <w:pPr>
        <w:pStyle w:val="BodyText"/>
        <w:spacing w:line="300" w:lineRule="auto" w:before="115"/>
        <w:ind w:right="1131" w:firstLine="360"/>
        <w:jc w:val="both"/>
      </w:pPr>
      <w:r>
        <w:rPr>
          <w:spacing w:val="-4"/>
        </w:rPr>
        <w:t>（</w:t>
      </w:r>
      <w:r>
        <w:rPr>
          <w:rFonts w:ascii="Times New Roman" w:hAnsi="Times New Roman" w:cs="Times New Roman" w:eastAsia="Times New Roman" w:hint="default"/>
          <w:spacing w:val="-4"/>
        </w:rPr>
        <w:t>1</w:t>
      </w:r>
      <w:r>
        <w:rPr>
          <w:spacing w:val="-4"/>
        </w:rPr>
        <w:t>）公司向</w:t>
      </w:r>
      <w:r>
        <w:rPr>
          <w:rFonts w:ascii="Times New Roman" w:hAnsi="Times New Roman" w:cs="Times New Roman" w:eastAsia="Times New Roman" w:hint="default"/>
          <w:spacing w:val="-4"/>
        </w:rPr>
        <w:t>523</w:t>
      </w:r>
      <w:r>
        <w:rPr>
          <w:spacing w:val="-4"/>
        </w:rPr>
        <w:t>名激励对象授予限制性股票</w:t>
      </w:r>
      <w:r>
        <w:rPr>
          <w:rFonts w:ascii="Times New Roman" w:hAnsi="Times New Roman" w:cs="Times New Roman" w:eastAsia="Times New Roman" w:hint="default"/>
          <w:spacing w:val="-4"/>
        </w:rPr>
        <w:t>16,396,800</w:t>
      </w:r>
      <w:r>
        <w:rPr>
          <w:spacing w:val="-4"/>
        </w:rPr>
        <w:t>股，引起公司股本增加</w:t>
      </w:r>
      <w:r>
        <w:rPr>
          <w:rFonts w:ascii="Times New Roman" w:hAnsi="Times New Roman" w:cs="Times New Roman" w:eastAsia="Times New Roman" w:hint="default"/>
          <w:spacing w:val="-4"/>
        </w:rPr>
        <w:t>16,396,800.00</w:t>
      </w:r>
      <w:r>
        <w:rPr>
          <w:spacing w:val="-4"/>
        </w:rPr>
        <w:t>元，股本溢价增加</w:t>
      </w:r>
      <w:r>
        <w:rPr>
          <w:rFonts w:ascii="Times New Roman" w:hAnsi="Times New Roman" w:cs="Times New Roman" w:eastAsia="Times New Roman" w:hint="default"/>
          <w:spacing w:val="-4"/>
        </w:rPr>
        <w:t>98,544,768.00</w:t>
      </w:r>
      <w:r>
        <w:rPr>
          <w:rFonts w:ascii="Times New Roman" w:hAnsi="Times New Roman" w:cs="Times New Roman" w:eastAsia="Times New Roman" w:hint="default"/>
        </w:rPr>
        <w:t> </w:t>
      </w:r>
      <w:r>
        <w:rPr/>
        <w:t>元。根据回购义务，公司确认库存股</w:t>
      </w:r>
      <w:r>
        <w:rPr>
          <w:rFonts w:ascii="Times New Roman" w:hAnsi="Times New Roman" w:cs="Times New Roman" w:eastAsia="Times New Roman" w:hint="default"/>
        </w:rPr>
        <w:t>114,941,568.00</w:t>
      </w:r>
      <w:r>
        <w:rPr/>
        <w:t>元；</w:t>
      </w:r>
    </w:p>
    <w:p>
      <w:pPr>
        <w:pStyle w:val="BodyText"/>
        <w:spacing w:line="240" w:lineRule="auto" w:before="13"/>
        <w:ind w:left="472" w:right="0"/>
        <w:jc w:val="left"/>
      </w:pPr>
      <w:r>
        <w:rPr/>
        <w:t>（</w:t>
      </w:r>
      <w:r>
        <w:rPr>
          <w:rFonts w:ascii="Times New Roman" w:hAnsi="Times New Roman" w:cs="Times New Roman" w:eastAsia="Times New Roman" w:hint="default"/>
        </w:rPr>
        <w:t>2</w:t>
      </w:r>
      <w:r>
        <w:rPr/>
        <w:t>）本年因限制性股票解锁</w:t>
      </w:r>
      <w:r>
        <w:rPr>
          <w:rFonts w:ascii="Times New Roman" w:hAnsi="Times New Roman" w:cs="Times New Roman" w:eastAsia="Times New Roman" w:hint="default"/>
        </w:rPr>
        <w:t>10,036,190</w:t>
      </w:r>
      <w:r>
        <w:rPr/>
        <w:t>股，减少库存股</w:t>
      </w:r>
      <w:r>
        <w:rPr>
          <w:rFonts w:ascii="Times New Roman" w:hAnsi="Times New Roman" w:cs="Times New Roman" w:eastAsia="Times New Roman" w:hint="default"/>
        </w:rPr>
        <w:t>52,392,493.88</w:t>
      </w:r>
      <w:r>
        <w:rPr/>
        <w:t>元。</w:t>
      </w:r>
    </w:p>
    <w:p>
      <w:pPr>
        <w:pStyle w:val="BodyText"/>
        <w:spacing w:line="300" w:lineRule="auto" w:before="63"/>
        <w:ind w:right="1131" w:firstLine="360"/>
        <w:jc w:val="both"/>
      </w:pPr>
      <w:r>
        <w:rPr/>
        <w:t>（</w:t>
      </w:r>
      <w:r>
        <w:rPr>
          <w:rFonts w:ascii="Times New Roman" w:hAnsi="Times New Roman" w:cs="Times New Roman" w:eastAsia="Times New Roman" w:hint="default"/>
        </w:rPr>
        <w:t>3</w:t>
      </w:r>
      <w:r>
        <w:rPr/>
        <w:t>）公司向不符合激励对象回购首次授予限制性股票</w:t>
      </w:r>
      <w:r>
        <w:rPr>
          <w:rFonts w:ascii="Times New Roman" w:hAnsi="Times New Roman" w:cs="Times New Roman" w:eastAsia="Times New Roman" w:hint="default"/>
        </w:rPr>
        <w:t>343,140</w:t>
      </w:r>
      <w:r>
        <w:rPr/>
        <w:t>股，导致减少公司股本</w:t>
      </w:r>
      <w:r>
        <w:rPr>
          <w:rFonts w:ascii="Times New Roman" w:hAnsi="Times New Roman" w:cs="Times New Roman" w:eastAsia="Times New Roman" w:hint="default"/>
        </w:rPr>
        <w:t>343,140.00</w:t>
      </w:r>
      <w:r>
        <w:rPr/>
        <w:t>元，根据回购义务，公 </w:t>
      </w:r>
      <w:r>
        <w:rPr>
          <w:spacing w:val="-2"/>
        </w:rPr>
        <w:t>司减少库存股</w:t>
      </w:r>
      <w:r>
        <w:rPr>
          <w:rFonts w:ascii="Times New Roman" w:hAnsi="Times New Roman" w:cs="Times New Roman" w:eastAsia="Times New Roman" w:hint="default"/>
          <w:spacing w:val="-2"/>
        </w:rPr>
        <w:t>2,006,197.08</w:t>
      </w:r>
      <w:r>
        <w:rPr>
          <w:spacing w:val="-2"/>
        </w:rPr>
        <w:t>元；公司向不符合激励对象回购预留授予限制性股票</w:t>
      </w:r>
      <w:r>
        <w:rPr>
          <w:rFonts w:ascii="Times New Roman" w:hAnsi="Times New Roman" w:cs="Times New Roman" w:eastAsia="Times New Roman" w:hint="default"/>
          <w:spacing w:val="-2"/>
        </w:rPr>
        <w:t>99,150</w:t>
      </w:r>
      <w:r>
        <w:rPr>
          <w:spacing w:val="-2"/>
        </w:rPr>
        <w:t>股，导致减少公司股本</w:t>
      </w:r>
      <w:r>
        <w:rPr>
          <w:rFonts w:ascii="Times New Roman" w:hAnsi="Times New Roman" w:cs="Times New Roman" w:eastAsia="Times New Roman" w:hint="default"/>
          <w:spacing w:val="-2"/>
        </w:rPr>
        <w:t>99,150.00</w:t>
      </w:r>
      <w:r>
        <w:rPr>
          <w:spacing w:val="-2"/>
        </w:rPr>
        <w:t>元，根</w:t>
      </w:r>
      <w:r>
        <w:rPr>
          <w:spacing w:val="-50"/>
        </w:rPr>
        <w:t> </w:t>
      </w:r>
      <w:r>
        <w:rPr>
          <w:spacing w:val="-50"/>
        </w:rPr>
      </w:r>
      <w:r>
        <w:rPr>
          <w:spacing w:val="-2"/>
        </w:rPr>
        <w:t>据回购义务，公司减少库存股</w:t>
      </w:r>
      <w:r>
        <w:rPr>
          <w:rFonts w:ascii="Times New Roman" w:hAnsi="Times New Roman" w:cs="Times New Roman" w:eastAsia="Times New Roman" w:hint="default"/>
          <w:spacing w:val="-2"/>
        </w:rPr>
        <w:t>360,400.75</w:t>
      </w:r>
      <w:r>
        <w:rPr>
          <w:spacing w:val="-2"/>
        </w:rPr>
        <w:t>元；本年度发放激励对象股利减少库存股</w:t>
      </w:r>
      <w:r>
        <w:rPr>
          <w:rFonts w:ascii="Times New Roman" w:hAnsi="Times New Roman" w:cs="Times New Roman" w:eastAsia="Times New Roman" w:hint="default"/>
          <w:spacing w:val="-2"/>
        </w:rPr>
        <w:t>202,715.80</w:t>
      </w:r>
      <w:r>
        <w:rPr>
          <w:spacing w:val="-2"/>
        </w:rPr>
        <w:t>元，合计减少库存股</w:t>
      </w:r>
      <w:r>
        <w:rPr>
          <w:rFonts w:ascii="Times New Roman" w:hAnsi="Times New Roman" w:cs="Times New Roman" w:eastAsia="Times New Roman" w:hint="default"/>
          <w:spacing w:val="-2"/>
        </w:rPr>
        <w:t>2,569,313.63</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w:t>
      </w:r>
    </w:p>
    <w:p>
      <w:pPr>
        <w:spacing w:after="0" w:line="300"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34、盈余公积" w:id="290"/>
      <w:bookmarkEnd w:id="290"/>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120,462,356.97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37,350,575.60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157,812,932.57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120,462,356.97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37,350,575.60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157,812,932.57</w:t>
            </w:r>
          </w:p>
        </w:tc>
      </w:tr>
    </w:tbl>
    <w:p>
      <w:pPr>
        <w:pStyle w:val="BodyText"/>
        <w:spacing w:line="240" w:lineRule="auto" w:before="51"/>
        <w:ind w:right="0"/>
        <w:jc w:val="left"/>
      </w:pPr>
      <w:r>
        <w:rPr/>
        <w:t>盈余公积说明，包括本期增减变动情况、变动原因说明：</w:t>
      </w:r>
    </w:p>
    <w:p>
      <w:pPr>
        <w:pStyle w:val="BodyText"/>
        <w:spacing w:line="240" w:lineRule="auto" w:before="117"/>
        <w:ind w:left="472" w:right="0"/>
        <w:jc w:val="left"/>
      </w:pPr>
      <w:r>
        <w:rPr/>
        <w:t>（</w:t>
      </w:r>
      <w:r>
        <w:rPr>
          <w:rFonts w:ascii="Times New Roman" w:hAnsi="Times New Roman" w:cs="Times New Roman" w:eastAsia="Times New Roman" w:hint="default"/>
        </w:rPr>
        <w:t>1</w:t>
      </w:r>
      <w:r>
        <w:rPr/>
        <w:t>）由于会计政策变更及长期股权投资成本法权益法转换，影响期初盈余公积</w:t>
      </w:r>
      <w:r>
        <w:rPr>
          <w:rFonts w:ascii="Times New Roman" w:hAnsi="Times New Roman" w:cs="Times New Roman" w:eastAsia="Times New Roman" w:hint="default"/>
        </w:rPr>
        <w:t>6,960,899.76</w:t>
      </w:r>
      <w:r>
        <w:rPr/>
        <w:t>元。</w:t>
      </w:r>
    </w:p>
    <w:p>
      <w:pPr>
        <w:pStyle w:val="BodyText"/>
        <w:spacing w:line="240" w:lineRule="auto" w:before="63"/>
        <w:ind w:left="472" w:right="0"/>
        <w:jc w:val="left"/>
      </w:pPr>
      <w:r>
        <w:rPr/>
        <w:t>（</w:t>
      </w:r>
      <w:r>
        <w:rPr>
          <w:rFonts w:ascii="Times New Roman" w:hAnsi="Times New Roman" w:cs="Times New Roman" w:eastAsia="Times New Roman" w:hint="default"/>
        </w:rPr>
        <w:t>2</w:t>
      </w:r>
      <w:r>
        <w:rPr/>
        <w:t>）本期盈余公积增加系本公司按《公司法》及本公司章程有关规定，按本期净利润</w:t>
      </w:r>
      <w:r>
        <w:rPr>
          <w:rFonts w:ascii="Times New Roman" w:hAnsi="Times New Roman" w:cs="Times New Roman" w:eastAsia="Times New Roman" w:hint="default"/>
        </w:rPr>
        <w:t>10%</w:t>
      </w:r>
      <w:r>
        <w:rPr/>
        <w:t>提取法定盈余公积金</w:t>
      </w:r>
    </w:p>
    <w:p>
      <w:pPr>
        <w:pStyle w:val="BodyText"/>
        <w:spacing w:line="240" w:lineRule="auto" w:before="63"/>
        <w:ind w:right="0"/>
        <w:jc w:val="left"/>
      </w:pPr>
      <w:r>
        <w:rPr>
          <w:rFonts w:ascii="Times New Roman" w:hAnsi="Times New Roman" w:cs="Times New Roman" w:eastAsia="Times New Roman" w:hint="default"/>
        </w:rPr>
        <w:t>37,350,575.60</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5、未分配利润" w:id="291"/>
      <w:bookmarkEnd w:id="291"/>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959,024,092.67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705,240,582.14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50,565,934.06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1,009,590,026.73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705,240,582.14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398,420,733.04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303,305,204.12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37,350,575.60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25,283,595.72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32,457,710.22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24,238,097.87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1,338,202,473.95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959,024,092.67</w:t>
            </w:r>
          </w:p>
        </w:tc>
      </w:tr>
    </w:tbl>
    <w:p>
      <w:pPr>
        <w:pStyle w:val="BodyText"/>
        <w:spacing w:line="240" w:lineRule="auto" w:before="51"/>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9"/>
        </w:rPr>
        <w:t> </w:t>
      </w:r>
      <w:r>
        <w:rPr>
          <w:rFonts w:ascii="Times New Roman" w:hAnsi="Times New Roman" w:cs="Times New Roman" w:eastAsia="Times New Roman" w:hint="default"/>
        </w:rPr>
        <w:t>51,682,229.33</w:t>
      </w:r>
      <w:r>
        <w:rPr>
          <w:rFonts w:ascii="Times New Roman" w:hAnsi="Times New Roman" w:cs="Times New Roman" w:eastAsia="Times New Roman" w:hint="default"/>
          <w:spacing w:val="-3"/>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rFonts w:ascii="Times New Roman" w:hAnsi="Times New Roman" w:cs="Times New Roman" w:eastAsia="Times New Roman" w:hint="default"/>
        </w:rPr>
        <w:t>-1,116,295.27</w:t>
      </w:r>
      <w:r>
        <w:rPr>
          <w:rFonts w:ascii="Times New Roman" w:hAnsi="Times New Roman" w:cs="Times New Roman" w:eastAsia="Times New Roman" w:hint="default"/>
          <w:spacing w:val="-1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6、营业收入和营业成本" w:id="292"/>
      <w:bookmarkEnd w:id="292"/>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1,892,389,508.42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913,372,297.78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1,425,554,551.38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678,700,550.27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15,618,440.58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13,483,681.89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13,206,792.43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11,910,682.13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1,908,007,949.00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926,855,979.67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1,438,761,343.81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690,611,232.40</w:t>
            </w:r>
          </w:p>
        </w:tc>
      </w:tr>
    </w:tbl>
    <w:p>
      <w:pPr>
        <w:pStyle w:val="BodyText"/>
        <w:spacing w:line="240" w:lineRule="auto" w:before="49"/>
        <w:ind w:right="0"/>
        <w:jc w:val="left"/>
      </w:pPr>
      <w:r>
        <w:rPr/>
        <w:t>是否已执行新收入准则</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38" w:lineRule="auto" w:before="44"/>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其他说明</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7、税金及附加" w:id="293"/>
      <w:bookmarkEnd w:id="293"/>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11,624,442.17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9,533,655.14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7,063,248.17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6,276,987.49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2,555,384.34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825,951.49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385,089.85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22,069,026.17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16,195,732.48</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8、销售费用" w:id="294"/>
      <w:bookmarkEnd w:id="294"/>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93,952,648.36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74,335,502.24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98,436,691.63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68,893,166.65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19,027,160.34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19,204,557.79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12,730,365.02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18,868,341.75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5,362,176.76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4,657,872.03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3,341,154.87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3,112,461.52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1,328,421.63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1,175,224.25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7,562,178.77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10,597,647.40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241,740,797.38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200,844,773.63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9、管理费用" w:id="295"/>
      <w:bookmarkEnd w:id="295"/>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62,855,053.84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49,081,819.22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36,531,156.37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33,354,548.26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16,233,047.02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12,183,198.43</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14,178,278.19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8,737,232.85</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78" w:header="746" w:top="1060" w:bottom="1160" w:left="1020" w:right="0"/>
          <w:pgNumType w:start="1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10,357,224.50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14,722,953.84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140,154,759.92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118,079,752.60</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0、研发费用" w:id="296"/>
      <w:bookmarkEnd w:id="296"/>
      <w:r>
        <w:rPr>
          <w:b w:val="0"/>
          <w:bCs w:val="0"/>
        </w:rPr>
      </w:r>
      <w:r>
        <w:rPr>
          <w:rFonts w:ascii="Times New Roman" w:hAnsi="Times New Roman" w:cs="Times New Roman" w:eastAsia="Times New Roman" w:hint="default"/>
        </w:rPr>
        <w:t>40</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180,782,567.62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125,898,558.55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18,649,694.39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14,510,944.05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1,724,855.30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2,202,509.19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3,329,944.15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2,168,721.04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1,146,043.85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2,427,435.07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205,633,105.31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147,208,167.90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1、财务费用" w:id="297"/>
      <w:bookmarkEnd w:id="297"/>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8,824,448.72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9,826,390.73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6,336,700.02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2,764,152.34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2,487,748.70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7,062,238.39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718,767.15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954,341.69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3,206,515.85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8,016,580.08</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其他收益" w:id="298"/>
      <w:bookmarkEnd w:id="298"/>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8"/>
              <w:jc w:val="righ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4"/>
              <w:jc w:val="right"/>
              <w:rPr>
                <w:rFonts w:ascii="宋体" w:hAnsi="宋体" w:cs="宋体" w:eastAsia="宋体" w:hint="default"/>
                <w:sz w:val="18"/>
                <w:szCs w:val="18"/>
              </w:rPr>
            </w:pPr>
            <w:r>
              <w:rPr>
                <w:rFonts w:ascii="宋体" w:hAnsi="宋体" w:cs="宋体" w:eastAsia="宋体" w:hint="default"/>
                <w:sz w:val="18"/>
                <w:szCs w:val="18"/>
              </w:rPr>
              <w:t>一、计入其他收益的政府补助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137,247,101.07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118,673,714.71</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4"/>
              <w:jc w:val="left"/>
              <w:rPr>
                <w:rFonts w:ascii="宋体" w:hAnsi="宋体" w:cs="宋体" w:eastAsia="宋体" w:hint="default"/>
                <w:sz w:val="18"/>
                <w:szCs w:val="18"/>
              </w:rPr>
            </w:pPr>
            <w:r>
              <w:rPr>
                <w:rFonts w:ascii="宋体" w:hAnsi="宋体" w:cs="宋体" w:eastAsia="宋体" w:hint="default"/>
                <w:sz w:val="18"/>
                <w:szCs w:val="18"/>
              </w:rPr>
              <w:t>其中：与递延收益相关的政府补助（与 资产相关）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208,333.33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94"/>
              <w:jc w:val="left"/>
              <w:rPr>
                <w:rFonts w:ascii="宋体" w:hAnsi="宋体" w:cs="宋体" w:eastAsia="宋体" w:hint="default"/>
                <w:sz w:val="18"/>
                <w:szCs w:val="18"/>
              </w:rPr>
            </w:pPr>
            <w:r>
              <w:rPr>
                <w:rFonts w:ascii="宋体" w:hAnsi="宋体" w:cs="宋体" w:eastAsia="宋体" w:hint="default"/>
                <w:sz w:val="18"/>
                <w:szCs w:val="18"/>
              </w:rPr>
              <w:t>与递延收益相关的政府补助（与收益相 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4"/>
              <w:jc w:val="left"/>
              <w:rPr>
                <w:rFonts w:ascii="宋体" w:hAnsi="宋体" w:cs="宋体" w:eastAsia="宋体" w:hint="default"/>
                <w:sz w:val="18"/>
                <w:szCs w:val="18"/>
              </w:rPr>
            </w:pPr>
            <w:r>
              <w:rPr>
                <w:rFonts w:ascii="宋体" w:hAnsi="宋体" w:cs="宋体" w:eastAsia="宋体" w:hint="default"/>
                <w:sz w:val="18"/>
                <w:szCs w:val="18"/>
              </w:rPr>
              <w:t>直接计入当期损益的政府补助（与收益 相关）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129,343,767.74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117,473,714.71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4"/>
              <w:jc w:val="left"/>
              <w:rPr>
                <w:rFonts w:ascii="宋体" w:hAnsi="宋体" w:cs="宋体" w:eastAsia="宋体" w:hint="default"/>
                <w:sz w:val="18"/>
                <w:szCs w:val="18"/>
              </w:rPr>
            </w:pPr>
            <w:r>
              <w:rPr>
                <w:rFonts w:ascii="宋体" w:hAnsi="宋体" w:cs="宋体" w:eastAsia="宋体" w:hint="default"/>
                <w:sz w:val="18"/>
                <w:szCs w:val="18"/>
              </w:rPr>
              <w:t>二、其他与日常活动相关且计入其他收 益的项目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5,962,610.59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1,444,809.18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其中：个税扣缴税款手续费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1,481,060.38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1,444,809.18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4,481,550.21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143,209,711.66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120,118,523.89</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43、投资收益" w:id="299"/>
      <w:bookmarkEnd w:id="299"/>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-33,435,956.26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-11,513,749.66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-3.15</w:t>
            </w:r>
            <w:r>
              <w:rPr>
                <w:rFonts w:ascii="Times New Roman"/>
                <w:sz w:val="18"/>
              </w:rPr>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85"/>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889,760.00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3,426,453.37</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3,932,831.16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丧失重大影响之日，股权公允价值与账面价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值之间的差异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9,519,075.27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-965,200.00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-20,059,489.83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-8,087,299.44</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4、公允价值变动收益" w:id="300"/>
      <w:bookmarkEnd w:id="300"/>
      <w:r>
        <w:rPr>
          <w:b w:val="0"/>
          <w:bCs w:val="0"/>
        </w:rPr>
      </w:r>
      <w:r>
        <w:rPr>
          <w:rFonts w:ascii="Times New Roman" w:hAnsi="Times New Roman" w:cs="Times New Roman" w:eastAsia="Times New Roman" w:hint="default"/>
        </w:rPr>
        <w:t>44</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12,901,132.90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12,901,132.90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信用减值损失" w:id="301"/>
      <w:bookmarkEnd w:id="301"/>
      <w:r>
        <w:rPr>
          <w:b w:val="0"/>
          <w:bCs w:val="0"/>
        </w:rPr>
      </w:r>
      <w:r>
        <w:rPr>
          <w:rFonts w:ascii="Times New Roman" w:hAnsi="Times New Roman" w:cs="Times New Roman" w:eastAsia="Times New Roman" w:hint="default"/>
        </w:rPr>
        <w:t>45</w:t>
      </w:r>
      <w:r>
        <w:rPr/>
        <w:t>、信用减值损失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-9,430,499.05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289,939.54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-82,560,265.79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-98,988.39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-91,799,813.69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6、资产减值损失" w:id="302"/>
      <w:bookmarkEnd w:id="302"/>
      <w:r>
        <w:rPr>
          <w:b w:val="0"/>
          <w:bCs w:val="0"/>
        </w:rPr>
      </w:r>
      <w:r>
        <w:rPr>
          <w:rFonts w:ascii="Times New Roman" w:hAnsi="Times New Roman" w:cs="Times New Roman" w:eastAsia="Times New Roman" w:hint="default"/>
        </w:rPr>
        <w:t>46</w:t>
      </w:r>
      <w:r>
        <w:rPr/>
        <w:t>、资产减值损失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-59,582,304.87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-59,582,304.87</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7、资产处置收益" w:id="303"/>
      <w:bookmarkEnd w:id="303"/>
      <w:r>
        <w:rPr>
          <w:b w:val="0"/>
          <w:bCs w:val="0"/>
        </w:rPr>
      </w:r>
      <w:r>
        <w:rPr>
          <w:rFonts w:ascii="Times New Roman" w:hAnsi="Times New Roman" w:cs="Times New Roman" w:eastAsia="Times New Roman" w:hint="default"/>
        </w:rPr>
        <w:t>47</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7" w:hRule="exact"/>
        </w:trPr>
        <w:tc>
          <w:tcPr>
            <w:tcW w:w="3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处置未划分为持有待售的固定资产、在</w:t>
            </w:r>
          </w:p>
        </w:tc>
        <w:tc>
          <w:tcPr>
            <w:tcW w:w="3190"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建工程、生产性生物资产及无形资产的</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-85,417.86</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27,467.21</w:t>
            </w:r>
          </w:p>
        </w:tc>
      </w:tr>
      <w:tr>
        <w:trPr>
          <w:trHeight w:val="353" w:hRule="exact"/>
        </w:trPr>
        <w:tc>
          <w:tcPr>
            <w:tcW w:w="3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处置利得或损失：</w:t>
            </w:r>
          </w:p>
        </w:tc>
        <w:tc>
          <w:tcPr>
            <w:tcW w:w="3190"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-85,417.86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27,467.21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-85,417.86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27,467.21</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48、营业外收入" w:id="304"/>
      <w:bookmarkEnd w:id="304"/>
      <w:r>
        <w:rPr>
          <w:b w:val="0"/>
          <w:bCs w:val="0"/>
        </w:rPr>
      </w:r>
      <w:r>
        <w:rPr>
          <w:rFonts w:ascii="Times New Roman" w:hAnsi="Times New Roman" w:cs="Times New Roman" w:eastAsia="Times New Roman" w:hint="default"/>
        </w:rPr>
        <w:t>48</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66,280.00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291,284.98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291,284.98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351,284.98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89,455.39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351,284.98</w:t>
            </w:r>
          </w:p>
        </w:tc>
      </w:tr>
    </w:tbl>
    <w:p>
      <w:pPr>
        <w:pStyle w:val="BodyText"/>
        <w:spacing w:line="240" w:lineRule="auto" w:before="49"/>
        <w:ind w:right="0"/>
        <w:jc w:val="left"/>
      </w:pPr>
      <w:r>
        <w:rPr/>
        <w:t>计入当期损益的政府补助：</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71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4"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356"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10" w:right="0"/>
              <w:jc w:val="left"/>
              <w:rPr>
                <w:rFonts w:ascii="Times New Roman" w:hAnsi="Times New Roman" w:cs="Times New Roman" w:eastAsia="Times New Roman" w:hint="default"/>
                <w:sz w:val="18"/>
                <w:szCs w:val="18"/>
              </w:rPr>
            </w:pPr>
            <w:r>
              <w:rPr>
                <w:rFonts w:ascii="Times New Roman"/>
                <w:sz w:val="18"/>
              </w:rPr>
              <w:t>60,000.00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10" w:right="0"/>
              <w:jc w:val="left"/>
              <w:rPr>
                <w:rFonts w:ascii="Times New Roman" w:hAnsi="Times New Roman" w:cs="Times New Roman" w:eastAsia="Times New Roman" w:hint="default"/>
                <w:sz w:val="18"/>
                <w:szCs w:val="18"/>
              </w:rPr>
            </w:pPr>
            <w:r>
              <w:rPr>
                <w:rFonts w:ascii="Times New Roman"/>
                <w:sz w:val="18"/>
              </w:rPr>
              <w:t>66,280.00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9、营业外支出" w:id="305"/>
      <w:bookmarkEnd w:id="305"/>
      <w:r>
        <w:rPr>
          <w:b w:val="0"/>
          <w:bCs w:val="0"/>
        </w:rPr>
      </w:r>
      <w:r>
        <w:rPr>
          <w:rFonts w:ascii="Times New Roman" w:hAnsi="Times New Roman" w:cs="Times New Roman" w:eastAsia="Times New Roman" w:hint="default"/>
        </w:rPr>
        <w:t>49</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103,061.95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103,061.95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136,737.05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800,278.42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136,737.05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7,404.27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230.52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240,029.52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847,682.69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240,029.52</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0、所得税费用" w:id="306"/>
      <w:bookmarkEnd w:id="306"/>
      <w:r>
        <w:rPr>
          <w:b w:val="0"/>
          <w:bCs w:val="0"/>
        </w:rPr>
      </w:r>
      <w:r>
        <w:rPr>
          <w:rFonts w:ascii="Times New Roman" w:hAnsi="Times New Roman" w:cs="Times New Roman" w:eastAsia="Times New Roman" w:hint="default"/>
        </w:rPr>
        <w:t>50</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07"/>
      <w:bookmarkEnd w:id="30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38,402,649.51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20,946,920.43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-21,349,267.40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-18,252,692.86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17,053,382.11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2,694,227.57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会计利润与所得税费用调整过程" w:id="308"/>
      <w:bookmarkEnd w:id="30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412,625,143.34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41,262,514.33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640,385.63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-1,923,065.01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3,255,333.52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2,570,092.11</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-11,452.37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3,390,668.01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-23,740,428.31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股权激励行权收益按工资薪金支出列支的影响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-5,409,707.58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-2,980,958.22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17,053,382.11</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1、现金流量表项目" w:id="309"/>
      <w:bookmarkEnd w:id="309"/>
      <w:r>
        <w:rPr>
          <w:b w:val="0"/>
          <w:bCs w:val="0"/>
        </w:rPr>
      </w:r>
      <w:r>
        <w:rPr>
          <w:rFonts w:ascii="Times New Roman" w:hAnsi="Times New Roman" w:cs="Times New Roman" w:eastAsia="Times New Roman" w:hint="default"/>
        </w:rPr>
        <w:t>51</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10"/>
      <w:bookmarkEnd w:id="31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备用金及其他往来款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106,398,985.60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108,402,791.18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44,537,286.51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29,684,407.71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5,453,256.73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2,764,152.34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156,389,528.84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140,851,351.23</w:t>
            </w:r>
          </w:p>
        </w:tc>
      </w:tr>
    </w:tbl>
    <w:p>
      <w:pPr>
        <w:pStyle w:val="BodyText"/>
        <w:spacing w:line="240" w:lineRule="auto" w:before="50"/>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11"/>
      <w:bookmarkEnd w:id="31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219,866,649.02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161,058,262.94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备用金及其他往来款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154,990,015.60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145,010,641.56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47,404.27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374,899,909.31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306,116,308.77</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支付的其他与投资活动有关的现金" w:id="312"/>
      <w:bookmarkEnd w:id="312"/>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股权拍卖保证金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支付的其他与投资活动有关的现金说明：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4）收到的其他与筹资活动有关的现金" w:id="313"/>
      <w:bookmarkEnd w:id="313"/>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股票期权行权代扣代缴的个人所得税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29,754,850.15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17,372,297.77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30,154,850.15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17,372,297.77</w:t>
            </w:r>
          </w:p>
        </w:tc>
      </w:tr>
    </w:tbl>
    <w:p>
      <w:pPr>
        <w:pStyle w:val="BodyText"/>
        <w:spacing w:line="240" w:lineRule="auto" w:before="52"/>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支付的其他与筹资活动有关的现金" w:id="314"/>
      <w:bookmarkEnd w:id="314"/>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股票期权行权代扣代缴的个人所得税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33,721,124.74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19,023,462.95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发放股利代扣代缴的个人所得税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871,873.17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购买少数股东权益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归还个人借款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1,583,158.89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36,809,698.05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21,695,336.12</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2、现金流量表补充资料" w:id="315"/>
      <w:bookmarkEnd w:id="315"/>
      <w:r>
        <w:rPr>
          <w:b w:val="0"/>
          <w:bCs w:val="0"/>
        </w:rPr>
      </w:r>
      <w:r>
        <w:rPr>
          <w:rFonts w:ascii="Times New Roman" w:hAnsi="Times New Roman" w:cs="Times New Roman" w:eastAsia="Times New Roman" w:hint="default"/>
        </w:rPr>
        <w:t>52</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16"/>
      <w:bookmarkEnd w:id="31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395,571,761.23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306,829,036.64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59,582,304.87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91,799,813.69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17,738,754.86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15,888,722.93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34,562,029.02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13,129,311.68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817,199.89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686,455.03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85,417.86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-27,467.21</w:t>
            </w:r>
          </w:p>
        </w:tc>
      </w:tr>
      <w:tr>
        <w:trPr>
          <w:trHeight w:val="71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3"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136,737.05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800,278.42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r>
        <w:rPr/>
        <w:pict>
          <v:shape style="position:absolute;margin-left:217.199997pt;margin-top:219.700027pt;width:158.6pt;height:19.7pt;mso-position-horizontal-relative:page;mso-position-vertical-relative:page;z-index:-1271896"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23.199997pt;margin-top:219.700027pt;width:152.6pt;height:19.850pt;mso-position-horizontal-relative:page;mso-position-vertical-relative:page;z-index:-1271872" coordorigin="4464,4394" coordsize="3052,397">
            <v:shape style="position:absolute;left:4464;top:4394;width:3052;height:397" coordorigin="4464,4394" coordsize="3052,397" path="m4464,4394l7516,4394,7516,4791,4464,4791,4464,439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3" w:firstLine="72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-12,901,132.90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7,941,005.43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9,826,390.73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20,059,489.83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8,087,299.44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-24,712,298.63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-18,252,692.86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3,363,031.23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-17,723,390.19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-57,473,923.93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-410,637,033.56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-495,302,100.24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109,825,501.53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273,464,399.10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17,374,034.81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6,656,512.58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2"/>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233,300,921.15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123,894,527.18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696,360,284.40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503,215,610.87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503,215,610.87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467,467,771.35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8,142,734.26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3,419,905.64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3,419,905.64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8,809,106.02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197,867,502.15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30,358,639.14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本期支付的取得子公司的现金净额" w:id="317"/>
      <w:bookmarkEnd w:id="31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19,205,200.00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19,205,200.00</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本期收到的处置子公司的现金净额" w:id="318"/>
      <w:bookmarkEnd w:id="31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1,288,797.24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711,202.76</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现金和现金等价物的构成" w:id="319"/>
      <w:bookmarkEnd w:id="31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696,360,284.40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503,215,610.87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3,064,048.07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820,453.37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693,296,236.33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502,395,157.50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8,142,734.26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3,419,905.64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其中：三个月内到期的保证金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8,142,734.26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3,419,905.64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704,503,018.66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506,635,516.51</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3、所有者权益变动表项目注释" w:id="320"/>
      <w:bookmarkEnd w:id="320"/>
      <w:r>
        <w:rPr>
          <w:b w:val="0"/>
          <w:bCs w:val="0"/>
        </w:rPr>
      </w:r>
      <w:r>
        <w:rPr>
          <w:rFonts w:ascii="Times New Roman" w:hAnsi="Times New Roman" w:cs="Times New Roman" w:eastAsia="Times New Roman" w:hint="default"/>
        </w:rPr>
        <w:t>53</w:t>
      </w:r>
      <w:r>
        <w:rPr/>
        <w:t>、所有者权益变动表项目注释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日，卫宁互联网科技有限公司、纳里健康科技有限公司和卫宁云医（广州）科技合伙企业（有限合伙）签 </w:t>
      </w:r>
      <w:r>
        <w:rPr>
          <w:spacing w:val="-2"/>
        </w:rPr>
        <w:t>订了股权收购协议。根据股权收购协议，卫宁互联网科技有限公司和纳里健康科技有限公司分别以人民币</w:t>
      </w:r>
      <w:r>
        <w:rPr>
          <w:rFonts w:ascii="Times New Roman" w:hAnsi="Times New Roman" w:cs="Times New Roman" w:eastAsia="Times New Roman" w:hint="default"/>
          <w:spacing w:val="-2"/>
        </w:rPr>
        <w:t>125</w:t>
      </w:r>
      <w:r>
        <w:rPr>
          <w:spacing w:val="-2"/>
        </w:rPr>
        <w:t>万元和</w:t>
      </w:r>
      <w:r>
        <w:rPr>
          <w:rFonts w:ascii="Times New Roman" w:hAnsi="Times New Roman" w:cs="Times New Roman" w:eastAsia="Times New Roman" w:hint="default"/>
          <w:spacing w:val="-2"/>
        </w:rPr>
        <w:t>75</w:t>
      </w:r>
      <w:r>
        <w:rPr>
          <w:spacing w:val="-2"/>
        </w:rPr>
        <w:t>万元，</w:t>
      </w:r>
      <w:r>
        <w:rPr>
          <w:spacing w:val="-59"/>
        </w:rPr>
        <w:t> </w:t>
      </w:r>
      <w:r>
        <w:rPr/>
        <w:t>向卫宁云医（广州）科技合伙企业（有限合伙）转让广东卫宁云医健康产业有限公司</w:t>
      </w:r>
      <w:r>
        <w:rPr>
          <w:rFonts w:ascii="Times New Roman" w:hAnsi="Times New Roman" w:cs="Times New Roman" w:eastAsia="Times New Roman" w:hint="default"/>
        </w:rPr>
        <w:t>25%</w:t>
      </w:r>
      <w:r>
        <w:rPr/>
        <w:t>和</w:t>
      </w:r>
      <w:r>
        <w:rPr>
          <w:rFonts w:ascii="Times New Roman" w:hAnsi="Times New Roman" w:cs="Times New Roman" w:eastAsia="Times New Roman" w:hint="default"/>
        </w:rPr>
        <w:t>15%</w:t>
      </w:r>
      <w:r>
        <w:rPr/>
        <w:t>的股权。股权转让后，公司 对广东卫宁云医健康产业有限公司的间接持股比例由</w:t>
      </w:r>
      <w:r>
        <w:rPr>
          <w:rFonts w:ascii="Times New Roman" w:hAnsi="Times New Roman" w:cs="Times New Roman" w:eastAsia="Times New Roman" w:hint="default"/>
        </w:rPr>
        <w:t>80%</w:t>
      </w:r>
      <w:r>
        <w:rPr/>
        <w:t>下降为</w:t>
      </w:r>
      <w:r>
        <w:rPr>
          <w:rFonts w:ascii="Times New Roman" w:hAnsi="Times New Roman" w:cs="Times New Roman" w:eastAsia="Times New Roman" w:hint="default"/>
        </w:rPr>
        <w:t>40%</w:t>
      </w:r>
      <w:r>
        <w:rPr/>
        <w:t>，对广东卫宁云医健康产业有限公司的核算由成本法转 </w:t>
      </w:r>
      <w:r>
        <w:rPr>
          <w:spacing w:val="4"/>
        </w:rPr>
        <w:t>为权益法核算。对于原取得投资时至处置当期期初广东卫宁云医健康产业有限公司实现的净损益，调整期初未分配利润</w:t>
      </w:r>
    </w:p>
    <w:p>
      <w:pPr>
        <w:pStyle w:val="BodyText"/>
        <w:spacing w:line="240" w:lineRule="auto" w:before="31"/>
        <w:ind w:right="0"/>
        <w:jc w:val="left"/>
      </w:pPr>
      <w:r>
        <w:rPr>
          <w:rFonts w:ascii="Times New Roman" w:hAnsi="Times New Roman" w:cs="Times New Roman" w:eastAsia="Times New Roman" w:hint="default"/>
        </w:rPr>
        <w:t>-1,116,295.27</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4、所有权或使用权受到限制的资产" w:id="321"/>
      <w:bookmarkEnd w:id="321"/>
      <w:r>
        <w:rPr>
          <w:b w:val="0"/>
          <w:bCs w:val="0"/>
        </w:rPr>
      </w:r>
      <w:r>
        <w:rPr>
          <w:rFonts w:ascii="Times New Roman" w:hAnsi="Times New Roman" w:cs="Times New Roman" w:eastAsia="Times New Roman" w:hint="default"/>
        </w:rPr>
        <w:t>54</w:t>
      </w:r>
      <w:r>
        <w:rPr/>
        <w:t>、所有权或使用权受到限制的资产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10,619,790.79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保函及票据保证金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10,619,790.79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55、政府补助" w:id="322"/>
      <w:bookmarkEnd w:id="322"/>
      <w:r>
        <w:rPr>
          <w:b w:val="0"/>
          <w:bCs w:val="0"/>
        </w:rPr>
      </w:r>
      <w:r>
        <w:rPr>
          <w:rFonts w:ascii="Times New Roman" w:hAnsi="Times New Roman" w:cs="Times New Roman" w:eastAsia="Times New Roman" w:hint="default"/>
        </w:rPr>
        <w:t>55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23"/>
      <w:bookmarkEnd w:id="32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97,528,826.59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97,528,826.59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浦东新区财政扶持资金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21,314,519.53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21,314,519.53</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97"/>
              <w:jc w:val="both"/>
              <w:rPr>
                <w:rFonts w:ascii="宋体" w:hAnsi="宋体" w:cs="宋体" w:eastAsia="宋体" w:hint="default"/>
                <w:sz w:val="18"/>
                <w:szCs w:val="18"/>
              </w:rPr>
            </w:pPr>
            <w:r>
              <w:rPr>
                <w:rFonts w:ascii="宋体" w:hAnsi="宋体" w:cs="宋体" w:eastAsia="宋体" w:hint="default"/>
                <w:sz w:val="18"/>
                <w:szCs w:val="18"/>
              </w:rPr>
              <w:t>基于互联网＋的区域医养护 一体化智慧养老和健康服务 创新应用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6,458,333.33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4,481,550.21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4,481,550.21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年杭州国际软件名城创 建项目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3,910,500.00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3,910,500.00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1,481,060.38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1,481,060.38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1,120,100.00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年度第二批高新技术成 果转化项目财政扶持资金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投资专项奖励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579,100.00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年软件和集成电路产业 发展专项资金（第二批）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成都高新科技与人才工作局 专项资金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609,951.20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609,951.20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年度市发改委财政专项 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两江新区财政局补贴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中小微企业发展专项资金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年省级和市级研发中心 区奖励资金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浦东新区科技发展基金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39"/>
              <w:jc w:val="left"/>
              <w:rPr>
                <w:rFonts w:ascii="宋体" w:hAnsi="宋体" w:cs="宋体" w:eastAsia="宋体" w:hint="default"/>
                <w:sz w:val="18"/>
                <w:szCs w:val="18"/>
              </w:rPr>
            </w:pPr>
            <w:r>
              <w:rPr>
                <w:rFonts w:ascii="宋体" w:hAnsi="宋体" w:cs="宋体" w:eastAsia="宋体" w:hint="default"/>
                <w:sz w:val="18"/>
                <w:szCs w:val="18"/>
              </w:rPr>
              <w:t>基于区块链的医疗医保医药 </w:t>
            </w:r>
            <w:r>
              <w:rPr>
                <w:rFonts w:ascii="Times New Roman" w:hAnsi="Times New Roman" w:cs="Times New Roman" w:eastAsia="Times New Roman" w:hint="default"/>
                <w:sz w:val="18"/>
                <w:szCs w:val="18"/>
              </w:rPr>
              <w:t>“</w:t>
            </w:r>
            <w:r>
              <w:rPr>
                <w:rFonts w:ascii="宋体" w:hAnsi="宋体" w:cs="宋体" w:eastAsia="宋体" w:hint="default"/>
                <w:sz w:val="18"/>
                <w:szCs w:val="18"/>
              </w:rPr>
              <w:t>三医联动</w:t>
            </w:r>
            <w:r>
              <w:rPr>
                <w:rFonts w:ascii="Times New Roman" w:hAnsi="Times New Roman" w:cs="Times New Roman" w:eastAsia="Times New Roman" w:hint="default"/>
                <w:sz w:val="18"/>
                <w:szCs w:val="18"/>
              </w:rPr>
              <w:t>”</w:t>
            </w:r>
            <w:r>
              <w:rPr>
                <w:rFonts w:ascii="宋体" w:hAnsi="宋体" w:cs="宋体" w:eastAsia="宋体" w:hint="default"/>
                <w:sz w:val="18"/>
                <w:szCs w:val="18"/>
              </w:rPr>
              <w:t>关键技术攻关及应 用示范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1,612,770.42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1,612,770.42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政府补助退回情况" w:id="324"/>
      <w:bookmarkEnd w:id="32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其他说明：</w:t>
      </w:r>
    </w:p>
    <w:p>
      <w:pPr>
        <w:spacing w:line="240" w:lineRule="auto" w:before="1"/>
        <w:rPr>
          <w:rFonts w:ascii="宋体" w:hAnsi="宋体" w:cs="宋体" w:eastAsia="宋体" w:hint="default"/>
          <w:sz w:val="21"/>
          <w:szCs w:val="21"/>
        </w:rPr>
      </w:pPr>
    </w:p>
    <w:p>
      <w:pPr>
        <w:spacing w:line="487" w:lineRule="auto" w:before="0"/>
        <w:ind w:left="112" w:right="8585" w:firstLine="0"/>
        <w:jc w:val="left"/>
        <w:rPr>
          <w:rFonts w:ascii="宋体" w:hAnsi="宋体" w:cs="宋体" w:eastAsia="宋体" w:hint="default"/>
          <w:sz w:val="21"/>
          <w:szCs w:val="21"/>
        </w:rPr>
      </w:pPr>
      <w:bookmarkStart w:name="56、其他" w:id="325"/>
      <w:bookmarkEnd w:id="325"/>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26"/>
      <w:bookmarkEnd w:id="32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处置子公司" w:id="327"/>
      <w:bookmarkEnd w:id="3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footerReference w:type="default" r:id="rId31"/>
          <w:pgSz w:w="11910" w:h="16840"/>
          <w:pgMar w:footer="978" w:header="746" w:top="1060" w:bottom="1160" w:left="1020" w:right="0"/>
          <w:pgNumType w:start="190"/>
        </w:sectPr>
      </w:pPr>
    </w:p>
    <w:p>
      <w:pPr>
        <w:pStyle w:val="BodyText"/>
        <w:spacing w:line="240" w:lineRule="auto" w:before="107"/>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253" w:space="457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5"/>
        <w:gridCol w:w="735"/>
        <w:gridCol w:w="735"/>
        <w:gridCol w:w="735"/>
        <w:gridCol w:w="735"/>
        <w:gridCol w:w="737"/>
        <w:gridCol w:w="736"/>
        <w:gridCol w:w="736"/>
        <w:gridCol w:w="736"/>
        <w:gridCol w:w="736"/>
      </w:tblGrid>
      <w:tr>
        <w:trPr>
          <w:trHeight w:val="357"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0"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93" w:right="90"/>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91"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91" w:right="92"/>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2" w:right="90"/>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94"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93" w:right="90"/>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2"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2" w:hRule="exact"/>
        </w:trPr>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、收到</w:t>
            </w: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w:t>
            </w: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186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广东卫 宁云医 健康产 业有限 公司</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49" w:right="0"/>
              <w:jc w:val="left"/>
              <w:rPr>
                <w:rFonts w:ascii="Times New Roman" w:hAnsi="Times New Roman" w:cs="Times New Roman" w:eastAsia="Times New Roman" w:hint="default"/>
                <w:sz w:val="18"/>
                <w:szCs w:val="18"/>
              </w:rPr>
            </w:pPr>
            <w:r>
              <w:rPr>
                <w:rFonts w:ascii="Times New Roman"/>
                <w:sz w:val="18"/>
              </w:rPr>
              <w:t>40.00%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2" w:right="160"/>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3" w:right="110"/>
              <w:jc w:val="both"/>
              <w:rPr>
                <w:rFonts w:ascii="宋体" w:hAnsi="宋体" w:cs="宋体" w:eastAsia="宋体" w:hint="default"/>
                <w:sz w:val="18"/>
                <w:szCs w:val="18"/>
              </w:rPr>
            </w:pPr>
            <w:r>
              <w:rPr>
                <w:rFonts w:ascii="宋体" w:hAnsi="宋体" w:cs="宋体" w:eastAsia="宋体" w:hint="default"/>
                <w:sz w:val="18"/>
                <w:szCs w:val="18"/>
              </w:rPr>
              <w:t>股权转 </w:t>
            </w:r>
            <w:r>
              <w:rPr>
                <w:rFonts w:ascii="宋体" w:hAnsi="宋体" w:cs="宋体" w:eastAsia="宋体" w:hint="default"/>
                <w:spacing w:val="-11"/>
                <w:sz w:val="18"/>
                <w:szCs w:val="18"/>
              </w:rPr>
              <w:t>让款；</w:t>
            </w:r>
            <w:r>
              <w:rPr>
                <w:rFonts w:ascii="Times New Roman" w:hAnsi="Times New Roman" w:cs="Times New Roman" w:eastAsia="Times New Roman" w:hint="default"/>
                <w:spacing w:val="-11"/>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股权转 让协议 </w:t>
            </w:r>
            <w:r>
              <w:rPr>
                <w:rFonts w:ascii="宋体" w:hAnsi="宋体" w:cs="宋体" w:eastAsia="宋体" w:hint="default"/>
                <w:spacing w:val="-11"/>
                <w:sz w:val="18"/>
                <w:szCs w:val="18"/>
              </w:rPr>
              <w:t>签订；</w:t>
            </w:r>
            <w:r>
              <w:rPr>
                <w:rFonts w:ascii="Times New Roman" w:hAnsi="Times New Roman" w:cs="Times New Roman" w:eastAsia="Times New Roman" w:hint="default"/>
                <w:spacing w:val="-11"/>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工商变</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1,966,41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47" w:right="0"/>
              <w:jc w:val="left"/>
              <w:rPr>
                <w:rFonts w:ascii="Times New Roman" w:hAnsi="Times New Roman" w:cs="Times New Roman" w:eastAsia="Times New Roman" w:hint="default"/>
                <w:sz w:val="18"/>
                <w:szCs w:val="18"/>
              </w:rPr>
            </w:pPr>
            <w:r>
              <w:rPr>
                <w:rFonts w:ascii="Times New Roman"/>
                <w:sz w:val="18"/>
              </w:rPr>
              <w:t>40.00%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1,966,41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5.58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35"/>
              <w:jc w:val="center"/>
              <w:rPr>
                <w:rFonts w:ascii="宋体" w:hAnsi="宋体" w:cs="宋体" w:eastAsia="宋体" w:hint="default"/>
                <w:sz w:val="18"/>
                <w:szCs w:val="18"/>
              </w:rPr>
            </w:pPr>
            <w:r>
              <w:rPr>
                <w:rFonts w:ascii="宋体" w:hAnsi="宋体" w:cs="宋体" w:eastAsia="宋体" w:hint="default"/>
                <w:sz w:val="18"/>
                <w:szCs w:val="18"/>
              </w:rPr>
              <w:t>更登记</w:t>
            </w: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35"/>
              <w:jc w:val="center"/>
              <w:rPr>
                <w:rFonts w:ascii="宋体" w:hAnsi="宋体" w:cs="宋体" w:eastAsia="宋体" w:hint="default"/>
                <w:sz w:val="18"/>
                <w:szCs w:val="18"/>
              </w:rPr>
            </w:pPr>
            <w:r>
              <w:rPr>
                <w:rFonts w:ascii="宋体" w:hAnsi="宋体" w:cs="宋体" w:eastAsia="宋体" w:hint="default"/>
                <w:sz w:val="18"/>
                <w:szCs w:val="18"/>
              </w:rPr>
              <w:t>完成。</w:t>
            </w: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pStyle w:val="BodyText"/>
        <w:spacing w:line="360" w:lineRule="auto" w:before="50"/>
        <w:ind w:right="4994"/>
        <w:jc w:val="left"/>
      </w:pPr>
      <w:r>
        <w:rPr/>
        <w:pict>
          <v:shape style="position:absolute;margin-left:271.440002pt;margin-top:-160.608276pt;width:42.6pt;height:160.25pt;mso-position-horizontal-relative:page;mso-position-vertical-relative:paragraph;z-index:-12718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pict>
          <v:group style="position:absolute;margin-left:277.5pt;margin-top:-160.608276pt;width:36.5pt;height:160.25pt;mso-position-horizontal-relative:page;mso-position-vertical-relative:paragraph;z-index:-1271824" coordorigin="5550,-3212" coordsize="730,3205">
            <v:shape style="position:absolute;left:5550;top:-3212;width:730;height:3205" coordorigin="5550,-3212" coordsize="730,3205" path="m5550,-3212l6280,-3212,6280,-7,5550,-7,5550,-3212xe" filled="true" fillcolor="#ffffff" stroked="false">
              <v:path arrowok="t"/>
              <v:fill type="solid"/>
            </v:shape>
            <w10:wrap type="none"/>
          </v:group>
        </w:pict>
      </w:r>
      <w:r>
        <w:rPr/>
        <w:t>其他说明： 是否存在通过多次交易分步处置对子公司投资且在本期丧失控制权的情形</w:t>
      </w:r>
    </w:p>
    <w:p>
      <w:pPr>
        <w:pStyle w:val="BodyText"/>
        <w:spacing w:line="240" w:lineRule="auto" w:before="2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其他原因的合并范围变动" w:id="328"/>
      <w:bookmarkEnd w:id="328"/>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after="0" w:line="240" w:lineRule="auto"/>
        <w:jc w:val="left"/>
        <w:sectPr>
          <w:type w:val="continuous"/>
          <w:pgSz w:w="11910" w:h="16840"/>
          <w:pgMar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1120" w:firstLine="36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4</w:t>
      </w:r>
      <w:r>
        <w:rPr>
          <w:spacing w:val="-1"/>
        </w:rPr>
        <w:t>日，公司与自然人金博、崔长征共同出资设立陕西卫宁互联网科技有限公司，公司持有其</w:t>
      </w:r>
      <w:r>
        <w:rPr>
          <w:rFonts w:ascii="Times New Roman" w:hAnsi="Times New Roman" w:cs="Times New Roman" w:eastAsia="Times New Roman" w:hint="default"/>
          <w:spacing w:val="-1"/>
        </w:rPr>
        <w:t>51%</w:t>
      </w:r>
      <w:r>
        <w:rPr>
          <w:spacing w:val="-1"/>
        </w:rPr>
        <w:t>股权，于本年</w:t>
      </w:r>
      <w:r>
        <w:rPr/>
        <w:t> 度纳入公司财务报表合并范围。</w:t>
      </w:r>
    </w:p>
    <w:p>
      <w:pPr>
        <w:pStyle w:val="BodyText"/>
        <w:spacing w:line="300" w:lineRule="auto" w:before="31"/>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日，公司新设投资全资子公司上海卫心科技有限公司，注册资本</w:t>
      </w:r>
      <w:r>
        <w:rPr>
          <w:rFonts w:ascii="Times New Roman" w:hAnsi="Times New Roman" w:cs="Times New Roman" w:eastAsia="Times New Roman" w:hint="default"/>
        </w:rPr>
        <w:t>2,000.00</w:t>
      </w:r>
      <w:r>
        <w:rPr/>
        <w:t>万元，于本年度纳入公司财务报 表合并范围。</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九、在其他主体中的权益" w:id="329"/>
      <w:bookmarkEnd w:id="329"/>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30"/>
      <w:bookmarkEnd w:id="33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31"/>
      <w:bookmarkEnd w:id="33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江苏卫宁软件有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西安卫宁软件有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新疆卫宁软件有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山西卫宁软件有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北京卫宁健康科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宁波金仕达卫宁 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重庆卫宁软件有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黑龙江卫宁软件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合肥汉思信息技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深圳卫宁中天软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四川卫宁软件有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广东卫宁软件有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卫宁互联网科技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卫宁互联网科技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天津卫宁软件有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快享医疗科技</w:t>
            </w:r>
          </w:p>
          <w:p>
            <w:pPr>
              <w:pStyle w:val="TableParagraph"/>
              <w:spacing w:line="316" w:lineRule="auto" w:before="76"/>
              <w:ind w:left="22" w:right="76"/>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宣城卫宁软件科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宣城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陕西卫宁互联网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上海卫心科技有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0"/>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769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332"/>
      <w:bookmarkEnd w:id="33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center"/>
              <w:rPr>
                <w:rFonts w:ascii="宋体" w:hAnsi="宋体" w:cs="宋体" w:eastAsia="宋体" w:hint="default"/>
                <w:sz w:val="18"/>
                <w:szCs w:val="18"/>
              </w:rPr>
            </w:pPr>
            <w:r>
              <w:rPr>
                <w:rFonts w:ascii="宋体" w:hAnsi="宋体" w:cs="宋体" w:eastAsia="宋体" w:hint="default"/>
                <w:sz w:val="18"/>
                <w:szCs w:val="18"/>
              </w:rPr>
              <w:t>新疆卫宁软件有限公司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4,208,852.04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14,026,074.12</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浙江万鼎信息技术有限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310,566.00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1,632,336.85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宁波金仕达卫宁软件有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-520,581.64</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重庆卫宁软件有限公司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-2,268,616.25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3,982,446.70</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黑龙江卫宁软件有限公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-1,219,763.21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-4,286,418.23</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合肥汉思信息技术有限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3,913,864.33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19,192,124.87</w:t>
            </w:r>
          </w:p>
        </w:tc>
      </w:tr>
      <w:tr>
        <w:trPr>
          <w:trHeight w:val="40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center"/>
              <w:rPr>
                <w:rFonts w:ascii="宋体" w:hAnsi="宋体" w:cs="宋体" w:eastAsia="宋体" w:hint="default"/>
                <w:sz w:val="18"/>
                <w:szCs w:val="18"/>
              </w:rPr>
            </w:pPr>
            <w:r>
              <w:rPr>
                <w:rFonts w:ascii="宋体" w:hAnsi="宋体" w:cs="宋体" w:eastAsia="宋体" w:hint="default"/>
                <w:sz w:val="18"/>
                <w:szCs w:val="18"/>
              </w:rPr>
              <w:t>四川卫宁软件有限公司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2,988,408.42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8,327,271.94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广东卫宁软件有限公司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271,748.52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5,875,731.33</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卫宁互联网科技有限公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-10,390,489.61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125,703,158.93</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快享医疗科技（上海）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-1,892,196.94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-1,141,280.17</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陕西卫宁互联网科技有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-679,204.40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790,795.60</w:t>
            </w:r>
          </w:p>
        </w:tc>
      </w:tr>
    </w:tbl>
    <w:p>
      <w:pPr>
        <w:pStyle w:val="BodyText"/>
        <w:spacing w:line="360" w:lineRule="auto" w:before="50"/>
        <w:ind w:right="643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333"/>
      <w:bookmarkEnd w:id="33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新疆卫</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宁软件</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53,108,7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1,332,91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54,441,6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25,728,8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88,130.0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25,816,9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5"/>
              <w:jc w:val="right"/>
              <w:rPr>
                <w:rFonts w:ascii="Times New Roman" w:hAnsi="Times New Roman" w:cs="Times New Roman" w:eastAsia="Times New Roman" w:hint="default"/>
                <w:sz w:val="18"/>
                <w:szCs w:val="18"/>
              </w:rPr>
            </w:pPr>
            <w:r>
              <w:rPr>
                <w:rFonts w:ascii="Times New Roman"/>
                <w:spacing w:val="-1"/>
                <w:sz w:val="18"/>
              </w:rPr>
              <w:t>35,734,1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1,077,21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w w:val="95"/>
                <w:sz w:val="18"/>
              </w:rPr>
              <w:t>36,811,3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16,688,0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88,130.0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16,776,1</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03.85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5.77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19.62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48.58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78.58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14.21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3.81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28.02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50.93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80.93</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浙江万</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鼎信息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3"/>
              <w:jc w:val="right"/>
              <w:rPr>
                <w:rFonts w:ascii="Times New Roman" w:hAnsi="Times New Roman" w:cs="Times New Roman" w:eastAsia="Times New Roman" w:hint="default"/>
                <w:sz w:val="18"/>
                <w:szCs w:val="18"/>
              </w:rPr>
            </w:pPr>
            <w:r>
              <w:rPr>
                <w:rFonts w:ascii="Times New Roman"/>
                <w:spacing w:val="-1"/>
                <w:sz w:val="18"/>
              </w:rPr>
              <w:t>24,091,1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3,141,38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27,232,4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4,412,82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273,573.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4,686,40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18,988,7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3,671,04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22,659,8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w w:val="95"/>
                <w:sz w:val="18"/>
              </w:rPr>
              <w:t>4,113,05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290,251.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4,403,30</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技术有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10.12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91.97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9.98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2.98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63.20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6.91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6"/>
              <w:jc w:val="right"/>
              <w:rPr>
                <w:rFonts w:ascii="Times New Roman" w:hAnsi="Times New Roman" w:cs="Times New Roman" w:eastAsia="Times New Roman" w:hint="default"/>
                <w:sz w:val="18"/>
                <w:szCs w:val="18"/>
              </w:rPr>
            </w:pPr>
            <w:r>
              <w:rPr>
                <w:rFonts w:ascii="Times New Roman"/>
                <w:spacing w:val="-1"/>
                <w:w w:val="95"/>
                <w:sz w:val="18"/>
              </w:rPr>
              <w:t>10.11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5.82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6.82</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仕达卫 宁软件 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711,337.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45,994.0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694,617.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711,337.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45,994.0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45,994.0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重庆卫</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宁软件</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22,320,1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895,014.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23,215,1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15,087,7</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15,087,7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19,501,8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118,276.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3"/>
              <w:jc w:val="right"/>
              <w:rPr>
                <w:rFonts w:ascii="Times New Roman" w:hAnsi="Times New Roman" w:cs="Times New Roman" w:eastAsia="Times New Roman" w:hint="default"/>
                <w:sz w:val="18"/>
                <w:szCs w:val="18"/>
              </w:rPr>
            </w:pPr>
            <w:r>
              <w:rPr>
                <w:rFonts w:ascii="Times New Roman"/>
                <w:spacing w:val="-1"/>
                <w:sz w:val="18"/>
              </w:rPr>
              <w:t>19,620,1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6,862,84</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6,862,84</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77.40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50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91.90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49.65</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49.65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41.04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17.88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6.54</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6.54</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卫宁软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5,948,02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203,092.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6,151,11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14,745,0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153,882.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14,898,9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8,189,42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2,382,18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10,571,6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16,628,8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201,236.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16,830,0</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5.21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7.75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27.29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76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10.05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4.60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8.67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13.27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56.14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92.90</w:t>
            </w:r>
          </w:p>
        </w:tc>
      </w:tr>
      <w:tr>
        <w:trPr>
          <w:trHeight w:val="350"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合肥汉</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思信息 技术有 限责任</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59,580,3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72.17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1,389,74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8.77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60,970,1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20.94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21,604,8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03.16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21,802,5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19.16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52,107,7</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25.91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1,129,16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5.55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53,236,8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91.46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21,910,5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04.31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22,056,7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67.91</w:t>
            </w:r>
          </w:p>
        </w:tc>
      </w:tr>
      <w:tr>
        <w:trPr>
          <w:trHeight w:val="358"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深圳卫</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宁中天 软件有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4" w:right="0"/>
              <w:jc w:val="left"/>
              <w:rPr>
                <w:rFonts w:ascii="Times New Roman" w:hAnsi="Times New Roman" w:cs="Times New Roman" w:eastAsia="Times New Roman" w:hint="default"/>
                <w:sz w:val="18"/>
                <w:szCs w:val="18"/>
              </w:rPr>
            </w:pPr>
            <w:r>
              <w:rPr>
                <w:rFonts w:ascii="Times New Roman"/>
                <w:sz w:val="18"/>
              </w:rPr>
              <w:t>49,146,4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3,105,95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9.76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52,252,4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33.16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10,693,7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32.21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10,694,9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32.21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42,721,5</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33.04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3,957,81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8.26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46,679,3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51.30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4" w:right="0"/>
              <w:jc w:val="left"/>
              <w:rPr>
                <w:rFonts w:ascii="Times New Roman" w:hAnsi="Times New Roman" w:cs="Times New Roman" w:eastAsia="Times New Roman" w:hint="default"/>
                <w:sz w:val="18"/>
                <w:szCs w:val="18"/>
              </w:rPr>
            </w:pPr>
            <w:r>
              <w:rPr>
                <w:rFonts w:ascii="Times New Roman"/>
                <w:sz w:val="18"/>
              </w:rPr>
              <w:t>20,752,0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95.81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20,765,8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95.81</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四川卫</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宁软件</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4" w:right="0"/>
              <w:jc w:val="left"/>
              <w:rPr>
                <w:rFonts w:ascii="Times New Roman" w:hAnsi="Times New Roman" w:cs="Times New Roman" w:eastAsia="Times New Roman" w:hint="default"/>
                <w:sz w:val="18"/>
                <w:szCs w:val="18"/>
              </w:rPr>
            </w:pPr>
            <w:r>
              <w:rPr>
                <w:rFonts w:ascii="Times New Roman"/>
                <w:sz w:val="18"/>
              </w:rPr>
              <w:t>49,546,1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819,314.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50,365,4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32,480,5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890,438.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33,371,0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29,909,9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864,416.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30,774,3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19,426,4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452,238.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19,878,6</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43.79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58.20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87.66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25.66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21.67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38.62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60.38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98.78</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广东卫</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宁软件</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4" w:right="0"/>
              <w:jc w:val="left"/>
              <w:rPr>
                <w:rFonts w:ascii="Times New Roman" w:hAnsi="Times New Roman" w:cs="Times New Roman" w:eastAsia="Times New Roman" w:hint="default"/>
                <w:sz w:val="18"/>
                <w:szCs w:val="18"/>
              </w:rPr>
            </w:pPr>
            <w:r>
              <w:rPr>
                <w:rFonts w:ascii="Times New Roman"/>
                <w:sz w:val="18"/>
              </w:rPr>
              <w:t>19,527,6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3,647,75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23,175,4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2"/>
                <w:sz w:val="18"/>
              </w:rPr>
              <w:t>11,173,7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10,376.0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sz w:val="18"/>
              </w:rPr>
              <w:t>11,184,1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16,722,6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1,108,68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17,831,3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7,651,30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31,186.0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7,682,48</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60.97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9.96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20.93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56.51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32.51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39.28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7.30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26.58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7.24</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卫宁互</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联网科</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7" w:right="0"/>
              <w:jc w:val="left"/>
              <w:rPr>
                <w:rFonts w:ascii="Times New Roman" w:hAnsi="Times New Roman" w:cs="Times New Roman" w:eastAsia="Times New Roman" w:hint="default"/>
                <w:sz w:val="18"/>
                <w:szCs w:val="18"/>
              </w:rPr>
            </w:pPr>
            <w:r>
              <w:rPr>
                <w:rFonts w:ascii="Times New Roman"/>
                <w:sz w:val="18"/>
              </w:rPr>
              <w:t>323,472,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5"/>
              <w:jc w:val="right"/>
              <w:rPr>
                <w:rFonts w:ascii="Times New Roman" w:hAnsi="Times New Roman" w:cs="Times New Roman" w:eastAsia="Times New Roman" w:hint="default"/>
                <w:sz w:val="18"/>
                <w:szCs w:val="18"/>
              </w:rPr>
            </w:pPr>
            <w:r>
              <w:rPr>
                <w:rFonts w:ascii="Times New Roman"/>
                <w:spacing w:val="-1"/>
                <w:sz w:val="18"/>
              </w:rPr>
              <w:t>161,957,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4"/>
              <w:jc w:val="right"/>
              <w:rPr>
                <w:rFonts w:ascii="Times New Roman" w:hAnsi="Times New Roman" w:cs="Times New Roman" w:eastAsia="Times New Roman" w:hint="default"/>
                <w:sz w:val="18"/>
                <w:szCs w:val="18"/>
              </w:rPr>
            </w:pPr>
            <w:r>
              <w:rPr>
                <w:rFonts w:ascii="Times New Roman"/>
                <w:spacing w:val="-1"/>
                <w:sz w:val="18"/>
              </w:rPr>
              <w:t>485,430,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6"/>
              <w:jc w:val="right"/>
              <w:rPr>
                <w:rFonts w:ascii="Times New Roman" w:hAnsi="Times New Roman" w:cs="Times New Roman" w:eastAsia="Times New Roman" w:hint="default"/>
                <w:sz w:val="18"/>
                <w:szCs w:val="18"/>
              </w:rPr>
            </w:pPr>
            <w:r>
              <w:rPr>
                <w:rFonts w:ascii="Times New Roman"/>
                <w:spacing w:val="-1"/>
                <w:sz w:val="18"/>
              </w:rPr>
              <w:t>108,844,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6"/>
              <w:jc w:val="right"/>
              <w:rPr>
                <w:rFonts w:ascii="Times New Roman" w:hAnsi="Times New Roman" w:cs="Times New Roman" w:eastAsia="Times New Roman" w:hint="default"/>
                <w:sz w:val="18"/>
                <w:szCs w:val="18"/>
              </w:rPr>
            </w:pPr>
            <w:r>
              <w:rPr>
                <w:rFonts w:ascii="Times New Roman"/>
                <w:spacing w:val="-1"/>
                <w:sz w:val="18"/>
              </w:rPr>
              <w:t>731,077.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7" w:right="0"/>
              <w:jc w:val="left"/>
              <w:rPr>
                <w:rFonts w:ascii="Times New Roman" w:hAnsi="Times New Roman" w:cs="Times New Roman" w:eastAsia="Times New Roman" w:hint="default"/>
                <w:sz w:val="18"/>
                <w:szCs w:val="18"/>
              </w:rPr>
            </w:pPr>
            <w:r>
              <w:rPr>
                <w:rFonts w:ascii="Times New Roman"/>
                <w:sz w:val="18"/>
              </w:rPr>
              <w:t>109,575,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188,126,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144,496,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332,622,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62,778,6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419,911.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63,198,5</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14" w:right="0"/>
              <w:jc w:val="left"/>
              <w:rPr>
                <w:rFonts w:ascii="Times New Roman" w:hAnsi="Times New Roman" w:cs="Times New Roman" w:eastAsia="Times New Roman" w:hint="default"/>
                <w:sz w:val="18"/>
                <w:szCs w:val="18"/>
              </w:rPr>
            </w:pPr>
            <w:r>
              <w:rPr>
                <w:rFonts w:ascii="Times New Roman"/>
                <w:sz w:val="18"/>
              </w:rPr>
              <w:t>756.05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15" w:right="0"/>
              <w:jc w:val="left"/>
              <w:rPr>
                <w:rFonts w:ascii="Times New Roman" w:hAnsi="Times New Roman" w:cs="Times New Roman" w:eastAsia="Times New Roman" w:hint="default"/>
                <w:sz w:val="18"/>
                <w:szCs w:val="18"/>
              </w:rPr>
            </w:pPr>
            <w:r>
              <w:rPr>
                <w:rFonts w:ascii="Times New Roman"/>
                <w:sz w:val="18"/>
              </w:rPr>
              <w:t>837.53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13" w:right="0"/>
              <w:jc w:val="left"/>
              <w:rPr>
                <w:rFonts w:ascii="Times New Roman" w:hAnsi="Times New Roman" w:cs="Times New Roman" w:eastAsia="Times New Roman" w:hint="default"/>
                <w:sz w:val="18"/>
                <w:szCs w:val="18"/>
              </w:rPr>
            </w:pPr>
            <w:r>
              <w:rPr>
                <w:rFonts w:ascii="Times New Roman"/>
                <w:sz w:val="18"/>
              </w:rPr>
              <w:t>593.58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14" w:right="0"/>
              <w:jc w:val="left"/>
              <w:rPr>
                <w:rFonts w:ascii="Times New Roman" w:hAnsi="Times New Roman" w:cs="Times New Roman" w:eastAsia="Times New Roman" w:hint="default"/>
                <w:sz w:val="18"/>
                <w:szCs w:val="18"/>
              </w:rPr>
            </w:pPr>
            <w:r>
              <w:rPr>
                <w:rFonts w:ascii="Times New Roman"/>
                <w:sz w:val="18"/>
              </w:rPr>
              <w:t>079.89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18"/>
                <w:szCs w:val="18"/>
              </w:rPr>
            </w:pPr>
            <w:r>
              <w:rPr>
                <w:rFonts w:ascii="Times New Roman"/>
                <w:sz w:val="18"/>
              </w:rPr>
              <w:t>50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15" w:right="0"/>
              <w:jc w:val="left"/>
              <w:rPr>
                <w:rFonts w:ascii="Times New Roman" w:hAnsi="Times New Roman" w:cs="Times New Roman" w:eastAsia="Times New Roman" w:hint="default"/>
                <w:sz w:val="18"/>
                <w:szCs w:val="18"/>
              </w:rPr>
            </w:pPr>
            <w:r>
              <w:rPr>
                <w:rFonts w:ascii="Times New Roman"/>
                <w:sz w:val="18"/>
              </w:rPr>
              <w:t>157.39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324.69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237.84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562.53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61.35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72.95</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快享医</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疗科技</w:t>
            </w:r>
          </w:p>
          <w:p>
            <w:pPr>
              <w:pStyle w:val="TableParagraph"/>
              <w:spacing w:line="316" w:lineRule="auto" w:before="76"/>
              <w:ind w:left="22" w:right="-17"/>
              <w:jc w:val="left"/>
              <w:rPr>
                <w:rFonts w:ascii="宋体" w:hAnsi="宋体" w:cs="宋体" w:eastAsia="宋体" w:hint="default"/>
                <w:sz w:val="18"/>
                <w:szCs w:val="18"/>
              </w:rPr>
            </w:pPr>
            <w:r>
              <w:rPr>
                <w:rFonts w:ascii="宋体" w:hAnsi="宋体" w:cs="宋体" w:eastAsia="宋体" w:hint="default"/>
                <w:sz w:val="18"/>
                <w:szCs w:val="18"/>
              </w:rPr>
              <w:t>（上海） 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2,529,44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9,256,52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11,785,9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69.93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10,232,3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06.78</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10,232,3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06.78</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陕西卫</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宁互联 网科技 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1,837,71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412,714.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2,250,42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7.21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636,558.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8"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left"/>
              <w:rPr>
                <w:rFonts w:ascii="宋体" w:hAnsi="宋体" w:cs="宋体" w:eastAsia="宋体" w:hint="default"/>
                <w:sz w:val="18"/>
                <w:szCs w:val="18"/>
              </w:rPr>
            </w:pPr>
            <w:r>
              <w:rPr>
                <w:rFonts w:ascii="宋体" w:hAnsi="宋体" w:cs="宋体" w:eastAsia="宋体" w:hint="default"/>
                <w:sz w:val="18"/>
                <w:szCs w:val="18"/>
              </w:rPr>
              <w:t>新疆卫宁软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38,576,295.3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8,589,493.95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8,589,493.95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6,419,051.86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13,331,327.6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-3,130,277.16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-3,130,277.16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-7,420,503.99</w:t>
            </w:r>
          </w:p>
        </w:tc>
      </w:tr>
      <w:tr>
        <w:trPr>
          <w:trHeight w:val="102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浙江万鼎信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11,895,097.9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4,289,585.70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4,289,585.70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-1,372,130.13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10,916,255.7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4,148,110.30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4,148,110.30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-2,486,878.69</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宁波金仕达 卫宁软件有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-43,908.12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-43,908.12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-43,908.12</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重庆卫宁软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15,873,257.4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-4,629,829.09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-4,629,829.09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-3,471,553.05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14,268,701.8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2,751,843.80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2,751,843.80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7,170.86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黑龙江卫宁 软件有限公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-2,489,312.67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-2,489,312.67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-1,964,191.68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6,350,817.02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-4,418,730.12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-4,418,730.12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-3,410,317.92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合肥汉思信 息技术有限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32,589,953.7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7,987,478.23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7,987,478.23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2,015,665.38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27,859,286.9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6,883,135.92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6,883,135.92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-2,324,692.54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深圳卫宁中 天软件有限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38,115,716.6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15,644,045.4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15,644,045.4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6,032,392.16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36,975,392.7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10,254,362.7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10,254,362.7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4,917,585.74</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四川卫宁软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55,390,847.5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6,098,792.70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6,098,792.70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11,951,984.1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38,950,886.1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4,626,407.30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4,626,407.30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220,699.13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left"/>
              <w:rPr>
                <w:rFonts w:ascii="宋体" w:hAnsi="宋体" w:cs="宋体" w:eastAsia="宋体" w:hint="default"/>
                <w:sz w:val="18"/>
                <w:szCs w:val="18"/>
              </w:rPr>
            </w:pPr>
            <w:r>
              <w:rPr>
                <w:rFonts w:ascii="宋体" w:hAnsi="宋体" w:cs="宋体" w:eastAsia="宋体" w:hint="default"/>
                <w:sz w:val="18"/>
                <w:szCs w:val="18"/>
              </w:rPr>
              <w:t>广东卫宁软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13,797,081.0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554,588.81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554,588.81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-154,328.14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15,197,617.2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1,901,517.04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1,901,517.04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-714,294.59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卫宁互联网 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95,776,055.1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-19,573,181.3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-19,573,181.3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-34,726,266.9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83,813,952.9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-12,728,787.8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-12,728,787.8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-25,303,536.1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快享医疗科 </w:t>
            </w:r>
            <w:r>
              <w:rPr>
                <w:rFonts w:ascii="宋体" w:hAnsi="宋体" w:cs="宋体" w:eastAsia="宋体" w:hint="default"/>
                <w:spacing w:val="-13"/>
                <w:sz w:val="18"/>
                <w:szCs w:val="18"/>
              </w:rPr>
              <w:t>技（上海）有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7,561,076.48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-10,389,998.7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-10,389,998.7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-13,948,899.3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陕西卫宁互 联网科技有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42,071.18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-1,386,131.43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-1,386,131.43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-1,137,855.10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在子公司的所有者权益份额发生变化且仍控制子公司的交易" w:id="334"/>
      <w:bookmarkEnd w:id="33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35"/>
      <w:bookmarkEnd w:id="33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8" w:firstLine="360"/>
        <w:jc w:val="both"/>
      </w:pPr>
      <w:r>
        <w:rPr/>
        <w:t>①公司与深圳卫宁中天软件有限公司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深圳卫宁</w:t>
      </w:r>
      <w:r>
        <w:rPr>
          <w:rFonts w:ascii="Times New Roman" w:hAnsi="Times New Roman" w:cs="Times New Roman" w:eastAsia="Times New Roman" w:hint="default"/>
        </w:rPr>
        <w:t>”)</w:t>
      </w:r>
      <w:r>
        <w:rPr/>
        <w:t>少数股东签订股权转让协议，以</w:t>
      </w:r>
      <w:r>
        <w:rPr>
          <w:rFonts w:ascii="Times New Roman" w:hAnsi="Times New Roman" w:cs="Times New Roman" w:eastAsia="Times New Roman" w:hint="default"/>
        </w:rPr>
        <w:t>420</w:t>
      </w:r>
      <w:r>
        <w:rPr/>
        <w:t>万元购买少数股东持有</w:t>
      </w:r>
      <w:r>
        <w:rPr>
          <w:w w:val="99"/>
        </w:rPr>
        <w:t> </w:t>
      </w:r>
      <w:r>
        <w:rPr>
          <w:rFonts w:ascii="Times New Roman" w:hAnsi="Times New Roman" w:cs="Times New Roman" w:eastAsia="Times New Roman" w:hint="default"/>
          <w:spacing w:val="-2"/>
        </w:rPr>
        <w:t>9.25%</w:t>
      </w:r>
      <w:r>
        <w:rPr>
          <w:spacing w:val="-2"/>
        </w:rPr>
        <w:t>的深圳卫宁股权，公司持有深圳卫宁的股权比例由</w:t>
      </w:r>
      <w:r>
        <w:rPr>
          <w:rFonts w:ascii="Times New Roman" w:hAnsi="Times New Roman" w:cs="Times New Roman" w:eastAsia="Times New Roman" w:hint="default"/>
          <w:spacing w:val="-2"/>
        </w:rPr>
        <w:t>90.75%</w:t>
      </w:r>
      <w:r>
        <w:rPr>
          <w:spacing w:val="-2"/>
        </w:rPr>
        <w:t>增加到</w:t>
      </w:r>
      <w:r>
        <w:rPr>
          <w:rFonts w:ascii="Times New Roman" w:hAnsi="Times New Roman" w:cs="Times New Roman" w:eastAsia="Times New Roman" w:hint="default"/>
          <w:spacing w:val="-2"/>
        </w:rPr>
        <w:t>100%</w:t>
      </w:r>
      <w:r>
        <w:rPr>
          <w:spacing w:val="-2"/>
        </w:rPr>
        <w:t>，导致本公司在深圳卫宁的所有者权益份额发生</w:t>
      </w:r>
      <w:r>
        <w:rPr>
          <w:spacing w:val="-57"/>
        </w:rPr>
        <w:t> </w:t>
      </w:r>
      <w:r>
        <w:rPr>
          <w:spacing w:val="-57"/>
        </w:rPr>
      </w:r>
      <w:r>
        <w:rPr/>
        <w:t>变化；</w:t>
      </w:r>
    </w:p>
    <w:p>
      <w:pPr>
        <w:pStyle w:val="BodyText"/>
        <w:spacing w:line="300" w:lineRule="auto" w:before="31"/>
        <w:ind w:right="1125" w:firstLine="360"/>
        <w:jc w:val="both"/>
      </w:pPr>
      <w:r>
        <w:rPr>
          <w:spacing w:val="-1"/>
        </w:rPr>
        <w:t>②公司与上海快享企业管理中心</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快享企业</w:t>
      </w:r>
      <w:r>
        <w:rPr>
          <w:rFonts w:ascii="Times New Roman" w:hAnsi="Times New Roman" w:cs="Times New Roman" w:eastAsia="Times New Roman" w:hint="default"/>
          <w:spacing w:val="-1"/>
        </w:rPr>
        <w:t>”</w:t>
      </w:r>
      <w:r>
        <w:rPr>
          <w:spacing w:val="-1"/>
        </w:rPr>
        <w:t>）、自然人薛征以及快享医疗科技</w:t>
      </w:r>
      <w:r>
        <w:rPr>
          <w:rFonts w:ascii="Times New Roman" w:hAnsi="Times New Roman" w:cs="Times New Roman" w:eastAsia="Times New Roman" w:hint="default"/>
          <w:spacing w:val="-1"/>
        </w:rPr>
        <w:t>(</w:t>
      </w:r>
      <w:r>
        <w:rPr>
          <w:spacing w:val="-1"/>
        </w:rPr>
        <w:t>上海</w:t>
      </w:r>
      <w:r>
        <w:rPr>
          <w:rFonts w:ascii="Times New Roman" w:hAnsi="Times New Roman" w:cs="Times New Roman" w:eastAsia="Times New Roman" w:hint="default"/>
          <w:spacing w:val="-1"/>
        </w:rPr>
        <w:t>)</w:t>
      </w:r>
      <w:r>
        <w:rPr>
          <w:spacing w:val="-1"/>
        </w:rPr>
        <w:t>有限公司</w:t>
      </w:r>
      <w:r>
        <w:rPr>
          <w:rFonts w:ascii="Times New Roman" w:hAnsi="Times New Roman" w:cs="Times New Roman" w:eastAsia="Times New Roman" w:hint="default"/>
          <w:spacing w:val="-1"/>
        </w:rPr>
        <w:t>(</w:t>
      </w:r>
      <w:r>
        <w:rPr>
          <w:spacing w:val="-1"/>
        </w:rPr>
        <w:t>以下</w:t>
      </w:r>
      <w:r>
        <w:rPr/>
        <w:t> 简称</w:t>
      </w:r>
      <w:r>
        <w:rPr>
          <w:rFonts w:ascii="Times New Roman" w:hAnsi="Times New Roman" w:cs="Times New Roman" w:eastAsia="Times New Roman" w:hint="default"/>
        </w:rPr>
        <w:t>“</w:t>
      </w:r>
      <w:r>
        <w:rPr/>
        <w:t>快享医疗</w:t>
      </w:r>
      <w:r>
        <w:rPr>
          <w:rFonts w:ascii="Times New Roman" w:hAnsi="Times New Roman" w:cs="Times New Roman" w:eastAsia="Times New Roman" w:hint="default"/>
        </w:rPr>
        <w:t>”</w:t>
      </w:r>
      <w:r>
        <w:rPr/>
        <w:t>）签订股权转让协议，本公司分别向快享企业和薛征转让快享医疗</w:t>
      </w:r>
      <w:r>
        <w:rPr>
          <w:rFonts w:ascii="Times New Roman" w:hAnsi="Times New Roman" w:cs="Times New Roman" w:eastAsia="Times New Roman" w:hint="default"/>
        </w:rPr>
        <w:t>14.89%</w:t>
      </w:r>
      <w:r>
        <w:rPr/>
        <w:t>和</w:t>
      </w:r>
      <w:r>
        <w:rPr>
          <w:rFonts w:ascii="Times New Roman" w:hAnsi="Times New Roman" w:cs="Times New Roman" w:eastAsia="Times New Roman" w:hint="default"/>
        </w:rPr>
        <w:t>10.40%</w:t>
      </w:r>
      <w:r>
        <w:rPr/>
        <w:t>的股权，本公司持有快</w:t>
      </w:r>
      <w:r>
        <w:rPr>
          <w:spacing w:val="-21"/>
        </w:rPr>
        <w:t> </w:t>
      </w:r>
      <w:r>
        <w:rPr>
          <w:spacing w:val="-21"/>
        </w:rPr>
      </w:r>
      <w:r>
        <w:rPr/>
        <w:t>享医疗的股权比例由</w:t>
      </w:r>
      <w:r>
        <w:rPr>
          <w:rFonts w:ascii="Times New Roman" w:hAnsi="Times New Roman" w:cs="Times New Roman" w:eastAsia="Times New Roman" w:hint="default"/>
        </w:rPr>
        <w:t>100%</w:t>
      </w:r>
      <w:r>
        <w:rPr/>
        <w:t>下降至</w:t>
      </w:r>
      <w:r>
        <w:rPr>
          <w:rFonts w:ascii="Times New Roman" w:hAnsi="Times New Roman" w:cs="Times New Roman" w:eastAsia="Times New Roman" w:hint="default"/>
        </w:rPr>
        <w:t>74.71%</w:t>
      </w:r>
      <w:r>
        <w:rPr/>
        <w:t>，导致公司在快享医疗的所有者权益份额发生变化。</w:t>
      </w:r>
    </w:p>
    <w:p>
      <w:pPr>
        <w:spacing w:after="0" w:line="300"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交易对于少数股东权益及归属于母公司所有者权益的影响" w:id="336"/>
      <w:bookmarkEnd w:id="33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深圳卫宁中天软件有限公司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购买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快享医疗科技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2,237,949.53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750,916.77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1,962,050.47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-750,916.77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-1,962,050.47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-750,916.77</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在合营安排或联营企业中的权益" w:id="337"/>
      <w:bookmarkEnd w:id="33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38"/>
      <w:bookmarkEnd w:id="33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ODIN </w:t>
            </w:r>
            <w:r>
              <w:rPr>
                <w:rFonts w:ascii="Times New Roman" w:hAnsi="Times New Roman" w:cs="Times New Roman" w:eastAsia="Times New Roman" w:hint="default"/>
                <w:spacing w:val="-4"/>
                <w:sz w:val="18"/>
                <w:szCs w:val="18"/>
              </w:rPr>
              <w:t>HEALTH</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（简称 </w:t>
            </w:r>
            <w:r>
              <w:rPr>
                <w:rFonts w:ascii="Times New Roman" w:hAnsi="Times New Roman" w:cs="Times New Roman" w:eastAsia="Times New Roman" w:hint="default"/>
                <w:sz w:val="18"/>
                <w:szCs w:val="18"/>
              </w:rPr>
              <w:t>"ODIN"</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新西兰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奥克兰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8"/>
              <w:jc w:val="center"/>
              <w:rPr>
                <w:rFonts w:ascii="宋体" w:hAnsi="宋体" w:cs="宋体" w:eastAsia="宋体" w:hint="default"/>
                <w:sz w:val="18"/>
                <w:szCs w:val="18"/>
              </w:rPr>
            </w:pPr>
            <w:r>
              <w:rPr>
                <w:rFonts w:ascii="宋体" w:hAnsi="宋体" w:cs="宋体" w:eastAsia="宋体" w:hint="default"/>
                <w:sz w:val="18"/>
                <w:szCs w:val="18"/>
              </w:rPr>
              <w:t>医疗软件及服务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上海金仕达卫宁 软件科技有限公 </w:t>
            </w:r>
            <w:r>
              <w:rPr>
                <w:rFonts w:ascii="宋体" w:hAnsi="宋体" w:cs="宋体" w:eastAsia="宋体" w:hint="default"/>
                <w:spacing w:val="-3"/>
                <w:sz w:val="18"/>
                <w:szCs w:val="18"/>
              </w:rPr>
              <w:t>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软件科</w:t>
            </w:r>
            <w:r>
              <w:rPr>
                <w:rFonts w:ascii="宋体" w:hAnsi="宋体" w:cs="宋体" w:eastAsia="宋体" w:hint="default"/>
                <w:spacing w:val="-86"/>
                <w:sz w:val="18"/>
                <w:szCs w:val="18"/>
              </w:rPr>
              <w:t> </w:t>
            </w:r>
            <w:r>
              <w:rPr>
                <w:rFonts w:ascii="宋体" w:hAnsi="宋体" w:cs="宋体" w:eastAsia="宋体" w:hint="default"/>
                <w:sz w:val="18"/>
                <w:szCs w:val="18"/>
              </w:rPr>
              <w:t>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医疗软件及服务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北京梦天门科技 股份有限公司</w:t>
            </w:r>
          </w:p>
          <w:p>
            <w:pPr>
              <w:pStyle w:val="TableParagraph"/>
              <w:spacing w:line="300" w:lineRule="auto" w:before="19"/>
              <w:ind w:left="22" w:right="182"/>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北京梦 天门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4" w:right="71"/>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上海钥世圈云健 康科技发展有限 </w:t>
            </w:r>
            <w:r>
              <w:rPr>
                <w:rFonts w:ascii="宋体" w:hAnsi="宋体" w:cs="宋体" w:eastAsia="宋体" w:hint="default"/>
                <w:spacing w:val="-3"/>
                <w:sz w:val="18"/>
                <w:szCs w:val="18"/>
              </w:rPr>
              <w:t>公司（简称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钥世</w:t>
            </w:r>
            <w:r>
              <w:rPr>
                <w:rFonts w:ascii="宋体" w:hAnsi="宋体" w:cs="宋体" w:eastAsia="宋体" w:hint="default"/>
                <w:spacing w:val="-86"/>
                <w:sz w:val="18"/>
                <w:szCs w:val="18"/>
              </w:rPr>
              <w:t> </w:t>
            </w:r>
            <w:r>
              <w:rPr>
                <w:rFonts w:ascii="宋体" w:hAnsi="宋体" w:cs="宋体" w:eastAsia="宋体" w:hint="default"/>
                <w:sz w:val="18"/>
                <w:szCs w:val="18"/>
              </w:rPr>
              <w:t>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24" w:right="71"/>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南京市智慧医疗 投资运营服务有 </w:t>
            </w:r>
            <w:r>
              <w:rPr>
                <w:rFonts w:ascii="宋体" w:hAnsi="宋体" w:cs="宋体" w:eastAsia="宋体" w:hint="default"/>
                <w:spacing w:val="-3"/>
                <w:sz w:val="18"/>
                <w:szCs w:val="18"/>
              </w:rPr>
              <w:t>限公司（简称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86"/>
                <w:sz w:val="18"/>
                <w:szCs w:val="18"/>
              </w:rPr>
              <w:t> </w:t>
            </w:r>
            <w:r>
              <w:rPr>
                <w:rFonts w:ascii="宋体" w:hAnsi="宋体" w:cs="宋体" w:eastAsia="宋体" w:hint="default"/>
                <w:sz w:val="18"/>
                <w:szCs w:val="18"/>
              </w:rPr>
              <w:t>京智慧医疗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4" w:right="71"/>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上海乐九医疗科 技有限公司（简 称</w:t>
            </w:r>
            <w:r>
              <w:rPr>
                <w:rFonts w:ascii="Times New Roman" w:hAnsi="Times New Roman" w:cs="Times New Roman" w:eastAsia="Times New Roman" w:hint="default"/>
                <w:sz w:val="18"/>
                <w:szCs w:val="18"/>
              </w:rPr>
              <w:t>"</w:t>
            </w:r>
            <w:r>
              <w:rPr>
                <w:rFonts w:ascii="宋体" w:hAnsi="宋体" w:cs="宋体" w:eastAsia="宋体" w:hint="default"/>
                <w:sz w:val="18"/>
                <w:szCs w:val="18"/>
              </w:rPr>
              <w:t>乐九医疗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医疗软件及服务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南京大经中医药</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信息技术有限公 </w:t>
            </w:r>
            <w:r>
              <w:rPr>
                <w:rFonts w:ascii="宋体" w:hAnsi="宋体" w:cs="宋体" w:eastAsia="宋体" w:hint="default"/>
                <w:spacing w:val="-3"/>
                <w:sz w:val="18"/>
                <w:szCs w:val="18"/>
              </w:rPr>
              <w:t>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南京大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31.38%</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新疆智康创联信</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息科技有限公司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新疆智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湖北通卫医疗科 技有限公司（简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湖北通卫</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71"/>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广西数字医疗科 技有限公司（简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广西数字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71"/>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广东卫宁云医健</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康产业有限公司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广东云</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1"/>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在合营企业或联营企业的持股比例不同于表决权比例的说明：</w:t>
      </w:r>
    </w:p>
    <w:p>
      <w:pPr>
        <w:pStyle w:val="BodyText"/>
        <w:spacing w:line="240" w:lineRule="auto" w:before="117"/>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重要联营企业的主要财务信息" w:id="339"/>
      <w:bookmarkEnd w:id="339"/>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7"/>
        <w:gridCol w:w="957"/>
        <w:gridCol w:w="957"/>
        <w:gridCol w:w="957"/>
        <w:gridCol w:w="957"/>
        <w:gridCol w:w="957"/>
        <w:gridCol w:w="957"/>
        <w:gridCol w:w="957"/>
        <w:gridCol w:w="957"/>
      </w:tblGrid>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软件科技</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北京梦天门</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钥世圈</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2" w:right="22" w:hanging="360"/>
              <w:jc w:val="left"/>
              <w:rPr>
                <w:rFonts w:ascii="宋体" w:hAnsi="宋体" w:cs="宋体" w:eastAsia="宋体" w:hint="default"/>
                <w:sz w:val="18"/>
                <w:szCs w:val="18"/>
              </w:rPr>
            </w:pPr>
            <w:r>
              <w:rPr>
                <w:rFonts w:ascii="宋体" w:hAnsi="宋体" w:cs="宋体" w:eastAsia="宋体" w:hint="default"/>
                <w:sz w:val="18"/>
                <w:szCs w:val="18"/>
              </w:rPr>
              <w:t>南京智慧医 疗</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南京大经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软件科技</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北京梦天门</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3" w:right="22" w:hanging="360"/>
              <w:jc w:val="left"/>
              <w:rPr>
                <w:rFonts w:ascii="宋体" w:hAnsi="宋体" w:cs="宋体" w:eastAsia="宋体" w:hint="default"/>
                <w:sz w:val="18"/>
                <w:szCs w:val="18"/>
              </w:rPr>
            </w:pPr>
            <w:r>
              <w:rPr>
                <w:rFonts w:ascii="宋体" w:hAnsi="宋体" w:cs="宋体" w:eastAsia="宋体" w:hint="default"/>
                <w:sz w:val="18"/>
                <w:szCs w:val="18"/>
              </w:rPr>
              <w:t>南京智慧医 疗</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106,712,431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133,310,527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62,116,747.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24,983,996.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25,580,012.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43,392,978.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114,679,018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71,894,859.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41,631,618.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77,517,328.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33,436,887.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87,759,560.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21,054,744.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7,280,652.7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72,040,354.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27,816,083.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68,885,565.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8,029,910.0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184,229,760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166,747,414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149,876,308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46,038,741.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32,860,664.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115,433,332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142,495,102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140,780,425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49,661,528.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23,703,022.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28,790,478.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43,428,991.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2,268,845.0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5,263,792.2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13,994,283.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17,962,387.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34,995,339.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1,543,391.3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2,719,975.0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189,000.00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57"/>
        <w:gridCol w:w="957"/>
        <w:gridCol w:w="957"/>
        <w:gridCol w:w="957"/>
        <w:gridCol w:w="957"/>
        <w:gridCol w:w="957"/>
        <w:gridCol w:w="957"/>
        <w:gridCol w:w="957"/>
        <w:gridCol w:w="957"/>
        <w:gridCol w:w="957"/>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23,703,022.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31,510,453.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43,617,991.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2,268,845.0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5,263,792.2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13,994,283.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19,465,154.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34,995,339.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1,543,391.3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4,589,799.3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3,657,608.2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4,582,925.3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-950,347.45</w:t>
            </w: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归属于母公 司股东权益</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160,526,737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130,647,161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102,600,708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43,769,896.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27,596,872.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101,439,049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118,447,022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106,735,433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48,118,137.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72,966,698.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31,321,123.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32,805,225.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10,942,474.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8,658,518.8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50,719,524.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28,391,751.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36,951,806.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12,029,534.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313,951,086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79,118,297.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4,154,901.7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18,594,508.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314,446,038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78,602,726.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4,148,613.5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16,667.39</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386,917,785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110,439,420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36,960,127.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10,868,353.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27,253,027.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365,165,563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106,994,477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41,100,420.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12,046,201.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17,252,840.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85,679,922.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179,292,069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2,153,453.2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1,594,599.5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12,322,014.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89,534,630.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87,428,492.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3,999,555.4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-60,912,312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35,961,099.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-9,162,368.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-4,711,394.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-8,191,171.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-32,561,416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37,828,560.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-9,271,847.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-1,452,615.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-60,912,312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35,961,099.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-9,162,368.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-4,711,394.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-8,191,171.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-32,561,416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37,828,560.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-9,271,847.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本年度收到 的来自联营 企业的股利</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6,375,000.0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不重要的合营企业和联营企业的汇总财务信息" w:id="340"/>
      <w:bookmarkEnd w:id="340"/>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16,127,003.43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15,741,370.66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-3,637,723.47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-722,402.81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-3,637,723.47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-722,402.81</w:t>
            </w:r>
          </w:p>
        </w:tc>
      </w:tr>
    </w:tbl>
    <w:p>
      <w:pPr>
        <w:pStyle w:val="BodyText"/>
        <w:spacing w:line="240" w:lineRule="auto" w:before="50"/>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before="26"/>
        <w:ind w:left="132" w:right="1034"/>
        <w:jc w:val="left"/>
        <w:rPr>
          <w:b w:val="0"/>
          <w:bCs w:val="0"/>
        </w:rPr>
      </w:pPr>
      <w:bookmarkStart w:name="十、与金融工具相关的风险" w:id="341"/>
      <w:bookmarkEnd w:id="341"/>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32" w:right="1034" w:firstLine="360"/>
        <w:jc w:val="left"/>
      </w:pPr>
      <w:r>
        <w:rPr>
          <w:spacing w:val="-2"/>
        </w:rPr>
        <w:t>本公司与金融工具相关的风险源于本公司在经营过程中所确认的各类金融资产和金融负债，包括：信用风险、流动性风</w:t>
      </w:r>
      <w:r>
        <w:rPr/>
        <w:t> 险。</w:t>
      </w:r>
    </w:p>
    <w:p>
      <w:pPr>
        <w:pStyle w:val="BodyText"/>
        <w:spacing w:line="316" w:lineRule="auto" w:before="19"/>
        <w:ind w:left="132" w:right="1130" w:firstLine="360"/>
        <w:jc w:val="both"/>
      </w:pPr>
      <w:r>
        <w:rPr>
          <w:spacing w:val="-2"/>
        </w:rPr>
        <w:t>本公司与金融工具相关的各类风险的管理目标和政策的制度由本公司管理层负责。经营管理层通过职能部门负责日常的</w:t>
      </w:r>
      <w:r>
        <w:rPr/>
        <w:t> </w:t>
      </w:r>
      <w:r>
        <w:rPr>
          <w:spacing w:val="-2"/>
        </w:rPr>
        <w:t>风险管理（例如本公司信用管理部对公司发生的赊销业务进行逐笔审核）。本公司内部审计部门对公司风险管理的政策和程</w:t>
      </w:r>
      <w:r>
        <w:rPr>
          <w:spacing w:val="-63"/>
        </w:rPr>
        <w:t> </w:t>
      </w:r>
      <w:r>
        <w:rPr>
          <w:spacing w:val="-63"/>
        </w:rPr>
      </w:r>
      <w:r>
        <w:rPr/>
        <w:t>序的执行情况进行日常监督，并且将有关发现及时报告给本公司审计委员会。</w:t>
      </w:r>
    </w:p>
    <w:p>
      <w:pPr>
        <w:pStyle w:val="BodyText"/>
        <w:spacing w:line="316" w:lineRule="auto" w:before="19"/>
        <w:ind w:left="132" w:right="1034" w:firstLine="360"/>
        <w:jc w:val="left"/>
      </w:pPr>
      <w:r>
        <w:rPr>
          <w:spacing w:val="-2"/>
        </w:rPr>
        <w:t>本公司风险管理的总体目标是在不过度影响公司竞争力和应变力的情况下，制定尽可能降低各类与金融工具相关风险的</w:t>
      </w:r>
      <w:r>
        <w:rPr/>
        <w:t> 风险管理政策。</w:t>
      </w:r>
    </w:p>
    <w:p>
      <w:pPr>
        <w:pStyle w:val="BodyText"/>
        <w:spacing w:line="432" w:lineRule="exact" w:before="3"/>
        <w:ind w:left="492" w:right="1034"/>
        <w:jc w:val="left"/>
      </w:pPr>
      <w:r>
        <w:rPr>
          <w:rFonts w:ascii="Times New Roman" w:hAnsi="Times New Roman" w:cs="Times New Roman" w:eastAsia="Times New Roman" w:hint="default"/>
        </w:rPr>
        <w:t>1.</w:t>
      </w:r>
      <w:r>
        <w:rPr/>
        <w:t>信用风险 </w:t>
      </w:r>
      <w:r>
        <w:rPr>
          <w:spacing w:val="-2"/>
        </w:rPr>
        <w:t>信用风险，是指金融工具的一方未能履行义务从而导致另一方发生财务损失的风险。本公司的信用风险主要产生于货币</w:t>
      </w:r>
    </w:p>
    <w:p>
      <w:pPr>
        <w:pStyle w:val="BodyText"/>
        <w:spacing w:line="316" w:lineRule="auto" w:before="15"/>
        <w:ind w:left="132" w:right="1034"/>
        <w:jc w:val="left"/>
      </w:pPr>
      <w:r>
        <w:rPr>
          <w:spacing w:val="-2"/>
        </w:rPr>
        <w:t>资金、应收票据、应收账款、其他应收款以及长期应收款等，这些金融资产的信用风险源自交易对手违约，最大的风险敞口</w:t>
      </w:r>
      <w:r>
        <w:rPr>
          <w:spacing w:val="-63"/>
        </w:rPr>
        <w:t> </w:t>
      </w:r>
      <w:r>
        <w:rPr>
          <w:spacing w:val="-63"/>
        </w:rPr>
      </w:r>
      <w:r>
        <w:rPr/>
        <w:t>等于这些工具的账面金额。</w:t>
      </w:r>
    </w:p>
    <w:p>
      <w:pPr>
        <w:pStyle w:val="BodyText"/>
        <w:spacing w:line="316" w:lineRule="auto" w:before="139"/>
        <w:ind w:left="132" w:right="1034" w:firstLine="360"/>
        <w:jc w:val="left"/>
      </w:pPr>
      <w:r>
        <w:rPr>
          <w:spacing w:val="-2"/>
        </w:rPr>
        <w:t>本公司货币资金主要存放于商业银行等金融机构，本公司认为这些商业银行具备较高信誉和资产状况，存在较低的信用</w:t>
      </w:r>
      <w:r>
        <w:rPr/>
        <w:t> 风险。</w:t>
      </w:r>
    </w:p>
    <w:p>
      <w:pPr>
        <w:pStyle w:val="BodyText"/>
        <w:spacing w:line="316" w:lineRule="auto" w:before="139"/>
        <w:ind w:left="132" w:right="1034" w:firstLine="360"/>
        <w:jc w:val="left"/>
      </w:pPr>
      <w:r>
        <w:rPr>
          <w:spacing w:val="-2"/>
        </w:rPr>
        <w:t>对于应收票据、应收账款、其他应收款及长期应收款，本公司设定相关政策以控制信用风险敞口。本公司基于对客户的</w:t>
      </w:r>
      <w:r>
        <w:rPr/>
        <w:t> 财务状况、从第三方获取担保的可能性、信用记录及其他因素诸如目前市场状况等评估客户的信用资质并设置相应信用期。 </w:t>
      </w:r>
      <w:r>
        <w:rPr>
          <w:spacing w:val="-2"/>
        </w:rPr>
        <w:t>本公司会定期对客户信用记录进行监控，对于信用记录不良的客户，本公司会采用书面催款、缩短信用期或取消信用期等方</w:t>
      </w:r>
      <w:r>
        <w:rPr>
          <w:spacing w:val="-63"/>
        </w:rPr>
        <w:t> </w:t>
      </w:r>
      <w:r>
        <w:rPr>
          <w:spacing w:val="-63"/>
        </w:rPr>
      </w:r>
      <w:r>
        <w:rPr>
          <w:spacing w:val="-4"/>
        </w:rPr>
        <w:t>式，以确保本公司的整体信用风险在可控的范围内。因此，公司不存在因为信用风险的发生而导致公司产生重大损失的情况。</w:t>
      </w:r>
    </w:p>
    <w:p>
      <w:pPr>
        <w:pStyle w:val="BodyText"/>
        <w:spacing w:line="300" w:lineRule="auto" w:before="139"/>
        <w:ind w:left="492" w:right="1034" w:hanging="89"/>
        <w:jc w:val="left"/>
      </w:pPr>
      <w:r>
        <w:rPr>
          <w:rFonts w:ascii="Times New Roman" w:hAnsi="Times New Roman" w:cs="Times New Roman" w:eastAsia="Times New Roman" w:hint="default"/>
        </w:rPr>
        <w:t>2.</w:t>
      </w:r>
      <w:r>
        <w:rPr/>
        <w:t>流动性风险 </w:t>
      </w:r>
      <w:r>
        <w:rPr>
          <w:spacing w:val="-2"/>
        </w:rPr>
        <w:t>流动性风险，是指企业在履行以交付现金或其他金融资产的方式结算的义务时发生资金短缺的风险。本公司统筹负责集</w:t>
      </w:r>
    </w:p>
    <w:p>
      <w:pPr>
        <w:pStyle w:val="BodyText"/>
        <w:spacing w:line="316" w:lineRule="auto" w:before="31"/>
        <w:ind w:left="132" w:right="1034"/>
        <w:jc w:val="left"/>
      </w:pPr>
      <w:r>
        <w:rPr>
          <w:spacing w:val="-2"/>
        </w:rPr>
        <w:t>团内各子公司的现金管理工作，包括现金盈余的短期投资和筹措贷款以应付预计现金需求。本公司的政策是定期监控短期和</w:t>
      </w:r>
      <w:r>
        <w:rPr>
          <w:spacing w:val="-64"/>
        </w:rPr>
        <w:t> </w:t>
      </w:r>
      <w:r>
        <w:rPr>
          <w:spacing w:val="-64"/>
        </w:rPr>
      </w:r>
      <w:r>
        <w:rPr/>
        <w:t>长期的流动资金需求，以及是否符合借款协议的规定，以确保维持充裕的现金储备和可供随时变现的有价证券。</w:t>
      </w:r>
    </w:p>
    <w:p>
      <w:pPr>
        <w:pStyle w:val="BodyText"/>
        <w:spacing w:line="240" w:lineRule="auto" w:before="19"/>
        <w:ind w:left="612" w:right="1034"/>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日，本公司金融负债到期期限如下：</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794"/>
        <w:gridCol w:w="2005"/>
        <w:gridCol w:w="1891"/>
        <w:gridCol w:w="1964"/>
        <w:gridCol w:w="2004"/>
      </w:tblGrid>
      <w:tr>
        <w:trPr>
          <w:trHeight w:val="467" w:hRule="exact"/>
        </w:trPr>
        <w:tc>
          <w:tcPr>
            <w:tcW w:w="1794" w:type="dxa"/>
            <w:vMerge w:val="restart"/>
            <w:tcBorders>
              <w:top w:val="single" w:sz="6" w:space="0" w:color="000000"/>
              <w:left w:val="single" w:sz="6" w:space="0" w:color="000000"/>
              <w:right w:val="single" w:sz="6"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5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64" w:type="dxa"/>
            <w:gridSpan w:val="4"/>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67" w:hRule="exact"/>
        </w:trPr>
        <w:tc>
          <w:tcPr>
            <w:tcW w:w="1794" w:type="dxa"/>
            <w:vMerge/>
            <w:tcBorders>
              <w:left w:val="single" w:sz="6" w:space="0" w:color="000000"/>
              <w:bottom w:val="single" w:sz="6" w:space="0" w:color="000000"/>
              <w:right w:val="single" w:sz="6" w:space="0" w:color="000000"/>
            </w:tcBorders>
            <w:shd w:val="clear" w:color="auto" w:fill="D7D7D7"/>
          </w:tcPr>
          <w:p>
            <w:pPr/>
          </w:p>
        </w:tc>
        <w:tc>
          <w:tcPr>
            <w:tcW w:w="200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6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00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467" w:hRule="exact"/>
        </w:trPr>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224,271,083.35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color w:val="FF0000"/>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920,000.00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286,748,447.02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212,442,483.55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9" w:hRule="exact"/>
        </w:trPr>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 w:right="2"/>
              <w:jc w:val="left"/>
              <w:rPr>
                <w:rFonts w:ascii="宋体" w:hAnsi="宋体" w:cs="宋体" w:eastAsia="宋体" w:hint="default"/>
                <w:sz w:val="18"/>
                <w:szCs w:val="18"/>
              </w:rPr>
            </w:pPr>
            <w:r>
              <w:rPr>
                <w:rFonts w:ascii="宋体" w:hAnsi="宋体" w:cs="宋体" w:eastAsia="宋体" w:hint="default"/>
                <w:spacing w:val="16"/>
                <w:sz w:val="18"/>
                <w:szCs w:val="18"/>
              </w:rPr>
              <w:t>一年内到期的非流动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负债</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1,470,000.00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1,260,000.00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6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725,852,013.92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1,260,000.00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492" w:right="1034"/>
        <w:jc w:val="left"/>
      </w:pPr>
      <w:r>
        <w:rPr/>
        <w:t>（续上表）</w:t>
      </w:r>
    </w:p>
    <w:p>
      <w:pPr>
        <w:spacing w:line="240" w:lineRule="auto" w:before="12"/>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808"/>
        <w:gridCol w:w="2015"/>
        <w:gridCol w:w="1893"/>
        <w:gridCol w:w="1978"/>
        <w:gridCol w:w="1964"/>
      </w:tblGrid>
      <w:tr>
        <w:trPr>
          <w:trHeight w:val="467" w:hRule="exact"/>
        </w:trPr>
        <w:tc>
          <w:tcPr>
            <w:tcW w:w="1808" w:type="dxa"/>
            <w:vMerge w:val="restart"/>
            <w:tcBorders>
              <w:top w:val="single" w:sz="6" w:space="0" w:color="000000"/>
              <w:left w:val="single" w:sz="6" w:space="0" w:color="000000"/>
              <w:right w:val="single" w:sz="6" w:space="0" w:color="000000"/>
            </w:tcBorders>
            <w:shd w:val="clear" w:color="auto" w:fill="D7D7D7"/>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53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50" w:type="dxa"/>
            <w:gridSpan w:val="4"/>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65" w:hRule="exact"/>
        </w:trPr>
        <w:tc>
          <w:tcPr>
            <w:tcW w:w="1808" w:type="dxa"/>
            <w:vMerge/>
            <w:tcBorders>
              <w:left w:val="single" w:sz="6" w:space="0" w:color="000000"/>
              <w:bottom w:val="single" w:sz="6" w:space="0" w:color="000000"/>
              <w:right w:val="single" w:sz="6" w:space="0" w:color="000000"/>
            </w:tcBorders>
            <w:shd w:val="clear" w:color="auto" w:fill="D7D7D7"/>
          </w:tcPr>
          <w:p>
            <w:pPr/>
          </w:p>
        </w:tc>
        <w:tc>
          <w:tcPr>
            <w:tcW w:w="201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7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96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4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bl>
    <w:p>
      <w:pPr>
        <w:spacing w:after="0" w:line="240" w:lineRule="auto"/>
        <w:jc w:val="center"/>
        <w:rPr>
          <w:rFonts w:ascii="宋体" w:hAnsi="宋体" w:cs="宋体" w:eastAsia="宋体" w:hint="default"/>
          <w:sz w:val="18"/>
          <w:szCs w:val="18"/>
        </w:rPr>
        <w:sectPr>
          <w:pgSz w:w="11910" w:h="16840"/>
          <w:pgMar w:header="746" w:footer="978" w:top="1060" w:bottom="1160" w:left="1000" w:right="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808"/>
        <w:gridCol w:w="2015"/>
        <w:gridCol w:w="1893"/>
        <w:gridCol w:w="1978"/>
        <w:gridCol w:w="1964"/>
      </w:tblGrid>
      <w:tr>
        <w:trPr>
          <w:trHeight w:val="46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151,135,000.00</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2,244,376.00</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194,754,625.51</w:t>
            </w:r>
          </w:p>
        </w:tc>
        <w:tc>
          <w:tcPr>
            <w:tcW w:w="189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c>
          <w:tcPr>
            <w:tcW w:w="1964" w:type="dxa"/>
            <w:tcBorders>
              <w:top w:val="single" w:sz="6" w:space="0" w:color="000000"/>
              <w:left w:val="single" w:sz="6" w:space="0" w:color="000000"/>
              <w:bottom w:val="single" w:sz="6" w:space="0" w:color="000000"/>
              <w:right w:val="single" w:sz="6" w:space="0" w:color="000000"/>
            </w:tcBorders>
          </w:tcPr>
          <w:p>
            <w:pPr/>
          </w:p>
        </w:tc>
      </w:tr>
      <w:tr>
        <w:trPr>
          <w:trHeight w:val="46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145,440,641.64</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9"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 w:right="2"/>
              <w:jc w:val="left"/>
              <w:rPr>
                <w:rFonts w:ascii="宋体" w:hAnsi="宋体" w:cs="宋体" w:eastAsia="宋体" w:hint="default"/>
                <w:sz w:val="18"/>
                <w:szCs w:val="18"/>
              </w:rPr>
            </w:pPr>
            <w:r>
              <w:rPr>
                <w:rFonts w:ascii="宋体" w:hAnsi="宋体" w:cs="宋体" w:eastAsia="宋体" w:hint="default"/>
                <w:spacing w:val="18"/>
                <w:sz w:val="18"/>
                <w:szCs w:val="18"/>
              </w:rPr>
              <w:t>一年内到期的非流动</w:t>
            </w:r>
            <w:r>
              <w:rPr>
                <w:rFonts w:ascii="宋体" w:hAnsi="宋体" w:cs="宋体" w:eastAsia="宋体" w:hint="default"/>
                <w:sz w:val="18"/>
                <w:szCs w:val="18"/>
              </w:rPr>
              <w:t> 负债</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18,240,000.00</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6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511,814,643.15</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8"/>
          <w:szCs w:val="18"/>
        </w:rPr>
      </w:pPr>
    </w:p>
    <w:p>
      <w:pPr>
        <w:pStyle w:val="Heading2"/>
        <w:spacing w:line="240" w:lineRule="auto" w:before="26"/>
        <w:ind w:left="132" w:right="1034"/>
        <w:jc w:val="left"/>
        <w:rPr>
          <w:b w:val="0"/>
          <w:bCs w:val="0"/>
        </w:rPr>
      </w:pPr>
      <w:bookmarkStart w:name="十一、公允价值的披露" w:id="342"/>
      <w:bookmarkEnd w:id="342"/>
      <w:r>
        <w:rPr>
          <w:b w:val="0"/>
          <w:bCs w:val="0"/>
        </w:rPr>
      </w:r>
      <w:r>
        <w:rPr/>
        <w:t>十一、公允价值的披露</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034"/>
        <w:jc w:val="left"/>
        <w:rPr>
          <w:b w:val="0"/>
          <w:bCs w:val="0"/>
        </w:rPr>
      </w:pPr>
      <w:bookmarkStart w:name="1、以公允价值计量的资产和负债的期末公允价值" w:id="343"/>
      <w:bookmarkEnd w:id="34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315,033,833.23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315,033,833.23</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left="132" w:right="1034"/>
        <w:jc w:val="left"/>
        <w:rPr>
          <w:b w:val="0"/>
          <w:bCs w:val="0"/>
        </w:rPr>
      </w:pPr>
      <w:bookmarkStart w:name="2、持续和非持续第三层次公允价值计量项目，采用的估值技术和重要参数的定性及定量信" w:id="344"/>
      <w:bookmarkEnd w:id="344"/>
      <w:r>
        <w:rPr>
          <w:b w:val="0"/>
          <w:bCs w:val="0"/>
        </w:rPr>
      </w: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2" w:right="1034"/>
        <w:jc w:val="left"/>
      </w:pPr>
      <w:r>
        <w:rPr>
          <w:spacing w:val="-2"/>
        </w:rPr>
        <w:t>公司持有的第三层次公允价值计量的其他非流动金融资产系本公司持有的非上市公司的股权投资，本公司部分参考审计师出</w:t>
      </w:r>
      <w:r>
        <w:rPr>
          <w:spacing w:val="-64"/>
        </w:rPr>
        <w:t> </w:t>
      </w:r>
      <w:r>
        <w:rPr>
          <w:spacing w:val="-64"/>
        </w:rPr>
      </w:r>
      <w:r>
        <w:rPr/>
        <w:t>具的是合伙企业审计报告核算公允价，部分采用最近融资价格法等估值技术确定其公允价值。</w:t>
      </w:r>
    </w:p>
    <w:p>
      <w:pPr>
        <w:spacing w:line="240" w:lineRule="auto" w:before="8"/>
        <w:rPr>
          <w:rFonts w:ascii="宋体" w:hAnsi="宋体" w:cs="宋体" w:eastAsia="宋体" w:hint="default"/>
          <w:sz w:val="22"/>
          <w:szCs w:val="22"/>
        </w:rPr>
      </w:pPr>
    </w:p>
    <w:p>
      <w:pPr>
        <w:pStyle w:val="Heading3"/>
        <w:spacing w:line="240" w:lineRule="auto"/>
        <w:ind w:left="132" w:right="1034"/>
        <w:jc w:val="left"/>
        <w:rPr>
          <w:b w:val="0"/>
          <w:bCs w:val="0"/>
        </w:rPr>
      </w:pPr>
      <w:bookmarkStart w:name="3、持续的第三层次公允价值计量项目，期初与期末账面价值间的调节信息及不可观察参数" w:id="345"/>
      <w:bookmarkEnd w:id="345"/>
      <w:r>
        <w:rPr>
          <w:b w:val="0"/>
          <w:bCs w:val="0"/>
        </w:rPr>
      </w:r>
      <w:r>
        <w:rPr>
          <w:rFonts w:ascii="Times New Roman" w:hAnsi="Times New Roman" w:cs="Times New Roman" w:eastAsia="Times New Roman" w:hint="default"/>
        </w:rPr>
        <w:t>3</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034"/>
        <w:jc w:val="left"/>
        <w:rPr>
          <w:b w:val="0"/>
          <w:bCs w:val="0"/>
        </w:rPr>
      </w:pPr>
      <w:bookmarkStart w:name="4、持续的公允价值计量项目，本期内发生各层级之间转换的，转换的原因及确定转换时点" w:id="346"/>
      <w:bookmarkEnd w:id="346"/>
      <w:r>
        <w:rPr>
          <w:b w:val="0"/>
          <w:bCs w:val="0"/>
        </w:rPr>
      </w:r>
      <w:r>
        <w:rPr>
          <w:rFonts w:ascii="Times New Roman" w:hAnsi="Times New Roman" w:cs="Times New Roman" w:eastAsia="Times New Roman" w:hint="default"/>
        </w:rPr>
        <w:t>4</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1034"/>
        <w:jc w:val="left"/>
        <w:rPr>
          <w:b w:val="0"/>
          <w:bCs w:val="0"/>
        </w:rPr>
      </w:pPr>
      <w:bookmarkStart w:name="5、本期内发生的估值技术变更及变更原因" w:id="347"/>
      <w:bookmarkEnd w:id="347"/>
      <w:r>
        <w:rPr>
          <w:b w:val="0"/>
          <w:bCs w:val="0"/>
        </w:rPr>
      </w:r>
      <w:r>
        <w:rPr>
          <w:rFonts w:ascii="Times New Roman" w:hAnsi="Times New Roman" w:cs="Times New Roman" w:eastAsia="Times New Roman" w:hint="default"/>
        </w:rPr>
        <w:t>5</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034"/>
        <w:jc w:val="left"/>
        <w:rPr>
          <w:b w:val="0"/>
          <w:bCs w:val="0"/>
        </w:rPr>
      </w:pPr>
      <w:bookmarkStart w:name="6、不以公允价值计量的金融资产和金融负债的公允价值情况" w:id="348"/>
      <w:bookmarkEnd w:id="348"/>
      <w:r>
        <w:rPr>
          <w:b w:val="0"/>
          <w:bCs w:val="0"/>
        </w:rPr>
      </w:r>
      <w:r>
        <w:rPr>
          <w:rFonts w:ascii="Times New Roman" w:hAnsi="Times New Roman" w:cs="Times New Roman" w:eastAsia="Times New Roman" w:hint="default"/>
        </w:rPr>
        <w:t>6</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2" w:right="1034"/>
        <w:jc w:val="left"/>
      </w:pPr>
      <w:r>
        <w:rPr>
          <w:spacing w:val="-2"/>
        </w:rPr>
        <w:t>本公司以摊余成本计量的金融资产和金融负债主要包括：货币资金、应收票据、应收账款、其他应收款、短期借款、应付票</w:t>
      </w:r>
      <w:r>
        <w:rPr>
          <w:spacing w:val="-66"/>
        </w:rPr>
        <w:t> </w:t>
      </w:r>
      <w:r>
        <w:rPr>
          <w:spacing w:val="-66"/>
        </w:rPr>
      </w:r>
      <w:r>
        <w:rPr/>
        <w:t>据、应付账款、其他应付款、长期应付款等。</w:t>
      </w:r>
    </w:p>
    <w:p>
      <w:pPr>
        <w:spacing w:after="0" w:line="316" w:lineRule="auto"/>
        <w:jc w:val="left"/>
        <w:sectPr>
          <w:footerReference w:type="default" r:id="rId32"/>
          <w:pgSz w:w="11910" w:h="16840"/>
          <w:pgMar w:footer="978" w:header="746" w:top="1060" w:bottom="1160" w:left="1000" w:right="0"/>
          <w:pgNumType w:start="200"/>
        </w:sectPr>
      </w:pPr>
    </w:p>
    <w:p>
      <w:pPr>
        <w:spacing w:line="240" w:lineRule="auto" w:before="10"/>
        <w:rPr>
          <w:rFonts w:ascii="宋体" w:hAnsi="宋体" w:cs="宋体" w:eastAsia="宋体" w:hint="default"/>
          <w:sz w:val="24"/>
          <w:szCs w:val="24"/>
        </w:rPr>
      </w:pPr>
    </w:p>
    <w:p>
      <w:pPr>
        <w:spacing w:line="487" w:lineRule="auto" w:before="34"/>
        <w:ind w:left="132" w:right="8103" w:firstLine="0"/>
        <w:jc w:val="left"/>
        <w:rPr>
          <w:rFonts w:ascii="宋体" w:hAnsi="宋体" w:cs="宋体" w:eastAsia="宋体" w:hint="default"/>
          <w:sz w:val="21"/>
          <w:szCs w:val="21"/>
        </w:rPr>
      </w:pPr>
      <w:bookmarkStart w:name="7、其他" w:id="349"/>
      <w:bookmarkEnd w:id="34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350"/>
      <w:bookmarkEnd w:id="350"/>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51"/>
      <w:bookmarkEnd w:id="35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2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49"/>
        <w:ind w:left="132" w:right="1034"/>
        <w:jc w:val="left"/>
      </w:pPr>
      <w:r>
        <w:rPr/>
        <w:t>本企业的母公司情况的说明</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808"/>
        <w:gridCol w:w="1364"/>
        <w:gridCol w:w="1970"/>
        <w:gridCol w:w="2275"/>
        <w:gridCol w:w="2241"/>
      </w:tblGrid>
      <w:tr>
        <w:trPr>
          <w:trHeight w:val="659" w:hRule="exact"/>
        </w:trPr>
        <w:tc>
          <w:tcPr>
            <w:tcW w:w="180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36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97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275"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年末对本公司的持股比例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4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sz w:val="18"/>
                <w:szCs w:val="18"/>
              </w:rPr>
              <w:t>年末对本公司的表决权比例</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11.36</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11.36</w:t>
            </w:r>
          </w:p>
        </w:tc>
      </w:tr>
      <w:tr>
        <w:trPr>
          <w:trHeight w:val="34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王英（注）</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5.55</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5.55</w:t>
            </w:r>
          </w:p>
        </w:tc>
      </w:tr>
    </w:tbl>
    <w:p>
      <w:pPr>
        <w:pStyle w:val="BodyText"/>
        <w:spacing w:line="357" w:lineRule="auto" w:before="51"/>
        <w:ind w:left="132" w:right="7694"/>
        <w:jc w:val="left"/>
      </w:pPr>
      <w:r>
        <w:rPr/>
        <w:t>本企业最终控制方是周炜、王英夫妇。 其他说明：</w:t>
      </w:r>
    </w:p>
    <w:p>
      <w:pPr>
        <w:spacing w:line="240" w:lineRule="auto" w:before="3"/>
        <w:rPr>
          <w:rFonts w:ascii="宋体" w:hAnsi="宋体" w:cs="宋体" w:eastAsia="宋体" w:hint="default"/>
          <w:sz w:val="20"/>
          <w:szCs w:val="20"/>
        </w:rPr>
      </w:pPr>
    </w:p>
    <w:p>
      <w:pPr>
        <w:pStyle w:val="Heading3"/>
        <w:spacing w:line="240" w:lineRule="auto"/>
        <w:ind w:left="132" w:right="1034"/>
        <w:jc w:val="left"/>
        <w:rPr>
          <w:b w:val="0"/>
          <w:bCs w:val="0"/>
        </w:rPr>
      </w:pPr>
      <w:bookmarkStart w:name="2、本企业的子公司情况" w:id="352"/>
      <w:bookmarkEnd w:id="352"/>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034"/>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3"/>
        <w:spacing w:line="240" w:lineRule="auto" w:before="118"/>
        <w:ind w:left="132" w:right="1034"/>
        <w:jc w:val="left"/>
        <w:rPr>
          <w:b w:val="0"/>
          <w:bCs w:val="0"/>
        </w:rPr>
      </w:pPr>
      <w:bookmarkStart w:name="3、本企业合营和联营企业情况" w:id="353"/>
      <w:bookmarkEnd w:id="35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32" w:right="2294"/>
        <w:jc w:val="left"/>
      </w:pPr>
      <w:r>
        <w:rPr/>
        <w:t>本企业重要的合营或联营企业详见附注九、在其他主体中的权益。 本期与本公司发生关联方交易，或前期与本公司发生关联方交易形成余额的其他合营或联营企业情况如下：</w:t>
      </w:r>
    </w:p>
    <w:p>
      <w:pPr>
        <w:spacing w:line="416"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7;height:397" coordorigin="13,13" coordsize="4777,397">
              <v:shape style="position:absolute;left:13;top:13;width:4777;height:397" coordorigin="13,13" coordsize="4777,397" path="m13,13l4790,13,4790,410,13,410,13,13xe" filled="true" fillcolor="#d2d2d2" stroked="false">
                <v:path arrowok="t"/>
                <v:fill type="solid"/>
              </v:shape>
            </v:group>
            <v:group style="position:absolute;left:4795;top:13;width:4781;height:397" coordorigin="4795,13" coordsize="4781,397">
              <v:shape style="position:absolute;left:4795;top:13;width:4781;height:397" coordorigin="4795,13" coordsize="4781,397" path="m4795,13l9576,13,9576,410,4795,410,4795,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6"/>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62"/>
        <w:ind w:left="132" w:right="103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132" w:right="1034"/>
        <w:jc w:val="left"/>
        <w:rPr>
          <w:b w:val="0"/>
          <w:bCs w:val="0"/>
        </w:rPr>
      </w:pPr>
      <w:bookmarkStart w:name="4、其他关联方情况" w:id="354"/>
      <w:bookmarkEnd w:id="35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5"/>
          <w:szCs w:val="25"/>
        </w:rPr>
      </w:pPr>
    </w:p>
    <w:p>
      <w:pPr>
        <w:spacing w:line="416"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2d2d2"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其他关联方名称</w:t>
                      </w:r>
                    </w:p>
                  </w:txbxContent>
                </v:textbox>
                <w10:wrap type="none"/>
              </v:shape>
              <v:shape style="position:absolute;left:4792;top:10;width:4786;height:402" type="#_x0000_t202" filled="false" stroked="false">
                <v:textbox inset="0,0,0,0">
                  <w:txbxContent>
                    <w:p>
                      <w:pPr>
                        <w:spacing w:before="54"/>
                        <w:ind w:left="1403" w:right="0" w:firstLine="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left="132" w:right="1034"/>
        <w:jc w:val="left"/>
      </w:pPr>
      <w:r>
        <w:rPr/>
        <w:t>其他说明</w:t>
      </w:r>
    </w:p>
    <w:p>
      <w:pPr>
        <w:pStyle w:val="BodyText"/>
        <w:spacing w:line="300" w:lineRule="auto" w:before="117"/>
        <w:ind w:left="132" w:right="1125" w:firstLine="360"/>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日，上海云鑫创业投资有限公司（简称</w:t>
      </w:r>
      <w:r>
        <w:rPr>
          <w:rFonts w:ascii="Times New Roman" w:hAnsi="Times New Roman" w:cs="Times New Roman" w:eastAsia="Times New Roman" w:hint="default"/>
          <w:spacing w:val="-2"/>
        </w:rPr>
        <w:t>“</w:t>
      </w:r>
      <w:r>
        <w:rPr>
          <w:spacing w:val="-2"/>
        </w:rPr>
        <w:t>上海云鑫</w:t>
      </w:r>
      <w:r>
        <w:rPr>
          <w:rFonts w:ascii="Times New Roman" w:hAnsi="Times New Roman" w:cs="Times New Roman" w:eastAsia="Times New Roman" w:hint="default"/>
          <w:spacing w:val="-2"/>
        </w:rPr>
        <w:t>”</w:t>
      </w:r>
      <w:r>
        <w:rPr>
          <w:spacing w:val="-2"/>
        </w:rPr>
        <w:t>）持有公司</w:t>
      </w:r>
      <w:r>
        <w:rPr>
          <w:rFonts w:ascii="Times New Roman" w:hAnsi="Times New Roman" w:cs="Times New Roman" w:eastAsia="Times New Roman" w:hint="default"/>
          <w:spacing w:val="-2"/>
        </w:rPr>
        <w:t>4.98%</w:t>
      </w:r>
      <w:r>
        <w:rPr>
          <w:spacing w:val="-2"/>
        </w:rPr>
        <w:t>的股份，上海云鑫和支付宝</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网络技术有限公司（简称</w:t>
      </w:r>
      <w:r>
        <w:rPr>
          <w:rFonts w:ascii="Times New Roman" w:hAnsi="Times New Roman" w:cs="Times New Roman" w:eastAsia="Times New Roman" w:hint="default"/>
          <w:spacing w:val="-2"/>
        </w:rPr>
        <w:t>“</w:t>
      </w:r>
      <w:r>
        <w:rPr>
          <w:spacing w:val="-2"/>
        </w:rPr>
        <w:t>支付宝</w:t>
      </w:r>
      <w:r>
        <w:rPr>
          <w:rFonts w:ascii="Times New Roman" w:hAnsi="Times New Roman" w:cs="Times New Roman" w:eastAsia="Times New Roman" w:hint="default"/>
          <w:spacing w:val="-2"/>
        </w:rPr>
        <w:t>”</w:t>
      </w:r>
      <w:r>
        <w:rPr>
          <w:spacing w:val="-2"/>
        </w:rPr>
        <w:t>）均为浙江蚂蚁小微金融服务集团股份有限公司的全资子公司，为受同一控制的主体。根</w:t>
      </w:r>
      <w:r>
        <w:rPr>
          <w:spacing w:val="-43"/>
        </w:rPr>
        <w:t> </w:t>
      </w:r>
      <w:r>
        <w:rPr>
          <w:spacing w:val="-43"/>
        </w:rPr>
      </w:r>
      <w:r>
        <w:rPr/>
        <w:t>据《深圳证券交易所创业板股票上市规则》等规定，公司与支付宝及其关联方发生的日常交易均为关联方交易。</w:t>
      </w:r>
    </w:p>
    <w:p>
      <w:pPr>
        <w:spacing w:line="240" w:lineRule="auto" w:before="5"/>
        <w:rPr>
          <w:rFonts w:ascii="宋体" w:hAnsi="宋体" w:cs="宋体" w:eastAsia="宋体" w:hint="default"/>
          <w:sz w:val="23"/>
          <w:szCs w:val="23"/>
        </w:rPr>
      </w:pPr>
    </w:p>
    <w:p>
      <w:pPr>
        <w:pStyle w:val="Heading3"/>
        <w:spacing w:line="240" w:lineRule="auto"/>
        <w:ind w:left="132" w:right="1034"/>
        <w:jc w:val="left"/>
        <w:rPr>
          <w:b w:val="0"/>
          <w:bCs w:val="0"/>
        </w:rPr>
      </w:pPr>
      <w:bookmarkStart w:name="5、关联交易情况" w:id="355"/>
      <w:bookmarkEnd w:id="35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1034"/>
        <w:jc w:val="left"/>
        <w:rPr>
          <w:b w:val="0"/>
          <w:bCs w:val="0"/>
        </w:rPr>
      </w:pPr>
      <w:bookmarkStart w:name="（1）购销商品、提供和接受劳务的关联交易" w:id="356"/>
      <w:bookmarkEnd w:id="35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03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0"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6" w:footer="978" w:top="1060" w:bottom="1160" w:left="100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北京梦天门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6"/>
                <w:sz w:val="18"/>
                <w:szCs w:val="18"/>
              </w:rPr>
              <w:t>采购商品、接受劳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560,344.83</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79,940.97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南京大经</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采购商品、接受劳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5,309,734.51</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广东云医</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6"/>
                <w:sz w:val="18"/>
                <w:szCs w:val="18"/>
              </w:rPr>
              <w:t>采购商品、接受劳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2,632,614.15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乐九医疗</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采购商品、接受劳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5,575,221.24</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软件科技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6"/>
                <w:sz w:val="18"/>
                <w:szCs w:val="18"/>
              </w:rPr>
              <w:t>采购商品、接受劳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187,433.63</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155,660.38</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82"/>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4"/>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8,761,186.17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3,725,625.05</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广东云医</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4"/>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1,156,336.08</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乐九医疗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4"/>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28,301.89</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4"/>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14,513.96</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南京智慧医疗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04"/>
              <w:jc w:val="righ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1,004,285.37</w:t>
            </w:r>
          </w:p>
        </w:tc>
        <w:tc>
          <w:tcPr>
            <w:tcW w:w="26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关联租赁情况" w:id="357"/>
      <w:bookmarkEnd w:id="357"/>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办公场地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5" w:right="0"/>
              <w:jc w:val="left"/>
              <w:rPr>
                <w:rFonts w:ascii="Times New Roman" w:hAnsi="Times New Roman" w:cs="Times New Roman" w:eastAsia="Times New Roman" w:hint="default"/>
                <w:sz w:val="18"/>
                <w:szCs w:val="18"/>
              </w:rPr>
            </w:pPr>
            <w:r>
              <w:rPr>
                <w:rFonts w:ascii="Times New Roman"/>
                <w:sz w:val="18"/>
              </w:rPr>
              <w:t>1,524,639.72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127,053.31</w:t>
            </w:r>
          </w:p>
        </w:tc>
      </w:tr>
    </w:tbl>
    <w:p>
      <w:pPr>
        <w:pStyle w:val="BodyText"/>
        <w:spacing w:line="240" w:lineRule="auto" w:before="51"/>
        <w:ind w:right="0"/>
        <w:jc w:val="left"/>
      </w:pPr>
      <w:r>
        <w:rPr/>
        <w:t>本公司作为承租方：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0"/>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关联担保情况" w:id="358"/>
      <w:bookmarkEnd w:id="358"/>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7"/>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269,198.00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2,118,750.00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361,925.00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40,692.50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73,530.00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221,274.00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208,635.30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287,543.10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204,516.00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271,893.30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634,440.60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98,838.00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133,062.60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152,781.60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238,545.00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245,214.00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276,828.30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337,400.00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20,863.53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20,451.60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2,463,190.40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2,256,250.00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5,703,750.00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1,259,400.00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28,754.31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63,444.06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24,521.40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23,854.50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27,682.83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22,127.40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20,863.53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27,189.33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20,451.60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119,558.70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13,306.26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702,848.00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601,600.00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846,400.00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569,600.00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777,600.00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1,752,303.00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1,093,825.00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691,600.00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658,575.00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186,475.00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796,500.00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26,356.80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349,556.00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993,673.40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关键管理人员报酬" w:id="359"/>
      <w:bookmarkEnd w:id="359"/>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4,740,598.92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4,321,356.81</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6、关联方应收应付款项" w:id="360"/>
      <w:bookmarkEnd w:id="36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61"/>
      <w:bookmarkEnd w:id="36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广东云医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1,292,135.34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94,713.52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南京智慧医疗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957,125.28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70,157.28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1,996,334.69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99,816.73</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乐九医疗</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889,093.44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44,454.67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南京智慧医疗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79,141.71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3,957.54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应付项目" w:id="362"/>
      <w:bookmarkEnd w:id="36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乐九医疗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265,486.73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北京梦天门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560,344.83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软件科技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385,389.74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348,000.00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广东云医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26,835.84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广东云医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231,084.50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南京智慧医疗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539,200.00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151,738.57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三、股份支付" w:id="363"/>
      <w:bookmarkEnd w:id="363"/>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64"/>
      <w:bookmarkEnd w:id="36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35,415,828.60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16,765,664.60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2,027,210.00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130" w:firstLine="360"/>
        <w:jc w:val="both"/>
      </w:pPr>
      <w:r>
        <w:rPr>
          <w:spacing w:val="-2"/>
        </w:rPr>
        <w:t>注</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日分别召开第二届董事会第二十四次会议和第二届监事会第二十五次会议，审议通过了《关于</w:t>
      </w:r>
      <w:r>
        <w:rPr/>
        <w:t> </w:t>
      </w:r>
      <w:r>
        <w:rPr>
          <w:rFonts w:ascii="Times New Roman" w:hAnsi="Times New Roman" w:cs="Times New Roman" w:eastAsia="Times New Roman" w:hint="default"/>
          <w:spacing w:val="-2"/>
        </w:rPr>
        <w:t>2014</w:t>
      </w:r>
      <w:r>
        <w:rPr>
          <w:spacing w:val="-2"/>
        </w:rPr>
        <w:t>年股票期权激励计划首次授予期权相关事项的议案》，公司本期股票期权自本期激励计划首次授予日起满</w:t>
      </w:r>
      <w:r>
        <w:rPr>
          <w:rFonts w:ascii="Times New Roman" w:hAnsi="Times New Roman" w:cs="Times New Roman" w:eastAsia="Times New Roman" w:hint="default"/>
          <w:spacing w:val="-2"/>
        </w:rPr>
        <w:t>12</w:t>
      </w:r>
      <w:r>
        <w:rPr>
          <w:spacing w:val="-2"/>
        </w:rPr>
        <w:t>个月后，激</w:t>
      </w:r>
      <w:r>
        <w:rPr>
          <w:spacing w:val="-60"/>
        </w:rPr>
        <w:t> </w:t>
      </w:r>
      <w:r>
        <w:rPr>
          <w:spacing w:val="-60"/>
        </w:rPr>
      </w:r>
      <w:r>
        <w:rPr/>
        <w:t>励对象应在未来</w:t>
      </w:r>
      <w:r>
        <w:rPr>
          <w:rFonts w:ascii="Times New Roman" w:hAnsi="Times New Roman" w:cs="Times New Roman" w:eastAsia="Times New Roman" w:hint="default"/>
        </w:rPr>
        <w:t>48</w:t>
      </w:r>
      <w:r>
        <w:rPr/>
        <w:t>个月内分四期行权。首次授予期权的行权期及各期行权时间安排如表所示：</w:t>
      </w:r>
    </w:p>
    <w:p>
      <w:pPr>
        <w:spacing w:after="0" w:line="300" w:lineRule="auto"/>
        <w:jc w:val="both"/>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939"/>
        <w:gridCol w:w="5623"/>
        <w:gridCol w:w="2096"/>
      </w:tblGrid>
      <w:tr>
        <w:trPr>
          <w:trHeight w:val="659" w:hRule="exact"/>
        </w:trPr>
        <w:tc>
          <w:tcPr>
            <w:tcW w:w="193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62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209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316" w:lineRule="auto" w:before="21"/>
              <w:ind w:left="769" w:right="49" w:hanging="720"/>
              <w:jc w:val="left"/>
              <w:rPr>
                <w:rFonts w:ascii="宋体" w:hAnsi="宋体" w:cs="宋体" w:eastAsia="宋体" w:hint="default"/>
                <w:sz w:val="18"/>
                <w:szCs w:val="18"/>
              </w:rPr>
            </w:pPr>
            <w:r>
              <w:rPr>
                <w:rFonts w:ascii="宋体" w:hAnsi="宋体" w:cs="宋体" w:eastAsia="宋体" w:hint="default"/>
                <w:sz w:val="18"/>
                <w:szCs w:val="18"/>
              </w:rPr>
              <w:t>可行权数量占获授期权数 量比例</w:t>
            </w:r>
          </w:p>
        </w:tc>
      </w:tr>
      <w:tr>
        <w:trPr>
          <w:trHeight w:val="659" w:hRule="exact"/>
        </w:trPr>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21"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562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361" w:right="24"/>
              <w:jc w:val="left"/>
              <w:rPr>
                <w:rFonts w:ascii="宋体" w:hAnsi="宋体" w:cs="宋体" w:eastAsia="宋体" w:hint="default"/>
                <w:sz w:val="18"/>
                <w:szCs w:val="18"/>
              </w:rPr>
            </w:pPr>
            <w:r>
              <w:rPr>
                <w:rFonts w:ascii="宋体" w:hAnsi="宋体" w:cs="宋体" w:eastAsia="宋体" w:hint="default"/>
                <w:sz w:val="18"/>
                <w:szCs w:val="18"/>
              </w:rPr>
              <w:t>自首次授权日起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 的最后一个交易日当日止</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94"/>
              <w:jc w:val="right"/>
              <w:rPr>
                <w:rFonts w:ascii="Times New Roman" w:hAnsi="Times New Roman" w:cs="Times New Roman" w:eastAsia="Times New Roman" w:hint="default"/>
                <w:sz w:val="18"/>
                <w:szCs w:val="18"/>
              </w:rPr>
            </w:pPr>
            <w:r>
              <w:rPr>
                <w:rFonts w:ascii="Times New Roman"/>
                <w:spacing w:val="-1"/>
                <w:sz w:val="18"/>
              </w:rPr>
              <w:t>25%</w:t>
            </w:r>
          </w:p>
        </w:tc>
      </w:tr>
      <w:tr>
        <w:trPr>
          <w:trHeight w:val="659" w:hRule="exact"/>
        </w:trPr>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2"/>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562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61" w:right="24"/>
              <w:jc w:val="left"/>
              <w:rPr>
                <w:rFonts w:ascii="宋体" w:hAnsi="宋体" w:cs="宋体" w:eastAsia="宋体" w:hint="default"/>
                <w:sz w:val="18"/>
                <w:szCs w:val="18"/>
              </w:rPr>
            </w:pPr>
            <w:r>
              <w:rPr>
                <w:rFonts w:ascii="宋体" w:hAnsi="宋体" w:cs="宋体" w:eastAsia="宋体" w:hint="default"/>
                <w:sz w:val="18"/>
                <w:szCs w:val="18"/>
              </w:rPr>
              <w:t>自首次授权日起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 的最后一个交易日当日止</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694"/>
              <w:jc w:val="right"/>
              <w:rPr>
                <w:rFonts w:ascii="Times New Roman" w:hAnsi="Times New Roman" w:cs="Times New Roman" w:eastAsia="Times New Roman" w:hint="default"/>
                <w:sz w:val="18"/>
                <w:szCs w:val="18"/>
              </w:rPr>
            </w:pPr>
            <w:r>
              <w:rPr>
                <w:rFonts w:ascii="Times New Roman"/>
                <w:spacing w:val="-1"/>
                <w:sz w:val="18"/>
              </w:rPr>
              <w:t>25%</w:t>
            </w:r>
          </w:p>
        </w:tc>
      </w:tr>
      <w:tr>
        <w:trPr>
          <w:trHeight w:val="659" w:hRule="exact"/>
        </w:trPr>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42"/>
              <w:jc w:val="right"/>
              <w:rPr>
                <w:rFonts w:ascii="宋体" w:hAnsi="宋体" w:cs="宋体" w:eastAsia="宋体" w:hint="default"/>
                <w:sz w:val="18"/>
                <w:szCs w:val="18"/>
              </w:rPr>
            </w:pPr>
            <w:r>
              <w:rPr>
                <w:rFonts w:ascii="宋体" w:hAnsi="宋体" w:cs="宋体" w:eastAsia="宋体" w:hint="default"/>
                <w:sz w:val="18"/>
                <w:szCs w:val="18"/>
              </w:rPr>
              <w:t>第三个行权期</w:t>
            </w:r>
          </w:p>
        </w:tc>
        <w:tc>
          <w:tcPr>
            <w:tcW w:w="562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61" w:right="24"/>
              <w:jc w:val="left"/>
              <w:rPr>
                <w:rFonts w:ascii="宋体" w:hAnsi="宋体" w:cs="宋体" w:eastAsia="宋体" w:hint="default"/>
                <w:sz w:val="18"/>
                <w:szCs w:val="18"/>
              </w:rPr>
            </w:pPr>
            <w:r>
              <w:rPr>
                <w:rFonts w:ascii="宋体" w:hAnsi="宋体" w:cs="宋体" w:eastAsia="宋体" w:hint="default"/>
                <w:sz w:val="18"/>
                <w:szCs w:val="18"/>
              </w:rPr>
              <w:t>自首次授权日起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 的最后一个交易日当日止</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94"/>
              <w:jc w:val="right"/>
              <w:rPr>
                <w:rFonts w:ascii="Times New Roman" w:hAnsi="Times New Roman" w:cs="Times New Roman" w:eastAsia="Times New Roman" w:hint="default"/>
                <w:sz w:val="18"/>
                <w:szCs w:val="18"/>
              </w:rPr>
            </w:pPr>
            <w:r>
              <w:rPr>
                <w:rFonts w:ascii="Times New Roman"/>
                <w:spacing w:val="-1"/>
                <w:sz w:val="18"/>
              </w:rPr>
              <w:t>25%</w:t>
            </w:r>
          </w:p>
        </w:tc>
      </w:tr>
      <w:tr>
        <w:trPr>
          <w:trHeight w:val="659" w:hRule="exact"/>
        </w:trPr>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2"/>
              <w:jc w:val="right"/>
              <w:rPr>
                <w:rFonts w:ascii="宋体" w:hAnsi="宋体" w:cs="宋体" w:eastAsia="宋体" w:hint="default"/>
                <w:sz w:val="18"/>
                <w:szCs w:val="18"/>
              </w:rPr>
            </w:pPr>
            <w:r>
              <w:rPr>
                <w:rFonts w:ascii="宋体" w:hAnsi="宋体" w:cs="宋体" w:eastAsia="宋体" w:hint="default"/>
                <w:sz w:val="18"/>
                <w:szCs w:val="18"/>
              </w:rPr>
              <w:t>第四个行权期</w:t>
            </w:r>
          </w:p>
        </w:tc>
        <w:tc>
          <w:tcPr>
            <w:tcW w:w="562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61" w:right="24"/>
              <w:jc w:val="left"/>
              <w:rPr>
                <w:rFonts w:ascii="宋体" w:hAnsi="宋体" w:cs="宋体" w:eastAsia="宋体" w:hint="default"/>
                <w:sz w:val="18"/>
                <w:szCs w:val="18"/>
              </w:rPr>
            </w:pPr>
            <w:r>
              <w:rPr>
                <w:rFonts w:ascii="宋体" w:hAnsi="宋体" w:cs="宋体" w:eastAsia="宋体" w:hint="default"/>
                <w:sz w:val="18"/>
                <w:szCs w:val="18"/>
              </w:rPr>
              <w:t>自首次授权日起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个月后的首个交易日起至首次授权日起</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个月内 的最后一个交易日当日止</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94"/>
              <w:jc w:val="right"/>
              <w:rPr>
                <w:rFonts w:ascii="Times New Roman" w:hAnsi="Times New Roman" w:cs="Times New Roman" w:eastAsia="Times New Roman" w:hint="default"/>
                <w:sz w:val="18"/>
                <w:szCs w:val="18"/>
              </w:rPr>
            </w:pPr>
            <w:r>
              <w:rPr>
                <w:rFonts w:ascii="Times New Roman"/>
                <w:spacing w:val="-1"/>
                <w:sz w:val="18"/>
              </w:rPr>
              <w:t>25%</w:t>
            </w:r>
          </w:p>
        </w:tc>
      </w:tr>
    </w:tbl>
    <w:p>
      <w:pPr>
        <w:spacing w:line="240" w:lineRule="auto" w:before="9"/>
        <w:rPr>
          <w:rFonts w:ascii="宋体" w:hAnsi="宋体" w:cs="宋体" w:eastAsia="宋体" w:hint="default"/>
          <w:sz w:val="6"/>
          <w:szCs w:val="6"/>
        </w:rPr>
      </w:pPr>
    </w:p>
    <w:p>
      <w:pPr>
        <w:pStyle w:val="BodyText"/>
        <w:spacing w:line="300" w:lineRule="auto" w:before="44"/>
        <w:ind w:left="132" w:right="952" w:firstLine="360"/>
        <w:jc w:val="left"/>
      </w:pPr>
      <w:r>
        <w:rPr>
          <w:spacing w:val="-2"/>
        </w:rPr>
        <w:t>本期股票期权激励计划有效期内，以</w:t>
      </w:r>
      <w:r>
        <w:rPr>
          <w:rFonts w:ascii="Times New Roman" w:hAnsi="Times New Roman" w:cs="Times New Roman" w:eastAsia="Times New Roman" w:hint="default"/>
          <w:spacing w:val="-2"/>
        </w:rPr>
        <w:t>2013</w:t>
      </w:r>
      <w:r>
        <w:rPr>
          <w:spacing w:val="-2"/>
        </w:rPr>
        <w:t>年营业收入为基数，</w:t>
      </w:r>
      <w:r>
        <w:rPr>
          <w:rFonts w:ascii="Times New Roman" w:hAnsi="Times New Roman" w:cs="Times New Roman" w:eastAsia="Times New Roman" w:hint="default"/>
          <w:spacing w:val="-2"/>
        </w:rPr>
        <w:t>2014-2017</w:t>
      </w:r>
      <w:r>
        <w:rPr>
          <w:spacing w:val="-2"/>
        </w:rPr>
        <w:t>年的营业收入增长率相比</w:t>
      </w:r>
      <w:r>
        <w:rPr>
          <w:rFonts w:ascii="Times New Roman" w:hAnsi="Times New Roman" w:cs="Times New Roman" w:eastAsia="Times New Roman" w:hint="default"/>
          <w:spacing w:val="-2"/>
        </w:rPr>
        <w:t>2013</w:t>
      </w:r>
      <w:r>
        <w:rPr>
          <w:spacing w:val="-2"/>
        </w:rPr>
        <w:t>年分别不低于</w:t>
      </w:r>
      <w:r>
        <w:rPr>
          <w:rFonts w:ascii="Times New Roman" w:hAnsi="Times New Roman" w:cs="Times New Roman" w:eastAsia="Times New Roman" w:hint="default"/>
          <w:spacing w:val="-2"/>
        </w:rPr>
        <w:t>25%</w:t>
      </w:r>
      <w:r>
        <w:rPr>
          <w:spacing w:val="-2"/>
        </w:rPr>
        <w:t>，</w:t>
      </w:r>
      <w:r>
        <w:rPr/>
        <w:t> </w:t>
      </w:r>
      <w:r>
        <w:rPr>
          <w:rFonts w:ascii="Times New Roman" w:hAnsi="Times New Roman" w:cs="Times New Roman" w:eastAsia="Times New Roman" w:hint="default"/>
        </w:rPr>
        <w:t>60%</w:t>
      </w:r>
      <w:r>
        <w:rPr/>
        <w:t>，</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150%</w:t>
      </w:r>
      <w:r>
        <w:rPr/>
        <w:t>；净利润增长率相比</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2014-2017</w:t>
      </w:r>
      <w:r>
        <w:rPr/>
        <w:t>年分别不低于</w:t>
      </w:r>
      <w:r>
        <w:rPr>
          <w:rFonts w:ascii="Times New Roman" w:hAnsi="Times New Roman" w:cs="Times New Roman" w:eastAsia="Times New Roman" w:hint="default"/>
        </w:rPr>
        <w:t>30%</w:t>
      </w:r>
      <w:r>
        <w:rPr/>
        <w:t>，</w:t>
      </w:r>
      <w:r>
        <w:rPr>
          <w:rFonts w:ascii="Times New Roman" w:hAnsi="Times New Roman" w:cs="Times New Roman" w:eastAsia="Times New Roman" w:hint="default"/>
        </w:rPr>
        <w:t>70%</w:t>
      </w:r>
      <w:r>
        <w:rPr/>
        <w:t>，</w:t>
      </w:r>
      <w:r>
        <w:rPr>
          <w:rFonts w:ascii="Times New Roman" w:hAnsi="Times New Roman" w:cs="Times New Roman" w:eastAsia="Times New Roman" w:hint="default"/>
        </w:rPr>
        <w:t>125%</w:t>
      </w:r>
      <w:r>
        <w:rPr/>
        <w:t>，</w:t>
      </w:r>
      <w:r>
        <w:rPr>
          <w:rFonts w:ascii="Times New Roman" w:hAnsi="Times New Roman" w:cs="Times New Roman" w:eastAsia="Times New Roman" w:hint="default"/>
        </w:rPr>
        <w:t>200%</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w:t>
      </w:r>
      <w:r>
        <w:rPr>
          <w:spacing w:val="-22"/>
        </w:rPr>
        <w:t> </w:t>
      </w:r>
      <w:r>
        <w:rPr>
          <w:spacing w:val="-22"/>
        </w:rPr>
      </w:r>
      <w:r>
        <w:rPr/>
        <w:t>非经常性损益后的净利润。</w:t>
      </w:r>
    </w:p>
    <w:p>
      <w:pPr>
        <w:pStyle w:val="BodyText"/>
        <w:spacing w:line="300" w:lineRule="auto" w:before="151"/>
        <w:ind w:left="132" w:right="113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日，公司召开的第三届董事会第二次会议审议通过了《关于公司</w:t>
      </w:r>
      <w:r>
        <w:rPr>
          <w:rFonts w:ascii="Times New Roman" w:hAnsi="Times New Roman" w:cs="Times New Roman" w:eastAsia="Times New Roman" w:hint="default"/>
        </w:rPr>
        <w:t>2014</w:t>
      </w:r>
      <w:r>
        <w:rPr/>
        <w:t>年股票期权激励计划所涉激励对象、 期权数量和行权价格调整的议案》，将首次授予股票期权行权价格由</w:t>
      </w:r>
      <w:r>
        <w:rPr>
          <w:rFonts w:ascii="Times New Roman" w:hAnsi="Times New Roman" w:cs="Times New Roman" w:eastAsia="Times New Roman" w:hint="default"/>
        </w:rPr>
        <w:t>46.15</w:t>
      </w:r>
      <w:r>
        <w:rPr/>
        <w:t>元调整到</w:t>
      </w:r>
      <w:r>
        <w:rPr>
          <w:rFonts w:ascii="Times New Roman" w:hAnsi="Times New Roman" w:cs="Times New Roman" w:eastAsia="Times New Roman" w:hint="default"/>
        </w:rPr>
        <w:t>18.41</w:t>
      </w:r>
      <w:r>
        <w:rPr/>
        <w:t>元。</w:t>
      </w:r>
    </w:p>
    <w:p>
      <w:pPr>
        <w:pStyle w:val="BodyText"/>
        <w:spacing w:line="300" w:lineRule="auto" w:before="133"/>
        <w:ind w:left="132" w:right="105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日，公司召开的第三届董事会第十五次会议审议通过了《关于公司</w:t>
      </w:r>
      <w:r>
        <w:rPr>
          <w:rFonts w:ascii="Times New Roman" w:hAnsi="Times New Roman" w:cs="Times New Roman" w:eastAsia="Times New Roman" w:hint="default"/>
        </w:rPr>
        <w:t>2014</w:t>
      </w:r>
      <w:r>
        <w:rPr/>
        <w:t>年股票期权激励计划所涉激励对象、 期权数量和行权价格调整的议案》，将首次授予股票期权行权价格由</w:t>
      </w:r>
      <w:r>
        <w:rPr>
          <w:rFonts w:ascii="Times New Roman" w:hAnsi="Times New Roman" w:cs="Times New Roman" w:eastAsia="Times New Roman" w:hint="default"/>
        </w:rPr>
        <w:t>18.41</w:t>
      </w:r>
      <w:r>
        <w:rPr/>
        <w:t>元调整到</w:t>
      </w:r>
      <w:r>
        <w:rPr>
          <w:rFonts w:ascii="Times New Roman" w:hAnsi="Times New Roman" w:cs="Times New Roman" w:eastAsia="Times New Roman" w:hint="default"/>
        </w:rPr>
        <w:t>13.09</w:t>
      </w:r>
      <w:r>
        <w:rPr/>
        <w:t>元。</w:t>
      </w:r>
    </w:p>
    <w:p>
      <w:pPr>
        <w:pStyle w:val="BodyText"/>
        <w:spacing w:line="240" w:lineRule="auto" w:before="133"/>
        <w:ind w:left="492" w:right="952"/>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日，公司召开第三届董事会第二十九次会议和第三届监事会第二十九次会议，审议通过了《关于公司</w:t>
      </w:r>
      <w:r>
        <w:rPr>
          <w:rFonts w:ascii="Times New Roman" w:hAnsi="Times New Roman" w:cs="Times New Roman" w:eastAsia="Times New Roman" w:hint="default"/>
        </w:rPr>
        <w:t>2014</w:t>
      </w:r>
    </w:p>
    <w:p>
      <w:pPr>
        <w:pStyle w:val="BodyText"/>
        <w:spacing w:line="240" w:lineRule="auto" w:before="63"/>
        <w:ind w:left="132" w:right="1034"/>
        <w:jc w:val="left"/>
      </w:pPr>
      <w:r>
        <w:rPr/>
        <w:t>年股权激励计划所涉激励对象和期权数量调整的议案》，将首次授予股票期权行权价格由</w:t>
      </w:r>
      <w:r>
        <w:rPr>
          <w:rFonts w:ascii="Times New Roman" w:hAnsi="Times New Roman" w:cs="Times New Roman" w:eastAsia="Times New Roman" w:hint="default"/>
        </w:rPr>
        <w:t>13.09</w:t>
      </w:r>
      <w:r>
        <w:rPr/>
        <w:t>元调整到</w:t>
      </w:r>
      <w:r>
        <w:rPr>
          <w:rFonts w:ascii="Times New Roman" w:hAnsi="Times New Roman" w:cs="Times New Roman" w:eastAsia="Times New Roman" w:hint="default"/>
        </w:rPr>
        <w:t>6.85</w:t>
      </w:r>
      <w:r>
        <w:rPr/>
        <w:t>元。</w:t>
      </w:r>
    </w:p>
    <w:p>
      <w:pPr>
        <w:spacing w:line="240" w:lineRule="auto" w:before="13"/>
        <w:rPr>
          <w:rFonts w:ascii="宋体" w:hAnsi="宋体" w:cs="宋体" w:eastAsia="宋体" w:hint="default"/>
          <w:sz w:val="13"/>
          <w:szCs w:val="13"/>
        </w:rPr>
      </w:pPr>
    </w:p>
    <w:p>
      <w:pPr>
        <w:pStyle w:val="BodyText"/>
        <w:spacing w:line="300" w:lineRule="auto"/>
        <w:ind w:left="132"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日，公司召开第四届董事会第三次会议和第四届监事会第三次会议，审议通过了《关于公司</w:t>
      </w:r>
      <w:r>
        <w:rPr>
          <w:rFonts w:ascii="Times New Roman" w:hAnsi="Times New Roman" w:cs="Times New Roman" w:eastAsia="Times New Roman" w:hint="default"/>
        </w:rPr>
        <w:t>2014</w:t>
      </w:r>
      <w:r>
        <w:rPr/>
        <w:t>年股权激 励计划相关事项调整的议案》，将首次授予期权行权价格由</w:t>
      </w:r>
      <w:r>
        <w:rPr>
          <w:rFonts w:ascii="Times New Roman" w:hAnsi="Times New Roman" w:cs="Times New Roman" w:eastAsia="Times New Roman" w:hint="default"/>
        </w:rPr>
        <w:t>6.85</w:t>
      </w:r>
      <w:r>
        <w:rPr/>
        <w:t>元调整为</w:t>
      </w:r>
      <w:r>
        <w:rPr>
          <w:rFonts w:ascii="Times New Roman" w:hAnsi="Times New Roman" w:cs="Times New Roman" w:eastAsia="Times New Roman" w:hint="default"/>
        </w:rPr>
        <w:t>6.835</w:t>
      </w:r>
      <w:r>
        <w:rPr/>
        <w:t>元。</w:t>
      </w:r>
    </w:p>
    <w:p>
      <w:pPr>
        <w:pStyle w:val="BodyText"/>
        <w:spacing w:line="300" w:lineRule="auto" w:before="133"/>
        <w:ind w:left="132" w:right="1132"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日，公司召开第四届董事会第十二次会议和第四届监事会第十一次会议，审议通过了《关于</w:t>
      </w:r>
      <w:r>
        <w:rPr>
          <w:rFonts w:ascii="Times New Roman" w:hAnsi="Times New Roman" w:cs="Times New Roman" w:eastAsia="Times New Roman" w:hint="default"/>
        </w:rPr>
        <w:t>2014</w:t>
      </w:r>
      <w:r>
        <w:rPr/>
        <w:t>年股权激 励计划首次授予期权行权价格调整的议案》，将首次授予期权行权价格由</w:t>
      </w:r>
      <w:r>
        <w:rPr>
          <w:rFonts w:ascii="Times New Roman" w:hAnsi="Times New Roman" w:cs="Times New Roman" w:eastAsia="Times New Roman" w:hint="default"/>
        </w:rPr>
        <w:t>6.835</w:t>
      </w:r>
      <w:r>
        <w:rPr/>
        <w:t>元调整为</w:t>
      </w:r>
      <w:r>
        <w:rPr>
          <w:rFonts w:ascii="Times New Roman" w:hAnsi="Times New Roman" w:cs="Times New Roman" w:eastAsia="Times New Roman" w:hint="default"/>
        </w:rPr>
        <w:t>6.815</w:t>
      </w:r>
      <w:r>
        <w:rPr/>
        <w:t>元。</w:t>
      </w:r>
    </w:p>
    <w:p>
      <w:pPr>
        <w:pStyle w:val="BodyText"/>
        <w:spacing w:line="300" w:lineRule="auto" w:before="133"/>
        <w:ind w:left="132" w:right="1130" w:firstLine="360"/>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日，公司召开第三届董事会第二十三次会议和第三届监事会第二十一次会议，审议通过了《关于公 </w:t>
      </w:r>
      <w:r>
        <w:rPr>
          <w:spacing w:val="-1"/>
        </w:rPr>
        <w:t>司向激励对象首次授予</w:t>
      </w:r>
      <w:r>
        <w:rPr>
          <w:rFonts w:ascii="Times New Roman" w:hAnsi="Times New Roman" w:cs="Times New Roman" w:eastAsia="Times New Roman" w:hint="default"/>
          <w:spacing w:val="-1"/>
        </w:rPr>
        <w:t>2016</w:t>
      </w:r>
      <w:r>
        <w:rPr>
          <w:spacing w:val="-1"/>
        </w:rPr>
        <w:t>年股票期权与限制性股票的议案》，同意授予</w:t>
      </w:r>
      <w:r>
        <w:rPr>
          <w:rFonts w:ascii="Times New Roman" w:hAnsi="Times New Roman" w:cs="Times New Roman" w:eastAsia="Times New Roman" w:hint="default"/>
          <w:spacing w:val="-1"/>
        </w:rPr>
        <w:t>47</w:t>
      </w:r>
      <w:r>
        <w:rPr>
          <w:spacing w:val="-1"/>
        </w:rPr>
        <w:t>名激励对象</w:t>
      </w:r>
      <w:r>
        <w:rPr>
          <w:rFonts w:ascii="Times New Roman" w:hAnsi="Times New Roman" w:cs="Times New Roman" w:eastAsia="Times New Roman" w:hint="default"/>
          <w:spacing w:val="-1"/>
        </w:rPr>
        <w:t>98.60</w:t>
      </w:r>
      <w:r>
        <w:rPr>
          <w:spacing w:val="-1"/>
        </w:rPr>
        <w:t>万份股票期权，同意授予</w:t>
      </w:r>
      <w:r>
        <w:rPr>
          <w:rFonts w:ascii="Times New Roman" w:hAnsi="Times New Roman" w:cs="Times New Roman" w:eastAsia="Times New Roman" w:hint="default"/>
          <w:spacing w:val="-1"/>
        </w:rPr>
        <w:t>610</w:t>
      </w:r>
      <w:r>
        <w:rPr>
          <w:spacing w:val="-1"/>
        </w:rPr>
        <w:t>名</w:t>
      </w:r>
      <w:r>
        <w:rPr>
          <w:spacing w:val="-72"/>
        </w:rPr>
        <w:t> </w:t>
      </w:r>
      <w:r>
        <w:rPr>
          <w:spacing w:val="-1"/>
        </w:rPr>
        <w:t>激励对象</w:t>
      </w:r>
      <w:r>
        <w:rPr>
          <w:rFonts w:ascii="Times New Roman" w:hAnsi="Times New Roman" w:cs="Times New Roman" w:eastAsia="Times New Roman" w:hint="default"/>
          <w:spacing w:val="-1"/>
        </w:rPr>
        <w:t>1,551.40</w:t>
      </w:r>
      <w:r>
        <w:rPr>
          <w:spacing w:val="-1"/>
        </w:rPr>
        <w:t>万股限制性股票。本股权激励计划的授予日为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日。股票期权授予价格</w:t>
      </w:r>
      <w:r>
        <w:rPr>
          <w:rFonts w:ascii="Times New Roman" w:hAnsi="Times New Roman" w:cs="Times New Roman" w:eastAsia="Times New Roman" w:hint="default"/>
          <w:spacing w:val="-1"/>
        </w:rPr>
        <w:t>22.46</w:t>
      </w:r>
      <w:r>
        <w:rPr>
          <w:spacing w:val="-1"/>
        </w:rPr>
        <w:t>元，限制性股票授</w:t>
      </w:r>
      <w:r>
        <w:rPr>
          <w:spacing w:val="-70"/>
        </w:rPr>
        <w:t> </w:t>
      </w:r>
      <w:r>
        <w:rPr>
          <w:spacing w:val="-70"/>
        </w:rPr>
      </w:r>
      <w:r>
        <w:rPr/>
        <w:t>予价格</w:t>
      </w:r>
      <w:r>
        <w:rPr>
          <w:rFonts w:ascii="Times New Roman" w:hAnsi="Times New Roman" w:cs="Times New Roman" w:eastAsia="Times New Roman" w:hint="default"/>
        </w:rPr>
        <w:t>11.23</w:t>
      </w:r>
      <w:r>
        <w:rPr/>
        <w:t>元。</w:t>
      </w:r>
    </w:p>
    <w:p>
      <w:pPr>
        <w:pStyle w:val="BodyText"/>
        <w:spacing w:line="300" w:lineRule="auto" w:before="133"/>
        <w:ind w:left="132" w:right="1129" w:firstLine="360"/>
        <w:jc w:val="both"/>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4</w:t>
      </w:r>
      <w:r>
        <w:rPr>
          <w:spacing w:val="-5"/>
        </w:rPr>
        <w:t>日，公司召开第三届董事会第二十四次会议和第三届监事会第二十二次会议，审议通过了《关于调整公司</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spacing w:val="-2"/>
        </w:rPr>
        <w:t>年股票期权与限制性股票激励计划首次授予所涉激励对象及授予权益数量的议案》，鉴于公司《</w:t>
      </w:r>
      <w:r>
        <w:rPr>
          <w:rFonts w:ascii="Times New Roman" w:hAnsi="Times New Roman" w:cs="Times New Roman" w:eastAsia="Times New Roman" w:hint="default"/>
          <w:spacing w:val="-2"/>
        </w:rPr>
        <w:t>2016</w:t>
      </w:r>
      <w:r>
        <w:rPr>
          <w:spacing w:val="-2"/>
        </w:rPr>
        <w:t>年股票期权与限制性股</w:t>
      </w:r>
      <w:r>
        <w:rPr>
          <w:spacing w:val="-61"/>
        </w:rPr>
        <w:t> </w:t>
      </w:r>
      <w:r>
        <w:rPr/>
        <w:t>票激励计划（草案）》首次授予股票期权的激励对象中，有</w:t>
      </w:r>
      <w:r>
        <w:rPr>
          <w:rFonts w:ascii="Times New Roman" w:hAnsi="Times New Roman" w:cs="Times New Roman" w:eastAsia="Times New Roman" w:hint="default"/>
        </w:rPr>
        <w:t>3</w:t>
      </w:r>
      <w:r>
        <w:rPr/>
        <w:t>名因个人原因主动放弃公司拟向其授予的股票期权共计</w:t>
      </w:r>
      <w:r>
        <w:rPr>
          <w:rFonts w:ascii="Times New Roman" w:hAnsi="Times New Roman" w:cs="Times New Roman" w:eastAsia="Times New Roman" w:hint="default"/>
        </w:rPr>
        <w:t>3.60</w:t>
      </w:r>
      <w:r>
        <w:rPr/>
        <w:t>万</w:t>
      </w:r>
      <w:r>
        <w:rPr>
          <w:spacing w:val="-48"/>
        </w:rPr>
        <w:t> </w:t>
      </w:r>
      <w:r>
        <w:rPr>
          <w:spacing w:val="-1"/>
        </w:rPr>
        <w:t>份；首次授予限制性股票的激励对象中，有</w:t>
      </w:r>
      <w:r>
        <w:rPr>
          <w:rFonts w:ascii="Times New Roman" w:hAnsi="Times New Roman" w:cs="Times New Roman" w:eastAsia="Times New Roman" w:hint="default"/>
          <w:spacing w:val="-1"/>
        </w:rPr>
        <w:t>1</w:t>
      </w:r>
      <w:r>
        <w:rPr>
          <w:spacing w:val="-1"/>
        </w:rPr>
        <w:t>名因个人原因离职，已不具备激励对象资格，取消向其授予的限制性股票</w:t>
      </w:r>
      <w:r>
        <w:rPr>
          <w:rFonts w:ascii="Times New Roman" w:hAnsi="Times New Roman" w:cs="Times New Roman" w:eastAsia="Times New Roman" w:hint="default"/>
          <w:spacing w:val="-1"/>
        </w:rPr>
        <w:t>0.3</w:t>
      </w:r>
      <w:r>
        <w:rPr>
          <w:spacing w:val="-1"/>
        </w:rPr>
        <w:t>万</w:t>
      </w:r>
      <w:r>
        <w:rPr>
          <w:spacing w:val="-70"/>
        </w:rPr>
        <w:t> </w:t>
      </w:r>
      <w:r>
        <w:rPr/>
        <w:t>股，另有</w:t>
      </w:r>
      <w:r>
        <w:rPr>
          <w:rFonts w:ascii="Times New Roman" w:hAnsi="Times New Roman" w:cs="Times New Roman" w:eastAsia="Times New Roman" w:hint="default"/>
        </w:rPr>
        <w:t>20</w:t>
      </w:r>
      <w:r>
        <w:rPr/>
        <w:t>名因未按规定日期缴纳认购款视同主动放弃公司拟向其授予的限制性股票合计</w:t>
      </w:r>
      <w:r>
        <w:rPr>
          <w:rFonts w:ascii="Times New Roman" w:hAnsi="Times New Roman" w:cs="Times New Roman" w:eastAsia="Times New Roman" w:hint="default"/>
        </w:rPr>
        <w:t>22.90</w:t>
      </w:r>
      <w:r>
        <w:rPr/>
        <w:t>万股，同意对本次股权激励</w:t>
      </w:r>
      <w:r>
        <w:rPr>
          <w:spacing w:val="-49"/>
        </w:rPr>
        <w:t> </w:t>
      </w:r>
      <w:r>
        <w:rPr>
          <w:spacing w:val="-49"/>
        </w:rPr>
      </w:r>
      <w:r>
        <w:rPr>
          <w:spacing w:val="-2"/>
        </w:rPr>
        <w:t>计划首次授予所涉激励对象及授予权益数量进行调整。经本次调整后，首次授予股票期权的激励对象由</w:t>
      </w:r>
      <w:r>
        <w:rPr>
          <w:rFonts w:ascii="Times New Roman" w:hAnsi="Times New Roman" w:cs="Times New Roman" w:eastAsia="Times New Roman" w:hint="default"/>
          <w:spacing w:val="-2"/>
        </w:rPr>
        <w:t>47</w:t>
      </w:r>
      <w:r>
        <w:rPr>
          <w:spacing w:val="-2"/>
        </w:rPr>
        <w:t>名调整为</w:t>
      </w:r>
      <w:r>
        <w:rPr>
          <w:rFonts w:ascii="Times New Roman" w:hAnsi="Times New Roman" w:cs="Times New Roman" w:eastAsia="Times New Roman" w:hint="default"/>
          <w:spacing w:val="-2"/>
        </w:rPr>
        <w:t>44</w:t>
      </w:r>
      <w:r>
        <w:rPr>
          <w:spacing w:val="-2"/>
        </w:rPr>
        <w:t>名，首</w:t>
      </w:r>
      <w:r>
        <w:rPr>
          <w:spacing w:val="-61"/>
        </w:rPr>
        <w:t> </w:t>
      </w:r>
      <w:r>
        <w:rPr>
          <w:spacing w:val="-61"/>
        </w:rPr>
      </w:r>
      <w:r>
        <w:rPr/>
        <w:t>次授予股票期权数量由</w:t>
      </w:r>
      <w:r>
        <w:rPr>
          <w:rFonts w:ascii="Times New Roman" w:hAnsi="Times New Roman" w:cs="Times New Roman" w:eastAsia="Times New Roman" w:hint="default"/>
        </w:rPr>
        <w:t>98.60</w:t>
      </w:r>
      <w:r>
        <w:rPr/>
        <w:t>万份调整为</w:t>
      </w:r>
      <w:r>
        <w:rPr>
          <w:rFonts w:ascii="Times New Roman" w:hAnsi="Times New Roman" w:cs="Times New Roman" w:eastAsia="Times New Roman" w:hint="default"/>
        </w:rPr>
        <w:t>95</w:t>
      </w:r>
      <w:r>
        <w:rPr/>
        <w:t>万份；首次授予限制性股票的激励对象由</w:t>
      </w:r>
      <w:r>
        <w:rPr>
          <w:rFonts w:ascii="Times New Roman" w:hAnsi="Times New Roman" w:cs="Times New Roman" w:eastAsia="Times New Roman" w:hint="default"/>
        </w:rPr>
        <w:t>610</w:t>
      </w:r>
      <w:r>
        <w:rPr/>
        <w:t>名调整为</w:t>
      </w:r>
      <w:r>
        <w:rPr>
          <w:rFonts w:ascii="Times New Roman" w:hAnsi="Times New Roman" w:cs="Times New Roman" w:eastAsia="Times New Roman" w:hint="default"/>
        </w:rPr>
        <w:t>589</w:t>
      </w:r>
      <w:r>
        <w:rPr/>
        <w:t>名，首次授予限制性股</w:t>
      </w:r>
      <w:r>
        <w:rPr>
          <w:spacing w:val="-51"/>
        </w:rPr>
        <w:t> </w:t>
      </w:r>
      <w:r>
        <w:rPr>
          <w:spacing w:val="-51"/>
        </w:rPr>
      </w:r>
      <w:r>
        <w:rPr/>
        <w:t>票数量由</w:t>
      </w:r>
      <w:r>
        <w:rPr>
          <w:rFonts w:ascii="Times New Roman" w:hAnsi="Times New Roman" w:cs="Times New Roman" w:eastAsia="Times New Roman" w:hint="default"/>
        </w:rPr>
        <w:t>1,551.40</w:t>
      </w:r>
      <w:r>
        <w:rPr/>
        <w:t>万股调整为</w:t>
      </w:r>
      <w:r>
        <w:rPr>
          <w:rFonts w:ascii="Times New Roman" w:hAnsi="Times New Roman" w:cs="Times New Roman" w:eastAsia="Times New Roman" w:hint="default"/>
        </w:rPr>
        <w:t>1,528.20</w:t>
      </w:r>
      <w:r>
        <w:rPr/>
        <w:t>万股。</w:t>
      </w:r>
    </w:p>
    <w:p>
      <w:pPr>
        <w:pStyle w:val="BodyText"/>
        <w:spacing w:line="300" w:lineRule="auto" w:before="133"/>
        <w:ind w:left="132" w:right="1132" w:firstLine="360"/>
        <w:jc w:val="both"/>
      </w:pPr>
      <w:r>
        <w:rPr>
          <w:rFonts w:ascii="Times New Roman" w:hAnsi="Times New Roman" w:cs="Times New Roman" w:eastAsia="Times New Roman" w:hint="default"/>
          <w:spacing w:val="-2"/>
        </w:rPr>
        <w:t>2016</w:t>
      </w:r>
      <w:r>
        <w:rPr>
          <w:spacing w:val="-2"/>
        </w:rPr>
        <w:t>年股票期权与限制性股票自股权激励计划授予日起满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36</w:t>
      </w:r>
      <w:r>
        <w:rPr>
          <w:spacing w:val="-2"/>
        </w:rPr>
        <w:t>个月内分三期解除限售。首次</w:t>
      </w:r>
      <w:r>
        <w:rPr/>
        <w:t> 授予股票期权与限制性股票解除限售期及各期解除限售时间安排如表所示：</w:t>
      </w:r>
    </w:p>
    <w:p>
      <w:pPr>
        <w:spacing w:line="240" w:lineRule="auto" w:before="9"/>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632"/>
        <w:gridCol w:w="5233"/>
        <w:gridCol w:w="1793"/>
      </w:tblGrid>
      <w:tr>
        <w:trPr>
          <w:trHeight w:val="347" w:hRule="exact"/>
        </w:trPr>
        <w:tc>
          <w:tcPr>
            <w:tcW w:w="263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23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179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527"/>
              <w:jc w:val="right"/>
              <w:rPr>
                <w:rFonts w:ascii="宋体" w:hAnsi="宋体" w:cs="宋体" w:eastAsia="宋体" w:hint="default"/>
                <w:sz w:val="18"/>
                <w:szCs w:val="18"/>
              </w:rPr>
            </w:pPr>
            <w:r>
              <w:rPr>
                <w:rFonts w:ascii="宋体" w:hAnsi="宋体" w:cs="宋体" w:eastAsia="宋体" w:hint="default"/>
                <w:sz w:val="18"/>
                <w:szCs w:val="18"/>
              </w:rPr>
              <w:t>行权比例</w:t>
            </w:r>
          </w:p>
        </w:tc>
      </w:tr>
      <w:tr>
        <w:trPr>
          <w:trHeight w:val="657" w:hRule="exact"/>
        </w:trPr>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03"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内的最后一个交易日当日止</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42"/>
              <w:jc w:val="right"/>
              <w:rPr>
                <w:rFonts w:ascii="Times New Roman" w:hAnsi="Times New Roman" w:cs="Times New Roman" w:eastAsia="Times New Roman" w:hint="default"/>
                <w:sz w:val="18"/>
                <w:szCs w:val="18"/>
              </w:rPr>
            </w:pPr>
            <w:r>
              <w:rPr>
                <w:rFonts w:ascii="Times New Roman"/>
                <w:spacing w:val="-1"/>
                <w:sz w:val="18"/>
              </w:rPr>
              <w:t>40%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632"/>
        <w:gridCol w:w="5233"/>
        <w:gridCol w:w="1793"/>
      </w:tblGrid>
      <w:tr>
        <w:trPr>
          <w:trHeight w:val="659" w:hRule="exact"/>
        </w:trPr>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87"/>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内的最后一个交易日当日止</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42"/>
              <w:jc w:val="right"/>
              <w:rPr>
                <w:rFonts w:ascii="Times New Roman" w:hAnsi="Times New Roman" w:cs="Times New Roman" w:eastAsia="Times New Roman" w:hint="default"/>
                <w:sz w:val="18"/>
                <w:szCs w:val="18"/>
              </w:rPr>
            </w:pPr>
            <w:r>
              <w:rPr>
                <w:rFonts w:ascii="Times New Roman"/>
                <w:spacing w:val="-1"/>
                <w:sz w:val="18"/>
              </w:rPr>
              <w:t>30%</w:t>
            </w:r>
          </w:p>
        </w:tc>
      </w:tr>
      <w:tr>
        <w:trPr>
          <w:trHeight w:val="659" w:hRule="exact"/>
        </w:trPr>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87"/>
              <w:jc w:val="right"/>
              <w:rPr>
                <w:rFonts w:ascii="宋体" w:hAnsi="宋体" w:cs="宋体" w:eastAsia="宋体" w:hint="default"/>
                <w:sz w:val="18"/>
                <w:szCs w:val="18"/>
              </w:rPr>
            </w:pPr>
            <w:r>
              <w:rPr>
                <w:rFonts w:ascii="宋体" w:hAnsi="宋体" w:cs="宋体" w:eastAsia="宋体" w:hint="default"/>
                <w:sz w:val="18"/>
                <w:szCs w:val="18"/>
              </w:rPr>
              <w:t>第三个行权期</w:t>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1"/>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48</w:t>
            </w:r>
            <w:r>
              <w:rPr>
                <w:rFonts w:ascii="宋体" w:hAnsi="宋体" w:cs="宋体" w:eastAsia="宋体" w:hint="default"/>
                <w:spacing w:val="5"/>
                <w:sz w:val="18"/>
                <w:szCs w:val="18"/>
              </w:rPr>
              <w:t>个月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内的最后一个交易日当日止</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2"/>
              <w:jc w:val="right"/>
              <w:rPr>
                <w:rFonts w:ascii="Times New Roman" w:hAnsi="Times New Roman" w:cs="Times New Roman" w:eastAsia="Times New Roman" w:hint="default"/>
                <w:sz w:val="18"/>
                <w:szCs w:val="18"/>
              </w:rPr>
            </w:pPr>
            <w:r>
              <w:rPr>
                <w:rFonts w:ascii="Times New Roman"/>
                <w:spacing w:val="-1"/>
                <w:sz w:val="18"/>
              </w:rPr>
              <w:t>30%</w:t>
            </w:r>
          </w:p>
        </w:tc>
      </w:tr>
    </w:tbl>
    <w:p>
      <w:pPr>
        <w:spacing w:line="240" w:lineRule="auto" w:before="8"/>
        <w:rPr>
          <w:rFonts w:ascii="宋体" w:hAnsi="宋体" w:cs="宋体" w:eastAsia="宋体" w:hint="default"/>
          <w:sz w:val="6"/>
          <w:szCs w:val="6"/>
        </w:rPr>
      </w:pPr>
    </w:p>
    <w:p>
      <w:pPr>
        <w:pStyle w:val="BodyText"/>
        <w:spacing w:line="300" w:lineRule="auto" w:before="44"/>
        <w:ind w:left="132" w:right="1130" w:firstLine="360"/>
        <w:jc w:val="both"/>
      </w:pPr>
      <w:r>
        <w:rPr>
          <w:spacing w:val="-2"/>
        </w:rPr>
        <w:t>公司股票期权和限制性股票的主要行权条件：在本股票期权激励计划有效期内，以</w:t>
      </w:r>
      <w:r>
        <w:rPr>
          <w:rFonts w:ascii="Times New Roman" w:hAnsi="Times New Roman" w:cs="Times New Roman" w:eastAsia="Times New Roman" w:hint="default"/>
          <w:spacing w:val="-2"/>
        </w:rPr>
        <w:t>2015</w:t>
      </w:r>
      <w:r>
        <w:rPr>
          <w:spacing w:val="-2"/>
        </w:rPr>
        <w:t>年净利润为基数，净利润增长率</w:t>
      </w:r>
      <w:r>
        <w:rPr/>
        <w:t> 相比</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2016-2018</w:t>
      </w:r>
      <w:r>
        <w:rPr/>
        <w:t>年分别不低于</w:t>
      </w:r>
      <w:r>
        <w:rPr>
          <w:rFonts w:ascii="Times New Roman" w:hAnsi="Times New Roman" w:cs="Times New Roman" w:eastAsia="Times New Roman" w:hint="default"/>
        </w:rPr>
        <w:t>15%</w:t>
      </w:r>
      <w:r>
        <w:rPr/>
        <w:t>，</w:t>
      </w:r>
      <w:r>
        <w:rPr>
          <w:rFonts w:ascii="Times New Roman" w:hAnsi="Times New Roman" w:cs="Times New Roman" w:eastAsia="Times New Roman" w:hint="default"/>
        </w:rPr>
        <w:t>52%</w:t>
      </w:r>
      <w:r>
        <w:rPr/>
        <w:t>，</w:t>
      </w:r>
      <w:r>
        <w:rPr>
          <w:rFonts w:ascii="Times New Roman" w:hAnsi="Times New Roman" w:cs="Times New Roman" w:eastAsia="Times New Roman" w:hint="default"/>
        </w:rPr>
        <w:t>85%</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w:t>
      </w:r>
    </w:p>
    <w:p>
      <w:pPr>
        <w:pStyle w:val="BodyText"/>
        <w:spacing w:line="300" w:lineRule="auto" w:before="133"/>
        <w:ind w:left="132" w:right="112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日，公司召开第三届董事会第二十九次会议和第三届监事会第二十九次会议，审议通过了《关于公司</w:t>
      </w:r>
      <w:r>
        <w:rPr>
          <w:rFonts w:ascii="Times New Roman" w:hAnsi="Times New Roman" w:cs="Times New Roman" w:eastAsia="Times New Roman" w:hint="default"/>
          <w:spacing w:val="-2"/>
        </w:rPr>
        <w:t>2016</w:t>
      </w:r>
      <w:r>
        <w:rPr>
          <w:rFonts w:ascii="Times New Roman" w:hAnsi="Times New Roman" w:cs="Times New Roman" w:eastAsia="Times New Roman" w:hint="default"/>
        </w:rPr>
        <w:t> </w:t>
      </w:r>
      <w:r>
        <w:rPr>
          <w:spacing w:val="-2"/>
        </w:rPr>
        <w:t>年股权激励计划相关事项调整的议案》、《关于回购注销</w:t>
      </w:r>
      <w:r>
        <w:rPr>
          <w:rFonts w:ascii="Times New Roman" w:hAnsi="Times New Roman" w:cs="Times New Roman" w:eastAsia="Times New Roman" w:hint="default"/>
          <w:spacing w:val="-2"/>
        </w:rPr>
        <w:t>2016</w:t>
      </w:r>
      <w:r>
        <w:rPr>
          <w:spacing w:val="-2"/>
        </w:rPr>
        <w:t>年股权激励计划首次授予部分限制性股票的议案》，鉴于</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年度权益分派实施完成及有</w:t>
      </w:r>
      <w:r>
        <w:rPr>
          <w:rFonts w:ascii="Times New Roman" w:hAnsi="Times New Roman" w:cs="Times New Roman" w:eastAsia="Times New Roman" w:hint="default"/>
        </w:rPr>
        <w:t>6</w:t>
      </w:r>
      <w:r>
        <w:rPr/>
        <w:t>名首次授予期权和</w:t>
      </w:r>
      <w:r>
        <w:rPr>
          <w:rFonts w:ascii="Times New Roman" w:hAnsi="Times New Roman" w:cs="Times New Roman" w:eastAsia="Times New Roman" w:hint="default"/>
        </w:rPr>
        <w:t>37</w:t>
      </w:r>
      <w:r>
        <w:rPr/>
        <w:t>名首次授予限制性股票的激励对象因个人原因离职，不再具备激励对象资</w:t>
      </w:r>
      <w:r>
        <w:rPr>
          <w:spacing w:val="-85"/>
        </w:rPr>
        <w:t> </w:t>
      </w:r>
      <w:r>
        <w:rPr>
          <w:spacing w:val="-85"/>
        </w:rPr>
      </w:r>
      <w:r>
        <w:rPr>
          <w:spacing w:val="-1"/>
        </w:rPr>
        <w:t>格，同意首次授予期权激励对象由</w:t>
      </w:r>
      <w:r>
        <w:rPr>
          <w:rFonts w:ascii="Times New Roman" w:hAnsi="Times New Roman" w:cs="Times New Roman" w:eastAsia="Times New Roman" w:hint="default"/>
          <w:spacing w:val="-1"/>
        </w:rPr>
        <w:t>44</w:t>
      </w:r>
      <w:r>
        <w:rPr>
          <w:spacing w:val="-1"/>
        </w:rPr>
        <w:t>名调整为</w:t>
      </w:r>
      <w:r>
        <w:rPr>
          <w:rFonts w:ascii="Times New Roman" w:hAnsi="Times New Roman" w:cs="Times New Roman" w:eastAsia="Times New Roman" w:hint="default"/>
          <w:spacing w:val="-1"/>
        </w:rPr>
        <w:t>38</w:t>
      </w:r>
      <w:r>
        <w:rPr>
          <w:spacing w:val="-1"/>
        </w:rPr>
        <w:t>名，首次授予期权数量由</w:t>
      </w:r>
      <w:r>
        <w:rPr>
          <w:rFonts w:ascii="Times New Roman" w:hAnsi="Times New Roman" w:cs="Times New Roman" w:eastAsia="Times New Roman" w:hint="default"/>
          <w:spacing w:val="-1"/>
        </w:rPr>
        <w:t>95</w:t>
      </w:r>
      <w:r>
        <w:rPr>
          <w:spacing w:val="-1"/>
        </w:rPr>
        <w:t>万份调整为</w:t>
      </w:r>
      <w:r>
        <w:rPr>
          <w:rFonts w:ascii="Times New Roman" w:hAnsi="Times New Roman" w:cs="Times New Roman" w:eastAsia="Times New Roman" w:hint="default"/>
          <w:spacing w:val="-1"/>
        </w:rPr>
        <w:t>168.15</w:t>
      </w:r>
      <w:r>
        <w:rPr>
          <w:spacing w:val="-1"/>
        </w:rPr>
        <w:t>万份，首次授予期权行权价格</w:t>
      </w:r>
      <w:r>
        <w:rPr>
          <w:spacing w:val="-70"/>
        </w:rPr>
        <w:t> </w:t>
      </w:r>
      <w:r>
        <w:rPr>
          <w:spacing w:val="-70"/>
        </w:rPr>
      </w:r>
      <w:r>
        <w:rPr/>
        <w:t>由</w:t>
      </w:r>
      <w:r>
        <w:rPr>
          <w:rFonts w:ascii="Times New Roman" w:hAnsi="Times New Roman" w:cs="Times New Roman" w:eastAsia="Times New Roman" w:hint="default"/>
        </w:rPr>
        <w:t>22.46</w:t>
      </w:r>
      <w:r>
        <w:rPr/>
        <w:t>元调整为</w:t>
      </w:r>
      <w:r>
        <w:rPr>
          <w:rFonts w:ascii="Times New Roman" w:hAnsi="Times New Roman" w:cs="Times New Roman" w:eastAsia="Times New Roman" w:hint="default"/>
        </w:rPr>
        <w:t>11.787</w:t>
      </w:r>
      <w:r>
        <w:rPr/>
        <w:t>元。</w:t>
      </w:r>
    </w:p>
    <w:p>
      <w:pPr>
        <w:pStyle w:val="BodyText"/>
        <w:spacing w:line="300" w:lineRule="auto" w:before="133"/>
        <w:ind w:left="132"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日，公司召开第四届董事会第三次会议和第四届监事会第三次会议，审议通过了《关于公司</w:t>
      </w:r>
      <w:r>
        <w:rPr>
          <w:rFonts w:ascii="Times New Roman" w:hAnsi="Times New Roman" w:cs="Times New Roman" w:eastAsia="Times New Roman" w:hint="default"/>
        </w:rPr>
        <w:t>2016</w:t>
      </w:r>
      <w:r>
        <w:rPr/>
        <w:t>年股权激 励计划相关事项调整的议案》，将首次授予期权的行权价格由</w:t>
      </w:r>
      <w:r>
        <w:rPr>
          <w:rFonts w:ascii="Times New Roman" w:hAnsi="Times New Roman" w:cs="Times New Roman" w:eastAsia="Times New Roman" w:hint="default"/>
        </w:rPr>
        <w:t>11.787</w:t>
      </w:r>
      <w:r>
        <w:rPr/>
        <w:t>元调整为</w:t>
      </w:r>
      <w:r>
        <w:rPr>
          <w:rFonts w:ascii="Times New Roman" w:hAnsi="Times New Roman" w:cs="Times New Roman" w:eastAsia="Times New Roman" w:hint="default"/>
        </w:rPr>
        <w:t>11.772</w:t>
      </w:r>
      <w:r>
        <w:rPr/>
        <w:t>元。</w:t>
      </w:r>
    </w:p>
    <w:p>
      <w:pPr>
        <w:pStyle w:val="BodyText"/>
        <w:spacing w:line="300" w:lineRule="auto" w:before="133"/>
        <w:ind w:left="132" w:right="1132"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日，公司召开第四届董事会第十二次会议和第四届监事会第十一次会议，审议通过了《关于</w:t>
      </w:r>
      <w:r>
        <w:rPr>
          <w:rFonts w:ascii="Times New Roman" w:hAnsi="Times New Roman" w:cs="Times New Roman" w:eastAsia="Times New Roman" w:hint="default"/>
        </w:rPr>
        <w:t>2016</w:t>
      </w:r>
      <w:r>
        <w:rPr/>
        <w:t>年股权激 励计划相关事项调整的议案》，将首次授予期权行权价格由</w:t>
      </w:r>
      <w:r>
        <w:rPr>
          <w:rFonts w:ascii="Times New Roman" w:hAnsi="Times New Roman" w:cs="Times New Roman" w:eastAsia="Times New Roman" w:hint="default"/>
        </w:rPr>
        <w:t>11.772</w:t>
      </w:r>
      <w:r>
        <w:rPr/>
        <w:t>元调整为</w:t>
      </w:r>
      <w:r>
        <w:rPr>
          <w:rFonts w:ascii="Times New Roman" w:hAnsi="Times New Roman" w:cs="Times New Roman" w:eastAsia="Times New Roman" w:hint="default"/>
        </w:rPr>
        <w:t>11.752</w:t>
      </w:r>
      <w:r>
        <w:rPr/>
        <w:t>元。</w:t>
      </w:r>
    </w:p>
    <w:p>
      <w:pPr>
        <w:pStyle w:val="BodyText"/>
        <w:spacing w:line="300" w:lineRule="auto" w:before="133"/>
        <w:ind w:left="132" w:right="1130" w:firstLine="360"/>
        <w:jc w:val="both"/>
      </w:pPr>
      <w:r>
        <w:rPr>
          <w:spacing w:val="-4"/>
        </w:rPr>
        <w:t>注</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27</w:t>
      </w:r>
      <w:r>
        <w:rPr>
          <w:spacing w:val="-4"/>
        </w:rPr>
        <w:t>日，公司召开第三届董事会第三十次会议和第三届监事会第三十次会议，审议通过了《关于公司</w:t>
      </w:r>
      <w:r>
        <w:rPr>
          <w:rFonts w:ascii="Times New Roman" w:hAnsi="Times New Roman" w:cs="Times New Roman" w:eastAsia="Times New Roman" w:hint="default"/>
          <w:spacing w:val="-4"/>
        </w:rPr>
        <w:t>2016</w:t>
      </w:r>
      <w:r>
        <w:rPr>
          <w:rFonts w:ascii="Times New Roman" w:hAnsi="Times New Roman" w:cs="Times New Roman" w:eastAsia="Times New Roman" w:hint="default"/>
        </w:rPr>
        <w:t> </w:t>
      </w:r>
      <w:r>
        <w:rPr>
          <w:spacing w:val="-2"/>
        </w:rPr>
        <w:t>年股权激励计划预留授予相关事项的议案》，根据公司</w:t>
      </w:r>
      <w:r>
        <w:rPr>
          <w:rFonts w:ascii="Times New Roman" w:hAnsi="Times New Roman" w:cs="Times New Roman" w:eastAsia="Times New Roman" w:hint="default"/>
          <w:spacing w:val="-2"/>
        </w:rPr>
        <w:t>2016</w:t>
      </w:r>
      <w:r>
        <w:rPr>
          <w:spacing w:val="-2"/>
        </w:rPr>
        <w:t>年股权激励计划规定和股东大会授权，股票期权与限制性股票的</w:t>
      </w:r>
      <w:r>
        <w:rPr>
          <w:spacing w:val="-61"/>
        </w:rPr>
        <w:t> </w:t>
      </w:r>
      <w:r>
        <w:rPr>
          <w:spacing w:val="-61"/>
        </w:rPr>
      </w:r>
      <w:r>
        <w:rPr>
          <w:spacing w:val="-1"/>
        </w:rPr>
        <w:t>预留授予条件已经满足，公司董事会同意向符合条件的</w:t>
      </w:r>
      <w:r>
        <w:rPr>
          <w:rFonts w:ascii="Times New Roman" w:hAnsi="Times New Roman" w:cs="Times New Roman" w:eastAsia="Times New Roman" w:hint="default"/>
          <w:spacing w:val="-1"/>
        </w:rPr>
        <w:t>6</w:t>
      </w:r>
      <w:r>
        <w:rPr>
          <w:spacing w:val="-1"/>
        </w:rPr>
        <w:t>名激励对象授予</w:t>
      </w:r>
      <w:r>
        <w:rPr>
          <w:rFonts w:ascii="Times New Roman" w:hAnsi="Times New Roman" w:cs="Times New Roman" w:eastAsia="Times New Roman" w:hint="default"/>
          <w:spacing w:val="-1"/>
        </w:rPr>
        <w:t>38</w:t>
      </w:r>
      <w:r>
        <w:rPr>
          <w:spacing w:val="-1"/>
        </w:rPr>
        <w:t>万份股票期权，向</w:t>
      </w:r>
      <w:r>
        <w:rPr>
          <w:rFonts w:ascii="Times New Roman" w:hAnsi="Times New Roman" w:cs="Times New Roman" w:eastAsia="Times New Roman" w:hint="default"/>
          <w:spacing w:val="-1"/>
        </w:rPr>
        <w:t>294</w:t>
      </w:r>
      <w:r>
        <w:rPr>
          <w:spacing w:val="-1"/>
        </w:rPr>
        <w:t>名激励对象授予</w:t>
      </w:r>
      <w:r>
        <w:rPr>
          <w:rFonts w:ascii="Times New Roman" w:hAnsi="Times New Roman" w:cs="Times New Roman" w:eastAsia="Times New Roman" w:hint="default"/>
          <w:spacing w:val="-1"/>
        </w:rPr>
        <w:t>626.35</w:t>
      </w:r>
      <w:r>
        <w:rPr>
          <w:spacing w:val="-1"/>
        </w:rPr>
        <w:t>万股</w:t>
      </w:r>
      <w:r>
        <w:rPr>
          <w:spacing w:val="-74"/>
        </w:rPr>
        <w:t> </w:t>
      </w:r>
      <w:r>
        <w:rPr/>
        <w:t>限制性股票，授予日为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日。股票期权授予价格</w:t>
      </w:r>
      <w:r>
        <w:rPr>
          <w:rFonts w:ascii="Times New Roman" w:hAnsi="Times New Roman" w:cs="Times New Roman" w:eastAsia="Times New Roman" w:hint="default"/>
        </w:rPr>
        <w:t>7.31</w:t>
      </w:r>
      <w:r>
        <w:rPr/>
        <w:t>元，限制性股票授予价格</w:t>
      </w:r>
      <w:r>
        <w:rPr>
          <w:rFonts w:ascii="Times New Roman" w:hAnsi="Times New Roman" w:cs="Times New Roman" w:eastAsia="Times New Roman" w:hint="default"/>
        </w:rPr>
        <w:t>3.66</w:t>
      </w:r>
      <w:r>
        <w:rPr/>
        <w:t>元。</w:t>
      </w:r>
    </w:p>
    <w:p>
      <w:pPr>
        <w:pStyle w:val="BodyText"/>
        <w:spacing w:line="300" w:lineRule="auto" w:before="133"/>
        <w:ind w:left="132"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日，公司召开第四届董事会第三次会议和第四届监事会第三次会议，审议通过了《关于公司</w:t>
      </w:r>
      <w:r>
        <w:rPr>
          <w:rFonts w:ascii="Times New Roman" w:hAnsi="Times New Roman" w:cs="Times New Roman" w:eastAsia="Times New Roman" w:hint="default"/>
        </w:rPr>
        <w:t>2016</w:t>
      </w:r>
      <w:r>
        <w:rPr/>
        <w:t>年股权激 励计划相关事项调整的议案》，将预留授予期权的行权价格由</w:t>
      </w:r>
      <w:r>
        <w:rPr>
          <w:rFonts w:ascii="Times New Roman" w:hAnsi="Times New Roman" w:cs="Times New Roman" w:eastAsia="Times New Roman" w:hint="default"/>
        </w:rPr>
        <w:t>7.31</w:t>
      </w:r>
      <w:r>
        <w:rPr/>
        <w:t>元调整为</w:t>
      </w:r>
      <w:r>
        <w:rPr>
          <w:rFonts w:ascii="Times New Roman" w:hAnsi="Times New Roman" w:cs="Times New Roman" w:eastAsia="Times New Roman" w:hint="default"/>
        </w:rPr>
        <w:t>7.295</w:t>
      </w:r>
      <w:r>
        <w:rPr/>
        <w:t>元。</w:t>
      </w:r>
    </w:p>
    <w:p>
      <w:pPr>
        <w:pStyle w:val="BodyText"/>
        <w:spacing w:line="300" w:lineRule="auto" w:before="133"/>
        <w:ind w:left="132" w:right="1132"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日，公司召开第四届董事会第十二次会议和第四届监事会第十一次会议，审议通过了《关于</w:t>
      </w:r>
      <w:r>
        <w:rPr>
          <w:rFonts w:ascii="Times New Roman" w:hAnsi="Times New Roman" w:cs="Times New Roman" w:eastAsia="Times New Roman" w:hint="default"/>
        </w:rPr>
        <w:t>2016</w:t>
      </w:r>
      <w:r>
        <w:rPr/>
        <w:t>年股权激 励计划相关事项调整的议案》，将预留授予期权行权价格由</w:t>
      </w:r>
      <w:r>
        <w:rPr>
          <w:rFonts w:ascii="Times New Roman" w:hAnsi="Times New Roman" w:cs="Times New Roman" w:eastAsia="Times New Roman" w:hint="default"/>
        </w:rPr>
        <w:t>7.295</w:t>
      </w:r>
      <w:r>
        <w:rPr/>
        <w:t>元调整为</w:t>
      </w:r>
      <w:r>
        <w:rPr>
          <w:rFonts w:ascii="Times New Roman" w:hAnsi="Times New Roman" w:cs="Times New Roman" w:eastAsia="Times New Roman" w:hint="default"/>
        </w:rPr>
        <w:t>7.275</w:t>
      </w:r>
      <w:r>
        <w:rPr/>
        <w:t>元。</w:t>
      </w:r>
    </w:p>
    <w:p>
      <w:pPr>
        <w:pStyle w:val="BodyText"/>
        <w:spacing w:line="300" w:lineRule="auto" w:before="133"/>
        <w:ind w:left="132" w:right="1132" w:firstLine="360"/>
        <w:jc w:val="both"/>
      </w:pPr>
      <w:r>
        <w:rPr>
          <w:rFonts w:ascii="Times New Roman" w:hAnsi="Times New Roman" w:cs="Times New Roman" w:eastAsia="Times New Roman" w:hint="default"/>
          <w:spacing w:val="-2"/>
        </w:rPr>
        <w:t>2016</w:t>
      </w:r>
      <w:r>
        <w:rPr>
          <w:spacing w:val="-2"/>
        </w:rPr>
        <w:t>年股票期权与限制性股票自股权激励计划授予日起满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24</w:t>
      </w:r>
      <w:r>
        <w:rPr>
          <w:spacing w:val="-2"/>
        </w:rPr>
        <w:t>个月内分二期解除限售。预留</w:t>
      </w:r>
      <w:r>
        <w:rPr/>
        <w:t> 授予股票期权与限制性股票解除限售期及各期解除限售时间安排如表所示：</w:t>
      </w:r>
    </w:p>
    <w:p>
      <w:pPr>
        <w:spacing w:line="240" w:lineRule="auto" w:before="10"/>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632"/>
        <w:gridCol w:w="5233"/>
        <w:gridCol w:w="1793"/>
      </w:tblGrid>
      <w:tr>
        <w:trPr>
          <w:trHeight w:val="347" w:hRule="exact"/>
        </w:trPr>
        <w:tc>
          <w:tcPr>
            <w:tcW w:w="263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23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179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527"/>
              <w:jc w:val="right"/>
              <w:rPr>
                <w:rFonts w:ascii="宋体" w:hAnsi="宋体" w:cs="宋体" w:eastAsia="宋体" w:hint="default"/>
                <w:sz w:val="18"/>
                <w:szCs w:val="18"/>
              </w:rPr>
            </w:pPr>
            <w:r>
              <w:rPr>
                <w:rFonts w:ascii="宋体" w:hAnsi="宋体" w:cs="宋体" w:eastAsia="宋体" w:hint="default"/>
                <w:sz w:val="18"/>
                <w:szCs w:val="18"/>
              </w:rPr>
              <w:t>行权比例</w:t>
            </w:r>
          </w:p>
        </w:tc>
      </w:tr>
      <w:tr>
        <w:trPr>
          <w:trHeight w:val="659" w:hRule="exact"/>
        </w:trPr>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内的最后一个交易日当日止</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42"/>
              <w:jc w:val="right"/>
              <w:rPr>
                <w:rFonts w:ascii="Times New Roman" w:hAnsi="Times New Roman" w:cs="Times New Roman" w:eastAsia="Times New Roman" w:hint="default"/>
                <w:sz w:val="18"/>
                <w:szCs w:val="18"/>
              </w:rPr>
            </w:pPr>
            <w:r>
              <w:rPr>
                <w:rFonts w:ascii="Times New Roman"/>
                <w:spacing w:val="-1"/>
                <w:sz w:val="18"/>
              </w:rPr>
              <w:t>50%</w:t>
            </w:r>
          </w:p>
        </w:tc>
      </w:tr>
      <w:tr>
        <w:trPr>
          <w:trHeight w:val="659" w:hRule="exact"/>
        </w:trPr>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2"/>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1"/>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内的最后一个交易日当日止</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2"/>
              <w:jc w:val="right"/>
              <w:rPr>
                <w:rFonts w:ascii="Times New Roman" w:hAnsi="Times New Roman" w:cs="Times New Roman" w:eastAsia="Times New Roman" w:hint="default"/>
                <w:sz w:val="18"/>
                <w:szCs w:val="18"/>
              </w:rPr>
            </w:pPr>
            <w:r>
              <w:rPr>
                <w:rFonts w:ascii="Times New Roman"/>
                <w:spacing w:val="-1"/>
                <w:sz w:val="18"/>
              </w:rPr>
              <w:t>50%</w:t>
            </w:r>
          </w:p>
        </w:tc>
      </w:tr>
    </w:tbl>
    <w:p>
      <w:pPr>
        <w:spacing w:line="240" w:lineRule="auto" w:before="8"/>
        <w:rPr>
          <w:rFonts w:ascii="宋体" w:hAnsi="宋体" w:cs="宋体" w:eastAsia="宋体" w:hint="default"/>
          <w:sz w:val="6"/>
          <w:szCs w:val="6"/>
        </w:rPr>
      </w:pPr>
    </w:p>
    <w:p>
      <w:pPr>
        <w:pStyle w:val="BodyText"/>
        <w:spacing w:line="300" w:lineRule="auto" w:before="44"/>
        <w:ind w:left="132" w:right="1130" w:firstLine="360"/>
        <w:jc w:val="left"/>
      </w:pPr>
      <w:r>
        <w:rPr>
          <w:spacing w:val="-2"/>
        </w:rPr>
        <w:t>公司股票期权和限制性股票的主要行权条件：在本股票期权激励计划有效期内，以</w:t>
      </w:r>
      <w:r>
        <w:rPr>
          <w:rFonts w:ascii="Times New Roman" w:hAnsi="Times New Roman" w:cs="Times New Roman" w:eastAsia="Times New Roman" w:hint="default"/>
          <w:spacing w:val="-2"/>
        </w:rPr>
        <w:t>2015</w:t>
      </w:r>
      <w:r>
        <w:rPr>
          <w:spacing w:val="-2"/>
        </w:rPr>
        <w:t>年净利润为基数，净利润增长率</w:t>
      </w:r>
      <w:r>
        <w:rPr/>
        <w:t> 相比</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2017-2018</w:t>
      </w:r>
      <w:r>
        <w:rPr/>
        <w:t>年分别不低于</w:t>
      </w:r>
      <w:r>
        <w:rPr>
          <w:rFonts w:ascii="Times New Roman" w:hAnsi="Times New Roman" w:cs="Times New Roman" w:eastAsia="Times New Roman" w:hint="default"/>
        </w:rPr>
        <w:t>52%</w:t>
      </w:r>
      <w:r>
        <w:rPr/>
        <w:t>，</w:t>
      </w:r>
      <w:r>
        <w:rPr>
          <w:rFonts w:ascii="Times New Roman" w:hAnsi="Times New Roman" w:cs="Times New Roman" w:eastAsia="Times New Roman" w:hint="default"/>
        </w:rPr>
        <w:t>85%</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w:t>
      </w:r>
    </w:p>
    <w:p>
      <w:pPr>
        <w:pStyle w:val="BodyText"/>
        <w:spacing w:line="300" w:lineRule="auto" w:before="133"/>
        <w:ind w:left="132" w:right="1106" w:firstLine="360"/>
        <w:jc w:val="right"/>
      </w:pPr>
      <w:r>
        <w:rPr>
          <w:spacing w:val="-1"/>
        </w:rPr>
        <w:t>注</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30</w:t>
      </w:r>
      <w:r>
        <w:rPr>
          <w:spacing w:val="-1"/>
        </w:rPr>
        <w:t>日，公司召开</w:t>
      </w:r>
      <w:r>
        <w:rPr>
          <w:rFonts w:ascii="Times New Roman" w:hAnsi="Times New Roman" w:cs="Times New Roman" w:eastAsia="Times New Roman" w:hint="default"/>
          <w:spacing w:val="-1"/>
        </w:rPr>
        <w:t>2019</w:t>
      </w:r>
      <w:r>
        <w:rPr>
          <w:spacing w:val="-1"/>
        </w:rPr>
        <w:t>年第二次临时股东大会，审议通过了《关于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2019</w:t>
      </w:r>
      <w:r>
        <w:rPr>
          <w:spacing w:val="-1"/>
        </w:rPr>
        <w:t>年股票期权与限制性股票激</w:t>
      </w:r>
      <w:r>
        <w:rPr/>
        <w:t> </w:t>
      </w:r>
      <w:r>
        <w:rPr>
          <w:spacing w:val="-1"/>
        </w:rPr>
        <w:t>励计划（草案）</w:t>
      </w:r>
      <w:r>
        <w:rPr>
          <w:rFonts w:ascii="Times New Roman" w:hAnsi="Times New Roman" w:cs="Times New Roman" w:eastAsia="Times New Roman" w:hint="default"/>
          <w:spacing w:val="-1"/>
        </w:rPr>
        <w:t>&gt;</w:t>
      </w:r>
      <w:r>
        <w:rPr>
          <w:spacing w:val="-1"/>
        </w:rPr>
        <w:t>及其摘要的议案》、《关于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2019</w:t>
      </w:r>
      <w:r>
        <w:rPr>
          <w:spacing w:val="-1"/>
        </w:rPr>
        <w:t>年股票期权与限制性股票激励计划实施考核办法</w:t>
      </w:r>
      <w:r>
        <w:rPr>
          <w:rFonts w:ascii="Times New Roman" w:hAnsi="Times New Roman" w:cs="Times New Roman" w:eastAsia="Times New Roman" w:hint="default"/>
          <w:spacing w:val="-1"/>
        </w:rPr>
        <w:t>&gt;</w:t>
      </w:r>
      <w:r>
        <w:rPr>
          <w:spacing w:val="-1"/>
        </w:rPr>
        <w:t>的议案》等议案。</w:t>
      </w:r>
    </w:p>
    <w:p>
      <w:pPr>
        <w:pStyle w:val="BodyText"/>
        <w:spacing w:line="304" w:lineRule="auto" w:before="133"/>
        <w:ind w:left="132" w:right="103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日，公司召开第四届董事会第十五次会议和第四届监事会第十四次会议，审议通过了《关于调整</w:t>
      </w:r>
      <w:r>
        <w:rPr>
          <w:rFonts w:ascii="Times New Roman" w:hAnsi="Times New Roman" w:cs="Times New Roman" w:eastAsia="Times New Roman" w:hint="default"/>
        </w:rPr>
        <w:t>2019</w:t>
      </w:r>
      <w:r>
        <w:rPr/>
        <w:t>年股 </w:t>
      </w:r>
      <w:r>
        <w:rPr>
          <w:spacing w:val="-7"/>
        </w:rPr>
        <w:t>票期权与限制性股票激励计划激励对象名单及授予权益数量的议案》、《关于向激励对象授予股票期权与限制性股票的议案》。</w:t>
      </w:r>
      <w:r>
        <w:rPr>
          <w:spacing w:val="-50"/>
        </w:rPr>
        <w:t> </w:t>
      </w:r>
      <w:r>
        <w:rPr>
          <w:spacing w:val="-50"/>
        </w:rPr>
      </w:r>
      <w:r>
        <w:rPr>
          <w:spacing w:val="3"/>
        </w:rPr>
        <w:t>鉴于</w:t>
      </w:r>
      <w:r>
        <w:rPr>
          <w:rFonts w:ascii="Times New Roman" w:hAnsi="Times New Roman" w:cs="Times New Roman" w:eastAsia="Times New Roman" w:hint="default"/>
          <w:spacing w:val="3"/>
        </w:rPr>
        <w:t>7</w:t>
      </w:r>
      <w:r>
        <w:rPr>
          <w:spacing w:val="3"/>
        </w:rPr>
        <w:t>名激励对象离职失去激励对象资格及</w:t>
      </w:r>
      <w:r>
        <w:rPr>
          <w:rFonts w:ascii="Times New Roman" w:hAnsi="Times New Roman" w:cs="Times New Roman" w:eastAsia="Times New Roman" w:hint="default"/>
          <w:spacing w:val="3"/>
        </w:rPr>
        <w:t>13</w:t>
      </w:r>
      <w:r>
        <w:rPr>
          <w:spacing w:val="3"/>
        </w:rPr>
        <w:t>名激励对象因个人原因主动放弃公司拟向其授予的合计</w:t>
      </w:r>
      <w:r>
        <w:rPr>
          <w:rFonts w:ascii="Times New Roman" w:hAnsi="Times New Roman" w:cs="Times New Roman" w:eastAsia="Times New Roman" w:hint="default"/>
          <w:spacing w:val="3"/>
        </w:rPr>
        <w:t>36.8</w:t>
      </w:r>
      <w:r>
        <w:rPr>
          <w:spacing w:val="3"/>
        </w:rPr>
        <w:t>万份股票期权和</w:t>
      </w:r>
      <w:r>
        <w:rPr>
          <w:spacing w:val="-66"/>
        </w:rPr>
        <w:t> </w:t>
      </w:r>
      <w:r>
        <w:rPr>
          <w:spacing w:val="-66"/>
        </w:rPr>
      </w:r>
      <w:r>
        <w:rPr>
          <w:rFonts w:ascii="Times New Roman" w:hAnsi="Times New Roman" w:cs="Times New Roman" w:eastAsia="Times New Roman" w:hint="default"/>
        </w:rPr>
        <w:t>14.66</w:t>
      </w:r>
      <w:r>
        <w:rPr/>
        <w:t>万股限制性股票，公司董事会同意对本股权激励计划激励对象名单及授予权益数量进行调整，股票期权激励对象由</w:t>
      </w:r>
      <w:r>
        <w:rPr>
          <w:rFonts w:ascii="Times New Roman" w:hAnsi="Times New Roman" w:cs="Times New Roman" w:eastAsia="Times New Roman" w:hint="default"/>
        </w:rPr>
        <w:t>315 </w:t>
      </w:r>
      <w:r>
        <w:rPr/>
        <w:t>名调整为</w:t>
      </w:r>
      <w:r>
        <w:rPr>
          <w:rFonts w:ascii="Times New Roman" w:hAnsi="Times New Roman" w:cs="Times New Roman" w:eastAsia="Times New Roman" w:hint="default"/>
        </w:rPr>
        <w:t>308</w:t>
      </w:r>
      <w:r>
        <w:rPr/>
        <w:t>名，股票期权数量由</w:t>
      </w:r>
      <w:r>
        <w:rPr>
          <w:rFonts w:ascii="Times New Roman" w:hAnsi="Times New Roman" w:cs="Times New Roman" w:eastAsia="Times New Roman" w:hint="default"/>
        </w:rPr>
        <w:t>1,590.55</w:t>
      </w:r>
      <w:r>
        <w:rPr/>
        <w:t>万份调整为</w:t>
      </w:r>
      <w:r>
        <w:rPr>
          <w:rFonts w:ascii="Times New Roman" w:hAnsi="Times New Roman" w:cs="Times New Roman" w:eastAsia="Times New Roman" w:hint="default"/>
        </w:rPr>
        <w:t>1,553.75</w:t>
      </w:r>
      <w:r>
        <w:rPr/>
        <w:t>万份，限制性股票激励对象由</w:t>
      </w:r>
      <w:r>
        <w:rPr>
          <w:rFonts w:ascii="Times New Roman" w:hAnsi="Times New Roman" w:cs="Times New Roman" w:eastAsia="Times New Roman" w:hint="default"/>
        </w:rPr>
        <w:t>543</w:t>
      </w:r>
      <w:r>
        <w:rPr/>
        <w:t>名调整为</w:t>
      </w:r>
      <w:r>
        <w:rPr>
          <w:rFonts w:ascii="Times New Roman" w:hAnsi="Times New Roman" w:cs="Times New Roman" w:eastAsia="Times New Roman" w:hint="default"/>
        </w:rPr>
        <w:t>530</w:t>
      </w:r>
      <w:r>
        <w:rPr/>
        <w:t>名，限制性股票</w:t>
      </w:r>
    </w:p>
    <w:p>
      <w:pPr>
        <w:spacing w:after="0" w:line="304" w:lineRule="auto"/>
        <w:jc w:val="left"/>
        <w:sectPr>
          <w:footerReference w:type="default" r:id="rId33"/>
          <w:pgSz w:w="11910" w:h="16840"/>
          <w:pgMar w:footer="978" w:header="746" w:top="1060" w:bottom="1160" w:left="1000" w:right="0"/>
          <w:pgNumType w:start="210"/>
        </w:sectPr>
      </w:pPr>
    </w:p>
    <w:p>
      <w:pPr>
        <w:spacing w:line="240" w:lineRule="auto" w:before="12"/>
        <w:rPr>
          <w:rFonts w:ascii="宋体" w:hAnsi="宋体" w:cs="宋体" w:eastAsia="宋体" w:hint="default"/>
          <w:sz w:val="25"/>
          <w:szCs w:val="25"/>
        </w:rPr>
      </w:pPr>
    </w:p>
    <w:p>
      <w:pPr>
        <w:pStyle w:val="BodyText"/>
        <w:spacing w:line="300" w:lineRule="auto" w:before="44"/>
        <w:ind w:left="132" w:right="1131"/>
        <w:jc w:val="both"/>
      </w:pPr>
      <w:r>
        <w:rPr>
          <w:spacing w:val="-2"/>
        </w:rPr>
        <w:t>数量由</w:t>
      </w:r>
      <w:r>
        <w:rPr>
          <w:rFonts w:ascii="Times New Roman" w:hAnsi="Times New Roman" w:cs="Times New Roman" w:eastAsia="Times New Roman" w:hint="default"/>
          <w:spacing w:val="-2"/>
        </w:rPr>
        <w:t>1,667.81</w:t>
      </w:r>
      <w:r>
        <w:rPr>
          <w:spacing w:val="-2"/>
        </w:rPr>
        <w:t>万股调整为</w:t>
      </w:r>
      <w:r>
        <w:rPr>
          <w:rFonts w:ascii="Times New Roman" w:hAnsi="Times New Roman" w:cs="Times New Roman" w:eastAsia="Times New Roman" w:hint="default"/>
          <w:spacing w:val="-2"/>
        </w:rPr>
        <w:t>1,653.15</w:t>
      </w:r>
      <w:r>
        <w:rPr>
          <w:spacing w:val="-2"/>
        </w:rPr>
        <w:t>万股；鉴于本股权激励计划规定的授予条件已经成就，同意向</w:t>
      </w:r>
      <w:r>
        <w:rPr>
          <w:rFonts w:ascii="Times New Roman" w:hAnsi="Times New Roman" w:cs="Times New Roman" w:eastAsia="Times New Roman" w:hint="default"/>
          <w:spacing w:val="-2"/>
        </w:rPr>
        <w:t>308</w:t>
      </w:r>
      <w:r>
        <w:rPr>
          <w:spacing w:val="-2"/>
        </w:rPr>
        <w:t>名激励对象授予</w:t>
      </w:r>
      <w:r>
        <w:rPr>
          <w:rFonts w:ascii="Times New Roman" w:hAnsi="Times New Roman" w:cs="Times New Roman" w:eastAsia="Times New Roman" w:hint="default"/>
          <w:spacing w:val="-2"/>
        </w:rPr>
        <w:t>1,553.75 </w:t>
      </w:r>
      <w:r>
        <w:rPr/>
        <w:t>万份股票期权，同意向</w:t>
      </w:r>
      <w:r>
        <w:rPr>
          <w:rFonts w:ascii="Times New Roman" w:hAnsi="Times New Roman" w:cs="Times New Roman" w:eastAsia="Times New Roman" w:hint="default"/>
        </w:rPr>
        <w:t>530</w:t>
      </w:r>
      <w:r>
        <w:rPr/>
        <w:t>名激励对象授予</w:t>
      </w:r>
      <w:r>
        <w:rPr>
          <w:rFonts w:ascii="Times New Roman" w:hAnsi="Times New Roman" w:cs="Times New Roman" w:eastAsia="Times New Roman" w:hint="default"/>
        </w:rPr>
        <w:t>1,653.15</w:t>
      </w:r>
      <w:r>
        <w:rPr/>
        <w:t>万股限制性股票，本股权激励计划的授予日为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日。股票期权 的行权价格</w:t>
      </w:r>
      <w:r>
        <w:rPr>
          <w:rFonts w:ascii="Times New Roman" w:hAnsi="Times New Roman" w:cs="Times New Roman" w:eastAsia="Times New Roman" w:hint="default"/>
        </w:rPr>
        <w:t>14.02</w:t>
      </w:r>
      <w:r>
        <w:rPr/>
        <w:t>元，限制性股票授予价格</w:t>
      </w:r>
      <w:r>
        <w:rPr>
          <w:rFonts w:ascii="Times New Roman" w:hAnsi="Times New Roman" w:cs="Times New Roman" w:eastAsia="Times New Roman" w:hint="default"/>
        </w:rPr>
        <w:t>7.01</w:t>
      </w:r>
      <w:r>
        <w:rPr/>
        <w:t>元。</w:t>
      </w:r>
    </w:p>
    <w:p>
      <w:pPr>
        <w:pStyle w:val="BodyText"/>
        <w:spacing w:line="300" w:lineRule="auto" w:before="133"/>
        <w:ind w:left="132" w:right="1132"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日，公司召开第四届董事会第十六次会议和第四届监事会第十五次会议，审议通过了《关于调整</w:t>
      </w:r>
      <w:r>
        <w:rPr>
          <w:rFonts w:ascii="Times New Roman" w:hAnsi="Times New Roman" w:cs="Times New Roman" w:eastAsia="Times New Roman" w:hint="default"/>
        </w:rPr>
        <w:t>2019</w:t>
      </w:r>
      <w:r>
        <w:rPr/>
        <w:t>年股 权激励计划所涉限制性股票激励对象名单及授予权益数量的议案》。鉴于</w:t>
      </w:r>
      <w:r>
        <w:rPr>
          <w:rFonts w:ascii="Times New Roman" w:hAnsi="Times New Roman" w:cs="Times New Roman" w:eastAsia="Times New Roman" w:hint="default"/>
        </w:rPr>
        <w:t>7</w:t>
      </w:r>
      <w:r>
        <w:rPr/>
        <w:t>名激励对象因个人原因主动放弃公司拟向其授予</w:t>
      </w:r>
      <w:r>
        <w:rPr>
          <w:spacing w:val="-84"/>
        </w:rPr>
        <w:t> </w:t>
      </w:r>
      <w:r>
        <w:rPr>
          <w:spacing w:val="-84"/>
        </w:rPr>
      </w:r>
      <w:r>
        <w:rPr>
          <w:spacing w:val="-1"/>
        </w:rPr>
        <w:t>的合计</w:t>
      </w:r>
      <w:r>
        <w:rPr>
          <w:rFonts w:ascii="Times New Roman" w:hAnsi="Times New Roman" w:cs="Times New Roman" w:eastAsia="Times New Roman" w:hint="default"/>
          <w:spacing w:val="-1"/>
        </w:rPr>
        <w:t>13.47</w:t>
      </w:r>
      <w:r>
        <w:rPr>
          <w:spacing w:val="-1"/>
        </w:rPr>
        <w:t>万股限制性股票，公司董事会同意对限制性股票激励对象名单及授予权益数量进行调整，激励对象由</w:t>
      </w:r>
      <w:r>
        <w:rPr>
          <w:rFonts w:ascii="Times New Roman" w:hAnsi="Times New Roman" w:cs="Times New Roman" w:eastAsia="Times New Roman" w:hint="default"/>
          <w:spacing w:val="-1"/>
        </w:rPr>
        <w:t>530</w:t>
      </w:r>
      <w:r>
        <w:rPr>
          <w:spacing w:val="-1"/>
        </w:rPr>
        <w:t>名调整</w:t>
      </w:r>
      <w:r>
        <w:rPr>
          <w:spacing w:val="-75"/>
        </w:rPr>
        <w:t> </w:t>
      </w:r>
      <w:r>
        <w:rPr/>
        <w:t>为</w:t>
      </w:r>
      <w:r>
        <w:rPr>
          <w:rFonts w:ascii="Times New Roman" w:hAnsi="Times New Roman" w:cs="Times New Roman" w:eastAsia="Times New Roman" w:hint="default"/>
        </w:rPr>
        <w:t>523</w:t>
      </w:r>
      <w:r>
        <w:rPr/>
        <w:t>名，限制性股票数量由</w:t>
      </w:r>
      <w:r>
        <w:rPr>
          <w:rFonts w:ascii="Times New Roman" w:hAnsi="Times New Roman" w:cs="Times New Roman" w:eastAsia="Times New Roman" w:hint="default"/>
        </w:rPr>
        <w:t>1,653.15</w:t>
      </w:r>
      <w:r>
        <w:rPr/>
        <w:t>万股调整为</w:t>
      </w:r>
      <w:r>
        <w:rPr>
          <w:rFonts w:ascii="Times New Roman" w:hAnsi="Times New Roman" w:cs="Times New Roman" w:eastAsia="Times New Roman" w:hint="default"/>
        </w:rPr>
        <w:t>1,639.68</w:t>
      </w:r>
      <w:r>
        <w:rPr/>
        <w:t>万股。</w:t>
      </w:r>
    </w:p>
    <w:p>
      <w:pPr>
        <w:pStyle w:val="BodyText"/>
        <w:spacing w:line="300" w:lineRule="auto" w:before="133"/>
        <w:ind w:left="132" w:right="1132" w:firstLine="360"/>
        <w:jc w:val="both"/>
      </w:pPr>
      <w:r>
        <w:rPr>
          <w:rFonts w:ascii="Times New Roman" w:hAnsi="Times New Roman" w:cs="Times New Roman" w:eastAsia="Times New Roman" w:hint="default"/>
          <w:spacing w:val="-2"/>
        </w:rPr>
        <w:t>2019</w:t>
      </w:r>
      <w:r>
        <w:rPr>
          <w:spacing w:val="-2"/>
        </w:rPr>
        <w:t>年股票期权与限制性股票自股权激励计划授予日起满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24</w:t>
      </w:r>
      <w:r>
        <w:rPr>
          <w:spacing w:val="-2"/>
        </w:rPr>
        <w:t>个月内分二期解除限售。首次</w:t>
      </w:r>
      <w:r>
        <w:rPr/>
        <w:t> 授予股票期权与限制性股票解除限售期及各期解除限售时间安排如表所示：</w:t>
      </w:r>
    </w:p>
    <w:p>
      <w:pPr>
        <w:spacing w:line="240" w:lineRule="auto" w:before="9"/>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632"/>
        <w:gridCol w:w="5233"/>
        <w:gridCol w:w="1793"/>
      </w:tblGrid>
      <w:tr>
        <w:trPr>
          <w:trHeight w:val="347" w:hRule="exact"/>
        </w:trPr>
        <w:tc>
          <w:tcPr>
            <w:tcW w:w="263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23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1793"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527"/>
              <w:jc w:val="right"/>
              <w:rPr>
                <w:rFonts w:ascii="宋体" w:hAnsi="宋体" w:cs="宋体" w:eastAsia="宋体" w:hint="default"/>
                <w:sz w:val="18"/>
                <w:szCs w:val="18"/>
              </w:rPr>
            </w:pPr>
            <w:r>
              <w:rPr>
                <w:rFonts w:ascii="宋体" w:hAnsi="宋体" w:cs="宋体" w:eastAsia="宋体" w:hint="default"/>
                <w:sz w:val="18"/>
                <w:szCs w:val="18"/>
              </w:rPr>
              <w:t>行权比例</w:t>
            </w:r>
          </w:p>
        </w:tc>
      </w:tr>
      <w:tr>
        <w:trPr>
          <w:trHeight w:val="335" w:hRule="exact"/>
        </w:trPr>
        <w:tc>
          <w:tcPr>
            <w:tcW w:w="26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第一个行权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解除限</w:t>
            </w:r>
          </w:p>
        </w:tc>
        <w:tc>
          <w:tcPr>
            <w:tcW w:w="523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个月后的首个交易日起至授予登记完成</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542"/>
              <w:jc w:val="right"/>
              <w:rPr>
                <w:rFonts w:ascii="Times New Roman" w:hAnsi="Times New Roman" w:cs="Times New Roman" w:eastAsia="Times New Roman" w:hint="default"/>
                <w:sz w:val="18"/>
                <w:szCs w:val="18"/>
              </w:rPr>
            </w:pPr>
            <w:r>
              <w:rPr>
                <w:rFonts w:ascii="Times New Roman"/>
                <w:spacing w:val="-1"/>
                <w:sz w:val="18"/>
              </w:rPr>
              <w:t>50%</w:t>
            </w:r>
          </w:p>
        </w:tc>
      </w:tr>
      <w:tr>
        <w:trPr>
          <w:trHeight w:val="324" w:hRule="exact"/>
        </w:trPr>
        <w:tc>
          <w:tcPr>
            <w:tcW w:w="263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售期</w:t>
            </w:r>
          </w:p>
        </w:tc>
        <w:tc>
          <w:tcPr>
            <w:tcW w:w="523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793"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26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第二个行权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解除限</w:t>
            </w:r>
          </w:p>
        </w:tc>
        <w:tc>
          <w:tcPr>
            <w:tcW w:w="523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个月后的首个交易日起至授予登记完成</w:t>
            </w:r>
          </w:p>
        </w:tc>
        <w:tc>
          <w:tcPr>
            <w:tcW w:w="17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3"/>
              <w:ind w:right="542"/>
              <w:jc w:val="right"/>
              <w:rPr>
                <w:rFonts w:ascii="Times New Roman" w:hAnsi="Times New Roman" w:cs="Times New Roman" w:eastAsia="Times New Roman" w:hint="default"/>
                <w:sz w:val="18"/>
                <w:szCs w:val="18"/>
              </w:rPr>
            </w:pPr>
            <w:r>
              <w:rPr>
                <w:rFonts w:ascii="Times New Roman"/>
                <w:spacing w:val="-1"/>
                <w:sz w:val="18"/>
              </w:rPr>
              <w:t>50%</w:t>
            </w:r>
          </w:p>
        </w:tc>
      </w:tr>
      <w:tr>
        <w:trPr>
          <w:trHeight w:val="325" w:hRule="exact"/>
        </w:trPr>
        <w:tc>
          <w:tcPr>
            <w:tcW w:w="263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售期</w:t>
            </w:r>
          </w:p>
        </w:tc>
        <w:tc>
          <w:tcPr>
            <w:tcW w:w="523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793" w:type="dxa"/>
            <w:tcBorders>
              <w:top w:val="nil" w:sz="6" w:space="0" w:color="auto"/>
              <w:left w:val="single" w:sz="6" w:space="0" w:color="000000"/>
              <w:bottom w:val="single" w:sz="6" w:space="0" w:color="000000"/>
              <w:right w:val="single" w:sz="6" w:space="0" w:color="000000"/>
            </w:tcBorders>
          </w:tcPr>
          <w:p>
            <w:pPr/>
          </w:p>
        </w:tc>
      </w:tr>
    </w:tbl>
    <w:p>
      <w:pPr>
        <w:pStyle w:val="BodyText"/>
        <w:spacing w:line="300" w:lineRule="auto" w:before="12"/>
        <w:ind w:left="132" w:right="1130" w:firstLine="360"/>
        <w:jc w:val="both"/>
      </w:pPr>
      <w:r>
        <w:rPr>
          <w:spacing w:val="-2"/>
        </w:rPr>
        <w:t>公司股票期权和限制性股票的主要行权条件：在本股票期权激励计划有效期内，以</w:t>
      </w:r>
      <w:r>
        <w:rPr>
          <w:rFonts w:ascii="Times New Roman" w:hAnsi="Times New Roman" w:cs="Times New Roman" w:eastAsia="Times New Roman" w:hint="default"/>
          <w:spacing w:val="-2"/>
        </w:rPr>
        <w:t>2018</w:t>
      </w:r>
      <w:r>
        <w:rPr>
          <w:spacing w:val="-2"/>
        </w:rPr>
        <w:t>年净利润为基数，净利润增长率</w:t>
      </w:r>
      <w:r>
        <w:rPr/>
        <w:t> 相比</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2019-2020</w:t>
      </w:r>
      <w:r>
        <w:rPr/>
        <w:t>年分别不低于</w:t>
      </w:r>
      <w:r>
        <w:rPr>
          <w:rFonts w:ascii="Times New Roman" w:hAnsi="Times New Roman" w:cs="Times New Roman" w:eastAsia="Times New Roman" w:hint="default"/>
        </w:rPr>
        <w:t>25%</w:t>
      </w:r>
      <w:r>
        <w:rPr/>
        <w:t>，</w:t>
      </w:r>
      <w:r>
        <w:rPr>
          <w:rFonts w:ascii="Times New Roman" w:hAnsi="Times New Roman" w:cs="Times New Roman" w:eastAsia="Times New Roman" w:hint="default"/>
        </w:rPr>
        <w:t>55%</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w:t>
      </w:r>
    </w:p>
    <w:p>
      <w:pPr>
        <w:pStyle w:val="BodyText"/>
        <w:spacing w:line="300" w:lineRule="auto" w:before="13"/>
        <w:ind w:left="132" w:right="1081" w:firstLine="360"/>
        <w:jc w:val="both"/>
      </w:pPr>
      <w:r>
        <w:rPr/>
        <w:t>注</w:t>
      </w:r>
      <w:r>
        <w:rPr>
          <w:rFonts w:ascii="Times New Roman" w:hAnsi="Times New Roman" w:cs="Times New Roman" w:eastAsia="Times New Roman" w:hint="default"/>
        </w:rPr>
        <w:t>5</w:t>
      </w:r>
      <w:r>
        <w:rPr/>
        <w:t>：根据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日卫宁健康科技集团股份有限公司与上海快享企业管理中心（有限合伙）、薛征签订的股权转 让协议，卫宁健康科技集团股份有限公司向上海快享企业管理中心（有限合伙）以人民币</w:t>
      </w:r>
      <w:r>
        <w:rPr>
          <w:rFonts w:ascii="Times New Roman" w:hAnsi="Times New Roman" w:cs="Times New Roman" w:eastAsia="Times New Roman" w:hint="default"/>
        </w:rPr>
        <w:t>0</w:t>
      </w:r>
      <w:r>
        <w:rPr/>
        <w:t>元的对价转让其所持快享医疗科</w:t>
      </w:r>
      <w:r>
        <w:rPr>
          <w:spacing w:val="-85"/>
        </w:rPr>
        <w:t> </w:t>
      </w:r>
      <w:r>
        <w:rPr>
          <w:spacing w:val="-85"/>
        </w:rPr>
      </w:r>
      <w:r>
        <w:rPr/>
        <w:t>技（上海）有限公司（以下简称</w:t>
      </w:r>
      <w:r>
        <w:rPr>
          <w:rFonts w:ascii="Times New Roman" w:hAnsi="Times New Roman" w:cs="Times New Roman" w:eastAsia="Times New Roman" w:hint="default"/>
        </w:rPr>
        <w:t>"</w:t>
      </w:r>
      <w:r>
        <w:rPr/>
        <w:t>快享公司</w:t>
      </w:r>
      <w:r>
        <w:rPr>
          <w:rFonts w:ascii="Times New Roman" w:hAnsi="Times New Roman" w:cs="Times New Roman" w:eastAsia="Times New Roman" w:hint="default"/>
        </w:rPr>
        <w:t>")14.89%</w:t>
      </w:r>
      <w:r>
        <w:rPr/>
        <w:t>的股权共计</w:t>
      </w:r>
      <w:r>
        <w:rPr>
          <w:rFonts w:ascii="Times New Roman" w:hAnsi="Times New Roman" w:cs="Times New Roman" w:eastAsia="Times New Roman" w:hint="default"/>
        </w:rPr>
        <w:t>297.80</w:t>
      </w:r>
      <w:r>
        <w:rPr/>
        <w:t>万股，向薛征以人民币</w:t>
      </w:r>
      <w:r>
        <w:rPr>
          <w:rFonts w:ascii="Times New Roman" w:hAnsi="Times New Roman" w:cs="Times New Roman" w:eastAsia="Times New Roman" w:hint="default"/>
        </w:rPr>
        <w:t>0</w:t>
      </w:r>
      <w:r>
        <w:rPr/>
        <w:t>元的对价转让其所持快享公司</w:t>
      </w:r>
      <w:r>
        <w:rPr>
          <w:spacing w:val="-86"/>
        </w:rPr>
        <w:t> </w:t>
      </w:r>
      <w:r>
        <w:rPr>
          <w:spacing w:val="-86"/>
        </w:rPr>
      </w:r>
      <w:r>
        <w:rPr>
          <w:rFonts w:ascii="Times New Roman" w:hAnsi="Times New Roman" w:cs="Times New Roman" w:eastAsia="Times New Roman" w:hint="default"/>
        </w:rPr>
        <w:t>10.40%</w:t>
      </w:r>
      <w:r>
        <w:rPr/>
        <w:t>的股权共计</w:t>
      </w:r>
      <w:r>
        <w:rPr>
          <w:rFonts w:ascii="Times New Roman" w:hAnsi="Times New Roman" w:cs="Times New Roman" w:eastAsia="Times New Roman" w:hint="default"/>
        </w:rPr>
        <w:t>208</w:t>
      </w:r>
      <w:r>
        <w:rPr/>
        <w:t>万股。本次股权转让构成股份支付，根据快享公司净资产公允价值确认股份支付金额</w:t>
      </w:r>
      <w:r>
        <w:rPr>
          <w:rFonts w:ascii="Times New Roman" w:hAnsi="Times New Roman" w:cs="Times New Roman" w:eastAsia="Times New Roman" w:hint="default"/>
        </w:rPr>
        <w:t>3,481,528.65</w:t>
      </w:r>
      <w:r>
        <w:rPr/>
        <w:t>元。</w:t>
      </w:r>
    </w:p>
    <w:p>
      <w:pPr>
        <w:spacing w:line="240" w:lineRule="auto" w:before="13"/>
        <w:rPr>
          <w:rFonts w:ascii="宋体" w:hAnsi="宋体" w:cs="宋体" w:eastAsia="宋体" w:hint="default"/>
          <w:sz w:val="21"/>
          <w:szCs w:val="21"/>
        </w:rPr>
      </w:pPr>
    </w:p>
    <w:p>
      <w:pPr>
        <w:pStyle w:val="Heading3"/>
        <w:spacing w:line="240" w:lineRule="auto"/>
        <w:ind w:left="132" w:right="1034"/>
        <w:jc w:val="left"/>
        <w:rPr>
          <w:b w:val="0"/>
          <w:bCs w:val="0"/>
        </w:rPr>
      </w:pPr>
      <w:bookmarkStart w:name="2、以权益结算的股份支付情况" w:id="365"/>
      <w:bookmarkEnd w:id="36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983"/>
        <w:gridCol w:w="4585"/>
      </w:tblGrid>
      <w:tr>
        <w:trPr>
          <w:trHeight w:val="75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0"/>
              <w:ind w:left="22" w:right="951"/>
              <w:jc w:val="left"/>
              <w:rPr>
                <w:rFonts w:ascii="宋体" w:hAnsi="宋体" w:cs="宋体" w:eastAsia="宋体" w:hint="default"/>
                <w:sz w:val="18"/>
                <w:szCs w:val="18"/>
              </w:rPr>
            </w:pPr>
            <w:r>
              <w:rPr>
                <w:rFonts w:ascii="宋体" w:hAnsi="宋体" w:cs="宋体" w:eastAsia="宋体" w:hint="default"/>
                <w:sz w:val="18"/>
                <w:szCs w:val="18"/>
              </w:rPr>
              <w:t>股票期权：</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期权定价模型 限制性股票：授予日股票市价与授予价格之差</w:t>
            </w:r>
          </w:p>
        </w:tc>
      </w:tr>
      <w:tr>
        <w:trPr>
          <w:trHeight w:val="1026"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1"/>
              <w:jc w:val="both"/>
              <w:rPr>
                <w:rFonts w:ascii="宋体" w:hAnsi="宋体" w:cs="宋体" w:eastAsia="宋体" w:hint="default"/>
                <w:sz w:val="18"/>
                <w:szCs w:val="18"/>
              </w:rPr>
            </w:pPr>
            <w:r>
              <w:rPr>
                <w:rFonts w:ascii="宋体" w:hAnsi="宋体" w:cs="宋体" w:eastAsia="宋体" w:hint="default"/>
                <w:sz w:val="18"/>
                <w:szCs w:val="18"/>
              </w:rPr>
              <w:t>在等待期内的每个资产负债表日，根据最新取得的可行权 职工人数变动等后续信息做出最佳估计，修正预计可行权 的权益工具数量</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140,518,191.34</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24,352,839.81</w:t>
            </w:r>
          </w:p>
        </w:tc>
      </w:tr>
    </w:tbl>
    <w:p>
      <w:pPr>
        <w:pStyle w:val="BodyText"/>
        <w:spacing w:line="240" w:lineRule="auto" w:before="50"/>
        <w:ind w:left="132" w:right="1034"/>
        <w:jc w:val="left"/>
      </w:pPr>
      <w:r>
        <w:rPr/>
        <w:t>其他说明</w:t>
      </w:r>
    </w:p>
    <w:p>
      <w:pPr>
        <w:spacing w:line="240" w:lineRule="auto" w:before="3"/>
        <w:rPr>
          <w:rFonts w:ascii="宋体" w:hAnsi="宋体" w:cs="宋体" w:eastAsia="宋体" w:hint="default"/>
          <w:sz w:val="25"/>
          <w:szCs w:val="25"/>
        </w:rPr>
      </w:pPr>
    </w:p>
    <w:p>
      <w:pPr>
        <w:pStyle w:val="Heading2"/>
        <w:spacing w:line="240" w:lineRule="auto"/>
        <w:ind w:left="132" w:right="1034"/>
        <w:jc w:val="left"/>
        <w:rPr>
          <w:b w:val="0"/>
          <w:bCs w:val="0"/>
        </w:rPr>
      </w:pPr>
      <w:bookmarkStart w:name="十四、承诺及或有事项" w:id="366"/>
      <w:bookmarkEnd w:id="366"/>
      <w:r>
        <w:rPr>
          <w:b w:val="0"/>
          <w:bCs w:val="0"/>
        </w:rPr>
      </w:r>
      <w:r>
        <w:rPr/>
        <w:t>十四、承诺及或有事项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034"/>
        <w:jc w:val="left"/>
        <w:rPr>
          <w:b w:val="0"/>
          <w:bCs w:val="0"/>
        </w:rPr>
      </w:pPr>
      <w:bookmarkStart w:name="1、重要承诺事项" w:id="367"/>
      <w:bookmarkEnd w:id="36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6074"/>
        <w:jc w:val="left"/>
      </w:pPr>
      <w:r>
        <w:rPr/>
        <w:t>资产负债表日存在的重要承诺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日，本公司无需要披露的重要承诺事项。</w:t>
      </w:r>
    </w:p>
    <w:p>
      <w:pPr>
        <w:spacing w:after="0" w:line="360" w:lineRule="auto"/>
        <w:jc w:val="left"/>
        <w:sectPr>
          <w:pgSz w:w="11910" w:h="16840"/>
          <w:pgMar w:header="746" w:footer="978" w:top="1060" w:bottom="1160" w:left="100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或有事项" w:id="368"/>
      <w:bookmarkEnd w:id="36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69"/>
      <w:bookmarkEnd w:id="36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日，本公司无需要披露的重要或有事项。</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370"/>
      <w:bookmarkEnd w:id="37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五、资产负债表日后事项" w:id="371"/>
      <w:bookmarkEnd w:id="371"/>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72"/>
      <w:bookmarkEnd w:id="372"/>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41,032,893.65</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41,032,893.65</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其他资产负债表日后事项说明" w:id="373"/>
      <w:bookmarkEnd w:id="373"/>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日，公司以人民币</w:t>
      </w:r>
      <w:r>
        <w:rPr>
          <w:rFonts w:ascii="Times New Roman" w:hAnsi="Times New Roman" w:cs="Times New Roman" w:eastAsia="Times New Roman" w:hint="default"/>
        </w:rPr>
        <w:t>1,111.97</w:t>
      </w:r>
      <w:r>
        <w:rPr/>
        <w:t>万元收购合肥工业大学资产经营有限公司所持合肥汉思</w:t>
      </w:r>
      <w:r>
        <w:rPr>
          <w:rFonts w:ascii="Times New Roman" w:hAnsi="Times New Roman" w:cs="Times New Roman" w:eastAsia="Times New Roman" w:hint="default"/>
        </w:rPr>
        <w:t>15.4%</w:t>
      </w:r>
      <w:r>
        <w:rPr/>
        <w:t>股权。</w:t>
      </w:r>
      <w:r>
        <w:rPr>
          <w:rFonts w:ascii="Times New Roman" w:hAnsi="Times New Roman" w:cs="Times New Roman" w:eastAsia="Times New Roman" w:hint="default"/>
        </w:rPr>
        <w:t>2020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日，公司以人民币</w:t>
      </w:r>
      <w:r>
        <w:rPr>
          <w:rFonts w:ascii="Times New Roman" w:hAnsi="Times New Roman" w:cs="Times New Roman" w:eastAsia="Times New Roman" w:hint="default"/>
        </w:rPr>
        <w:t>1,452.46</w:t>
      </w:r>
      <w:r>
        <w:rPr/>
        <w:t>万元收购深圳旭东精工有限公司所持合肥汉思</w:t>
      </w:r>
      <w:r>
        <w:rPr>
          <w:rFonts w:ascii="Times New Roman" w:hAnsi="Times New Roman" w:cs="Times New Roman" w:eastAsia="Times New Roman" w:hint="default"/>
        </w:rPr>
        <w:t>20.07%</w:t>
      </w:r>
      <w:r>
        <w:rPr/>
        <w:t>股权。目前公司就以上股权转让正</w:t>
      </w:r>
      <w:r>
        <w:rPr>
          <w:spacing w:val="-27"/>
        </w:rPr>
        <w:t> </w:t>
      </w:r>
      <w:r>
        <w:rPr>
          <w:spacing w:val="-27"/>
        </w:rPr>
      </w:r>
      <w:r>
        <w:rPr/>
        <w:t>在办理工商变更手续。</w:t>
      </w:r>
    </w:p>
    <w:p>
      <w:pPr>
        <w:pStyle w:val="BodyText"/>
        <w:spacing w:line="300" w:lineRule="auto" w:before="31"/>
        <w:ind w:right="1132"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日，公司新设投资全资子公司宁夏卫宁健康科技有限公司，注册资本</w:t>
      </w:r>
      <w:r>
        <w:rPr>
          <w:rFonts w:ascii="Times New Roman" w:hAnsi="Times New Roman" w:cs="Times New Roman" w:eastAsia="Times New Roman" w:hint="default"/>
        </w:rPr>
        <w:t>1,000.00</w:t>
      </w:r>
      <w:r>
        <w:rPr/>
        <w:t>万元。，并已完成工商 注册手续。</w:t>
      </w:r>
    </w:p>
    <w:p>
      <w:pPr>
        <w:pStyle w:val="BodyText"/>
        <w:spacing w:line="300" w:lineRule="auto" w:before="31"/>
        <w:ind w:right="1132"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日，公司召开</w:t>
      </w:r>
      <w:r>
        <w:rPr>
          <w:rFonts w:ascii="Times New Roman" w:hAnsi="Times New Roman" w:cs="Times New Roman" w:eastAsia="Times New Roman" w:hint="default"/>
        </w:rPr>
        <w:t>2020</w:t>
      </w:r>
      <w:r>
        <w:rPr/>
        <w:t>年第二次临时股东大会， 审议通过了《</w:t>
      </w:r>
      <w:r>
        <w:rPr>
          <w:spacing w:val="-1"/>
        </w:rPr>
        <w:t> </w:t>
      </w:r>
      <w:r>
        <w:rPr/>
        <w:t>关于公司公开发行可转换公司债券方案的</w:t>
      </w:r>
      <w:r>
        <w:rPr/>
        <w:t> 议案》，公司拟发行总额不超过人民币 </w:t>
      </w:r>
      <w:r>
        <w:rPr>
          <w:rFonts w:ascii="Times New Roman" w:hAnsi="Times New Roman" w:cs="Times New Roman" w:eastAsia="Times New Roman" w:hint="default"/>
        </w:rPr>
        <w:t>140,000</w:t>
      </w:r>
      <w:r>
        <w:rPr>
          <w:rFonts w:ascii="Times New Roman" w:hAnsi="Times New Roman" w:cs="Times New Roman" w:eastAsia="Times New Roman" w:hint="default"/>
          <w:spacing w:val="42"/>
        </w:rPr>
        <w:t> </w:t>
      </w:r>
      <w:r>
        <w:rPr/>
        <w:t>万元的可转换公司债券，期限为自发行之日起六年。</w:t>
      </w:r>
    </w:p>
    <w:p>
      <w:pPr>
        <w:pStyle w:val="BodyText"/>
        <w:spacing w:line="240" w:lineRule="auto" w:before="13"/>
        <w:ind w:left="472"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日，公司注销控股子公司宁波金仕达卫宁软件有限公司，并已完成工商注销手续。</w:t>
      </w:r>
    </w:p>
    <w:p>
      <w:pPr>
        <w:pStyle w:val="BodyText"/>
        <w:spacing w:line="300" w:lineRule="auto" w:before="63"/>
        <w:ind w:right="1129" w:firstLine="36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日，公司召开</w:t>
      </w:r>
      <w:r>
        <w:rPr>
          <w:rFonts w:ascii="Times New Roman" w:hAnsi="Times New Roman" w:cs="Times New Roman" w:eastAsia="Times New Roman" w:hint="default"/>
          <w:spacing w:val="-2"/>
        </w:rPr>
        <w:t>2020</w:t>
      </w:r>
      <w:r>
        <w:rPr>
          <w:spacing w:val="-2"/>
        </w:rPr>
        <w:t>年第四届董事会第二十一次会议，审议通过了公司核心员工持股平台上海卫康亿企</w:t>
      </w:r>
      <w:r>
        <w:rPr/>
        <w:t> 业管理咨询合伙企业（有限合伙）（以下简称</w:t>
      </w:r>
      <w:r>
        <w:rPr>
          <w:rFonts w:ascii="Times New Roman" w:hAnsi="Times New Roman" w:cs="Times New Roman" w:eastAsia="Times New Roman" w:hint="default"/>
        </w:rPr>
        <w:t>“</w:t>
      </w:r>
      <w:r>
        <w:rPr/>
        <w:t>卫康亿</w:t>
      </w:r>
      <w:r>
        <w:rPr>
          <w:rFonts w:ascii="Times New Roman" w:hAnsi="Times New Roman" w:cs="Times New Roman" w:eastAsia="Times New Roman" w:hint="default"/>
        </w:rPr>
        <w:t>”</w:t>
      </w:r>
      <w:r>
        <w:rPr/>
        <w:t>）拟以</w:t>
      </w:r>
      <w:r>
        <w:rPr>
          <w:rFonts w:ascii="Times New Roman" w:hAnsi="Times New Roman" w:cs="Times New Roman" w:eastAsia="Times New Roman" w:hint="default"/>
        </w:rPr>
        <w:t>1,435</w:t>
      </w:r>
      <w:r>
        <w:rPr/>
        <w:t>万元受让自然人董津持有的杭州阜通投资合伙企业（有</w:t>
      </w:r>
      <w:r>
        <w:rPr>
          <w:spacing w:val="-31"/>
        </w:rPr>
        <w:t> </w:t>
      </w:r>
      <w:r>
        <w:rPr>
          <w:spacing w:val="-31"/>
        </w:rPr>
      </w:r>
      <w:r>
        <w:rPr>
          <w:spacing w:val="-2"/>
        </w:rPr>
        <w:t>限合伙）（以下简称</w:t>
      </w:r>
      <w:r>
        <w:rPr>
          <w:rFonts w:ascii="Times New Roman" w:hAnsi="Times New Roman" w:cs="Times New Roman" w:eastAsia="Times New Roman" w:hint="default"/>
          <w:spacing w:val="-2"/>
        </w:rPr>
        <w:t>“</w:t>
      </w:r>
      <w:r>
        <w:rPr>
          <w:spacing w:val="-2"/>
        </w:rPr>
        <w:t>杭州阜通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26.1035%</w:t>
      </w:r>
      <w:r>
        <w:rPr>
          <w:spacing w:val="-2"/>
        </w:rPr>
        <w:t>出资份额。杭州阜通为公司控股孙公司纳里健康的员工持股平台，现持有纳里健</w:t>
      </w:r>
      <w:r>
        <w:rPr>
          <w:spacing w:val="-51"/>
        </w:rPr>
        <w:t> </w:t>
      </w:r>
      <w:r>
        <w:rPr>
          <w:spacing w:val="-51"/>
        </w:rPr>
      </w:r>
      <w:r>
        <w:rPr/>
        <w:t>康</w:t>
      </w:r>
      <w:r>
        <w:rPr>
          <w:rFonts w:ascii="Times New Roman" w:hAnsi="Times New Roman" w:cs="Times New Roman" w:eastAsia="Times New Roman" w:hint="default"/>
        </w:rPr>
        <w:t>13.2875%</w:t>
      </w:r>
      <w:r>
        <w:rPr/>
        <w:t>的股权。本次交易完成后，杭州阜通持有纳里健康的股权比例不变，卫康亿将透过杭州阜通间接持有纳里健康</w:t>
      </w:r>
      <w:r>
        <w:rPr>
          <w:spacing w:val="-23"/>
        </w:rPr>
        <w:t> </w:t>
      </w:r>
      <w:r>
        <w:rPr>
          <w:spacing w:val="-23"/>
        </w:rPr>
      </w:r>
      <w:r>
        <w:rPr/>
        <w:t>约</w:t>
      </w:r>
      <w:r>
        <w:rPr>
          <w:rFonts w:ascii="Times New Roman" w:hAnsi="Times New Roman" w:cs="Times New Roman" w:eastAsia="Times New Roman" w:hint="default"/>
        </w:rPr>
        <w:t>3.4685%</w:t>
      </w:r>
      <w:r>
        <w:rPr/>
        <w:t>的股权。目前公司正在办理股权变更手续。</w:t>
      </w:r>
    </w:p>
    <w:p>
      <w:pPr>
        <w:pStyle w:val="BodyText"/>
        <w:spacing w:line="300" w:lineRule="auto" w:before="13"/>
        <w:ind w:right="1126" w:firstLine="360"/>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日，公司召开</w:t>
      </w:r>
      <w:r>
        <w:rPr>
          <w:rFonts w:ascii="Times New Roman" w:hAnsi="Times New Roman" w:cs="Times New Roman" w:eastAsia="Times New Roman" w:hint="default"/>
          <w:spacing w:val="-2"/>
        </w:rPr>
        <w:t>2020</w:t>
      </w:r>
      <w:r>
        <w:rPr>
          <w:spacing w:val="-2"/>
        </w:rPr>
        <w:t>年第四届董事会第二十一次会议，审议通过了公司拟将持有南京大经中医药信息技</w:t>
      </w:r>
      <w:r>
        <w:rPr/>
        <w:t> </w:t>
      </w:r>
      <w:r>
        <w:rPr>
          <w:spacing w:val="-3"/>
        </w:rPr>
        <w:t>术有限公司（以下简称</w:t>
      </w:r>
      <w:r>
        <w:rPr>
          <w:rFonts w:ascii="Times New Roman" w:hAnsi="Times New Roman" w:cs="Times New Roman" w:eastAsia="Times New Roman" w:hint="default"/>
          <w:spacing w:val="-3"/>
        </w:rPr>
        <w:t>“</w:t>
      </w:r>
      <w:r>
        <w:rPr>
          <w:spacing w:val="-3"/>
        </w:rPr>
        <w:t>大经中医</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31.375%</w:t>
      </w:r>
      <w:r>
        <w:rPr>
          <w:spacing w:val="-3"/>
        </w:rPr>
        <w:t>股权中的</w:t>
      </w:r>
      <w:r>
        <w:rPr>
          <w:rFonts w:ascii="Times New Roman" w:hAnsi="Times New Roman" w:cs="Times New Roman" w:eastAsia="Times New Roman" w:hint="default"/>
          <w:spacing w:val="-3"/>
        </w:rPr>
        <w:t>6.375%</w:t>
      </w:r>
      <w:r>
        <w:rPr>
          <w:spacing w:val="-3"/>
        </w:rPr>
        <w:t>的股权转让给公司核心员工持股平台卫康亿，转让价格为</w:t>
      </w:r>
      <w:r>
        <w:rPr>
          <w:rFonts w:ascii="Times New Roman" w:hAnsi="Times New Roman" w:cs="Times New Roman" w:eastAsia="Times New Roman" w:hint="default"/>
          <w:spacing w:val="-3"/>
        </w:rPr>
        <w:t>956.25</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1"/>
        </w:rPr>
        <w:t>万元。本次交易完成后，公司将持有大经中医</w:t>
      </w:r>
      <w:r>
        <w:rPr>
          <w:rFonts w:ascii="Times New Roman" w:hAnsi="Times New Roman" w:cs="Times New Roman" w:eastAsia="Times New Roman" w:hint="default"/>
          <w:spacing w:val="-1"/>
        </w:rPr>
        <w:t>25.000%</w:t>
      </w:r>
      <w:r>
        <w:rPr>
          <w:spacing w:val="-1"/>
        </w:rPr>
        <w:t>的股权，卫康亿将持有大经中医</w:t>
      </w:r>
      <w:r>
        <w:rPr>
          <w:rFonts w:ascii="Times New Roman" w:hAnsi="Times New Roman" w:cs="Times New Roman" w:eastAsia="Times New Roman" w:hint="default"/>
          <w:spacing w:val="-1"/>
        </w:rPr>
        <w:t>6.375%</w:t>
      </w:r>
      <w:r>
        <w:rPr>
          <w:spacing w:val="-1"/>
        </w:rPr>
        <w:t>的股权。本次股权转让构成关</w:t>
      </w:r>
      <w:r>
        <w:rPr>
          <w:spacing w:val="-54"/>
        </w:rPr>
        <w:t> </w:t>
      </w:r>
      <w:r>
        <w:rPr>
          <w:spacing w:val="-54"/>
        </w:rPr>
      </w:r>
      <w:r>
        <w:rPr/>
        <w:t>联交易，本次交易完成后，公司对大经中医的持股比例由</w:t>
      </w:r>
      <w:r>
        <w:rPr>
          <w:rFonts w:ascii="Times New Roman" w:hAnsi="Times New Roman" w:cs="Times New Roman" w:eastAsia="Times New Roman" w:hint="default"/>
        </w:rPr>
        <w:t>31.375%</w:t>
      </w:r>
      <w:r>
        <w:rPr/>
        <w:t>下降至</w:t>
      </w:r>
      <w:r>
        <w:rPr>
          <w:rFonts w:ascii="Times New Roman" w:hAnsi="Times New Roman" w:cs="Times New Roman" w:eastAsia="Times New Roman" w:hint="default"/>
        </w:rPr>
        <w:t>25.000%</w:t>
      </w:r>
      <w:r>
        <w:rPr/>
        <w:t>，大经中医仍为公司的参股公司。目前公</w:t>
      </w:r>
      <w:r>
        <w:rPr>
          <w:spacing w:val="-39"/>
        </w:rPr>
        <w:t> </w:t>
      </w:r>
      <w:r>
        <w:rPr>
          <w:spacing w:val="-39"/>
        </w:rPr>
      </w:r>
      <w:r>
        <w:rPr/>
        <w:t>司正在办理股权变更手续。</w:t>
      </w:r>
    </w:p>
    <w:p>
      <w:pPr>
        <w:spacing w:after="0" w:line="300" w:lineRule="auto"/>
        <w:jc w:val="both"/>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其他重要事项" w:id="374"/>
      <w:bookmarkEnd w:id="374"/>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75"/>
      <w:bookmarkEnd w:id="375"/>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财务信息" w:id="376"/>
      <w:bookmarkEnd w:id="376"/>
      <w:r>
        <w:rPr>
          <w:b w:val="0"/>
          <w:bCs w:val="0"/>
        </w:rPr>
      </w:r>
      <w:r>
        <w:rPr/>
        <w:t>（</w:t>
      </w:r>
      <w:r>
        <w:rPr>
          <w:rFonts w:ascii="Times New Roman" w:hAnsi="Times New Roman" w:cs="Times New Roman" w:eastAsia="Times New Roman" w:hint="default"/>
        </w:rPr>
        <w:t>1</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5" w:hanging="360"/>
              <w:jc w:val="left"/>
              <w:rPr>
                <w:rFonts w:ascii="宋体" w:hAnsi="宋体" w:cs="宋体" w:eastAsia="宋体" w:hint="default"/>
                <w:sz w:val="18"/>
                <w:szCs w:val="18"/>
              </w:rPr>
            </w:pPr>
            <w:r>
              <w:rPr>
                <w:rFonts w:ascii="宋体" w:hAnsi="宋体" w:cs="宋体" w:eastAsia="宋体" w:hint="default"/>
                <w:sz w:val="18"/>
                <w:szCs w:val="18"/>
              </w:rPr>
              <w:t>其他华东地 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414,560,467.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548,879,888.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963,440,355.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699,051,573.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97,941,714.3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131,955,865.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1,892,389,50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8.42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主营业务成 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209,487,109.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252,621,861.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462,108,970.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350,843,678.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30,897,955.8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69,521,693.1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913,372,297.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13"/>
        <w:rPr>
          <w:rFonts w:ascii="宋体" w:hAnsi="宋体" w:cs="宋体" w:eastAsia="宋体" w:hint="default"/>
          <w:sz w:val="17"/>
          <w:szCs w:val="17"/>
        </w:rPr>
      </w:pPr>
    </w:p>
    <w:p>
      <w:pPr>
        <w:pStyle w:val="Heading2"/>
        <w:spacing w:line="240" w:lineRule="auto" w:before="26"/>
        <w:ind w:right="0"/>
        <w:jc w:val="left"/>
        <w:rPr>
          <w:b w:val="0"/>
          <w:bCs w:val="0"/>
        </w:rPr>
      </w:pPr>
      <w:bookmarkStart w:name="十七、母公司财务报表主要项目注释" w:id="377"/>
      <w:bookmarkEnd w:id="377"/>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78"/>
      <w:bookmarkEnd w:id="37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79"/>
      <w:bookmarkEnd w:id="37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0"/>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1,367,51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1,367,51</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1,367,515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1,367,515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0"/>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1,359,43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3,006.90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4" w:right="0"/>
              <w:jc w:val="center"/>
              <w:rPr>
                <w:rFonts w:ascii="Times New Roman" w:hAnsi="Times New Roman" w:cs="Times New Roman" w:eastAsia="Times New Roman" w:hint="default"/>
                <w:sz w:val="18"/>
                <w:szCs w:val="18"/>
              </w:rPr>
            </w:pPr>
            <w:r>
              <w:rPr>
                <w:rFonts w:ascii="Times New Roman"/>
                <w:sz w:val="18"/>
              </w:rPr>
              <w:t>205,535,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309.77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15.12%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 w:right="0"/>
              <w:jc w:val="center"/>
              <w:rPr>
                <w:rFonts w:ascii="Times New Roman" w:hAnsi="Times New Roman" w:cs="Times New Roman" w:eastAsia="Times New Roman" w:hint="default"/>
                <w:sz w:val="18"/>
                <w:szCs w:val="18"/>
              </w:rPr>
            </w:pPr>
            <w:r>
              <w:rPr>
                <w:rFonts w:ascii="Times New Roman"/>
                <w:sz w:val="18"/>
              </w:rPr>
              <w:t>1,153,897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,697.13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995,897,0</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88.09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6" w:right="0"/>
              <w:jc w:val="left"/>
              <w:rPr>
                <w:rFonts w:ascii="Times New Roman" w:hAnsi="Times New Roman" w:cs="Times New Roman" w:eastAsia="Times New Roman" w:hint="default"/>
                <w:sz w:val="18"/>
                <w:szCs w:val="18"/>
              </w:rPr>
            </w:pPr>
            <w:r>
              <w:rPr>
                <w:rFonts w:ascii="Times New Roman"/>
                <w:sz w:val="18"/>
              </w:rPr>
              <w:t>147,097,5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0" w:right="0"/>
              <w:jc w:val="left"/>
              <w:rPr>
                <w:rFonts w:ascii="Times New Roman" w:hAnsi="Times New Roman" w:cs="Times New Roman" w:eastAsia="Times New Roman" w:hint="default"/>
                <w:sz w:val="18"/>
                <w:szCs w:val="18"/>
              </w:rPr>
            </w:pPr>
            <w:r>
              <w:rPr>
                <w:rFonts w:ascii="Times New Roman"/>
                <w:sz w:val="18"/>
              </w:rPr>
              <w:t>848,799,57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：合并范围内 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47,249,6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13.43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 w:right="0"/>
              <w:jc w:val="left"/>
              <w:rPr>
                <w:rFonts w:ascii="Times New Roman" w:hAnsi="Times New Roman" w:cs="Times New Roman" w:eastAsia="Times New Roman" w:hint="default"/>
                <w:sz w:val="18"/>
                <w:szCs w:val="18"/>
              </w:rPr>
            </w:pPr>
            <w:r>
              <w:rPr>
                <w:rFonts w:ascii="Times New Roman"/>
                <w:sz w:val="18"/>
              </w:rPr>
              <w:t>47,249,61</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3.43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27,451,15</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1.20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27,451,151.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124"/>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：非合并范 围内公司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1,312,1</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83,393.</w:t>
            </w:r>
          </w:p>
          <w:p>
            <w:pPr>
              <w:pStyle w:val="TableParagraph"/>
              <w:spacing w:line="240" w:lineRule="auto" w:before="105"/>
              <w:ind w:left="471" w:right="0"/>
              <w:jc w:val="left"/>
              <w:rPr>
                <w:rFonts w:ascii="Times New Roman" w:hAnsi="Times New Roman" w:cs="Times New Roman" w:eastAsia="Times New Roman" w:hint="default"/>
                <w:sz w:val="18"/>
                <w:szCs w:val="18"/>
              </w:rPr>
            </w:pPr>
            <w:r>
              <w:rPr>
                <w:rFonts w:ascii="Times New Roman"/>
                <w:sz w:val="18"/>
              </w:rPr>
              <w:t>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96.43</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205,53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5,309.7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5" w:right="0"/>
              <w:jc w:val="left"/>
              <w:rPr>
                <w:rFonts w:ascii="Times New Roman" w:hAnsi="Times New Roman" w:cs="Times New Roman" w:eastAsia="Times New Roman" w:hint="default"/>
                <w:sz w:val="18"/>
                <w:szCs w:val="18"/>
              </w:rPr>
            </w:pPr>
            <w:r>
              <w:rPr>
                <w:rFonts w:ascii="Times New Roman"/>
                <w:sz w:val="18"/>
              </w:rPr>
              <w:t>15.66</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1,106,6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48,083.</w:t>
            </w:r>
          </w:p>
          <w:p>
            <w:pPr>
              <w:pStyle w:val="TableParagraph"/>
              <w:spacing w:line="240" w:lineRule="auto" w:before="105"/>
              <w:ind w:left="495" w:right="0"/>
              <w:jc w:val="left"/>
              <w:rPr>
                <w:rFonts w:ascii="Times New Roman" w:hAnsi="Times New Roman" w:cs="Times New Roman" w:eastAsia="Times New Roman" w:hint="default"/>
                <w:sz w:val="18"/>
                <w:szCs w:val="18"/>
              </w:rPr>
            </w:pPr>
            <w:r>
              <w:rPr>
                <w:rFonts w:ascii="Times New Roman"/>
                <w:sz w:val="18"/>
              </w:rPr>
              <w:t>70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968,44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5,936.8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97.11%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7,515.0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15.19%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821,348,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421.82</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1,360,80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0,521.90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4" w:right="0"/>
              <w:jc w:val="center"/>
              <w:rPr>
                <w:rFonts w:ascii="Times New Roman" w:hAnsi="Times New Roman" w:cs="Times New Roman" w:eastAsia="Times New Roman" w:hint="default"/>
                <w:sz w:val="18"/>
                <w:szCs w:val="18"/>
              </w:rPr>
            </w:pPr>
            <w:r>
              <w:rPr>
                <w:rFonts w:ascii="Times New Roman"/>
                <w:sz w:val="18"/>
              </w:rPr>
              <w:t>206,902,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824.77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15.20%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 w:right="0"/>
              <w:jc w:val="center"/>
              <w:rPr>
                <w:rFonts w:ascii="Times New Roman" w:hAnsi="Times New Roman" w:cs="Times New Roman" w:eastAsia="Times New Roman" w:hint="default"/>
                <w:sz w:val="18"/>
                <w:szCs w:val="18"/>
              </w:rPr>
            </w:pPr>
            <w:r>
              <w:rPr>
                <w:rFonts w:ascii="Times New Roman"/>
                <w:sz w:val="18"/>
              </w:rPr>
              <w:t>1,153,897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,697.13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997,264,6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03.09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6" w:right="0"/>
              <w:jc w:val="left"/>
              <w:rPr>
                <w:rFonts w:ascii="Times New Roman" w:hAnsi="Times New Roman" w:cs="Times New Roman" w:eastAsia="Times New Roman" w:hint="default"/>
                <w:sz w:val="18"/>
                <w:szCs w:val="18"/>
              </w:rPr>
            </w:pPr>
            <w:r>
              <w:rPr>
                <w:rFonts w:ascii="Times New Roman"/>
                <w:sz w:val="18"/>
              </w:rPr>
              <w:t>148,465,0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30.07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0" w:right="0"/>
              <w:jc w:val="left"/>
              <w:rPr>
                <w:rFonts w:ascii="Times New Roman" w:hAnsi="Times New Roman" w:cs="Times New Roman" w:eastAsia="Times New Roman" w:hint="default"/>
                <w:sz w:val="18"/>
                <w:szCs w:val="18"/>
              </w:rPr>
            </w:pPr>
            <w:r>
              <w:rPr>
                <w:rFonts w:ascii="Times New Roman"/>
                <w:sz w:val="18"/>
              </w:rPr>
              <w:t>848,799,57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3.02</w:t>
            </w:r>
          </w:p>
        </w:tc>
      </w:tr>
    </w:tbl>
    <w:p>
      <w:pPr>
        <w:pStyle w:val="BodyText"/>
        <w:spacing w:line="240" w:lineRule="auto" w:before="49"/>
        <w:ind w:right="0"/>
        <w:jc w:val="left"/>
      </w:pPr>
      <w:r>
        <w:rPr/>
        <w:t>按单项计提坏账准备：</w:t>
      </w:r>
    </w:p>
    <w:p>
      <w:pPr>
        <w:pStyle w:val="BodyText"/>
        <w:spacing w:line="240" w:lineRule="auto" w:before="117"/>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609,720.00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609,720.00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334,395.00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334,395.00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1,367,515.00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1,367,515.00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2"/>
        <w:ind w:right="0"/>
        <w:jc w:val="left"/>
      </w:pPr>
      <w:r>
        <w:rPr/>
        <w:t>按组合计提坏账准备：按组合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计提坏账准备的应收账款</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天津卫宁软件有限公司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15,970,021.74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四川卫宁软件有限公司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12,467,851.48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黑龙江卫宁软件有限公司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7,780,516.70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新疆卫宁软件有限公司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4,364,964.73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卫宁互联网科技有限公司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1,594,740.55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上海卫宁数据科技有限公司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1,441,241.20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纳里健康科技有限公司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1,392,175.00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重庆卫宁软件有限公司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808,908.68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合肥汉思信息技术有限责任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726,298.89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广东卫宁软件有限公司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248,632.75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黑龙江卫宁互联网科技有限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201,939.85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山西卫宁软件有限公司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115,075.00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陕西卫宁互联网科技有限公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98,540.66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杭州东联软件有限公司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38,706.20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47,249,613.43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20"/>
        <w:jc w:val="left"/>
      </w:pPr>
      <w:r>
        <w:rPr/>
        <w:t>确定该组合依据的说明：</w:t>
      </w:r>
    </w:p>
    <w:p>
      <w:pPr>
        <w:pStyle w:val="BodyText"/>
        <w:spacing w:line="240" w:lineRule="auto" w:before="117"/>
        <w:ind w:right="-19"/>
        <w:jc w:val="left"/>
      </w:pPr>
      <w:r>
        <w:rPr/>
        <w:t>按组合计提坏账准备：按组合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613" w:space="4216"/>
            <w:col w:w="2061"/>
          </w:cols>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739,230,976.68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55,291,405.28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263,104,903.68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35,664,887.97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183,299,838.70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39,705,761.00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65,902,805.22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24,676,374.99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24,649,185.33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14,201,196.67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57.61%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35,995,683.86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35,995,683.86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1,312,183,393.47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205,535,309.77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360" w:lineRule="auto" w:before="51"/>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2093" w:space="673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按账龄披露</w:t>
      </w:r>
    </w:p>
    <w:p>
      <w:pPr>
        <w:pStyle w:val="BodyText"/>
        <w:spacing w:line="240" w:lineRule="auto" w:before="39"/>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772,859,864.32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265,893,788.60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184,059,461.70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71,809,633.30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28,814,575.12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37,363,198.86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1,360,800,521.90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本期计提、收回或转回的坏账准备情况" w:id="380"/>
      <w:bookmarkEnd w:id="38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148,465,030.07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58,437,794.70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206,902,824.77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9" w:right="0"/>
              <w:jc w:val="left"/>
              <w:rPr>
                <w:rFonts w:ascii="Times New Roman" w:hAnsi="Times New Roman" w:cs="Times New Roman" w:eastAsia="Times New Roman" w:hint="default"/>
                <w:sz w:val="18"/>
                <w:szCs w:val="18"/>
              </w:rPr>
            </w:pPr>
            <w:r>
              <w:rPr>
                <w:rFonts w:ascii="Times New Roman"/>
                <w:sz w:val="18"/>
              </w:rPr>
              <w:t>148,465,030.07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58,437,794.70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9" w:right="0"/>
              <w:jc w:val="left"/>
              <w:rPr>
                <w:rFonts w:ascii="Times New Roman" w:hAnsi="Times New Roman" w:cs="Times New Roman" w:eastAsia="Times New Roman" w:hint="default"/>
                <w:sz w:val="18"/>
                <w:szCs w:val="18"/>
              </w:rPr>
            </w:pPr>
            <w:r>
              <w:rPr>
                <w:rFonts w:ascii="Times New Roman"/>
                <w:sz w:val="18"/>
              </w:rPr>
              <w:t>206,902,824.77</w:t>
            </w:r>
          </w:p>
        </w:tc>
      </w:tr>
    </w:tbl>
    <w:p>
      <w:pPr>
        <w:pStyle w:val="BodyText"/>
        <w:spacing w:line="240" w:lineRule="auto" w:before="51"/>
        <w:ind w:right="0"/>
        <w:jc w:val="left"/>
      </w:pPr>
      <w:r>
        <w:rPr/>
        <w:t>其中本期坏账准备收回或转回金额重要的：</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3）按欠款方归集的期末余额前五名的应收账款情况" w:id="381"/>
      <w:bookmarkEnd w:id="381"/>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2" w:right="10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22,914,570.00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1,714,009.84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22,110,870.00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1,663,321.33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18,495,707.00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2,041,876.00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17,497,150.00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1,308,786.82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天津卫宁软件有限公司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15,970,021.74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96,988,318.74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2、其他应收款" w:id="382"/>
      <w:bookmarkEnd w:id="38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290,942,437.94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216,872,273.44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312,317,437.94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231,872,273.44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1）应收股利" w:id="383"/>
      <w:bookmarkEnd w:id="38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384"/>
      <w:bookmarkEnd w:id="38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山西卫宁软件有限公司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北京梦天门科技股份有限公司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bookmarkStart w:name="2）坏账准备计提情况" w:id="385"/>
      <w:bookmarkEnd w:id="38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其他说明：</w:t>
      </w:r>
    </w:p>
    <w:p>
      <w:pPr>
        <w:spacing w:after="0" w:line="3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2）其他应收款" w:id="386"/>
      <w:bookmarkEnd w:id="386"/>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387"/>
      <w:bookmarkEnd w:id="387"/>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173,253,536.77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98,661,986.62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67,807,471.27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50,119,521.40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33,055,993.80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29,580,435.39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20,452,397.76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21,568,954.47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软件产品增值税即征即退款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13,803,468.35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1,196,570.20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2,121,588.75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股权拍卖保证金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5,674,941.12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3,998,723.99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313,340,910.92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231,354,678.97</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bookmarkStart w:name="2）坏账准备计提情况" w:id="388"/>
      <w:bookmarkEnd w:id="38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50" w:right="54"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14,482,405.53</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14,482,405.53</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7,916,067.45</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7,916,067.45</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22,398,472.98</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22,398,472.98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20"/>
        <w:jc w:val="left"/>
      </w:pPr>
      <w:r>
        <w:rPr/>
        <w:t>损失准备本期变动金额重大的账面余额变动情况</w:t>
      </w:r>
    </w:p>
    <w:p>
      <w:pPr>
        <w:pStyle w:val="BodyText"/>
        <w:spacing w:line="340" w:lineRule="auto" w:before="115"/>
        <w:ind w:right="15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3893" w:space="493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166,082,214.80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96,977,245.41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38,954,130.64</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4,855,123.48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2,742,976.81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3,729,219.78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313,340,910.92</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3）本期计提、收回或转回的坏账准备情况" w:id="389"/>
      <w:bookmarkEnd w:id="389"/>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80"/>
        <w:gridCol w:w="1087"/>
        <w:gridCol w:w="1332"/>
        <w:gridCol w:w="1452"/>
        <w:gridCol w:w="1198"/>
        <w:gridCol w:w="1345"/>
        <w:gridCol w:w="1575"/>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其他应收款坏账准 备</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14,482,405.5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7,916,067.45</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22,398,472.98</w:t>
            </w:r>
          </w:p>
        </w:tc>
      </w:tr>
      <w:tr>
        <w:trPr>
          <w:trHeight w:val="714"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14,482,405.5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7,916,067.45</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22,398,472.98</w:t>
            </w:r>
          </w:p>
        </w:tc>
      </w:tr>
    </w:tbl>
    <w:p>
      <w:pPr>
        <w:pStyle w:val="BodyText"/>
        <w:spacing w:line="240" w:lineRule="auto" w:before="51"/>
        <w:ind w:right="0"/>
        <w:jc w:val="left"/>
      </w:pPr>
      <w:r>
        <w:rPr/>
        <w:t>其中本期坏账准备转回或收回金额重要的：</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4）按欠款方归集的期末余额前五名的其他应收款情况" w:id="390"/>
      <w:bookmarkEnd w:id="390"/>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纳里健康科技有限公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72,844,314.88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山西卫宁软件科技有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41,072,592.54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上海天健源达信息科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20,452,397.76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3,889,697.71</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上海卫宁软件有限公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12,624,361.44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重庆卫宁软件有限公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8,987,682.16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155,981,348.78</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3,889,697.71</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3、长期股权投资" w:id="391"/>
      <w:bookmarkEnd w:id="39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4102"/>
        <w:gridCol w:w="4101"/>
      </w:tblGrid>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911,781,638.54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911,781,638.54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829,663,931.54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829,663,931.54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262,695,387.57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262,695,387.57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214,555,793.52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214,555,793.52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1,174,477,026.11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1,174,477,026.11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1,044,219,725.06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1,044,219,725.06</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bookmarkStart w:name="（1）对子公司投资" w:id="392"/>
      <w:bookmarkEnd w:id="39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7"/>
        <w:gridCol w:w="1166"/>
        <w:gridCol w:w="1166"/>
        <w:gridCol w:w="1166"/>
        <w:gridCol w:w="1166"/>
        <w:gridCol w:w="1213"/>
        <w:gridCol w:w="1213"/>
        <w:gridCol w:w="1213"/>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5"/>
              <w:ind w:left="277" w:right="9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5"/>
              <w:ind w:left="393" w:right="30"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420"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山西卫宁软件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天津卫宁软件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144,069,288.3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144,069,288.36</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卫宁互联网科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北京卫宁健康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74,000,000.00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合肥汉思信息 技术有限责任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43,350,000.00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43,350,000.00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杭州东联软件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浙江万鼎信息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32,500,000.00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深圳卫宁中天 软件有限公司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30,084,643.18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34,284,643.18</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江苏卫宁软件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15,000,000.00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西安卫宁软件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上海卫宁软件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14,000,000.00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新疆卫宁软件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2,550,000.00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宁波金仕达卫 宁软件有限公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2,040,000.00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7"/>
        <w:gridCol w:w="1166"/>
        <w:gridCol w:w="1166"/>
        <w:gridCol w:w="1166"/>
        <w:gridCol w:w="1166"/>
        <w:gridCol w:w="1213"/>
        <w:gridCol w:w="1213"/>
        <w:gridCol w:w="1213"/>
      </w:tblGrid>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重庆卫宁软件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广东卫宁软件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四川卫宁软件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黑龙江卫宁软 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快享医疗科技</w:t>
            </w:r>
          </w:p>
          <w:p>
            <w:pPr>
              <w:pStyle w:val="TableParagraph"/>
              <w:spacing w:line="316" w:lineRule="auto" w:before="76"/>
              <w:ind w:left="22" w:right="20"/>
              <w:jc w:val="left"/>
              <w:rPr>
                <w:rFonts w:ascii="宋体" w:hAnsi="宋体" w:cs="宋体" w:eastAsia="宋体" w:hint="default"/>
                <w:sz w:val="18"/>
                <w:szCs w:val="18"/>
              </w:rPr>
            </w:pPr>
            <w:r>
              <w:rPr>
                <w:rFonts w:ascii="宋体" w:hAnsi="宋体" w:cs="宋体" w:eastAsia="宋体" w:hint="default"/>
                <w:spacing w:val="-7"/>
                <w:sz w:val="18"/>
                <w:szCs w:val="18"/>
              </w:rPr>
              <w:t>（上海）有限公</w:t>
            </w:r>
            <w:r>
              <w:rPr>
                <w:rFonts w:ascii="宋体" w:hAnsi="宋体" w:cs="宋体" w:eastAsia="宋体" w:hint="default"/>
                <w:sz w:val="18"/>
                <w:szCs w:val="18"/>
              </w:rPr>
              <w:t>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11,787,707.00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11,787,707.00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陕西卫宁互联 网科技有限公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829,663,931.5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82,117,707.00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911,781,638.54</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2）对联营、合营企业投资" w:id="393"/>
      <w:bookmarkEnd w:id="39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2"/>
              <w:jc w:val="left"/>
              <w:rPr>
                <w:rFonts w:ascii="Times New Roman" w:hAnsi="Times New Roman" w:cs="Times New Roman" w:eastAsia="Times New Roman" w:hint="default"/>
                <w:sz w:val="18"/>
                <w:szCs w:val="18"/>
              </w:rPr>
            </w:pPr>
            <w:r>
              <w:rPr>
                <w:rFonts w:ascii="Times New Roman"/>
                <w:sz w:val="18"/>
              </w:rPr>
              <w:t>ODIN</w:t>
            </w:r>
            <w:r>
              <w:rPr>
                <w:rFonts w:ascii="Times New Roman"/>
                <w:w w:val="99"/>
                <w:sz w:val="18"/>
              </w:rPr>
              <w:t> </w:t>
            </w:r>
            <w:r>
              <w:rPr>
                <w:rFonts w:ascii="Times New Roman"/>
                <w:spacing w:val="-4"/>
                <w:sz w:val="18"/>
              </w:rPr>
              <w:t>HEALTH</w:t>
            </w:r>
            <w:r>
              <w:rPr>
                <w:rFonts w:ascii="Times New Roman"/>
                <w:spacing w:val="-41"/>
                <w:sz w:val="18"/>
              </w:rPr>
              <w:t> </w:t>
            </w:r>
            <w:r>
              <w:rPr>
                <w:rFonts w:ascii="Times New Roman"/>
                <w:spacing w:val="-41"/>
                <w:sz w:val="18"/>
              </w:rPr>
            </w:r>
            <w:r>
              <w:rPr>
                <w:rFonts w:ascii="Times New Roman"/>
                <w:sz w:val="18"/>
              </w:rPr>
              <w:t>LIMITED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3,291,396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-741,325.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上海金仕</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达卫宁软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50,719,52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-30,951,1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52,703,33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72,471,74</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件科技有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4.68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08.26</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6.54</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北京梦天</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门科技股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106,994,4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8,621,251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1,198,691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6,375,000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110,439,4</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77.69</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20.61</w:t>
            </w:r>
          </w:p>
        </w:tc>
        <w:tc>
          <w:tcPr>
            <w:tcW w:w="798" w:type="dxa"/>
            <w:vMerge/>
            <w:tcBorders>
              <w:left w:val="single" w:sz="4" w:space="0" w:color="000000"/>
              <w:right w:val="single" w:sz="4" w:space="0" w:color="000000"/>
            </w:tcBorders>
          </w:tcPr>
          <w:p>
            <w:pPr/>
          </w:p>
        </w:tc>
      </w:tr>
      <w:tr>
        <w:trPr>
          <w:trHeight w:val="350"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footerReference w:type="default" r:id="rId34"/>
          <w:pgSz w:w="11910" w:h="16840"/>
          <w:pgMar w:footer="978" w:header="746" w:top="1060" w:bottom="1160" w:left="1020" w:right="0"/>
          <w:pgNumType w:start="2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上海钥世 圈云健康 科技发展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41,100,42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-3,612,99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-527,297.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36,960,12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上海信医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7,848,984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-368,059.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-7,480,92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上海乐九 医疗科技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4,600,989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-1,643,24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4,657,740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南京大经 中医药信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29,562,50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-2,309,47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27,253,02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新疆智康 创联信息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-405,400.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1,594,599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湖北通卫 医疗科技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4,319,199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广西数字 医疗科技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-544.92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2,449,455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214,555,7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40,212,50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-31,591,7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53,374,72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-7,480,92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262,695,3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214,555,7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40,212,50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-31,591,7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53,374,72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-7,480,92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262,695,3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87.57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bookmarkStart w:name="4、营业收入和营业成本" w:id="394"/>
      <w:bookmarkEnd w:id="39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1,423,855,574.35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841,999,478.08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967,031,344.04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570,674,441.76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19,974,848.86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15,507,783.79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16,220,002.42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13,934,784.03</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1,443,830,423.21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857,507,261.87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983,251,346.46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584,609,225.79</w:t>
            </w:r>
          </w:p>
        </w:tc>
      </w:tr>
    </w:tbl>
    <w:p>
      <w:pPr>
        <w:pStyle w:val="BodyText"/>
        <w:spacing w:line="240" w:lineRule="auto" w:before="51"/>
        <w:ind w:right="0"/>
        <w:jc w:val="left"/>
      </w:pPr>
      <w:r>
        <w:rPr/>
        <w:t>是否已执行新收入准则</w:t>
      </w:r>
    </w:p>
    <w:p>
      <w:pPr>
        <w:pStyle w:val="BodyText"/>
        <w:spacing w:line="340" w:lineRule="auto" w:before="115"/>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其他说明：</w:t>
      </w:r>
    </w:p>
    <w:p>
      <w:pPr>
        <w:spacing w:after="0" w:line="3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bookmarkStart w:name="5、投资收益" w:id="395"/>
      <w:bookmarkEnd w:id="39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-31,591,705.14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-11,150,595.70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9,519,075.27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889,760.00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3,426,453.37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-965,200.00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26,851,930.13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33,275,854.52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396"/>
      <w:bookmarkEnd w:id="396"/>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97"/>
      <w:bookmarkEnd w:id="39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-222,154.91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41,259,334.86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883,443.29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-777,207.49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公允价值计量且其变动计入当期损益的金 融资产公允价值变动</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12,901,132.90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9"/>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3,932,831.16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丧失重大影响之日，股权公允价值与账面 价值之间的差异</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9,519,075.27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8,004,449.31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2,848,186.79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56,643,818.98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3"/>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说明原因。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98"/>
      <w:bookmarkEnd w:id="39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0.2451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0.2113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0.2102</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bookmarkStart w:name="3、境内外会计准则下会计数据差异" w:id="399"/>
      <w:bookmarkEnd w:id="39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00"/>
      <w:bookmarkEnd w:id="40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01"/>
      <w:bookmarkEnd w:id="40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02"/>
      <w:bookmarkEnd w:id="402"/>
      <w:r>
        <w:rPr>
          <w:b w:val="0"/>
          <w:bCs w:val="0"/>
        </w:rPr>
      </w: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after="0" w:line="259" w:lineRule="auto"/>
        <w:jc w:val="left"/>
        <w:sectPr>
          <w:pgSz w:w="11910" w:h="16840"/>
          <w:pgMar w:header="746" w:footer="978" w:top="1060" w:bottom="1160" w:left="102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left="3328" w:right="0"/>
        <w:jc w:val="left"/>
        <w:rPr>
          <w:b w:val="0"/>
          <w:bCs w:val="0"/>
        </w:rPr>
      </w:pPr>
      <w:bookmarkStart w:name="第十三节备查文件目录" w:id="403"/>
      <w:bookmarkEnd w:id="403"/>
      <w:r>
        <w:rPr>
          <w:b w:val="0"/>
          <w:bCs w:val="0"/>
        </w:rPr>
      </w:r>
      <w:bookmarkStart w:name="_bookmark12" w:id="404"/>
      <w:bookmarkEnd w:id="404"/>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3734"/>
        <w:jc w:val="left"/>
      </w:pPr>
      <w:r>
        <w:rPr/>
        <w:t>一、载有公司法定代表人、主管会计工作负责人、会计主管人员签名并盖章的财务报表。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2019</w:t>
      </w:r>
      <w:r>
        <w:rPr/>
        <w:t>年度报告文本原件。 以上备查文件的备置地点：公司董事会办公室。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tabs>
          <w:tab w:pos="9139" w:val="left" w:leader="none"/>
        </w:tabs>
        <w:spacing w:line="620" w:lineRule="atLeast"/>
        <w:ind w:left="6592" w:right="1727" w:hanging="89"/>
        <w:jc w:val="left"/>
        <w:rPr>
          <w:rFonts w:ascii="Times New Roman" w:hAnsi="Times New Roman" w:cs="Times New Roman" w:eastAsia="Times New Roman" w:hint="default"/>
        </w:rPr>
      </w:pPr>
      <w:r>
        <w:rPr/>
        <w:t>卫宁健康科技集团股份有限公司 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7"/>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BodyText"/>
        <w:spacing w:line="316" w:lineRule="auto" w:before="76"/>
        <w:ind w:left="7404" w:right="1842" w:firstLine="720"/>
        <w:jc w:val="left"/>
      </w:pPr>
      <w:r>
        <w:rPr/>
        <w:t>周 炜 二〇二〇年四月二日</w:t>
      </w:r>
    </w:p>
    <w:sectPr>
      <w:pgSz w:w="11910" w:h="16840"/>
      <w:pgMar w:header="746" w:footer="978" w:top="1060" w:bottom="116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072" type="#_x0000_t75" stroked="false">
          <v:imagedata r:id="rId1" o:title=""/>
        </v:shape>
      </w:pict>
    </w:r>
    <w:r>
      <w:rPr/>
      <w:pict>
        <v:shape style="position:absolute;margin-left:533.119995pt;margin-top:795.687988pt;width:6.5pt;height:11pt;mso-position-horizontal-relative:page;mso-position-vertical-relative:page;z-index:-12730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640" type="#_x0000_t75" stroked="false">
          <v:imagedata r:id="rId1" o:title=""/>
        </v:shape>
      </w:pict>
    </w:r>
    <w:r>
      <w:rPr/>
      <w:pict>
        <v:shape style="position:absolute;margin-left:527.559021pt;margin-top:782.007935pt;width:13.1pt;height:11pt;mso-position-horizontal-relative:page;mso-position-vertical-relative:page;z-index:-1272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592" type="#_x0000_t75" stroked="false">
          <v:imagedata r:id="rId1" o:title=""/>
        </v:shape>
      </w:pict>
    </w:r>
    <w:r>
      <w:rPr/>
      <w:pict>
        <v:shape style="position:absolute;margin-left:527.559021pt;margin-top:782.007935pt;width:13.1pt;height:11pt;mso-position-horizontal-relative:page;mso-position-vertical-relative:page;z-index:-1272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544" type="#_x0000_t75" stroked="false">
          <v:imagedata r:id="rId1" o:title=""/>
        </v:shape>
      </w:pict>
    </w:r>
    <w:r>
      <w:rPr/>
      <w:pict>
        <v:shape style="position:absolute;margin-left:523.119995pt;margin-top:782.007935pt;width:17.5pt;height:11pt;mso-position-horizontal-relative:page;mso-position-vertical-relative:page;z-index:-1272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496" type="#_x0000_t75" stroked="false">
          <v:imagedata r:id="rId1" o:title=""/>
        </v:shape>
      </w:pict>
    </w:r>
    <w:r>
      <w:rPr/>
      <w:pict>
        <v:shape style="position:absolute;margin-left:523.479980pt;margin-top:782.007935pt;width:17.4pt;height:11pt;mso-position-horizontal-relative:page;mso-position-vertical-relative:page;z-index:-1272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448" type="#_x0000_t75" stroked="false">
          <v:imagedata r:id="rId1" o:title=""/>
        </v:shape>
      </w:pict>
    </w:r>
    <w:r>
      <w:rPr/>
      <w:pict>
        <v:shape style="position:absolute;margin-left:523.119995pt;margin-top:782.007935pt;width:17.5pt;height:11pt;mso-position-horizontal-relative:page;mso-position-vertical-relative:page;z-index:-1272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400" type="#_x0000_t75" stroked="false">
          <v:imagedata r:id="rId1" o:title=""/>
        </v:shape>
      </w:pict>
    </w:r>
    <w:r>
      <w:rPr/>
      <w:pict>
        <v:shape style="position:absolute;margin-left:523.119995pt;margin-top:782.007935pt;width:17.5pt;height:11pt;mso-position-horizontal-relative:page;mso-position-vertical-relative:page;z-index:-1272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352" type="#_x0000_t75" stroked="false">
          <v:imagedata r:id="rId1" o:title=""/>
        </v:shape>
      </w:pict>
    </w:r>
    <w:r>
      <w:rPr/>
      <w:pict>
        <v:shape style="position:absolute;margin-left:523.119995pt;margin-top:782.007935pt;width:17.5pt;height:11pt;mso-position-horizontal-relative:page;mso-position-vertical-relative:page;z-index:-1272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304" type="#_x0000_t75" stroked="false">
          <v:imagedata r:id="rId1" o:title=""/>
        </v:shape>
      </w:pict>
    </w:r>
    <w:r>
      <w:rPr/>
      <w:pict>
        <v:shape style="position:absolute;margin-left:523.119995pt;margin-top:782.007935pt;width:17.5pt;height:11pt;mso-position-horizontal-relative:page;mso-position-vertical-relative:page;z-index:-1272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256" type="#_x0000_t75" stroked="false">
          <v:imagedata r:id="rId1" o:title=""/>
        </v:shape>
      </w:pict>
    </w:r>
    <w:r>
      <w:rPr/>
      <w:pict>
        <v:shape style="position:absolute;margin-left:523.119995pt;margin-top:782.007935pt;width:17.5pt;height:11pt;mso-position-horizontal-relative:page;mso-position-vertical-relative:page;z-index:-1272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208" type="#_x0000_t75" stroked="false">
          <v:imagedata r:id="rId1" o:title=""/>
        </v:shape>
      </w:pict>
    </w:r>
    <w:r>
      <w:rPr/>
      <w:pict>
        <v:shape style="position:absolute;margin-left:523.119995pt;margin-top:782.007935pt;width:17.5pt;height:11pt;mso-position-horizontal-relative:page;mso-position-vertical-relative:page;z-index:-1272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3024" type="#_x0000_t75" stroked="false">
          <v:imagedata r:id="rId1" o:title=""/>
        </v:shape>
      </w:pict>
    </w:r>
    <w:r>
      <w:rPr/>
      <w:pict>
        <v:shape style="position:absolute;margin-left:532.119995pt;margin-top:782.007935pt;width:8.5pt;height:11pt;mso-position-horizontal-relative:page;mso-position-vertical-relative:page;z-index:-1273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160" type="#_x0000_t75" stroked="false">
          <v:imagedata r:id="rId1" o:title=""/>
        </v:shape>
      </w:pict>
    </w:r>
    <w:r>
      <w:rPr/>
      <w:pict>
        <v:shape style="position:absolute;margin-left:523.119995pt;margin-top:782.007935pt;width:17.5pt;height:11pt;mso-position-horizontal-relative:page;mso-position-vertical-relative:page;z-index:-1272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112" type="#_x0000_t75" stroked="false">
          <v:imagedata r:id="rId1" o:title=""/>
        </v:shape>
      </w:pict>
    </w:r>
    <w:r>
      <w:rPr/>
      <w:pict>
        <v:shape style="position:absolute;margin-left:523.119995pt;margin-top:782.007935pt;width:17.5pt;height:11pt;mso-position-horizontal-relative:page;mso-position-vertical-relative:page;z-index:-1272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064" type="#_x0000_t75" stroked="false">
          <v:imagedata r:id="rId1" o:title=""/>
        </v:shape>
      </w:pict>
    </w:r>
    <w:r>
      <w:rPr/>
      <w:pict>
        <v:shape style="position:absolute;margin-left:523.119995pt;margin-top:782.007935pt;width:17.5pt;height:11pt;mso-position-horizontal-relative:page;mso-position-vertical-relative:page;z-index:-1272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016" type="#_x0000_t75" stroked="false">
          <v:imagedata r:id="rId1" o:title=""/>
        </v:shape>
      </w:pict>
    </w:r>
    <w:r>
      <w:rPr/>
      <w:pict>
        <v:shape style="position:absolute;margin-left:523.119995pt;margin-top:782.007935pt;width:17.650pt;height:11pt;mso-position-horizontal-relative:page;mso-position-vertical-relative:page;z-index:-1271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1968" type="#_x0000_t75" stroked="false">
          <v:imagedata r:id="rId1" o:title=""/>
        </v:shape>
      </w:pict>
    </w:r>
    <w:r>
      <w:rPr/>
      <w:pict>
        <v:shape style="position:absolute;margin-left:523.119995pt;margin-top:782.007935pt;width:17.5pt;height:11pt;mso-position-horizontal-relative:page;mso-position-vertical-relative:page;z-index:-1271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976" type="#_x0000_t75" stroked="false">
          <v:imagedata r:id="rId1" o:title=""/>
        </v:shape>
      </w:pict>
    </w:r>
    <w:r>
      <w:rPr/>
      <w:pict>
        <v:shape style="position:absolute;margin-left:527.559021pt;margin-top:782.007935pt;width:13.2pt;height:11pt;mso-position-horizontal-relative:page;mso-position-vertical-relative:page;z-index:-1272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928" type="#_x0000_t75" stroked="false">
          <v:imagedata r:id="rId1" o:title=""/>
        </v:shape>
      </w:pict>
    </w:r>
    <w:r>
      <w:rPr/>
      <w:pict>
        <v:shape style="position:absolute;margin-left:527.559021pt;margin-top:782.007935pt;width:13.1pt;height:11pt;mso-position-horizontal-relative:page;mso-position-vertical-relative:page;z-index:-1272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880" type="#_x0000_t75" stroked="false">
          <v:imagedata r:id="rId1" o:title=""/>
        </v:shape>
      </w:pict>
    </w:r>
    <w:r>
      <w:rPr/>
      <w:pict>
        <v:shape style="position:absolute;margin-left:527.559021pt;margin-top:782.007935pt;width:13.1pt;height:11pt;mso-position-horizontal-relative:page;mso-position-vertical-relative:page;z-index:-1272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832" type="#_x0000_t75" stroked="false">
          <v:imagedata r:id="rId1" o:title=""/>
        </v:shape>
      </w:pict>
    </w:r>
    <w:r>
      <w:rPr/>
      <w:pict>
        <v:shape style="position:absolute;margin-left:527.559021pt;margin-top:782.007935pt;width:13.1pt;height:11pt;mso-position-horizontal-relative:page;mso-position-vertical-relative:page;z-index:-1272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784" type="#_x0000_t75" stroked="false">
          <v:imagedata r:id="rId1" o:title=""/>
        </v:shape>
      </w:pict>
    </w:r>
    <w:r>
      <w:rPr/>
      <w:pict>
        <v:shape style="position:absolute;margin-left:527.559021pt;margin-top:782.007935pt;width:13.1pt;height:11pt;mso-position-horizontal-relative:page;mso-position-vertical-relative:page;z-index:-1272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736" type="#_x0000_t75" stroked="false">
          <v:imagedata r:id="rId1" o:title=""/>
        </v:shape>
      </w:pict>
    </w:r>
    <w:r>
      <w:rPr/>
      <w:pict>
        <v:shape style="position:absolute;margin-left:527.559021pt;margin-top:782.007935pt;width:13.1pt;height:11pt;mso-position-horizontal-relative:page;mso-position-vertical-relative:page;z-index:-1272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72688" type="#_x0000_t75" stroked="false">
          <v:imagedata r:id="rId1" o:title=""/>
        </v:shape>
      </w:pict>
    </w:r>
    <w:r>
      <w:rPr/>
      <w:pict>
        <v:shape style="position:absolute;margin-left:527.559021pt;margin-top:782.007935pt;width:13.1pt;height:11pt;mso-position-horizontal-relative:page;mso-position-vertical-relative:page;z-index:-1272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15651pt;width:213.45pt;height:11.5pt;mso-position-horizontal-relative:page;mso-position-vertical-relative:page;z-index:-1273096" type="#_x0000_t202" filled="false" stroked="false">
          <v:textbox inset="0,0,0,0">
            <w:txbxContent>
              <w:p>
                <w:pPr>
                  <w:pStyle w:val="BodyText"/>
                  <w:spacing w:line="214" w:lineRule="exact"/>
                  <w:ind w:left="20" w:right="0"/>
                  <w:jc w:val="left"/>
                </w:pPr>
                <w:r>
                  <w:rPr/>
                  <w:t>卫宁健康科技集团股份有限公司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12"/>
    </w:pPr>
    <w:rPr>
      <w:rFonts w:ascii="宋体" w:hAnsi="宋体" w:eastAsia="宋体"/>
      <w:sz w:val="18"/>
      <w:szCs w:val="18"/>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380"/>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47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winning.com.cn/" TargetMode="External"/><Relationship Id="rId10" Type="http://schemas.openxmlformats.org/officeDocument/2006/relationships/hyperlink" Target="mailto:wndsh@winning.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3.jpeg"/><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卫宁健康科技集团股份有限公司</dc:creator>
  <dc:title>卫宁健康科技集团股份有限公司2019年年度报告全文</dc:title>
  <dcterms:created xsi:type="dcterms:W3CDTF">2020-05-19T02:44:35Z</dcterms:created>
  <dcterms:modified xsi:type="dcterms:W3CDTF">2020-05-19T02:44:35Z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WPS 文字</vt:lpwstr>
  </property>
  <property fmtid="{D5CDD505-2E9C-101B-9397-08002B2CF9AE}" pid="4" name="LastSaved">
    <vt:filetime>2020-05-18T00:00:00Z</vt:filetime>
  </property>
</Properties>
</file>