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Default Extension="jpeg" ContentType="image/jpeg"/>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p>
      <w:pPr>
        <w:spacing w:line="483" w:lineRule="exact" w:before="0"/>
        <w:ind w:left="517" w:right="518" w:firstLine="0"/>
        <w:jc w:val="center"/>
        <w:rPr>
          <w:rFonts w:ascii="微软雅黑" w:hAnsi="微软雅黑" w:cs="微软雅黑" w:eastAsia="微软雅黑" w:hint="default"/>
          <w:sz w:val="36"/>
          <w:szCs w:val="36"/>
        </w:rPr>
      </w:pPr>
      <w:r>
        <w:rPr/>
        <w:pict>
          <v:group style="position:absolute;margin-left:55.200001pt;margin-top:-93.989365pt;width:484.9pt;height:.1pt;mso-position-horizontal-relative:page;mso-position-vertical-relative:paragraph;z-index:0" coordorigin="1104,-1880" coordsize="9698,2">
            <v:shape style="position:absolute;left:1104;top:-1880;width:9698;height:2" coordorigin="1104,-1880" coordsize="9698,0" path="m1104,-1880l10802,-1880e" filled="false" stroked="true" strokeweight=".72pt" strokecolor="#000000">
              <v:path arrowok="t"/>
            </v:shape>
            <w10:wrap type="none"/>
          </v:group>
        </w:pict>
      </w:r>
      <w:r>
        <w:rPr>
          <w:rFonts w:ascii="微软雅黑" w:hAnsi="微软雅黑" w:cs="微软雅黑" w:eastAsia="微软雅黑" w:hint="default"/>
          <w:b/>
          <w:bCs/>
          <w:sz w:val="36"/>
          <w:szCs w:val="36"/>
        </w:rPr>
        <w:t>北京华宇软件股份有限公司</w:t>
      </w:r>
      <w:r>
        <w:rPr>
          <w:rFonts w:ascii="微软雅黑" w:hAnsi="微软雅黑" w:cs="微软雅黑" w:eastAsia="微软雅黑" w:hint="default"/>
          <w:sz w:val="36"/>
          <w:szCs w:val="36"/>
        </w:rPr>
      </w:r>
    </w:p>
    <w:p>
      <w:pPr>
        <w:spacing w:line="240" w:lineRule="auto" w:before="12"/>
        <w:rPr>
          <w:rFonts w:ascii="微软雅黑" w:hAnsi="微软雅黑" w:cs="微软雅黑" w:eastAsia="微软雅黑" w:hint="default"/>
          <w:b/>
          <w:bCs/>
          <w:sz w:val="23"/>
          <w:szCs w:val="23"/>
        </w:rPr>
      </w:pPr>
    </w:p>
    <w:p>
      <w:pPr>
        <w:spacing w:before="0"/>
        <w:ind w:left="515" w:right="518" w:firstLine="0"/>
        <w:jc w:val="center"/>
        <w:rPr>
          <w:rFonts w:ascii="微软雅黑" w:hAnsi="微软雅黑" w:cs="微软雅黑" w:eastAsia="微软雅黑" w:hint="default"/>
          <w:sz w:val="32"/>
          <w:szCs w:val="32"/>
        </w:rPr>
      </w:pPr>
      <w:r>
        <w:rPr>
          <w:rFonts w:ascii="Arial" w:hAnsi="Arial" w:cs="Arial" w:eastAsia="Arial" w:hint="default"/>
          <w:b/>
          <w:bCs/>
          <w:sz w:val="32"/>
          <w:szCs w:val="32"/>
        </w:rPr>
        <w:t>2014</w:t>
      </w:r>
      <w:r>
        <w:rPr>
          <w:rFonts w:ascii="Arial" w:hAnsi="Arial" w:cs="Arial" w:eastAsia="Arial" w:hint="default"/>
          <w:b/>
          <w:bCs/>
          <w:spacing w:val="-12"/>
          <w:sz w:val="32"/>
          <w:szCs w:val="32"/>
        </w:rPr>
        <w:t> </w:t>
      </w:r>
      <w:r>
        <w:rPr>
          <w:rFonts w:ascii="微软雅黑" w:hAnsi="微软雅黑" w:cs="微软雅黑" w:eastAsia="微软雅黑" w:hint="default"/>
          <w:b/>
          <w:bCs/>
          <w:sz w:val="32"/>
          <w:szCs w:val="32"/>
        </w:rPr>
        <w:t>年年度报告</w:t>
      </w:r>
      <w:r>
        <w:rPr>
          <w:rFonts w:ascii="微软雅黑" w:hAnsi="微软雅黑" w:cs="微软雅黑" w:eastAsia="微软雅黑" w:hint="default"/>
          <w:sz w:val="32"/>
          <w:szCs w:val="32"/>
        </w:rPr>
      </w: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0"/>
        <w:rPr>
          <w:rFonts w:ascii="微软雅黑" w:hAnsi="微软雅黑" w:cs="微软雅黑" w:eastAsia="微软雅黑" w:hint="default"/>
          <w:b/>
          <w:bCs/>
          <w:sz w:val="32"/>
          <w:szCs w:val="32"/>
        </w:rPr>
      </w:pPr>
    </w:p>
    <w:p>
      <w:pPr>
        <w:spacing w:line="240" w:lineRule="auto" w:before="16"/>
        <w:rPr>
          <w:rFonts w:ascii="微软雅黑" w:hAnsi="微软雅黑" w:cs="微软雅黑" w:eastAsia="微软雅黑" w:hint="default"/>
          <w:b/>
          <w:bCs/>
          <w:sz w:val="27"/>
          <w:szCs w:val="27"/>
        </w:rPr>
      </w:pPr>
    </w:p>
    <w:p>
      <w:pPr>
        <w:spacing w:before="0"/>
        <w:ind w:left="513" w:right="518" w:firstLine="0"/>
        <w:jc w:val="center"/>
        <w:rPr>
          <w:rFonts w:ascii="宋体" w:hAnsi="宋体" w:cs="宋体" w:eastAsia="宋体" w:hint="default"/>
          <w:sz w:val="32"/>
          <w:szCs w:val="32"/>
        </w:rPr>
      </w:pPr>
      <w:r>
        <w:rPr>
          <w:rFonts w:ascii="Arial" w:hAnsi="Arial" w:cs="Arial" w:eastAsia="Arial" w:hint="default"/>
          <w:b/>
          <w:bCs/>
          <w:sz w:val="32"/>
          <w:szCs w:val="32"/>
        </w:rPr>
        <w:t>2015</w:t>
      </w:r>
      <w:r>
        <w:rPr>
          <w:rFonts w:ascii="Arial" w:hAnsi="Arial" w:cs="Arial" w:eastAsia="Arial" w:hint="default"/>
          <w:b/>
          <w:bCs/>
          <w:spacing w:val="-13"/>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Arial" w:hAnsi="Arial" w:cs="Arial" w:eastAsia="Arial" w:hint="default"/>
          <w:b/>
          <w:bCs/>
          <w:sz w:val="32"/>
          <w:szCs w:val="32"/>
        </w:rPr>
        <w:t>03</w:t>
      </w:r>
      <w:r>
        <w:rPr>
          <w:rFonts w:ascii="Arial" w:hAnsi="Arial" w:cs="Arial" w:eastAsia="Arial" w:hint="default"/>
          <w:b/>
          <w:bCs/>
          <w:spacing w:val="-1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52" w:footer="1010" w:top="1100" w:bottom="1200" w:left="980" w:right="980"/>
        </w:sectPr>
      </w:pPr>
    </w:p>
    <w:p>
      <w:pPr>
        <w:spacing w:line="240" w:lineRule="auto" w:before="13"/>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Heading1"/>
        <w:spacing w:line="440" w:lineRule="exact"/>
        <w:ind w:left="2812" w:right="99"/>
        <w:jc w:val="left"/>
        <w:rPr>
          <w:b w:val="0"/>
          <w:bCs w:val="0"/>
        </w:rPr>
      </w:pPr>
      <w:r>
        <w:rPr/>
        <w:t>第一节</w:t>
      </w:r>
      <w:r>
        <w:rPr>
          <w:spacing w:val="60"/>
        </w:rPr>
        <w:t> </w:t>
      </w:r>
      <w:r>
        <w:rPr/>
        <w:t>重要提示、目录和释义</w:t>
      </w:r>
      <w:r>
        <w:rPr>
          <w:b w:val="0"/>
          <w:bCs w:val="0"/>
        </w:rPr>
      </w:r>
    </w:p>
    <w:p>
      <w:pPr>
        <w:spacing w:line="240" w:lineRule="auto" w:before="1"/>
        <w:rPr>
          <w:rFonts w:ascii="微软雅黑" w:hAnsi="微软雅黑" w:cs="微软雅黑" w:eastAsia="微软雅黑" w:hint="default"/>
          <w:b/>
          <w:bCs/>
          <w:sz w:val="31"/>
          <w:szCs w:val="31"/>
        </w:rPr>
      </w:pPr>
    </w:p>
    <w:p>
      <w:pPr>
        <w:pStyle w:val="BodyText"/>
        <w:spacing w:line="357" w:lineRule="auto"/>
        <w:ind w:right="239" w:firstLine="480"/>
        <w:jc w:val="both"/>
      </w:pPr>
      <w:r>
        <w:rPr/>
        <w:t>本公司董事会、监事会及董事、监事、高级管理人员保证本报告所载资料不存在任何虚 假记载、误导性陈述或者重大遗漏，并对其内容的真实性、准确性和完整性承担个别及连带</w:t>
      </w:r>
      <w:r>
        <w:rPr>
          <w:spacing w:val="-91"/>
        </w:rPr>
        <w:t> </w:t>
      </w:r>
      <w:r>
        <w:rPr>
          <w:spacing w:val="-91"/>
        </w:rPr>
      </w:r>
      <w:r>
        <w:rPr/>
        <w:t>责任。</w:t>
      </w:r>
    </w:p>
    <w:p>
      <w:pPr>
        <w:pStyle w:val="BodyText"/>
        <w:spacing w:line="434" w:lineRule="auto" w:before="137"/>
        <w:ind w:left="633" w:right="99"/>
        <w:jc w:val="left"/>
      </w:pPr>
      <w:r>
        <w:rPr/>
        <w:t>所有董事均已出席了审议本报告的董事会会议。 </w:t>
      </w:r>
      <w:r>
        <w:rPr>
          <w:spacing w:val="-3"/>
        </w:rPr>
        <w:t>公司负责人邵学、主管会计工作负责人王琰及会计机构负责人</w:t>
      </w:r>
      <w:r>
        <w:rPr>
          <w:rFonts w:ascii="宋体" w:hAnsi="宋体" w:cs="宋体" w:eastAsia="宋体" w:hint="default"/>
          <w:spacing w:val="-3"/>
        </w:rPr>
        <w:t>(</w:t>
      </w:r>
      <w:r>
        <w:rPr>
          <w:spacing w:val="-3"/>
        </w:rPr>
        <w:t>会计主管人员</w:t>
      </w:r>
      <w:r>
        <w:rPr>
          <w:rFonts w:ascii="宋体" w:hAnsi="宋体" w:cs="宋体" w:eastAsia="宋体" w:hint="default"/>
          <w:spacing w:val="-3"/>
        </w:rPr>
        <w:t>)</w:t>
      </w:r>
      <w:r>
        <w:rPr>
          <w:spacing w:val="-3"/>
        </w:rPr>
        <w:t>王琰声明：</w:t>
      </w:r>
    </w:p>
    <w:p>
      <w:pPr>
        <w:pStyle w:val="BodyText"/>
        <w:spacing w:line="274" w:lineRule="exact"/>
        <w:ind w:right="99"/>
        <w:jc w:val="left"/>
      </w:pPr>
      <w:r>
        <w:rPr/>
        <w:t>保证年度报告中财务报告的真实、准确、完整。</w:t>
      </w:r>
    </w:p>
    <w:p>
      <w:pPr>
        <w:spacing w:line="240" w:lineRule="auto" w:before="4"/>
        <w:rPr>
          <w:rFonts w:ascii="宋体" w:hAnsi="宋体" w:cs="宋体" w:eastAsia="宋体" w:hint="default"/>
          <w:sz w:val="19"/>
          <w:szCs w:val="19"/>
        </w:rPr>
      </w:pPr>
    </w:p>
    <w:p>
      <w:pPr>
        <w:pStyle w:val="BodyText"/>
        <w:spacing w:line="357" w:lineRule="auto"/>
        <w:ind w:right="233" w:firstLine="480"/>
        <w:jc w:val="both"/>
      </w:pPr>
      <w:r>
        <w:rPr/>
        <w:t>本报告中如有涉及未来的计划、业绩预测等方面的内容，均不构成本公司对任何投资者 </w:t>
      </w:r>
      <w:r>
        <w:rPr>
          <w:spacing w:val="-5"/>
        </w:rPr>
        <w:t>即及相关人士的承诺，投资者及相关人士均应对此保持足够的风险认识，并且应当理解计划、</w:t>
      </w:r>
      <w:r>
        <w:rPr>
          <w:spacing w:val="-117"/>
        </w:rPr>
        <w:t> </w:t>
      </w:r>
      <w:r>
        <w:rPr>
          <w:spacing w:val="-117"/>
        </w:rPr>
      </w:r>
      <w:r>
        <w:rPr/>
        <w:t>预测与承诺之间的差异。</w:t>
      </w:r>
    </w:p>
    <w:p>
      <w:pPr>
        <w:spacing w:after="0" w:line="357" w:lineRule="auto"/>
        <w:jc w:val="both"/>
        <w:sectPr>
          <w:footerReference w:type="default" r:id="rId7"/>
          <w:pgSz w:w="11910" w:h="16840"/>
          <w:pgMar w:footer="1010" w:header="752" w:top="1100" w:bottom="1200" w:left="980" w:right="900"/>
          <w:pgNumType w:start="2"/>
        </w:sectPr>
      </w:pPr>
    </w:p>
    <w:p>
      <w:pPr>
        <w:spacing w:line="240" w:lineRule="auto" w:before="13"/>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483" w:lineRule="exact" w:before="0"/>
        <w:ind w:left="518" w:right="518" w:firstLine="0"/>
        <w:jc w:val="center"/>
        <w:rPr>
          <w:rFonts w:ascii="微软雅黑" w:hAnsi="微软雅黑" w:cs="微软雅黑" w:eastAsia="微软雅黑" w:hint="default"/>
          <w:sz w:val="36"/>
          <w:szCs w:val="36"/>
        </w:rPr>
      </w:pPr>
      <w:r>
        <w:rPr>
          <w:rFonts w:ascii="微软雅黑" w:hAnsi="微软雅黑" w:cs="微软雅黑" w:eastAsia="微软雅黑" w:hint="default"/>
          <w:b/>
          <w:bCs/>
          <w:sz w:val="36"/>
          <w:szCs w:val="36"/>
        </w:rPr>
        <w:t>目录</w:t>
      </w:r>
      <w:r>
        <w:rPr>
          <w:rFonts w:ascii="微软雅黑" w:hAnsi="微软雅黑" w:cs="微软雅黑" w:eastAsia="微软雅黑" w:hint="default"/>
          <w:sz w:val="36"/>
          <w:szCs w:val="36"/>
        </w:rPr>
      </w:r>
    </w:p>
    <w:p>
      <w:pPr>
        <w:spacing w:line="240" w:lineRule="auto" w:before="0"/>
        <w:rPr>
          <w:rFonts w:ascii="微软雅黑" w:hAnsi="微软雅黑" w:cs="微软雅黑" w:eastAsia="微软雅黑" w:hint="default"/>
          <w:b/>
          <w:bCs/>
          <w:sz w:val="36"/>
          <w:szCs w:val="36"/>
        </w:rPr>
      </w:pPr>
    </w:p>
    <w:p>
      <w:pPr>
        <w:spacing w:line="240" w:lineRule="auto" w:before="12"/>
        <w:rPr>
          <w:rFonts w:ascii="微软雅黑" w:hAnsi="微软雅黑" w:cs="微软雅黑" w:eastAsia="微软雅黑"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Arial" w:hAnsi="Arial" w:cs="Arial" w:eastAsia="Arial" w:hint="default"/>
              <w:b w:val="0"/>
              <w:bCs w:val="0"/>
            </w:rPr>
          </w:pPr>
          <w:hyperlink w:history="true" w:anchor="_bookmark0">
            <w:r>
              <w:rPr/>
              <w:t>第一节重要提示、目录和释义</w:t>
            </w:r>
            <w:r>
              <w:rPr>
                <w:rFonts w:ascii="Arial" w:hAnsi="Arial" w:cs="Arial" w:eastAsia="Arial" w:hint="default"/>
              </w:rPr>
            </w:r>
          </w:hyperlink>
          <w:r>
            <w:rPr>
              <w:rFonts w:ascii="Arial" w:hAnsi="Arial" w:cs="Arial" w:eastAsia="Arial" w:hint="default"/>
            </w:rPr>
            <w:tab/>
            <w:t>4</w:t>
          </w:r>
          <w:r>
            <w:rPr>
              <w:rFonts w:ascii="Arial" w:hAnsi="Arial" w:cs="Arial" w:eastAsia="Arial" w:hint="default"/>
              <w:b w:val="0"/>
              <w:bCs w:val="0"/>
            </w:rPr>
          </w:r>
        </w:p>
        <w:p>
          <w:pPr>
            <w:pStyle w:val="TOC1"/>
            <w:tabs>
              <w:tab w:pos="9782" w:val="right" w:leader="dot"/>
            </w:tabs>
            <w:spacing w:line="240" w:lineRule="auto"/>
            <w:ind w:right="0"/>
            <w:jc w:val="left"/>
            <w:rPr>
              <w:rFonts w:ascii="Arial" w:hAnsi="Arial" w:cs="Arial" w:eastAsia="Arial" w:hint="default"/>
              <w:b w:val="0"/>
              <w:bCs w:val="0"/>
            </w:rPr>
          </w:pPr>
          <w:hyperlink w:history="true" w:anchor="_bookmark1">
            <w:r>
              <w:rPr/>
              <w:t>第二节公司基本情况简介</w:t>
            </w:r>
            <w:r>
              <w:rPr>
                <w:rFonts w:ascii="Arial" w:hAnsi="Arial" w:cs="Arial" w:eastAsia="Arial" w:hint="default"/>
              </w:rPr>
            </w:r>
          </w:hyperlink>
          <w:r>
            <w:rPr>
              <w:rFonts w:ascii="Arial" w:hAnsi="Arial" w:cs="Arial" w:eastAsia="Arial" w:hint="default"/>
            </w:rPr>
            <w:tab/>
            <w:t>5</w:t>
          </w:r>
          <w:r>
            <w:rPr>
              <w:rFonts w:ascii="Arial" w:hAnsi="Arial" w:cs="Arial" w:eastAsia="Arial" w:hint="default"/>
              <w:b w:val="0"/>
              <w:bCs w:val="0"/>
            </w:rPr>
          </w:r>
        </w:p>
        <w:p>
          <w:pPr>
            <w:pStyle w:val="TOC1"/>
            <w:tabs>
              <w:tab w:pos="9782" w:val="right" w:leader="dot"/>
            </w:tabs>
            <w:spacing w:line="240" w:lineRule="auto"/>
            <w:ind w:right="0"/>
            <w:jc w:val="left"/>
            <w:rPr>
              <w:rFonts w:ascii="Arial" w:hAnsi="Arial" w:cs="Arial" w:eastAsia="Arial" w:hint="default"/>
              <w:b w:val="0"/>
              <w:bCs w:val="0"/>
            </w:rPr>
          </w:pPr>
          <w:hyperlink w:history="true" w:anchor="_bookmark2">
            <w:r>
              <w:rPr/>
              <w:t>第三节会计数据和财务指标摘要</w:t>
            </w:r>
            <w:r>
              <w:rPr>
                <w:rFonts w:ascii="Arial" w:hAnsi="Arial" w:cs="Arial" w:eastAsia="Arial" w:hint="default"/>
              </w:rPr>
            </w:r>
          </w:hyperlink>
          <w:r>
            <w:rPr>
              <w:rFonts w:ascii="Arial" w:hAnsi="Arial" w:cs="Arial" w:eastAsia="Arial" w:hint="default"/>
            </w:rPr>
            <w:tab/>
            <w:t>7</w:t>
          </w:r>
          <w:r>
            <w:rPr>
              <w:rFonts w:ascii="Arial" w:hAnsi="Arial" w:cs="Arial" w:eastAsia="Arial" w:hint="default"/>
              <w:b w:val="0"/>
              <w:bCs w:val="0"/>
            </w:rPr>
          </w:r>
        </w:p>
        <w:p>
          <w:pPr>
            <w:pStyle w:val="TOC1"/>
            <w:tabs>
              <w:tab w:pos="9785" w:val="right" w:leader="dot"/>
            </w:tabs>
            <w:spacing w:line="240" w:lineRule="auto"/>
            <w:ind w:right="0"/>
            <w:jc w:val="left"/>
            <w:rPr>
              <w:rFonts w:ascii="Arial" w:hAnsi="Arial" w:cs="Arial" w:eastAsia="Arial" w:hint="default"/>
              <w:b w:val="0"/>
              <w:bCs w:val="0"/>
            </w:rPr>
          </w:pPr>
          <w:hyperlink w:history="true" w:anchor="_bookmark3">
            <w:r>
              <w:rPr/>
              <w:t>第四节董事会报告</w:t>
            </w:r>
            <w:r>
              <w:rPr>
                <w:rFonts w:ascii="Arial" w:hAnsi="Arial" w:cs="Arial" w:eastAsia="Arial" w:hint="default"/>
              </w:rPr>
            </w:r>
          </w:hyperlink>
          <w:r>
            <w:rPr>
              <w:rFonts w:ascii="Arial" w:hAnsi="Arial" w:cs="Arial" w:eastAsia="Arial" w:hint="default"/>
            </w:rPr>
            <w:tab/>
            <w:t>11</w:t>
          </w:r>
          <w:r>
            <w:rPr>
              <w:rFonts w:ascii="Arial" w:hAnsi="Arial" w:cs="Arial" w:eastAsia="Arial" w:hint="default"/>
              <w:b w:val="0"/>
              <w:bCs w:val="0"/>
            </w:rPr>
          </w:r>
        </w:p>
        <w:p>
          <w:pPr>
            <w:pStyle w:val="TOC1"/>
            <w:tabs>
              <w:tab w:pos="9785" w:val="right" w:leader="dot"/>
            </w:tabs>
            <w:spacing w:line="240" w:lineRule="auto"/>
            <w:ind w:right="0"/>
            <w:jc w:val="left"/>
            <w:rPr>
              <w:rFonts w:ascii="Arial" w:hAnsi="Arial" w:cs="Arial" w:eastAsia="Arial" w:hint="default"/>
              <w:b w:val="0"/>
              <w:bCs w:val="0"/>
            </w:rPr>
          </w:pPr>
          <w:hyperlink w:history="true" w:anchor="_bookmark4">
            <w:r>
              <w:rPr/>
              <w:t>第五节重要事项</w:t>
            </w:r>
            <w:r>
              <w:rPr>
                <w:rFonts w:ascii="Arial" w:hAnsi="Arial" w:cs="Arial" w:eastAsia="Arial" w:hint="default"/>
              </w:rPr>
            </w:r>
          </w:hyperlink>
          <w:r>
            <w:rPr>
              <w:rFonts w:ascii="Arial" w:hAnsi="Arial" w:cs="Arial" w:eastAsia="Arial" w:hint="default"/>
            </w:rPr>
            <w:tab/>
            <w:t>39</w:t>
          </w:r>
          <w:r>
            <w:rPr>
              <w:rFonts w:ascii="Arial" w:hAnsi="Arial" w:cs="Arial" w:eastAsia="Arial" w:hint="default"/>
              <w:b w:val="0"/>
              <w:bCs w:val="0"/>
            </w:rPr>
          </w:r>
        </w:p>
        <w:p>
          <w:pPr>
            <w:pStyle w:val="TOC1"/>
            <w:tabs>
              <w:tab w:pos="9785" w:val="right" w:leader="dot"/>
            </w:tabs>
            <w:spacing w:line="240" w:lineRule="auto"/>
            <w:ind w:right="0"/>
            <w:jc w:val="left"/>
            <w:rPr>
              <w:rFonts w:ascii="Arial" w:hAnsi="Arial" w:cs="Arial" w:eastAsia="Arial" w:hint="default"/>
              <w:b w:val="0"/>
              <w:bCs w:val="0"/>
            </w:rPr>
          </w:pPr>
          <w:hyperlink w:history="true" w:anchor="_bookmark5">
            <w:r>
              <w:rPr/>
              <w:t>第六节股份变动及股东情况</w:t>
            </w:r>
            <w:r>
              <w:rPr>
                <w:rFonts w:ascii="Arial" w:hAnsi="Arial" w:cs="Arial" w:eastAsia="Arial" w:hint="default"/>
              </w:rPr>
            </w:r>
          </w:hyperlink>
          <w:r>
            <w:rPr>
              <w:rFonts w:ascii="Arial" w:hAnsi="Arial" w:cs="Arial" w:eastAsia="Arial" w:hint="default"/>
            </w:rPr>
            <w:tab/>
            <w:t>49</w:t>
          </w:r>
          <w:r>
            <w:rPr>
              <w:rFonts w:ascii="Arial" w:hAnsi="Arial" w:cs="Arial" w:eastAsia="Arial" w:hint="default"/>
              <w:b w:val="0"/>
              <w:bCs w:val="0"/>
            </w:rPr>
          </w:r>
        </w:p>
        <w:p>
          <w:pPr>
            <w:pStyle w:val="TOC1"/>
            <w:tabs>
              <w:tab w:pos="9785" w:val="right" w:leader="dot"/>
            </w:tabs>
            <w:spacing w:line="240" w:lineRule="auto"/>
            <w:ind w:right="0"/>
            <w:jc w:val="left"/>
            <w:rPr>
              <w:rFonts w:ascii="Arial" w:hAnsi="Arial" w:cs="Arial" w:eastAsia="Arial" w:hint="default"/>
              <w:b w:val="0"/>
              <w:bCs w:val="0"/>
            </w:rPr>
          </w:pPr>
          <w:hyperlink w:history="true" w:anchor="_bookmark6">
            <w:r>
              <w:rPr/>
              <w:t>第七节董事、监事、高级管理人员和员工情况</w:t>
            </w:r>
            <w:r>
              <w:rPr>
                <w:rFonts w:ascii="Arial" w:hAnsi="Arial" w:cs="Arial" w:eastAsia="Arial" w:hint="default"/>
              </w:rPr>
            </w:r>
          </w:hyperlink>
          <w:r>
            <w:rPr>
              <w:rFonts w:ascii="Arial" w:hAnsi="Arial" w:cs="Arial" w:eastAsia="Arial" w:hint="default"/>
            </w:rPr>
            <w:tab/>
            <w:t>56</w:t>
          </w:r>
          <w:r>
            <w:rPr>
              <w:rFonts w:ascii="Arial" w:hAnsi="Arial" w:cs="Arial" w:eastAsia="Arial" w:hint="default"/>
              <w:b w:val="0"/>
              <w:bCs w:val="0"/>
            </w:rPr>
          </w:r>
        </w:p>
        <w:p>
          <w:pPr>
            <w:pStyle w:val="TOC1"/>
            <w:tabs>
              <w:tab w:pos="9785" w:val="right" w:leader="dot"/>
            </w:tabs>
            <w:spacing w:line="240" w:lineRule="auto"/>
            <w:ind w:right="0"/>
            <w:jc w:val="left"/>
            <w:rPr>
              <w:rFonts w:ascii="Arial" w:hAnsi="Arial" w:cs="Arial" w:eastAsia="Arial" w:hint="default"/>
              <w:b w:val="0"/>
              <w:bCs w:val="0"/>
            </w:rPr>
          </w:pPr>
          <w:hyperlink w:history="true" w:anchor="_bookmark7">
            <w:r>
              <w:rPr/>
              <w:t>第八节公司治理</w:t>
            </w:r>
            <w:r>
              <w:rPr>
                <w:rFonts w:ascii="Arial" w:hAnsi="Arial" w:cs="Arial" w:eastAsia="Arial" w:hint="default"/>
              </w:rPr>
            </w:r>
          </w:hyperlink>
          <w:r>
            <w:rPr>
              <w:rFonts w:ascii="Arial" w:hAnsi="Arial" w:cs="Arial" w:eastAsia="Arial" w:hint="default"/>
            </w:rPr>
            <w:tab/>
            <w:t>63</w:t>
          </w:r>
          <w:r>
            <w:rPr>
              <w:rFonts w:ascii="Arial" w:hAnsi="Arial" w:cs="Arial" w:eastAsia="Arial" w:hint="default"/>
              <w:b w:val="0"/>
              <w:bCs w:val="0"/>
            </w:rPr>
          </w:r>
        </w:p>
        <w:p>
          <w:pPr>
            <w:pStyle w:val="TOC1"/>
            <w:tabs>
              <w:tab w:pos="9785" w:val="right" w:leader="dot"/>
            </w:tabs>
            <w:spacing w:line="240" w:lineRule="auto"/>
            <w:ind w:right="0"/>
            <w:jc w:val="left"/>
            <w:rPr>
              <w:rFonts w:ascii="Arial" w:hAnsi="Arial" w:cs="Arial" w:eastAsia="Arial" w:hint="default"/>
              <w:b w:val="0"/>
              <w:bCs w:val="0"/>
            </w:rPr>
          </w:pPr>
          <w:hyperlink w:history="true" w:anchor="_bookmark8">
            <w:r>
              <w:rPr/>
              <w:t>第九节财务报告</w:t>
            </w:r>
            <w:r>
              <w:rPr>
                <w:rFonts w:ascii="Arial" w:hAnsi="Arial" w:cs="Arial" w:eastAsia="Arial" w:hint="default"/>
              </w:rPr>
              <w:tab/>
              <w:t>65</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TOC_250000">
            <w:r>
              <w:rPr/>
              <w:t>第十节备查文件目录</w:t>
            </w:r>
            <w:r>
              <w:rPr>
                <w:rFonts w:ascii="Arial" w:hAnsi="Arial" w:cs="Arial" w:eastAsia="Arial" w:hint="default"/>
              </w:rPr>
              <w:tab/>
              <w:t>141</w:t>
            </w:r>
            <w:r>
              <w:rPr>
                <w:rFonts w:ascii="Arial" w:hAnsi="Arial" w:cs="Arial" w:eastAsia="Arial" w:hint="default"/>
                <w:b w:val="0"/>
                <w:bCs w:val="0"/>
              </w:rPr>
            </w:r>
          </w:hyperlink>
        </w:p>
      </w:sdtContent>
    </w:sdt>
    <w:p>
      <w:pPr>
        <w:spacing w:after="0" w:line="240" w:lineRule="auto"/>
        <w:jc w:val="left"/>
        <w:rPr>
          <w:rFonts w:ascii="Arial" w:hAnsi="Arial" w:cs="Arial" w:eastAsia="Arial" w:hint="default"/>
        </w:rPr>
        <w:sectPr>
          <w:pgSz w:w="11910" w:h="16840"/>
          <w:pgMar w:header="752" w:footer="1010" w:top="1100" w:bottom="1200" w:left="980" w:right="980"/>
        </w:sectPr>
      </w:pPr>
    </w:p>
    <w:p>
      <w:pPr>
        <w:spacing w:before="823"/>
        <w:ind w:left="515" w:right="518"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释义</w:t>
      </w:r>
      <w:r>
        <w:rPr>
          <w:rFonts w:ascii="微软雅黑" w:hAnsi="微软雅黑" w:cs="微软雅黑" w:eastAsia="微软雅黑" w:hint="default"/>
          <w:sz w:val="32"/>
          <w:szCs w:val="32"/>
        </w:rPr>
      </w: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127"/>
        <w:gridCol w:w="850"/>
        <w:gridCol w:w="6594"/>
      </w:tblGrid>
      <w:tr>
        <w:trPr>
          <w:trHeight w:val="470" w:hRule="exact"/>
        </w:trPr>
        <w:tc>
          <w:tcPr>
            <w:tcW w:w="2127"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52"/>
              <w:ind w:right="4"/>
              <w:jc w:val="center"/>
              <w:rPr>
                <w:rFonts w:ascii="宋体" w:hAnsi="宋体" w:cs="宋体" w:eastAsia="宋体" w:hint="default"/>
                <w:sz w:val="21"/>
                <w:szCs w:val="21"/>
              </w:rPr>
            </w:pPr>
            <w:r>
              <w:rPr>
                <w:rFonts w:ascii="宋体" w:hAnsi="宋体" w:cs="宋体" w:eastAsia="宋体" w:hint="default"/>
                <w:b/>
                <w:bCs/>
                <w:sz w:val="21"/>
                <w:szCs w:val="21"/>
              </w:rPr>
              <w:t>释义项</w:t>
            </w:r>
            <w:r>
              <w:rPr>
                <w:rFonts w:ascii="宋体" w:hAnsi="宋体" w:cs="宋体" w:eastAsia="宋体" w:hint="default"/>
                <w:sz w:val="21"/>
                <w:szCs w:val="21"/>
              </w:rPr>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659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14" w:right="0"/>
              <w:jc w:val="center"/>
              <w:rPr>
                <w:rFonts w:ascii="宋体" w:hAnsi="宋体" w:cs="宋体" w:eastAsia="宋体" w:hint="default"/>
                <w:sz w:val="21"/>
                <w:szCs w:val="21"/>
              </w:rPr>
            </w:pPr>
            <w:r>
              <w:rPr>
                <w:rFonts w:ascii="宋体" w:hAnsi="宋体" w:cs="宋体" w:eastAsia="宋体" w:hint="default"/>
                <w:b/>
                <w:bCs/>
                <w:sz w:val="21"/>
                <w:szCs w:val="21"/>
              </w:rPr>
              <w:t>释义内容</w:t>
            </w:r>
            <w:r>
              <w:rPr>
                <w:rFonts w:ascii="宋体" w:hAnsi="宋体" w:cs="宋体" w:eastAsia="宋体" w:hint="default"/>
                <w:sz w:val="21"/>
                <w:szCs w:val="21"/>
              </w:rPr>
            </w:r>
          </w:p>
        </w:tc>
      </w:tr>
      <w:tr>
        <w:trPr>
          <w:trHeight w:val="461" w:hRule="exact"/>
        </w:trPr>
        <w:tc>
          <w:tcPr>
            <w:tcW w:w="212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深圳交易所</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证监局</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中国证券监督管理委员会北京监管局</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Arial" w:hAnsi="Arial" w:cs="Arial" w:eastAsia="Arial" w:hint="default"/>
                <w:sz w:val="21"/>
                <w:szCs w:val="21"/>
              </w:rPr>
              <w:t>/</w:t>
            </w:r>
            <w:r>
              <w:rPr>
                <w:rFonts w:ascii="宋体" w:hAnsi="宋体" w:cs="宋体" w:eastAsia="宋体" w:hint="default"/>
                <w:sz w:val="21"/>
                <w:szCs w:val="21"/>
              </w:rPr>
              <w:t>华宇软件</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华宇信息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北京华宇信息技术有限公司</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21"/>
                <w:szCs w:val="21"/>
              </w:rPr>
            </w:pPr>
            <w:r>
              <w:rPr>
                <w:rFonts w:ascii="宋体" w:hAnsi="宋体" w:cs="宋体" w:eastAsia="宋体" w:hint="default"/>
                <w:sz w:val="21"/>
                <w:szCs w:val="21"/>
              </w:rPr>
              <w:t>亿信华辰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北京亿信华辰软件有限责任公司</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21"/>
                <w:szCs w:val="21"/>
              </w:rPr>
            </w:pPr>
            <w:r>
              <w:rPr>
                <w:rFonts w:ascii="宋体" w:hAnsi="宋体" w:cs="宋体" w:eastAsia="宋体" w:hint="default"/>
                <w:sz w:val="21"/>
                <w:szCs w:val="21"/>
              </w:rPr>
              <w:t>广州华宇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广州华宇信息技术有限公司</w:t>
            </w:r>
          </w:p>
        </w:tc>
      </w:tr>
      <w:tr>
        <w:trPr>
          <w:trHeight w:val="456"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21"/>
                <w:szCs w:val="21"/>
              </w:rPr>
            </w:pPr>
            <w:r>
              <w:rPr>
                <w:rFonts w:ascii="宋体" w:hAnsi="宋体" w:cs="宋体" w:eastAsia="宋体" w:hint="default"/>
                <w:sz w:val="21"/>
                <w:szCs w:val="21"/>
              </w:rPr>
              <w:t>华宇金信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3" w:right="0"/>
              <w:jc w:val="left"/>
              <w:rPr>
                <w:rFonts w:ascii="Arial" w:hAnsi="Arial" w:cs="Arial" w:eastAsia="Arial" w:hint="default"/>
                <w:sz w:val="21"/>
                <w:szCs w:val="21"/>
              </w:rPr>
            </w:pPr>
            <w:r>
              <w:rPr>
                <w:rFonts w:ascii="宋体" w:hAnsi="宋体" w:cs="宋体" w:eastAsia="宋体" w:hint="default"/>
                <w:sz w:val="21"/>
                <w:szCs w:val="21"/>
              </w:rPr>
              <w:t>华宇金信（北京）软件有限公司，原</w:t>
            </w:r>
            <w:r>
              <w:rPr>
                <w:rFonts w:ascii="Arial" w:hAnsi="Arial" w:cs="Arial" w:eastAsia="Arial" w:hint="default"/>
                <w:sz w:val="21"/>
                <w:szCs w:val="21"/>
              </w:rPr>
              <w:t>“</w:t>
            </w:r>
            <w:r>
              <w:rPr>
                <w:rFonts w:ascii="宋体" w:hAnsi="宋体" w:cs="宋体" w:eastAsia="宋体" w:hint="default"/>
                <w:sz w:val="21"/>
                <w:szCs w:val="21"/>
              </w:rPr>
              <w:t>航宇金信（北京）软件有限公司</w:t>
            </w:r>
            <w:r>
              <w:rPr>
                <w:rFonts w:ascii="Arial" w:hAnsi="Arial" w:cs="Arial" w:eastAsia="Arial" w:hint="default"/>
                <w:sz w:val="21"/>
                <w:szCs w:val="21"/>
              </w:rPr>
              <w:t>”</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大连华宇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华宇（大连）信息服务有限公司</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华宇信码</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北京华宇信码技术有限公司</w:t>
            </w:r>
          </w:p>
        </w:tc>
      </w:tr>
      <w:tr>
        <w:trPr>
          <w:trHeight w:val="852"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微软雅黑" w:hAnsi="微软雅黑" w:cs="微软雅黑" w:eastAsia="微软雅黑" w:hint="default"/>
                <w:b/>
                <w:bCs/>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浦东华宇</w:t>
            </w:r>
            <w:r>
              <w:rPr>
                <w:rFonts w:ascii="Arial" w:hAnsi="Arial" w:cs="Arial" w:eastAsia="Arial" w:hint="default"/>
                <w:sz w:val="21"/>
                <w:szCs w:val="21"/>
              </w:rPr>
              <w:t>/</w:t>
            </w:r>
            <w:r>
              <w:rPr>
                <w:rFonts w:ascii="宋体" w:hAnsi="宋体" w:cs="宋体" w:eastAsia="宋体" w:hint="default"/>
                <w:sz w:val="21"/>
                <w:szCs w:val="21"/>
              </w:rPr>
              <w:t>浦东中软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微软雅黑" w:hAnsi="微软雅黑" w:cs="微软雅黑" w:eastAsia="微软雅黑"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350" w:lineRule="auto" w:before="50"/>
              <w:ind w:left="23" w:right="3252"/>
              <w:jc w:val="left"/>
              <w:rPr>
                <w:rFonts w:ascii="Arial" w:hAnsi="Arial" w:cs="Arial" w:eastAsia="Arial" w:hint="default"/>
                <w:sz w:val="21"/>
                <w:szCs w:val="21"/>
              </w:rPr>
            </w:pPr>
            <w:r>
              <w:rPr>
                <w:rFonts w:ascii="宋体" w:hAnsi="宋体" w:cs="宋体" w:eastAsia="宋体" w:hint="default"/>
                <w:sz w:val="21"/>
                <w:szCs w:val="21"/>
              </w:rPr>
              <w:t>上海浦东华宇信息技术有限公司，</w:t>
            </w:r>
            <w:r>
              <w:rPr>
                <w:rFonts w:ascii="宋体" w:hAnsi="宋体" w:cs="宋体" w:eastAsia="宋体" w:hint="default"/>
                <w:w w:val="100"/>
                <w:sz w:val="21"/>
                <w:szCs w:val="21"/>
              </w:rPr>
              <w:t> </w:t>
            </w:r>
            <w:r>
              <w:rPr>
                <w:rFonts w:ascii="宋体" w:hAnsi="宋体" w:cs="宋体" w:eastAsia="宋体" w:hint="default"/>
                <w:sz w:val="21"/>
                <w:szCs w:val="21"/>
              </w:rPr>
              <w:t>原</w:t>
            </w:r>
            <w:r>
              <w:rPr>
                <w:rFonts w:ascii="Arial" w:hAnsi="Arial" w:cs="Arial" w:eastAsia="Arial" w:hint="default"/>
                <w:sz w:val="21"/>
                <w:szCs w:val="21"/>
              </w:rPr>
              <w:t>“</w:t>
            </w:r>
            <w:r>
              <w:rPr>
                <w:rFonts w:ascii="宋体" w:hAnsi="宋体" w:cs="宋体" w:eastAsia="宋体" w:hint="default"/>
                <w:sz w:val="21"/>
                <w:szCs w:val="21"/>
              </w:rPr>
              <w:t>上海浦东中软科技发展有限公司</w:t>
            </w:r>
            <w:r>
              <w:rPr>
                <w:rFonts w:ascii="Arial" w:hAnsi="Arial" w:cs="Arial" w:eastAsia="Arial" w:hint="default"/>
                <w:sz w:val="21"/>
                <w:szCs w:val="21"/>
              </w:rPr>
              <w:t>”</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捷视飞通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深圳市捷视飞通科技有限公司</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国信证券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兴华会计师事务所</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北京兴华会计师事务所有限责任公司</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中审华寅五洲</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中审华寅五洲会计师事务所（特殊普通合伙）</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21"/>
                <w:szCs w:val="21"/>
              </w:rPr>
            </w:pPr>
            <w:r>
              <w:rPr>
                <w:rFonts w:ascii="宋体" w:hAnsi="宋体" w:cs="宋体" w:eastAsia="宋体" w:hint="default"/>
                <w:sz w:val="21"/>
                <w:szCs w:val="21"/>
              </w:rPr>
              <w:t>募集资金管理制度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北京华宇软件股份有限公司募集资金管理制度</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21"/>
                <w:szCs w:val="21"/>
              </w:rPr>
            </w:pPr>
            <w:r>
              <w:rPr>
                <w:rFonts w:ascii="宋体" w:hAnsi="宋体" w:cs="宋体" w:eastAsia="宋体" w:hint="default"/>
                <w:sz w:val="21"/>
                <w:szCs w:val="21"/>
              </w:rPr>
              <w:t>四方监管协议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募集资金四方监管协议</w:t>
            </w:r>
          </w:p>
        </w:tc>
      </w:tr>
      <w:tr>
        <w:trPr>
          <w:trHeight w:val="456"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21"/>
                <w:szCs w:val="21"/>
              </w:rPr>
            </w:pPr>
            <w:r>
              <w:rPr>
                <w:rFonts w:ascii="宋体" w:hAnsi="宋体" w:cs="宋体" w:eastAsia="宋体" w:hint="default"/>
                <w:sz w:val="21"/>
                <w:szCs w:val="21"/>
              </w:rPr>
              <w:t>三方监管协议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募集资金三方监管协议</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一府两院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政府、法院和检察院</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国家发改委</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国家发展和改革委员会</w:t>
            </w:r>
          </w:p>
        </w:tc>
      </w:tr>
      <w:tr>
        <w:trPr>
          <w:trHeight w:val="454"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食药监总局</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国家食品药品监督管理总局</w:t>
            </w:r>
          </w:p>
        </w:tc>
      </w:tr>
      <w:tr>
        <w:trPr>
          <w:trHeight w:val="458" w:hRule="exact"/>
        </w:trPr>
        <w:tc>
          <w:tcPr>
            <w:tcW w:w="21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工信部</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国家工业和信息化部</w:t>
            </w:r>
          </w:p>
        </w:tc>
      </w:tr>
    </w:tbl>
    <w:p>
      <w:pPr>
        <w:spacing w:after="0" w:line="240" w:lineRule="auto"/>
        <w:jc w:val="left"/>
        <w:rPr>
          <w:rFonts w:ascii="宋体" w:hAnsi="宋体" w:cs="宋体" w:eastAsia="宋体" w:hint="default"/>
          <w:sz w:val="21"/>
          <w:szCs w:val="21"/>
        </w:rPr>
        <w:sectPr>
          <w:pgSz w:w="11910" w:h="16840"/>
          <w:pgMar w:header="752" w:footer="1010" w:top="1100" w:bottom="1200" w:left="980" w:right="980"/>
        </w:sectPr>
      </w:pPr>
    </w:p>
    <w:p>
      <w:pPr>
        <w:spacing w:line="240" w:lineRule="auto" w:before="0"/>
        <w:rPr>
          <w:rFonts w:ascii="微软雅黑" w:hAnsi="微软雅黑" w:cs="微软雅黑" w:eastAsia="微软雅黑" w:hint="default"/>
          <w:b/>
          <w:bCs/>
          <w:sz w:val="20"/>
          <w:szCs w:val="20"/>
        </w:rPr>
      </w:pPr>
    </w:p>
    <w:p>
      <w:pPr>
        <w:spacing w:line="240" w:lineRule="auto" w:before="1"/>
        <w:rPr>
          <w:rFonts w:ascii="微软雅黑" w:hAnsi="微软雅黑" w:cs="微软雅黑" w:eastAsia="微软雅黑" w:hint="default"/>
          <w:b/>
          <w:bCs/>
          <w:sz w:val="25"/>
          <w:szCs w:val="25"/>
        </w:rPr>
      </w:pPr>
    </w:p>
    <w:p>
      <w:pPr>
        <w:pStyle w:val="Heading1"/>
        <w:spacing w:line="440" w:lineRule="exact"/>
        <w:ind w:left="3132" w:right="0"/>
        <w:jc w:val="left"/>
        <w:rPr>
          <w:b w:val="0"/>
          <w:bCs w:val="0"/>
        </w:rPr>
      </w:pPr>
      <w:bookmarkStart w:name="_bookmark0" w:id="1"/>
      <w:bookmarkEnd w:id="1"/>
      <w:r>
        <w:rPr>
          <w:b w:val="0"/>
          <w:bCs w:val="0"/>
        </w:rPr>
      </w:r>
      <w:r>
        <w:rPr/>
        <w:t>第二节</w:t>
      </w:r>
      <w:r>
        <w:rPr>
          <w:spacing w:val="60"/>
        </w:rPr>
        <w:t> </w:t>
      </w:r>
      <w:r>
        <w:rPr/>
        <w:t>公司基本情况简介</w:t>
      </w:r>
      <w:r>
        <w:rPr>
          <w:b w:val="0"/>
          <w:bCs w:val="0"/>
        </w:rPr>
      </w:r>
    </w:p>
    <w:p>
      <w:pPr>
        <w:spacing w:line="240" w:lineRule="auto" w:before="4"/>
        <w:rPr>
          <w:rFonts w:ascii="微软雅黑" w:hAnsi="微软雅黑" w:cs="微软雅黑" w:eastAsia="微软雅黑" w:hint="default"/>
          <w:b/>
          <w:bCs/>
          <w:sz w:val="25"/>
          <w:szCs w:val="25"/>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546"/>
        <w:gridCol w:w="1690"/>
        <w:gridCol w:w="2158"/>
        <w:gridCol w:w="2177"/>
      </w:tblGrid>
      <w:tr>
        <w:trPr>
          <w:trHeight w:val="422" w:hRule="exact"/>
        </w:trPr>
        <w:tc>
          <w:tcPr>
            <w:tcW w:w="3546"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30"/>
              <w:ind w:right="4"/>
              <w:jc w:val="center"/>
              <w:rPr>
                <w:rFonts w:ascii="宋体" w:hAnsi="宋体" w:cs="宋体" w:eastAsia="宋体" w:hint="default"/>
                <w:sz w:val="21"/>
                <w:szCs w:val="21"/>
              </w:rPr>
            </w:pPr>
            <w:r>
              <w:rPr>
                <w:rFonts w:ascii="宋体" w:hAnsi="宋体" w:cs="宋体" w:eastAsia="宋体" w:hint="default"/>
                <w:b/>
                <w:bCs/>
                <w:sz w:val="21"/>
                <w:szCs w:val="21"/>
              </w:rPr>
              <w:t>股票简称</w:t>
            </w:r>
            <w:r>
              <w:rPr>
                <w:rFonts w:ascii="宋体" w:hAnsi="宋体" w:cs="宋体" w:eastAsia="宋体" w:hint="default"/>
                <w:sz w:val="21"/>
                <w:szCs w:val="21"/>
              </w:rPr>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b/>
                <w:bCs/>
                <w:sz w:val="21"/>
                <w:szCs w:val="21"/>
              </w:rPr>
              <w:t>华宇软件</w:t>
            </w:r>
            <w:r>
              <w:rPr>
                <w:rFonts w:ascii="宋体" w:hAnsi="宋体" w:cs="宋体" w:eastAsia="宋体" w:hint="default"/>
                <w:sz w:val="21"/>
                <w:szCs w:val="21"/>
              </w:rPr>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b/>
                <w:bCs/>
                <w:sz w:val="21"/>
                <w:szCs w:val="21"/>
              </w:rPr>
              <w:t>股票代码</w:t>
            </w:r>
            <w:r>
              <w:rPr>
                <w:rFonts w:ascii="宋体" w:hAnsi="宋体" w:cs="宋体" w:eastAsia="宋体" w:hint="default"/>
                <w:sz w:val="21"/>
                <w:szCs w:val="21"/>
              </w:rPr>
            </w:r>
          </w:p>
        </w:tc>
        <w:tc>
          <w:tcPr>
            <w:tcW w:w="217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79"/>
              <w:ind w:left="21" w:right="0"/>
              <w:jc w:val="left"/>
              <w:rPr>
                <w:rFonts w:ascii="Arial" w:hAnsi="Arial" w:cs="Arial" w:eastAsia="Arial" w:hint="default"/>
                <w:sz w:val="21"/>
                <w:szCs w:val="21"/>
              </w:rPr>
            </w:pPr>
            <w:r>
              <w:rPr>
                <w:rFonts w:ascii="Arial"/>
                <w:b/>
                <w:sz w:val="21"/>
              </w:rPr>
              <w:t>300271</w:t>
            </w:r>
            <w:r>
              <w:rPr>
                <w:rFonts w:ascii="Arial"/>
                <w:sz w:val="21"/>
              </w:rPr>
            </w:r>
          </w:p>
        </w:tc>
      </w:tr>
      <w:tr>
        <w:trPr>
          <w:trHeight w:val="415" w:hRule="exact"/>
        </w:trPr>
        <w:tc>
          <w:tcPr>
            <w:tcW w:w="354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6025"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06"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华宇软件</w:t>
            </w:r>
          </w:p>
        </w:tc>
      </w:tr>
      <w:tr>
        <w:trPr>
          <w:trHeight w:val="409"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1"/>
              <w:ind w:right="2"/>
              <w:jc w:val="center"/>
              <w:rPr>
                <w:rFonts w:ascii="宋体" w:hAnsi="宋体" w:cs="宋体" w:eastAsia="宋体" w:hint="default"/>
                <w:sz w:val="21"/>
                <w:szCs w:val="21"/>
              </w:rPr>
            </w:pPr>
            <w:r>
              <w:rPr>
                <w:rFonts w:ascii="宋体" w:hAnsi="宋体" w:cs="宋体" w:eastAsia="宋体" w:hint="default"/>
                <w:sz w:val="21"/>
                <w:szCs w:val="21"/>
              </w:rPr>
              <w:t>公司的外文名称</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left="21" w:right="0"/>
              <w:jc w:val="left"/>
              <w:rPr>
                <w:rFonts w:ascii="Arial" w:hAnsi="Arial" w:cs="Arial" w:eastAsia="Arial" w:hint="default"/>
                <w:sz w:val="21"/>
                <w:szCs w:val="21"/>
              </w:rPr>
            </w:pPr>
            <w:r>
              <w:rPr>
                <w:rFonts w:ascii="Arial"/>
                <w:sz w:val="21"/>
              </w:rPr>
              <w:t>Beijing Thunisoft</w:t>
            </w:r>
            <w:r>
              <w:rPr>
                <w:rFonts w:ascii="Arial"/>
                <w:spacing w:val="-9"/>
                <w:sz w:val="21"/>
              </w:rPr>
              <w:t> </w:t>
            </w:r>
            <w:r>
              <w:rPr>
                <w:rFonts w:ascii="Arial"/>
                <w:sz w:val="21"/>
              </w:rPr>
              <w:t>Co.,Ltd.</w:t>
            </w:r>
          </w:p>
        </w:tc>
      </w:tr>
      <w:tr>
        <w:trPr>
          <w:trHeight w:val="408"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21" w:right="0"/>
              <w:jc w:val="left"/>
              <w:rPr>
                <w:rFonts w:ascii="Arial" w:hAnsi="Arial" w:cs="Arial" w:eastAsia="Arial" w:hint="default"/>
                <w:sz w:val="21"/>
                <w:szCs w:val="21"/>
              </w:rPr>
            </w:pPr>
            <w:r>
              <w:rPr>
                <w:rFonts w:ascii="Arial"/>
                <w:sz w:val="21"/>
              </w:rPr>
              <w:t>Thunisoft</w:t>
            </w:r>
          </w:p>
        </w:tc>
      </w:tr>
      <w:tr>
        <w:trPr>
          <w:trHeight w:val="406"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邵学</w:t>
            </w:r>
          </w:p>
        </w:tc>
      </w:tr>
      <w:tr>
        <w:trPr>
          <w:trHeight w:val="408"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6"/>
                <w:sz w:val="21"/>
                <w:szCs w:val="21"/>
              </w:rPr>
              <w:t> </w:t>
            </w:r>
            <w:r>
              <w:rPr>
                <w:rFonts w:ascii="Arial" w:hAnsi="Arial" w:cs="Arial" w:eastAsia="Arial" w:hint="default"/>
                <w:sz w:val="21"/>
                <w:szCs w:val="21"/>
              </w:rPr>
              <w:t>C</w:t>
            </w:r>
            <w:r>
              <w:rPr>
                <w:rFonts w:ascii="Arial" w:hAnsi="Arial" w:cs="Arial" w:eastAsia="Arial" w:hint="default"/>
                <w:spacing w:val="-6"/>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层</w:t>
            </w:r>
          </w:p>
        </w:tc>
      </w:tr>
      <w:tr>
        <w:trPr>
          <w:trHeight w:val="406"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21" w:right="0"/>
              <w:jc w:val="left"/>
              <w:rPr>
                <w:rFonts w:ascii="Arial" w:hAnsi="Arial" w:cs="Arial" w:eastAsia="Arial" w:hint="default"/>
                <w:sz w:val="21"/>
                <w:szCs w:val="21"/>
              </w:rPr>
            </w:pPr>
            <w:r>
              <w:rPr>
                <w:rFonts w:ascii="Arial"/>
                <w:sz w:val="21"/>
              </w:rPr>
              <w:t>100084</w:t>
            </w:r>
          </w:p>
        </w:tc>
      </w:tr>
      <w:tr>
        <w:trPr>
          <w:trHeight w:val="408"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5"/>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6"/>
                <w:sz w:val="21"/>
                <w:szCs w:val="21"/>
              </w:rPr>
              <w:t> </w:t>
            </w:r>
            <w:r>
              <w:rPr>
                <w:rFonts w:ascii="Arial" w:hAnsi="Arial" w:cs="Arial" w:eastAsia="Arial" w:hint="default"/>
                <w:sz w:val="21"/>
                <w:szCs w:val="21"/>
              </w:rPr>
              <w:t>C</w:t>
            </w:r>
            <w:r>
              <w:rPr>
                <w:rFonts w:ascii="Arial" w:hAnsi="Arial" w:cs="Arial" w:eastAsia="Arial" w:hint="default"/>
                <w:spacing w:val="-6"/>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层</w:t>
            </w:r>
          </w:p>
        </w:tc>
      </w:tr>
      <w:tr>
        <w:trPr>
          <w:trHeight w:val="406"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21" w:right="0"/>
              <w:jc w:val="left"/>
              <w:rPr>
                <w:rFonts w:ascii="Arial" w:hAnsi="Arial" w:cs="Arial" w:eastAsia="Arial" w:hint="default"/>
                <w:sz w:val="21"/>
                <w:szCs w:val="21"/>
              </w:rPr>
            </w:pPr>
            <w:r>
              <w:rPr>
                <w:rFonts w:ascii="Arial"/>
                <w:sz w:val="21"/>
              </w:rPr>
              <w:t>100084</w:t>
            </w:r>
          </w:p>
        </w:tc>
      </w:tr>
      <w:tr>
        <w:trPr>
          <w:trHeight w:val="408"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5"/>
              <w:jc w:val="center"/>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1" w:right="0"/>
              <w:jc w:val="left"/>
              <w:rPr>
                <w:rFonts w:ascii="Arial" w:hAnsi="Arial" w:cs="Arial" w:eastAsia="Arial" w:hint="default"/>
                <w:sz w:val="21"/>
                <w:szCs w:val="21"/>
              </w:rPr>
            </w:pPr>
            <w:hyperlink r:id="rId8">
              <w:r>
                <w:rPr>
                  <w:rFonts w:ascii="Arial"/>
                  <w:sz w:val="21"/>
                </w:rPr>
                <w:t>http://www.thunisoft.com</w:t>
              </w:r>
            </w:hyperlink>
          </w:p>
        </w:tc>
      </w:tr>
      <w:tr>
        <w:trPr>
          <w:trHeight w:val="408"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21" w:right="0"/>
              <w:jc w:val="left"/>
              <w:rPr>
                <w:rFonts w:ascii="Arial" w:hAnsi="Arial" w:cs="Arial" w:eastAsia="Arial" w:hint="default"/>
                <w:sz w:val="21"/>
                <w:szCs w:val="21"/>
              </w:rPr>
            </w:pPr>
            <w:hyperlink r:id="rId9">
              <w:r>
                <w:rPr>
                  <w:rFonts w:ascii="Arial"/>
                  <w:sz w:val="21"/>
                </w:rPr>
                <w:t>IR@thunisoft.com</w:t>
              </w:r>
            </w:hyperlink>
          </w:p>
        </w:tc>
      </w:tr>
      <w:tr>
        <w:trPr>
          <w:trHeight w:val="406" w:hRule="exact"/>
        </w:trPr>
        <w:tc>
          <w:tcPr>
            <w:tcW w:w="35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02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中审华寅五洲会计师事务所</w:t>
            </w:r>
          </w:p>
        </w:tc>
      </w:tr>
      <w:tr>
        <w:trPr>
          <w:trHeight w:val="413" w:hRule="exact"/>
        </w:trPr>
        <w:tc>
          <w:tcPr>
            <w:tcW w:w="35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6025"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天津市和平区解放路</w:t>
            </w:r>
            <w:r>
              <w:rPr>
                <w:rFonts w:ascii="宋体" w:hAnsi="宋体" w:cs="宋体" w:eastAsia="宋体" w:hint="default"/>
                <w:spacing w:val="-53"/>
                <w:sz w:val="21"/>
                <w:szCs w:val="21"/>
              </w:rPr>
              <w:t> </w:t>
            </w:r>
            <w:r>
              <w:rPr>
                <w:rFonts w:ascii="Arial" w:hAnsi="Arial" w:cs="Arial" w:eastAsia="Arial" w:hint="default"/>
                <w:sz w:val="21"/>
                <w:szCs w:val="21"/>
              </w:rPr>
              <w:t>188</w:t>
            </w:r>
            <w:r>
              <w:rPr>
                <w:rFonts w:ascii="Arial" w:hAnsi="Arial" w:cs="Arial" w:eastAsia="Arial" w:hint="default"/>
                <w:spacing w:val="-8"/>
                <w:sz w:val="21"/>
                <w:szCs w:val="21"/>
              </w:rPr>
              <w:t> </w:t>
            </w:r>
            <w:r>
              <w:rPr>
                <w:rFonts w:ascii="宋体" w:hAnsi="宋体" w:cs="宋体" w:eastAsia="宋体" w:hint="default"/>
                <w:sz w:val="21"/>
                <w:szCs w:val="21"/>
              </w:rPr>
              <w:t>号信达大厦</w:t>
            </w:r>
            <w:r>
              <w:rPr>
                <w:rFonts w:ascii="宋体" w:hAnsi="宋体" w:cs="宋体" w:eastAsia="宋体" w:hint="default"/>
                <w:spacing w:val="-53"/>
                <w:sz w:val="21"/>
                <w:szCs w:val="21"/>
              </w:rPr>
              <w:t> </w:t>
            </w:r>
            <w:r>
              <w:rPr>
                <w:rFonts w:ascii="Arial" w:hAnsi="Arial" w:cs="Arial" w:eastAsia="Arial" w:hint="default"/>
                <w:sz w:val="21"/>
                <w:szCs w:val="21"/>
              </w:rPr>
              <w:t>35</w:t>
            </w:r>
            <w:r>
              <w:rPr>
                <w:rFonts w:ascii="Arial" w:hAnsi="Arial" w:cs="Arial" w:eastAsia="Arial" w:hint="default"/>
                <w:spacing w:val="44"/>
                <w:sz w:val="21"/>
                <w:szCs w:val="21"/>
              </w:rPr>
              <w:t> </w:t>
            </w:r>
            <w:r>
              <w:rPr>
                <w:rFonts w:ascii="宋体" w:hAnsi="宋体" w:cs="宋体" w:eastAsia="宋体" w:hint="default"/>
                <w:sz w:val="21"/>
                <w:szCs w:val="21"/>
              </w:rPr>
              <w:t>层</w:t>
            </w:r>
          </w:p>
        </w:tc>
      </w:tr>
    </w:tbl>
    <w:p>
      <w:pPr>
        <w:spacing w:line="240" w:lineRule="auto" w:before="3"/>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560"/>
        <w:gridCol w:w="4254"/>
        <w:gridCol w:w="3757"/>
      </w:tblGrid>
      <w:tr>
        <w:trPr>
          <w:trHeight w:val="422" w:hRule="exact"/>
        </w:trPr>
        <w:tc>
          <w:tcPr>
            <w:tcW w:w="1560" w:type="dxa"/>
            <w:tcBorders>
              <w:top w:val="single" w:sz="12" w:space="0" w:color="000000"/>
              <w:left w:val="single" w:sz="12" w:space="0" w:color="000000"/>
              <w:bottom w:val="single" w:sz="12" w:space="0" w:color="000000"/>
              <w:right w:val="single" w:sz="6" w:space="0" w:color="000000"/>
            </w:tcBorders>
          </w:tcPr>
          <w:p>
            <w:pPr/>
          </w:p>
        </w:tc>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375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413" w:hRule="exact"/>
        </w:trPr>
        <w:tc>
          <w:tcPr>
            <w:tcW w:w="156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42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余晴燕</w:t>
            </w:r>
          </w:p>
        </w:tc>
        <w:tc>
          <w:tcPr>
            <w:tcW w:w="37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遇晗</w:t>
            </w:r>
          </w:p>
        </w:tc>
      </w:tr>
      <w:tr>
        <w:trPr>
          <w:trHeight w:val="408"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80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6"/>
                <w:sz w:val="21"/>
                <w:szCs w:val="21"/>
              </w:rPr>
              <w:t> </w:t>
            </w:r>
            <w:r>
              <w:rPr>
                <w:rFonts w:ascii="Arial" w:hAnsi="Arial" w:cs="Arial" w:eastAsia="Arial" w:hint="default"/>
                <w:sz w:val="21"/>
                <w:szCs w:val="21"/>
              </w:rPr>
              <w:t>C</w:t>
            </w:r>
            <w:r>
              <w:rPr>
                <w:rFonts w:ascii="Arial" w:hAnsi="Arial" w:cs="Arial" w:eastAsia="Arial" w:hint="default"/>
                <w:spacing w:val="-6"/>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层</w:t>
            </w:r>
          </w:p>
        </w:tc>
      </w:tr>
      <w:tr>
        <w:trPr>
          <w:trHeight w:val="409"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电话</w:t>
            </w:r>
          </w:p>
        </w:tc>
        <w:tc>
          <w:tcPr>
            <w:tcW w:w="80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1" w:right="0"/>
              <w:jc w:val="left"/>
              <w:rPr>
                <w:rFonts w:ascii="Arial" w:hAnsi="Arial" w:cs="Arial" w:eastAsia="Arial" w:hint="default"/>
                <w:sz w:val="21"/>
                <w:szCs w:val="21"/>
              </w:rPr>
            </w:pPr>
            <w:r>
              <w:rPr>
                <w:rFonts w:ascii="Arial"/>
                <w:sz w:val="21"/>
              </w:rPr>
              <w:t>010-82150085</w:t>
            </w:r>
          </w:p>
        </w:tc>
      </w:tr>
      <w:tr>
        <w:trPr>
          <w:trHeight w:val="406"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传真</w:t>
            </w:r>
          </w:p>
        </w:tc>
        <w:tc>
          <w:tcPr>
            <w:tcW w:w="80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21" w:right="0"/>
              <w:jc w:val="left"/>
              <w:rPr>
                <w:rFonts w:ascii="Arial" w:hAnsi="Arial" w:cs="Arial" w:eastAsia="Arial" w:hint="default"/>
                <w:sz w:val="21"/>
                <w:szCs w:val="21"/>
              </w:rPr>
            </w:pPr>
            <w:r>
              <w:rPr>
                <w:rFonts w:ascii="Arial"/>
                <w:sz w:val="21"/>
              </w:rPr>
              <w:t>010-82150616</w:t>
            </w:r>
          </w:p>
        </w:tc>
      </w:tr>
      <w:tr>
        <w:trPr>
          <w:trHeight w:val="413" w:hRule="exact"/>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8010"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left="21" w:right="0"/>
              <w:jc w:val="left"/>
              <w:rPr>
                <w:rFonts w:ascii="Arial" w:hAnsi="Arial" w:cs="Arial" w:eastAsia="Arial" w:hint="default"/>
                <w:sz w:val="21"/>
                <w:szCs w:val="21"/>
              </w:rPr>
            </w:pPr>
            <w:hyperlink r:id="rId9">
              <w:r>
                <w:rPr>
                  <w:rFonts w:ascii="Arial"/>
                  <w:sz w:val="21"/>
                </w:rPr>
                <w:t>IR@thunisoft.com</w:t>
              </w:r>
            </w:hyperlink>
          </w:p>
        </w:tc>
      </w:tr>
    </w:tbl>
    <w:p>
      <w:pPr>
        <w:spacing w:line="240" w:lineRule="auto" w:before="3"/>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820"/>
        <w:gridCol w:w="4751"/>
      </w:tblGrid>
      <w:tr>
        <w:trPr>
          <w:trHeight w:val="415" w:hRule="exact"/>
        </w:trPr>
        <w:tc>
          <w:tcPr>
            <w:tcW w:w="482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47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406" w:hRule="exact"/>
        </w:trPr>
        <w:tc>
          <w:tcPr>
            <w:tcW w:w="48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left="23" w:right="0"/>
              <w:jc w:val="left"/>
              <w:rPr>
                <w:rFonts w:ascii="Arial" w:hAnsi="Arial" w:cs="Arial" w:eastAsia="Arial" w:hint="default"/>
                <w:sz w:val="21"/>
                <w:szCs w:val="21"/>
              </w:rPr>
            </w:pPr>
            <w:hyperlink r:id="rId10">
              <w:r>
                <w:rPr>
                  <w:rFonts w:ascii="Arial"/>
                  <w:sz w:val="21"/>
                </w:rPr>
                <w:t>http://www.cninfo.com.cn</w:t>
              </w:r>
            </w:hyperlink>
          </w:p>
        </w:tc>
      </w:tr>
      <w:tr>
        <w:trPr>
          <w:trHeight w:val="413" w:hRule="exact"/>
        </w:trPr>
        <w:tc>
          <w:tcPr>
            <w:tcW w:w="482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bl>
    <w:p>
      <w:pPr>
        <w:spacing w:after="0" w:line="240" w:lineRule="auto"/>
        <w:jc w:val="left"/>
        <w:rPr>
          <w:rFonts w:ascii="宋体" w:hAnsi="宋体" w:cs="宋体" w:eastAsia="宋体" w:hint="default"/>
          <w:sz w:val="21"/>
          <w:szCs w:val="21"/>
        </w:rPr>
        <w:sectPr>
          <w:pgSz w:w="11910" w:h="16840"/>
          <w:pgMar w:header="752" w:footer="1010" w:top="1100" w:bottom="1200" w:left="980" w:right="980"/>
        </w:sectPr>
      </w:pPr>
    </w:p>
    <w:p>
      <w:pPr>
        <w:spacing w:line="240" w:lineRule="auto" w:before="9"/>
        <w:rPr>
          <w:rFonts w:ascii="宋体" w:hAnsi="宋体" w:cs="宋体" w:eastAsia="宋体" w:hint="default"/>
          <w:b/>
          <w:bCs/>
          <w:sz w:val="20"/>
          <w:szCs w:val="20"/>
        </w:rPr>
      </w:pPr>
    </w:p>
    <w:p>
      <w:pPr>
        <w:pStyle w:val="Heading3"/>
        <w:spacing w:line="240" w:lineRule="auto" w:before="26"/>
        <w:ind w:right="0"/>
        <w:jc w:val="left"/>
        <w:rPr>
          <w:b w:val="0"/>
          <w:bCs w:val="0"/>
        </w:rPr>
      </w:pP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844"/>
        <w:gridCol w:w="1985"/>
        <w:gridCol w:w="955"/>
        <w:gridCol w:w="1880"/>
        <w:gridCol w:w="2127"/>
        <w:gridCol w:w="778"/>
      </w:tblGrid>
      <w:tr>
        <w:trPr>
          <w:trHeight w:val="773" w:hRule="exact"/>
        </w:trPr>
        <w:tc>
          <w:tcPr>
            <w:tcW w:w="1844"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955"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before="47"/>
              <w:ind w:left="261" w:right="45" w:hanging="212"/>
              <w:jc w:val="left"/>
              <w:rPr>
                <w:rFonts w:ascii="宋体" w:hAnsi="宋体" w:cs="宋体" w:eastAsia="宋体" w:hint="default"/>
                <w:sz w:val="21"/>
                <w:szCs w:val="21"/>
              </w:rPr>
            </w:pPr>
            <w:r>
              <w:rPr>
                <w:rFonts w:ascii="宋体" w:hAnsi="宋体" w:cs="宋体" w:eastAsia="宋体" w:hint="default"/>
                <w:sz w:val="21"/>
                <w:szCs w:val="21"/>
              </w:rPr>
              <w:t>注册登记</w:t>
            </w:r>
            <w:r>
              <w:rPr>
                <w:rFonts w:ascii="宋体" w:hAnsi="宋体" w:cs="宋体" w:eastAsia="宋体" w:hint="default"/>
                <w:w w:val="100"/>
                <w:sz w:val="21"/>
                <w:szCs w:val="21"/>
              </w:rPr>
              <w:t> </w:t>
            </w:r>
            <w:r>
              <w:rPr>
                <w:rFonts w:ascii="宋体" w:hAnsi="宋体" w:cs="宋体" w:eastAsia="宋体" w:hint="default"/>
                <w:sz w:val="21"/>
                <w:szCs w:val="21"/>
              </w:rPr>
              <w:t>地点</w:t>
            </w:r>
          </w:p>
        </w:tc>
        <w:tc>
          <w:tcPr>
            <w:tcW w:w="1880"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28"/>
              <w:ind w:left="410" w:right="295" w:hanging="106"/>
              <w:jc w:val="left"/>
              <w:rPr>
                <w:rFonts w:ascii="宋体" w:hAnsi="宋体" w:cs="宋体" w:eastAsia="宋体" w:hint="default"/>
                <w:sz w:val="21"/>
                <w:szCs w:val="21"/>
              </w:rPr>
            </w:pPr>
            <w:r>
              <w:rPr>
                <w:rFonts w:ascii="宋体" w:hAnsi="宋体" w:cs="宋体" w:eastAsia="宋体" w:hint="default"/>
                <w:sz w:val="21"/>
                <w:szCs w:val="21"/>
              </w:rPr>
              <w:t>企业法人营业</w:t>
            </w:r>
            <w:r>
              <w:rPr>
                <w:rFonts w:ascii="宋体" w:hAnsi="宋体" w:cs="宋体" w:eastAsia="宋体" w:hint="default"/>
                <w:w w:val="100"/>
                <w:sz w:val="21"/>
                <w:szCs w:val="21"/>
              </w:rPr>
              <w:t> </w:t>
            </w:r>
            <w:r>
              <w:rPr>
                <w:rFonts w:ascii="宋体" w:hAnsi="宋体" w:cs="宋体" w:eastAsia="宋体" w:hint="default"/>
                <w:sz w:val="21"/>
                <w:szCs w:val="21"/>
              </w:rPr>
              <w:t>执照注册号</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778" w:type="dxa"/>
            <w:tcBorders>
              <w:top w:val="single" w:sz="12" w:space="0" w:color="000000"/>
              <w:left w:val="single" w:sz="6" w:space="0" w:color="000000"/>
              <w:bottom w:val="single" w:sz="12" w:space="0" w:color="000000"/>
              <w:right w:val="single" w:sz="12" w:space="0" w:color="000000"/>
            </w:tcBorders>
          </w:tcPr>
          <w:p>
            <w:pPr>
              <w:pStyle w:val="TableParagraph"/>
              <w:spacing w:line="273" w:lineRule="auto" w:before="47"/>
              <w:ind w:left="64" w:right="55"/>
              <w:jc w:val="left"/>
              <w:rPr>
                <w:rFonts w:ascii="宋体" w:hAnsi="宋体" w:cs="宋体" w:eastAsia="宋体" w:hint="default"/>
                <w:sz w:val="21"/>
                <w:szCs w:val="21"/>
              </w:rPr>
            </w:pPr>
            <w:r>
              <w:rPr>
                <w:rFonts w:ascii="宋体" w:hAnsi="宋体" w:cs="宋体" w:eastAsia="宋体" w:hint="default"/>
                <w:sz w:val="21"/>
                <w:szCs w:val="21"/>
              </w:rPr>
              <w:t>组织机</w:t>
            </w:r>
            <w:r>
              <w:rPr>
                <w:rFonts w:ascii="宋体" w:hAnsi="宋体" w:cs="宋体" w:eastAsia="宋体" w:hint="default"/>
                <w:spacing w:val="-102"/>
                <w:sz w:val="21"/>
                <w:szCs w:val="21"/>
              </w:rPr>
              <w:t> </w:t>
            </w:r>
            <w:r>
              <w:rPr>
                <w:rFonts w:ascii="宋体" w:hAnsi="宋体" w:cs="宋体" w:eastAsia="宋体" w:hint="default"/>
                <w:sz w:val="21"/>
                <w:szCs w:val="21"/>
              </w:rPr>
              <w:t>构代码</w:t>
            </w:r>
          </w:p>
        </w:tc>
      </w:tr>
      <w:tr>
        <w:trPr>
          <w:trHeight w:val="415" w:hRule="exact"/>
        </w:trPr>
        <w:tc>
          <w:tcPr>
            <w:tcW w:w="184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Arial" w:hAnsi="Arial" w:cs="Arial" w:eastAsia="Arial" w:hint="default"/>
                <w:sz w:val="21"/>
                <w:szCs w:val="21"/>
              </w:rPr>
              <w:t>2001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06</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5" w:type="dxa"/>
            <w:tcBorders>
              <w:top w:val="single" w:sz="12" w:space="0" w:color="000000"/>
              <w:left w:val="single" w:sz="6" w:space="0" w:color="000000"/>
              <w:bottom w:val="nil" w:sz="6" w:space="0" w:color="auto"/>
              <w:right w:val="single" w:sz="6" w:space="0" w:color="000000"/>
            </w:tcBorders>
          </w:tcPr>
          <w:p>
            <w:pPr/>
          </w:p>
        </w:tc>
        <w:tc>
          <w:tcPr>
            <w:tcW w:w="18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23" w:right="0"/>
              <w:jc w:val="left"/>
              <w:rPr>
                <w:rFonts w:ascii="Arial" w:hAnsi="Arial" w:cs="Arial" w:eastAsia="Arial" w:hint="default"/>
                <w:sz w:val="21"/>
                <w:szCs w:val="21"/>
              </w:rPr>
            </w:pPr>
            <w:r>
              <w:rPr>
                <w:rFonts w:ascii="Arial"/>
                <w:sz w:val="21"/>
              </w:rPr>
              <w:t>1100001277303</w:t>
            </w:r>
          </w:p>
        </w:tc>
        <w:tc>
          <w:tcPr>
            <w:tcW w:w="2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21" w:right="0"/>
              <w:jc w:val="left"/>
              <w:rPr>
                <w:rFonts w:ascii="Arial" w:hAnsi="Arial" w:cs="Arial" w:eastAsia="Arial" w:hint="default"/>
                <w:sz w:val="21"/>
                <w:szCs w:val="21"/>
              </w:rPr>
            </w:pPr>
            <w:r>
              <w:rPr>
                <w:rFonts w:ascii="Arial"/>
                <w:sz w:val="21"/>
              </w:rPr>
              <w:t>110108726360320</w:t>
            </w:r>
          </w:p>
        </w:tc>
        <w:tc>
          <w:tcPr>
            <w:tcW w:w="778" w:type="dxa"/>
            <w:tcBorders>
              <w:top w:val="single" w:sz="12" w:space="0" w:color="000000"/>
              <w:left w:val="single" w:sz="6" w:space="0" w:color="000000"/>
              <w:bottom w:val="nil" w:sz="6" w:space="0" w:color="auto"/>
              <w:right w:val="single" w:sz="12" w:space="0" w:color="000000"/>
            </w:tcBorders>
          </w:tcPr>
          <w:p>
            <w:pPr/>
          </w:p>
        </w:tc>
      </w:tr>
      <w:tr>
        <w:trPr>
          <w:trHeight w:val="406"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注册资金变更登记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5" w:type="dxa"/>
            <w:tcBorders>
              <w:top w:val="nil" w:sz="6" w:space="0" w:color="auto"/>
              <w:left w:val="single" w:sz="6" w:space="0" w:color="000000"/>
              <w:bottom w:val="nil" w:sz="6" w:space="0" w:color="auto"/>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110000002773032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1" w:right="0"/>
              <w:jc w:val="left"/>
              <w:rPr>
                <w:rFonts w:ascii="Arial" w:hAnsi="Arial" w:cs="Arial" w:eastAsia="Arial" w:hint="default"/>
                <w:sz w:val="21"/>
                <w:szCs w:val="21"/>
              </w:rPr>
            </w:pPr>
            <w:r>
              <w:rPr>
                <w:rFonts w:ascii="Arial"/>
                <w:sz w:val="21"/>
              </w:rPr>
              <w:t>110108726360320</w:t>
            </w:r>
          </w:p>
        </w:tc>
        <w:tc>
          <w:tcPr>
            <w:tcW w:w="778" w:type="dxa"/>
            <w:tcBorders>
              <w:top w:val="nil" w:sz="6" w:space="0" w:color="auto"/>
              <w:left w:val="single" w:sz="6" w:space="0" w:color="000000"/>
              <w:bottom w:val="nil" w:sz="6" w:space="0" w:color="auto"/>
              <w:right w:val="single" w:sz="12" w:space="0" w:color="000000"/>
            </w:tcBorders>
          </w:tcPr>
          <w:p>
            <w:pP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注册资金变更登记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5" w:type="dxa"/>
            <w:vMerge w:val="restart"/>
            <w:tcBorders>
              <w:top w:val="nil" w:sz="6" w:space="0" w:color="auto"/>
              <w:left w:val="single" w:sz="6" w:space="0" w:color="000000"/>
              <w:right w:val="single" w:sz="6" w:space="0" w:color="000000"/>
            </w:tcBorders>
          </w:tcPr>
          <w:p>
            <w:pPr>
              <w:pStyle w:val="TableParagraph"/>
              <w:spacing w:line="290" w:lineRule="auto" w:before="38"/>
              <w:ind w:left="156" w:right="45" w:hanging="106"/>
              <w:jc w:val="left"/>
              <w:rPr>
                <w:rFonts w:ascii="宋体" w:hAnsi="宋体" w:cs="宋体" w:eastAsia="宋体" w:hint="default"/>
                <w:sz w:val="21"/>
                <w:szCs w:val="21"/>
              </w:rPr>
            </w:pPr>
            <w:r>
              <w:rPr>
                <w:rFonts w:ascii="宋体" w:hAnsi="宋体" w:cs="宋体" w:eastAsia="宋体" w:hint="default"/>
                <w:sz w:val="21"/>
                <w:szCs w:val="21"/>
              </w:rPr>
              <w:t>北京市工</w:t>
            </w:r>
            <w:r>
              <w:rPr>
                <w:rFonts w:ascii="宋体" w:hAnsi="宋体" w:cs="宋体" w:eastAsia="宋体" w:hint="default"/>
                <w:w w:val="100"/>
                <w:sz w:val="21"/>
                <w:szCs w:val="21"/>
              </w:rPr>
              <w:t> </w:t>
            </w:r>
            <w:r>
              <w:rPr>
                <w:rFonts w:ascii="宋体" w:hAnsi="宋体" w:cs="宋体" w:eastAsia="宋体" w:hint="default"/>
                <w:sz w:val="21"/>
                <w:szCs w:val="21"/>
              </w:rPr>
              <w:t>商行政</w:t>
            </w:r>
            <w:r>
              <w:rPr>
                <w:rFonts w:ascii="宋体" w:hAnsi="宋体" w:cs="宋体" w:eastAsia="宋体" w:hint="default"/>
                <w:w w:val="100"/>
                <w:sz w:val="21"/>
                <w:szCs w:val="21"/>
              </w:rPr>
              <w:t> </w:t>
            </w:r>
            <w:r>
              <w:rPr>
                <w:rFonts w:ascii="宋体" w:hAnsi="宋体" w:cs="宋体" w:eastAsia="宋体" w:hint="default"/>
                <w:sz w:val="21"/>
                <w:szCs w:val="21"/>
              </w:rPr>
              <w:t>管理局</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3" w:right="0"/>
              <w:jc w:val="left"/>
              <w:rPr>
                <w:rFonts w:ascii="Arial" w:hAnsi="Arial" w:cs="Arial" w:eastAsia="Arial" w:hint="default"/>
                <w:sz w:val="21"/>
                <w:szCs w:val="21"/>
              </w:rPr>
            </w:pPr>
            <w:r>
              <w:rPr>
                <w:rFonts w:ascii="Arial"/>
                <w:sz w:val="21"/>
              </w:rPr>
              <w:t>110000002773032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1" w:right="0"/>
              <w:jc w:val="left"/>
              <w:rPr>
                <w:rFonts w:ascii="Arial" w:hAnsi="Arial" w:cs="Arial" w:eastAsia="Arial" w:hint="default"/>
                <w:sz w:val="21"/>
                <w:szCs w:val="21"/>
              </w:rPr>
            </w:pPr>
            <w:r>
              <w:rPr>
                <w:rFonts w:ascii="Arial"/>
                <w:sz w:val="21"/>
              </w:rPr>
              <w:t>110108726360320</w:t>
            </w:r>
          </w:p>
        </w:tc>
        <w:tc>
          <w:tcPr>
            <w:tcW w:w="778" w:type="dxa"/>
            <w:vMerge w:val="restart"/>
            <w:tcBorders>
              <w:top w:val="nil" w:sz="6" w:space="0" w:color="auto"/>
              <w:left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1" w:right="0"/>
              <w:jc w:val="left"/>
              <w:rPr>
                <w:rFonts w:ascii="Arial" w:hAnsi="Arial" w:cs="Arial" w:eastAsia="Arial" w:hint="default"/>
                <w:sz w:val="21"/>
                <w:szCs w:val="21"/>
              </w:rPr>
            </w:pPr>
            <w:r>
              <w:rPr>
                <w:rFonts w:ascii="Arial"/>
                <w:sz w:val="21"/>
              </w:rPr>
              <w:t>726360</w:t>
            </w:r>
          </w:p>
          <w:p>
            <w:pPr>
              <w:pStyle w:val="TableParagraph"/>
              <w:spacing w:line="240" w:lineRule="auto" w:before="70"/>
              <w:ind w:left="21" w:right="0"/>
              <w:jc w:val="left"/>
              <w:rPr>
                <w:rFonts w:ascii="Arial" w:hAnsi="Arial" w:cs="Arial" w:eastAsia="Arial" w:hint="default"/>
                <w:sz w:val="21"/>
                <w:szCs w:val="21"/>
              </w:rPr>
            </w:pPr>
            <w:r>
              <w:rPr>
                <w:rFonts w:ascii="Arial"/>
                <w:sz w:val="21"/>
              </w:rPr>
              <w:t>32-0</w:t>
            </w:r>
          </w:p>
        </w:tc>
      </w:tr>
      <w:tr>
        <w:trPr>
          <w:trHeight w:val="720"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8"/>
              <w:ind w:left="14" w:right="122"/>
              <w:jc w:val="left"/>
              <w:rPr>
                <w:rFonts w:ascii="宋体" w:hAnsi="宋体" w:cs="宋体" w:eastAsia="宋体" w:hint="default"/>
                <w:sz w:val="21"/>
                <w:szCs w:val="21"/>
              </w:rPr>
            </w:pPr>
            <w:r>
              <w:rPr>
                <w:rFonts w:ascii="宋体" w:hAnsi="宋体" w:cs="宋体" w:eastAsia="宋体" w:hint="default"/>
                <w:sz w:val="21"/>
                <w:szCs w:val="21"/>
              </w:rPr>
              <w:t>首次公开发行股票</w:t>
            </w:r>
            <w:r>
              <w:rPr>
                <w:rFonts w:ascii="宋体" w:hAnsi="宋体" w:cs="宋体" w:eastAsia="宋体" w:hint="default"/>
                <w:w w:val="100"/>
                <w:sz w:val="21"/>
                <w:szCs w:val="21"/>
              </w:rPr>
              <w:t> </w:t>
            </w:r>
            <w:r>
              <w:rPr>
                <w:rFonts w:ascii="宋体" w:hAnsi="宋体" w:cs="宋体" w:eastAsia="宋体" w:hint="default"/>
                <w:sz w:val="21"/>
                <w:szCs w:val="21"/>
              </w:rPr>
              <w:t>变更注册登记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left="21"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5" w:type="dxa"/>
            <w:vMerge/>
            <w:tcBorders>
              <w:left w:val="single" w:sz="6" w:space="0" w:color="000000"/>
              <w:bottom w:val="nil" w:sz="6" w:space="0" w:color="auto"/>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Arial" w:hAnsi="Arial" w:cs="Arial" w:eastAsia="Arial" w:hint="default"/>
                <w:sz w:val="21"/>
                <w:szCs w:val="21"/>
              </w:rPr>
            </w:pPr>
            <w:r>
              <w:rPr>
                <w:rFonts w:ascii="Arial"/>
                <w:sz w:val="21"/>
              </w:rPr>
              <w:t>110000002773032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1" w:right="0"/>
              <w:jc w:val="left"/>
              <w:rPr>
                <w:rFonts w:ascii="Arial" w:hAnsi="Arial" w:cs="Arial" w:eastAsia="Arial" w:hint="default"/>
                <w:sz w:val="21"/>
                <w:szCs w:val="21"/>
              </w:rPr>
            </w:pPr>
            <w:r>
              <w:rPr>
                <w:rFonts w:ascii="Arial"/>
                <w:sz w:val="21"/>
              </w:rPr>
              <w:t>110108726360320</w:t>
            </w:r>
          </w:p>
        </w:tc>
        <w:tc>
          <w:tcPr>
            <w:tcW w:w="778" w:type="dxa"/>
            <w:vMerge/>
            <w:tcBorders>
              <w:left w:val="single" w:sz="6" w:space="0" w:color="000000"/>
              <w:bottom w:val="nil" w:sz="6" w:space="0" w:color="auto"/>
              <w:right w:val="single" w:sz="12" w:space="0" w:color="000000"/>
            </w:tcBorders>
          </w:tcPr>
          <w:p>
            <w:pPr/>
          </w:p>
        </w:tc>
      </w:tr>
      <w:tr>
        <w:trPr>
          <w:trHeight w:val="764" w:hRule="exact"/>
        </w:trPr>
        <w:tc>
          <w:tcPr>
            <w:tcW w:w="1844" w:type="dxa"/>
            <w:tcBorders>
              <w:top w:val="single" w:sz="6" w:space="0" w:color="000000"/>
              <w:left w:val="single" w:sz="12" w:space="0" w:color="000000"/>
              <w:bottom w:val="single" w:sz="12" w:space="0" w:color="000000"/>
              <w:right w:val="single" w:sz="6" w:space="0" w:color="000000"/>
            </w:tcBorders>
          </w:tcPr>
          <w:p>
            <w:pPr>
              <w:pStyle w:val="TableParagraph"/>
              <w:spacing w:line="290" w:lineRule="auto" w:before="29"/>
              <w:ind w:left="14" w:right="232"/>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年利润分配</w:t>
            </w:r>
            <w:r>
              <w:rPr>
                <w:rFonts w:ascii="宋体" w:hAnsi="宋体" w:cs="宋体" w:eastAsia="宋体" w:hint="default"/>
                <w:w w:val="100"/>
                <w:sz w:val="21"/>
                <w:szCs w:val="21"/>
              </w:rPr>
              <w:t> </w:t>
            </w:r>
            <w:r>
              <w:rPr>
                <w:rFonts w:ascii="宋体" w:hAnsi="宋体" w:cs="宋体" w:eastAsia="宋体" w:hint="default"/>
                <w:sz w:val="21"/>
                <w:szCs w:val="21"/>
              </w:rPr>
              <w:t>转增股本登记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5" w:type="dxa"/>
            <w:tcBorders>
              <w:top w:val="nil" w:sz="6" w:space="0" w:color="auto"/>
              <w:left w:val="single" w:sz="6" w:space="0" w:color="000000"/>
              <w:bottom w:val="single" w:sz="12" w:space="0" w:color="000000"/>
              <w:right w:val="single" w:sz="6" w:space="0" w:color="000000"/>
            </w:tcBorders>
          </w:tcPr>
          <w:p>
            <w:pPr/>
          </w:p>
        </w:tc>
        <w:tc>
          <w:tcPr>
            <w:tcW w:w="1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Arial" w:hAnsi="Arial" w:cs="Arial" w:eastAsia="Arial" w:hint="default"/>
                <w:sz w:val="21"/>
                <w:szCs w:val="21"/>
              </w:rPr>
            </w:pPr>
            <w:r>
              <w:rPr>
                <w:rFonts w:ascii="Arial"/>
                <w:sz w:val="21"/>
              </w:rPr>
              <w:t>110000002773032</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1" w:right="0"/>
              <w:jc w:val="left"/>
              <w:rPr>
                <w:rFonts w:ascii="Arial" w:hAnsi="Arial" w:cs="Arial" w:eastAsia="Arial" w:hint="default"/>
                <w:sz w:val="21"/>
                <w:szCs w:val="21"/>
              </w:rPr>
            </w:pPr>
            <w:r>
              <w:rPr>
                <w:rFonts w:ascii="Arial"/>
                <w:sz w:val="21"/>
              </w:rPr>
              <w:t>110108726360320</w:t>
            </w:r>
          </w:p>
        </w:tc>
        <w:tc>
          <w:tcPr>
            <w:tcW w:w="778"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52" w:footer="1010" w:top="1100" w:bottom="120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Heading1"/>
        <w:spacing w:line="440" w:lineRule="exact"/>
        <w:ind w:left="2651" w:right="0"/>
        <w:jc w:val="left"/>
        <w:rPr>
          <w:b w:val="0"/>
          <w:bCs w:val="0"/>
        </w:rPr>
      </w:pPr>
      <w:bookmarkStart w:name="_bookmark1" w:id="2"/>
      <w:bookmarkEnd w:id="2"/>
      <w:r>
        <w:rPr>
          <w:b w:val="0"/>
          <w:bCs w:val="0"/>
        </w:rPr>
      </w:r>
      <w:r>
        <w:rPr/>
        <w:t>第三节</w:t>
      </w:r>
      <w:r>
        <w:rPr>
          <w:spacing w:val="60"/>
        </w:rPr>
        <w:t> </w:t>
      </w:r>
      <w:r>
        <w:rPr/>
        <w:t>会计数据和财务指标摘要</w:t>
      </w:r>
      <w:r>
        <w:rPr>
          <w:b w:val="0"/>
          <w:bCs w:val="0"/>
        </w:rPr>
      </w:r>
    </w:p>
    <w:p>
      <w:pPr>
        <w:spacing w:line="610" w:lineRule="atLeast" w:before="165"/>
        <w:ind w:left="152" w:right="1614" w:firstLine="0"/>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公司是否因会计政策变更及会计差错更正等追溯调整或重述以前年度会计数据</w:t>
      </w:r>
    </w:p>
    <w:p>
      <w:pPr>
        <w:pStyle w:val="BodyText"/>
        <w:spacing w:line="240" w:lineRule="auto" w:before="38"/>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7"/>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2657"/>
        <w:gridCol w:w="1765"/>
        <w:gridCol w:w="1762"/>
        <w:gridCol w:w="1616"/>
        <w:gridCol w:w="1771"/>
      </w:tblGrid>
      <w:tr>
        <w:trPr>
          <w:trHeight w:val="564" w:hRule="exact"/>
        </w:trPr>
        <w:tc>
          <w:tcPr>
            <w:tcW w:w="2657"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0"/>
              <w:ind w:left="509" w:right="0"/>
              <w:jc w:val="left"/>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0"/>
              <w:ind w:left="508" w:right="0"/>
              <w:jc w:val="left"/>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0"/>
              <w:ind w:right="58"/>
              <w:jc w:val="right"/>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tc>
        <w:tc>
          <w:tcPr>
            <w:tcW w:w="177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0"/>
              <w:ind w:left="513" w:right="0"/>
              <w:jc w:val="left"/>
              <w:rPr>
                <w:rFonts w:ascii="宋体" w:hAnsi="宋体" w:cs="宋体" w:eastAsia="宋体" w:hint="default"/>
                <w:sz w:val="21"/>
                <w:szCs w:val="21"/>
              </w:rPr>
            </w:pPr>
            <w:r>
              <w:rPr>
                <w:rFonts w:ascii="Arial" w:hAnsi="Arial" w:cs="Arial" w:eastAsia="Arial" w:hint="default"/>
                <w:b/>
                <w:bCs/>
                <w:sz w:val="21"/>
                <w:szCs w:val="21"/>
              </w:rPr>
              <w:t>2012</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16" w:hRule="exact"/>
        </w:trPr>
        <w:tc>
          <w:tcPr>
            <w:tcW w:w="265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1"/>
              <w:ind w:right="2"/>
              <w:jc w:val="center"/>
              <w:rPr>
                <w:rFonts w:ascii="宋体" w:hAnsi="宋体" w:cs="宋体" w:eastAsia="宋体" w:hint="default"/>
                <w:sz w:val="21"/>
                <w:szCs w:val="21"/>
              </w:rPr>
            </w:pPr>
            <w:r>
              <w:rPr>
                <w:rFonts w:ascii="宋体" w:hAnsi="宋体" w:cs="宋体" w:eastAsia="宋体" w:hint="default"/>
                <w:sz w:val="21"/>
                <w:szCs w:val="21"/>
              </w:rPr>
              <w:t>营业收入（元）</w:t>
            </w:r>
          </w:p>
        </w:tc>
        <w:tc>
          <w:tcPr>
            <w:tcW w:w="17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right="17"/>
              <w:jc w:val="right"/>
              <w:rPr>
                <w:rFonts w:ascii="Arial" w:hAnsi="Arial" w:cs="Arial" w:eastAsia="Arial" w:hint="default"/>
                <w:sz w:val="21"/>
                <w:szCs w:val="21"/>
              </w:rPr>
            </w:pPr>
            <w:r>
              <w:rPr>
                <w:rFonts w:ascii="Arial"/>
                <w:spacing w:val="-1"/>
                <w:sz w:val="21"/>
              </w:rPr>
              <w:t>902,602,843.61</w:t>
            </w:r>
          </w:p>
        </w:tc>
        <w:tc>
          <w:tcPr>
            <w:tcW w:w="17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right="15"/>
              <w:jc w:val="right"/>
              <w:rPr>
                <w:rFonts w:ascii="Arial" w:hAnsi="Arial" w:cs="Arial" w:eastAsia="Arial" w:hint="default"/>
                <w:sz w:val="21"/>
                <w:szCs w:val="21"/>
              </w:rPr>
            </w:pPr>
            <w:r>
              <w:rPr>
                <w:rFonts w:ascii="Arial"/>
                <w:spacing w:val="-1"/>
                <w:sz w:val="21"/>
              </w:rPr>
              <w:t>669,847,315.79</w:t>
            </w:r>
          </w:p>
        </w:tc>
        <w:tc>
          <w:tcPr>
            <w:tcW w:w="16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right="17"/>
              <w:jc w:val="right"/>
              <w:rPr>
                <w:rFonts w:ascii="Arial" w:hAnsi="Arial" w:cs="Arial" w:eastAsia="Arial" w:hint="default"/>
                <w:sz w:val="21"/>
                <w:szCs w:val="21"/>
              </w:rPr>
            </w:pPr>
            <w:r>
              <w:rPr>
                <w:rFonts w:ascii="Arial"/>
                <w:spacing w:val="-1"/>
                <w:sz w:val="21"/>
              </w:rPr>
              <w:t>34.75%</w:t>
            </w:r>
          </w:p>
        </w:tc>
        <w:tc>
          <w:tcPr>
            <w:tcW w:w="17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7"/>
              <w:ind w:right="7"/>
              <w:jc w:val="right"/>
              <w:rPr>
                <w:rFonts w:ascii="Arial" w:hAnsi="Arial" w:cs="Arial" w:eastAsia="Arial" w:hint="default"/>
                <w:sz w:val="21"/>
                <w:szCs w:val="21"/>
              </w:rPr>
            </w:pPr>
            <w:r>
              <w:rPr>
                <w:rFonts w:ascii="Arial"/>
                <w:spacing w:val="-1"/>
                <w:sz w:val="21"/>
              </w:rPr>
              <w:t>545,762,136.89</w:t>
            </w:r>
          </w:p>
        </w:tc>
      </w:tr>
      <w:tr>
        <w:trPr>
          <w:trHeight w:val="406"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营业成本（元）</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493,984,245.17</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364,360,058.06</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35.58%</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7"/>
              <w:jc w:val="right"/>
              <w:rPr>
                <w:rFonts w:ascii="Arial" w:hAnsi="Arial" w:cs="Arial" w:eastAsia="Arial" w:hint="default"/>
                <w:sz w:val="21"/>
                <w:szCs w:val="21"/>
              </w:rPr>
            </w:pPr>
            <w:r>
              <w:rPr>
                <w:rFonts w:ascii="Arial"/>
                <w:spacing w:val="-1"/>
                <w:sz w:val="21"/>
              </w:rPr>
              <w:t>285,727,573.30</w:t>
            </w:r>
          </w:p>
        </w:tc>
      </w:tr>
      <w:tr>
        <w:trPr>
          <w:trHeight w:val="408"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126,974,427.37</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spacing w:val="-1"/>
                <w:sz w:val="21"/>
              </w:rPr>
              <w:t>83,488,799.90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52.09%</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7"/>
              <w:jc w:val="right"/>
              <w:rPr>
                <w:rFonts w:ascii="Arial" w:hAnsi="Arial" w:cs="Arial" w:eastAsia="Arial" w:hint="default"/>
                <w:sz w:val="21"/>
                <w:szCs w:val="21"/>
              </w:rPr>
            </w:pPr>
            <w:r>
              <w:rPr>
                <w:rFonts w:ascii="Arial"/>
                <w:spacing w:val="-1"/>
                <w:sz w:val="21"/>
              </w:rPr>
              <w:t>104,802,435.35</w:t>
            </w:r>
          </w:p>
        </w:tc>
      </w:tr>
      <w:tr>
        <w:trPr>
          <w:trHeight w:val="408"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169,312,678.51</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115,444,689.72</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46.66%</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7"/>
              <w:jc w:val="right"/>
              <w:rPr>
                <w:rFonts w:ascii="Arial" w:hAnsi="Arial" w:cs="Arial" w:eastAsia="Arial" w:hint="default"/>
                <w:sz w:val="21"/>
                <w:szCs w:val="21"/>
              </w:rPr>
            </w:pPr>
            <w:r>
              <w:rPr>
                <w:rFonts w:ascii="Arial"/>
                <w:spacing w:val="-1"/>
                <w:sz w:val="21"/>
              </w:rPr>
              <w:t>116,582,075.93</w:t>
            </w:r>
          </w:p>
        </w:tc>
      </w:tr>
      <w:tr>
        <w:trPr>
          <w:trHeight w:val="758"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307" w:lineRule="auto" w:before="28"/>
              <w:ind w:left="370" w:right="266" w:hanging="106"/>
              <w:jc w:val="left"/>
              <w:rPr>
                <w:rFonts w:ascii="宋体" w:hAnsi="宋体" w:cs="宋体" w:eastAsia="宋体" w:hint="default"/>
                <w:sz w:val="21"/>
                <w:szCs w:val="21"/>
              </w:rPr>
            </w:pPr>
            <w:r>
              <w:rPr>
                <w:rFonts w:ascii="宋体" w:hAnsi="宋体" w:cs="宋体" w:eastAsia="宋体" w:hint="default"/>
                <w:sz w:val="21"/>
                <w:szCs w:val="21"/>
              </w:rPr>
              <w:t>归属于上市公司普通股</w:t>
            </w:r>
            <w:r>
              <w:rPr>
                <w:rFonts w:ascii="宋体" w:hAnsi="宋体" w:cs="宋体" w:eastAsia="宋体" w:hint="default"/>
                <w:w w:val="100"/>
                <w:sz w:val="21"/>
                <w:szCs w:val="21"/>
              </w:rPr>
              <w:t> </w:t>
            </w:r>
            <w:r>
              <w:rPr>
                <w:rFonts w:ascii="宋体" w:hAnsi="宋体" w:cs="宋体" w:eastAsia="宋体" w:hint="default"/>
                <w:sz w:val="21"/>
                <w:szCs w:val="21"/>
              </w:rPr>
              <w:t>股东的净利润（元）</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147,380,514.39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Arial" w:hAnsi="Arial" w:cs="Arial" w:eastAsia="Arial" w:hint="default"/>
                <w:sz w:val="21"/>
                <w:szCs w:val="21"/>
              </w:rPr>
            </w:pPr>
            <w:r>
              <w:rPr>
                <w:rFonts w:ascii="Arial"/>
                <w:spacing w:val="-1"/>
                <w:sz w:val="21"/>
              </w:rPr>
              <w:t>120,210,161.30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22.60%</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Arial" w:hAnsi="Arial" w:cs="Arial" w:eastAsia="Arial" w:hint="default"/>
                <w:sz w:val="21"/>
                <w:szCs w:val="21"/>
              </w:rPr>
            </w:pPr>
            <w:r>
              <w:rPr>
                <w:rFonts w:ascii="Arial"/>
                <w:spacing w:val="-1"/>
                <w:sz w:val="21"/>
              </w:rPr>
              <w:t>99,299,477.26</w:t>
            </w:r>
          </w:p>
        </w:tc>
      </w:tr>
      <w:tr>
        <w:trPr>
          <w:trHeight w:val="1071"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290" w:lineRule="auto" w:before="28"/>
              <w:ind w:left="52" w:right="58"/>
              <w:jc w:val="center"/>
              <w:rPr>
                <w:rFonts w:ascii="宋体" w:hAnsi="宋体" w:cs="宋体" w:eastAsia="宋体" w:hint="default"/>
                <w:sz w:val="21"/>
                <w:szCs w:val="21"/>
              </w:rPr>
            </w:pPr>
            <w:r>
              <w:rPr>
                <w:rFonts w:ascii="宋体" w:hAnsi="宋体" w:cs="宋体" w:eastAsia="宋体" w:hint="default"/>
                <w:spacing w:val="-2"/>
                <w:sz w:val="21"/>
                <w:szCs w:val="21"/>
              </w:rPr>
              <w:t>归属于上市公司普通股股东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的扣除非经常性损益后</w:t>
            </w:r>
            <w:r>
              <w:rPr>
                <w:rFonts w:ascii="宋体" w:hAnsi="宋体" w:cs="宋体" w:eastAsia="宋体" w:hint="default"/>
                <w:w w:val="100"/>
                <w:sz w:val="21"/>
                <w:szCs w:val="21"/>
              </w:rPr>
              <w:t> </w:t>
            </w:r>
            <w:r>
              <w:rPr>
                <w:rFonts w:ascii="宋体" w:hAnsi="宋体" w:cs="宋体" w:eastAsia="宋体" w:hint="default"/>
                <w:sz w:val="21"/>
                <w:szCs w:val="21"/>
              </w:rPr>
              <w:t>的净利润（元）</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7"/>
              <w:jc w:val="right"/>
              <w:rPr>
                <w:rFonts w:ascii="Arial" w:hAnsi="Arial" w:cs="Arial" w:eastAsia="Arial" w:hint="default"/>
                <w:sz w:val="21"/>
                <w:szCs w:val="21"/>
              </w:rPr>
            </w:pPr>
            <w:r>
              <w:rPr>
                <w:rFonts w:ascii="Arial"/>
                <w:spacing w:val="-1"/>
                <w:sz w:val="21"/>
              </w:rPr>
              <w:t>144,472,239.15</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5"/>
              <w:jc w:val="right"/>
              <w:rPr>
                <w:rFonts w:ascii="Arial" w:hAnsi="Arial" w:cs="Arial" w:eastAsia="Arial" w:hint="default"/>
                <w:sz w:val="21"/>
                <w:szCs w:val="21"/>
              </w:rPr>
            </w:pPr>
            <w:r>
              <w:rPr>
                <w:rFonts w:ascii="Arial"/>
                <w:spacing w:val="-1"/>
                <w:sz w:val="21"/>
              </w:rPr>
              <w:t>117,545,065.78</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7"/>
              <w:jc w:val="right"/>
              <w:rPr>
                <w:rFonts w:ascii="Arial" w:hAnsi="Arial" w:cs="Arial" w:eastAsia="Arial" w:hint="default"/>
                <w:sz w:val="21"/>
                <w:szCs w:val="21"/>
              </w:rPr>
            </w:pPr>
            <w:r>
              <w:rPr>
                <w:rFonts w:ascii="Arial"/>
                <w:spacing w:val="-1"/>
                <w:sz w:val="21"/>
              </w:rPr>
              <w:t>22.91%</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8"/>
              <w:jc w:val="right"/>
              <w:rPr>
                <w:rFonts w:ascii="Arial" w:hAnsi="Arial" w:cs="Arial" w:eastAsia="Arial" w:hint="default"/>
                <w:sz w:val="21"/>
                <w:szCs w:val="21"/>
              </w:rPr>
            </w:pPr>
            <w:r>
              <w:rPr>
                <w:rFonts w:ascii="Arial"/>
                <w:spacing w:val="-1"/>
                <w:sz w:val="21"/>
              </w:rPr>
              <w:t>97,931,767.30</w:t>
            </w:r>
          </w:p>
        </w:tc>
      </w:tr>
      <w:tr>
        <w:trPr>
          <w:trHeight w:val="758"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307" w:lineRule="auto" w:before="28"/>
              <w:ind w:left="370" w:right="369" w:firstLine="208"/>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w w:val="100"/>
                <w:sz w:val="21"/>
                <w:szCs w:val="21"/>
              </w:rPr>
              <w:t> </w:t>
            </w:r>
            <w:r>
              <w:rPr>
                <w:rFonts w:ascii="宋体" w:hAnsi="宋体" w:cs="宋体" w:eastAsia="宋体" w:hint="default"/>
                <w:sz w:val="21"/>
                <w:szCs w:val="21"/>
              </w:rPr>
              <w:t>现金流量净额（元）</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288,761,055.33</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Arial" w:hAnsi="Arial" w:cs="Arial" w:eastAsia="Arial" w:hint="default"/>
                <w:sz w:val="21"/>
                <w:szCs w:val="21"/>
              </w:rPr>
            </w:pPr>
            <w:r>
              <w:rPr>
                <w:rFonts w:ascii="Arial"/>
                <w:spacing w:val="-1"/>
                <w:sz w:val="21"/>
              </w:rPr>
              <w:t>-11,861,128.95</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2534.52%</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Arial" w:hAnsi="Arial" w:cs="Arial" w:eastAsia="Arial" w:hint="default"/>
                <w:sz w:val="21"/>
                <w:szCs w:val="21"/>
              </w:rPr>
            </w:pPr>
            <w:r>
              <w:rPr>
                <w:rFonts w:ascii="Arial"/>
                <w:spacing w:val="-1"/>
                <w:sz w:val="21"/>
              </w:rPr>
              <w:t>90,852,994.64</w:t>
            </w:r>
          </w:p>
        </w:tc>
      </w:tr>
      <w:tr>
        <w:trPr>
          <w:trHeight w:val="761"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307" w:lineRule="auto" w:before="30"/>
              <w:ind w:left="235" w:right="240" w:firstLine="134"/>
              <w:jc w:val="left"/>
              <w:rPr>
                <w:rFonts w:ascii="宋体" w:hAnsi="宋体" w:cs="宋体" w:eastAsia="宋体" w:hint="default"/>
                <w:sz w:val="21"/>
                <w:szCs w:val="21"/>
              </w:rPr>
            </w:pPr>
            <w:r>
              <w:rPr>
                <w:rFonts w:ascii="宋体" w:hAnsi="宋体" w:cs="宋体" w:eastAsia="宋体" w:hint="default"/>
                <w:sz w:val="21"/>
                <w:szCs w:val="21"/>
              </w:rPr>
              <w:t>每股经营活动产生的</w:t>
            </w:r>
            <w:r>
              <w:rPr>
                <w:rFonts w:ascii="宋体" w:hAnsi="宋体" w:cs="宋体" w:eastAsia="宋体" w:hint="default"/>
                <w:w w:val="100"/>
                <w:sz w:val="21"/>
                <w:szCs w:val="21"/>
              </w:rPr>
              <w:t> </w:t>
            </w:r>
            <w:r>
              <w:rPr>
                <w:rFonts w:ascii="宋体" w:hAnsi="宋体" w:cs="宋体" w:eastAsia="宋体" w:hint="default"/>
                <w:sz w:val="21"/>
                <w:szCs w:val="21"/>
              </w:rPr>
              <w:t>现金流量净额（元</w:t>
            </w:r>
            <w:r>
              <w:rPr>
                <w:rFonts w:ascii="Arial" w:hAnsi="Arial" w:cs="Arial" w:eastAsia="Arial" w:hint="default"/>
                <w:sz w:val="21"/>
                <w:szCs w:val="21"/>
              </w:rPr>
              <w:t>/</w:t>
            </w:r>
            <w:r>
              <w:rPr>
                <w:rFonts w:ascii="宋体" w:hAnsi="宋体" w:cs="宋体" w:eastAsia="宋体" w:hint="default"/>
                <w:sz w:val="21"/>
                <w:szCs w:val="21"/>
              </w:rPr>
              <w:t>股）</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1.93</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Arial" w:hAnsi="Arial" w:cs="Arial" w:eastAsia="Arial" w:hint="default"/>
                <w:sz w:val="21"/>
                <w:szCs w:val="21"/>
              </w:rPr>
            </w:pPr>
            <w:r>
              <w:rPr>
                <w:rFonts w:ascii="Arial"/>
                <w:spacing w:val="-1"/>
                <w:sz w:val="21"/>
              </w:rPr>
              <w:t>-0.08</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2512.50%</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right"/>
              <w:rPr>
                <w:rFonts w:ascii="Arial" w:hAnsi="Arial" w:cs="Arial" w:eastAsia="Arial" w:hint="default"/>
                <w:sz w:val="21"/>
                <w:szCs w:val="21"/>
              </w:rPr>
            </w:pPr>
            <w:r>
              <w:rPr>
                <w:rFonts w:ascii="Arial"/>
                <w:spacing w:val="-1"/>
                <w:sz w:val="21"/>
              </w:rPr>
              <w:t>0.61</w:t>
            </w:r>
          </w:p>
        </w:tc>
      </w:tr>
      <w:tr>
        <w:trPr>
          <w:trHeight w:val="406"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0.99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0.81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22.22%</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7"/>
              <w:jc w:val="right"/>
              <w:rPr>
                <w:rFonts w:ascii="Arial" w:hAnsi="Arial" w:cs="Arial" w:eastAsia="Arial" w:hint="default"/>
                <w:sz w:val="21"/>
                <w:szCs w:val="21"/>
              </w:rPr>
            </w:pPr>
            <w:r>
              <w:rPr>
                <w:rFonts w:ascii="Arial"/>
                <w:spacing w:val="-1"/>
                <w:sz w:val="21"/>
              </w:rPr>
              <w:t>0.67</w:t>
            </w:r>
          </w:p>
        </w:tc>
      </w:tr>
      <w:tr>
        <w:trPr>
          <w:trHeight w:val="408"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稀释每股收益（元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0.97</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0.81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19.75%</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7"/>
              <w:jc w:val="right"/>
              <w:rPr>
                <w:rFonts w:ascii="Arial" w:hAnsi="Arial" w:cs="Arial" w:eastAsia="Arial" w:hint="default"/>
                <w:sz w:val="21"/>
                <w:szCs w:val="21"/>
              </w:rPr>
            </w:pPr>
            <w:r>
              <w:rPr>
                <w:rFonts w:ascii="Arial"/>
                <w:spacing w:val="-1"/>
                <w:sz w:val="21"/>
              </w:rPr>
              <w:t>0.67</w:t>
            </w:r>
          </w:p>
        </w:tc>
      </w:tr>
      <w:tr>
        <w:trPr>
          <w:trHeight w:val="406"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14.26%</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13.31%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0.95%</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7"/>
              <w:jc w:val="right"/>
              <w:rPr>
                <w:rFonts w:ascii="Arial" w:hAnsi="Arial" w:cs="Arial" w:eastAsia="Arial" w:hint="default"/>
                <w:sz w:val="21"/>
                <w:szCs w:val="21"/>
              </w:rPr>
            </w:pPr>
            <w:r>
              <w:rPr>
                <w:rFonts w:ascii="Arial"/>
                <w:spacing w:val="-1"/>
                <w:sz w:val="21"/>
              </w:rPr>
              <w:t>11.91%</w:t>
            </w:r>
          </w:p>
        </w:tc>
      </w:tr>
      <w:tr>
        <w:trPr>
          <w:trHeight w:val="769" w:hRule="exact"/>
        </w:trPr>
        <w:tc>
          <w:tcPr>
            <w:tcW w:w="2657" w:type="dxa"/>
            <w:tcBorders>
              <w:top w:val="single" w:sz="6" w:space="0" w:color="000000"/>
              <w:left w:val="single" w:sz="12" w:space="0" w:color="000000"/>
              <w:bottom w:val="single" w:sz="12" w:space="0" w:color="000000"/>
              <w:right w:val="single" w:sz="6" w:space="0" w:color="000000"/>
            </w:tcBorders>
          </w:tcPr>
          <w:p>
            <w:pPr>
              <w:pStyle w:val="TableParagraph"/>
              <w:spacing w:line="307" w:lineRule="auto" w:before="30"/>
              <w:ind w:left="264" w:right="266"/>
              <w:jc w:val="left"/>
              <w:rPr>
                <w:rFonts w:ascii="宋体" w:hAnsi="宋体" w:cs="宋体" w:eastAsia="宋体" w:hint="default"/>
                <w:sz w:val="21"/>
                <w:szCs w:val="21"/>
              </w:rPr>
            </w:pPr>
            <w:r>
              <w:rPr>
                <w:rFonts w:ascii="宋体" w:hAnsi="宋体" w:cs="宋体" w:eastAsia="宋体" w:hint="default"/>
                <w:sz w:val="21"/>
                <w:szCs w:val="21"/>
              </w:rPr>
              <w:t>扣除非经常性损益后的</w:t>
            </w:r>
            <w:r>
              <w:rPr>
                <w:rFonts w:ascii="宋体" w:hAnsi="宋体" w:cs="宋体" w:eastAsia="宋体" w:hint="default"/>
                <w:w w:val="100"/>
                <w:sz w:val="21"/>
                <w:szCs w:val="21"/>
              </w:rPr>
              <w:t> </w:t>
            </w:r>
            <w:r>
              <w:rPr>
                <w:rFonts w:ascii="宋体" w:hAnsi="宋体" w:cs="宋体" w:eastAsia="宋体" w:hint="default"/>
                <w:sz w:val="21"/>
                <w:szCs w:val="21"/>
              </w:rPr>
              <w:t>加权平均净资产收益率</w:t>
            </w:r>
          </w:p>
        </w:tc>
        <w:tc>
          <w:tcPr>
            <w:tcW w:w="17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13.98%</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Arial" w:hAnsi="Arial" w:cs="Arial" w:eastAsia="Arial" w:hint="default"/>
                <w:sz w:val="21"/>
                <w:szCs w:val="21"/>
              </w:rPr>
            </w:pPr>
            <w:r>
              <w:rPr>
                <w:rFonts w:ascii="Arial"/>
                <w:spacing w:val="-1"/>
                <w:sz w:val="21"/>
              </w:rPr>
              <w:t>13.02%</w:t>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0.96%</w:t>
            </w:r>
          </w:p>
        </w:tc>
        <w:tc>
          <w:tcPr>
            <w:tcW w:w="17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right"/>
              <w:rPr>
                <w:rFonts w:ascii="Arial" w:hAnsi="Arial" w:cs="Arial" w:eastAsia="Arial" w:hint="default"/>
                <w:sz w:val="21"/>
                <w:szCs w:val="21"/>
              </w:rPr>
            </w:pPr>
            <w:r>
              <w:rPr>
                <w:rFonts w:ascii="Arial"/>
                <w:spacing w:val="-1"/>
                <w:sz w:val="21"/>
              </w:rPr>
              <w:t>11.75%</w:t>
            </w:r>
          </w:p>
        </w:tc>
      </w:tr>
      <w:tr>
        <w:trPr>
          <w:trHeight w:val="773" w:hRule="exact"/>
        </w:trPr>
        <w:tc>
          <w:tcPr>
            <w:tcW w:w="2657" w:type="dxa"/>
            <w:tcBorders>
              <w:top w:val="single" w:sz="12" w:space="0" w:color="000000"/>
              <w:left w:val="single" w:sz="12" w:space="0" w:color="000000"/>
              <w:bottom w:val="single" w:sz="12" w:space="0" w:color="000000"/>
              <w:right w:val="single" w:sz="6" w:space="0" w:color="000000"/>
            </w:tcBorders>
          </w:tcPr>
          <w:p>
            <w:pP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28"/>
              <w:ind w:left="273" w:right="269" w:firstLine="105"/>
              <w:jc w:val="left"/>
              <w:rPr>
                <w:rFonts w:ascii="宋体" w:hAnsi="宋体" w:cs="宋体" w:eastAsia="宋体" w:hint="default"/>
                <w:sz w:val="21"/>
                <w:szCs w:val="21"/>
              </w:rPr>
            </w:pPr>
            <w:r>
              <w:rPr>
                <w:rFonts w:ascii="宋体" w:hAnsi="宋体" w:cs="宋体" w:eastAsia="宋体" w:hint="default"/>
                <w:b/>
                <w:bCs/>
                <w:sz w:val="21"/>
                <w:szCs w:val="21"/>
              </w:rPr>
              <w:t>本年末比</w:t>
            </w:r>
            <w:r>
              <w:rPr>
                <w:rFonts w:ascii="宋体" w:hAnsi="宋体" w:cs="宋体" w:eastAsia="宋体" w:hint="default"/>
                <w:b/>
                <w:bCs/>
                <w:w w:val="100"/>
                <w:sz w:val="21"/>
                <w:szCs w:val="21"/>
              </w:rPr>
              <w:t> </w:t>
            </w:r>
            <w:r>
              <w:rPr>
                <w:rFonts w:ascii="宋体" w:hAnsi="宋体" w:cs="宋体" w:eastAsia="宋体" w:hint="default"/>
                <w:b/>
                <w:bCs/>
                <w:sz w:val="21"/>
                <w:szCs w:val="21"/>
              </w:rPr>
              <w:t>上年末增减</w:t>
            </w:r>
            <w:r>
              <w:rPr>
                <w:rFonts w:ascii="宋体" w:hAnsi="宋体" w:cs="宋体" w:eastAsia="宋体" w:hint="default"/>
                <w:sz w:val="21"/>
                <w:szCs w:val="21"/>
              </w:rPr>
            </w:r>
          </w:p>
        </w:tc>
        <w:tc>
          <w:tcPr>
            <w:tcW w:w="177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21"/>
                <w:szCs w:val="21"/>
              </w:rPr>
            </w:pPr>
            <w:r>
              <w:rPr>
                <w:rFonts w:ascii="Arial" w:hAnsi="Arial" w:cs="Arial" w:eastAsia="Arial" w:hint="default"/>
                <w:b/>
                <w:bCs/>
                <w:sz w:val="21"/>
                <w:szCs w:val="21"/>
              </w:rPr>
              <w:t>2012</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415" w:hRule="exact"/>
        </w:trPr>
        <w:tc>
          <w:tcPr>
            <w:tcW w:w="265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期末总股本（股）</w:t>
            </w:r>
          </w:p>
        </w:tc>
        <w:tc>
          <w:tcPr>
            <w:tcW w:w="17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149,954,550.00</w:t>
            </w:r>
          </w:p>
        </w:tc>
        <w:tc>
          <w:tcPr>
            <w:tcW w:w="17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spacing w:val="-1"/>
                <w:sz w:val="21"/>
              </w:rPr>
              <w:t>148,708,500.00</w:t>
            </w:r>
          </w:p>
        </w:tc>
        <w:tc>
          <w:tcPr>
            <w:tcW w:w="16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0.84%</w:t>
            </w:r>
          </w:p>
        </w:tc>
        <w:tc>
          <w:tcPr>
            <w:tcW w:w="17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6"/>
              <w:ind w:right="7"/>
              <w:jc w:val="right"/>
              <w:rPr>
                <w:rFonts w:ascii="Arial" w:hAnsi="Arial" w:cs="Arial" w:eastAsia="Arial" w:hint="default"/>
                <w:sz w:val="21"/>
                <w:szCs w:val="21"/>
              </w:rPr>
            </w:pPr>
            <w:r>
              <w:rPr>
                <w:rFonts w:ascii="Arial"/>
                <w:spacing w:val="-1"/>
                <w:sz w:val="21"/>
              </w:rPr>
              <w:t>148,000,000.00</w:t>
            </w:r>
          </w:p>
        </w:tc>
      </w:tr>
      <w:tr>
        <w:trPr>
          <w:trHeight w:val="408"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1,788,814,449.45</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1,277,845,983.37</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39.99%</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7"/>
              <w:jc w:val="right"/>
              <w:rPr>
                <w:rFonts w:ascii="Arial" w:hAnsi="Arial" w:cs="Arial" w:eastAsia="Arial" w:hint="default"/>
                <w:sz w:val="21"/>
                <w:szCs w:val="21"/>
              </w:rPr>
            </w:pPr>
            <w:r>
              <w:rPr>
                <w:rFonts w:ascii="Arial"/>
                <w:spacing w:val="-1"/>
                <w:sz w:val="21"/>
              </w:rPr>
              <w:t>1,103,044,590.49</w:t>
            </w:r>
          </w:p>
        </w:tc>
      </w:tr>
      <w:tr>
        <w:trPr>
          <w:trHeight w:val="406"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635,450,257.62</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289,815,039.58</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119.26%</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7"/>
              <w:jc w:val="right"/>
              <w:rPr>
                <w:rFonts w:ascii="Arial" w:hAnsi="Arial" w:cs="Arial" w:eastAsia="Arial" w:hint="default"/>
                <w:sz w:val="21"/>
                <w:szCs w:val="21"/>
              </w:rPr>
            </w:pPr>
            <w:r>
              <w:rPr>
                <w:rFonts w:ascii="Arial"/>
                <w:spacing w:val="-1"/>
                <w:sz w:val="21"/>
              </w:rPr>
              <w:t>230,697,996.81</w:t>
            </w:r>
          </w:p>
        </w:tc>
      </w:tr>
      <w:tr>
        <w:trPr>
          <w:trHeight w:val="720" w:hRule="exact"/>
        </w:trPr>
        <w:tc>
          <w:tcPr>
            <w:tcW w:w="2657"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8"/>
              <w:ind w:left="370" w:right="58" w:hanging="318"/>
              <w:jc w:val="left"/>
              <w:rPr>
                <w:rFonts w:ascii="宋体" w:hAnsi="宋体" w:cs="宋体" w:eastAsia="宋体" w:hint="default"/>
                <w:sz w:val="21"/>
                <w:szCs w:val="21"/>
              </w:rPr>
            </w:pPr>
            <w:r>
              <w:rPr>
                <w:rFonts w:ascii="宋体" w:hAnsi="宋体" w:cs="宋体" w:eastAsia="宋体" w:hint="default"/>
                <w:sz w:val="21"/>
                <w:szCs w:val="21"/>
              </w:rPr>
              <w:t>归属于上市公司普通股股东</w:t>
            </w:r>
            <w:r>
              <w:rPr>
                <w:rFonts w:ascii="宋体" w:hAnsi="宋体" w:cs="宋体" w:eastAsia="宋体" w:hint="default"/>
                <w:w w:val="100"/>
                <w:sz w:val="21"/>
                <w:szCs w:val="21"/>
              </w:rPr>
              <w:t> </w:t>
            </w:r>
            <w:r>
              <w:rPr>
                <w:rFonts w:ascii="宋体" w:hAnsi="宋体" w:cs="宋体" w:eastAsia="宋体" w:hint="default"/>
                <w:sz w:val="21"/>
                <w:szCs w:val="21"/>
              </w:rPr>
              <w:t>的所有者权益（元）</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1,119,207,976.33</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961,984,897.95</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16.34%</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
              <w:jc w:val="right"/>
              <w:rPr>
                <w:rFonts w:ascii="Arial" w:hAnsi="Arial" w:cs="Arial" w:eastAsia="Arial" w:hint="default"/>
                <w:sz w:val="21"/>
                <w:szCs w:val="21"/>
              </w:rPr>
            </w:pPr>
            <w:r>
              <w:rPr>
                <w:rFonts w:ascii="Arial"/>
                <w:spacing w:val="-1"/>
                <w:sz w:val="21"/>
              </w:rPr>
              <w:t>855,957,304.70</w:t>
            </w:r>
          </w:p>
        </w:tc>
      </w:tr>
      <w:tr>
        <w:trPr>
          <w:trHeight w:val="725" w:hRule="exact"/>
        </w:trPr>
        <w:tc>
          <w:tcPr>
            <w:tcW w:w="2657"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before="28"/>
              <w:ind w:left="235" w:right="58" w:hanging="183"/>
              <w:jc w:val="left"/>
              <w:rPr>
                <w:rFonts w:ascii="宋体" w:hAnsi="宋体" w:cs="宋体" w:eastAsia="宋体" w:hint="default"/>
                <w:sz w:val="21"/>
                <w:szCs w:val="21"/>
              </w:rPr>
            </w:pPr>
            <w:r>
              <w:rPr>
                <w:rFonts w:ascii="宋体" w:hAnsi="宋体" w:cs="宋体" w:eastAsia="宋体" w:hint="default"/>
                <w:sz w:val="21"/>
                <w:szCs w:val="21"/>
              </w:rPr>
              <w:t>归属于上市公司普通股股东</w:t>
            </w:r>
            <w:r>
              <w:rPr>
                <w:rFonts w:ascii="宋体" w:hAnsi="宋体" w:cs="宋体" w:eastAsia="宋体" w:hint="default"/>
                <w:w w:val="100"/>
                <w:sz w:val="21"/>
                <w:szCs w:val="21"/>
              </w:rPr>
              <w:t> </w:t>
            </w:r>
            <w:r>
              <w:rPr>
                <w:rFonts w:ascii="宋体" w:hAnsi="宋体" w:cs="宋体" w:eastAsia="宋体" w:hint="default"/>
                <w:sz w:val="21"/>
                <w:szCs w:val="21"/>
              </w:rPr>
              <w:t>的每股净资产（元</w:t>
            </w:r>
            <w:r>
              <w:rPr>
                <w:rFonts w:ascii="Arial" w:hAnsi="Arial" w:cs="Arial" w:eastAsia="Arial" w:hint="default"/>
                <w:sz w:val="21"/>
                <w:szCs w:val="21"/>
              </w:rPr>
              <w:t>/</w:t>
            </w:r>
            <w:r>
              <w:rPr>
                <w:rFonts w:ascii="宋体" w:hAnsi="宋体" w:cs="宋体" w:eastAsia="宋体" w:hint="default"/>
                <w:sz w:val="21"/>
                <w:szCs w:val="21"/>
              </w:rPr>
              <w:t>股）</w:t>
            </w:r>
          </w:p>
        </w:tc>
        <w:tc>
          <w:tcPr>
            <w:tcW w:w="17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7.46</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6.47</w:t>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15.38%</w:t>
            </w:r>
          </w:p>
        </w:tc>
        <w:tc>
          <w:tcPr>
            <w:tcW w:w="17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
              <w:jc w:val="right"/>
              <w:rPr>
                <w:rFonts w:ascii="Arial" w:hAnsi="Arial" w:cs="Arial" w:eastAsia="Arial" w:hint="default"/>
                <w:sz w:val="21"/>
                <w:szCs w:val="21"/>
              </w:rPr>
            </w:pPr>
            <w:r>
              <w:rPr>
                <w:rFonts w:ascii="Arial"/>
                <w:spacing w:val="-1"/>
                <w:sz w:val="21"/>
              </w:rPr>
              <w:t>5.78</w:t>
            </w:r>
          </w:p>
        </w:tc>
      </w:tr>
    </w:tbl>
    <w:p>
      <w:pPr>
        <w:spacing w:after="0" w:line="240" w:lineRule="auto"/>
        <w:jc w:val="right"/>
        <w:rPr>
          <w:rFonts w:ascii="Arial" w:hAnsi="Arial" w:cs="Arial" w:eastAsia="Arial" w:hint="default"/>
          <w:sz w:val="21"/>
          <w:szCs w:val="21"/>
        </w:rPr>
        <w:sectPr>
          <w:pgSz w:w="11910" w:h="16840"/>
          <w:pgMar w:header="752" w:footer="1010" w:top="1100" w:bottom="1200" w:left="980" w:right="980"/>
        </w:sectPr>
      </w:pPr>
    </w:p>
    <w:p>
      <w:pPr>
        <w:spacing w:line="240" w:lineRule="auto" w:before="7"/>
        <w:rPr>
          <w:rFonts w:ascii="宋体" w:hAnsi="宋体" w:cs="宋体" w:eastAsia="宋体" w:hint="default"/>
          <w:sz w:val="25"/>
          <w:szCs w:val="25"/>
        </w:rPr>
      </w:pPr>
    </w:p>
    <w:tbl>
      <w:tblPr>
        <w:tblW w:w="0" w:type="auto"/>
        <w:jc w:val="left"/>
        <w:tblInd w:w="138" w:type="dxa"/>
        <w:tblLayout w:type="fixed"/>
        <w:tblCellMar>
          <w:top w:w="0" w:type="dxa"/>
          <w:left w:w="0" w:type="dxa"/>
          <w:bottom w:w="0" w:type="dxa"/>
          <w:right w:w="0" w:type="dxa"/>
        </w:tblCellMar>
        <w:tblLook w:val="01E0"/>
      </w:tblPr>
      <w:tblGrid>
        <w:gridCol w:w="2657"/>
        <w:gridCol w:w="1765"/>
        <w:gridCol w:w="1762"/>
        <w:gridCol w:w="1616"/>
        <w:gridCol w:w="1771"/>
      </w:tblGrid>
      <w:tr>
        <w:trPr>
          <w:trHeight w:val="420" w:hRule="exact"/>
        </w:trPr>
        <w:tc>
          <w:tcPr>
            <w:tcW w:w="2657"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31"/>
              <w:ind w:left="790"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7"/>
              <w:ind w:left="1015" w:right="0"/>
              <w:jc w:val="left"/>
              <w:rPr>
                <w:rFonts w:ascii="Arial" w:hAnsi="Arial" w:cs="Arial" w:eastAsia="Arial" w:hint="default"/>
                <w:sz w:val="21"/>
                <w:szCs w:val="21"/>
              </w:rPr>
            </w:pPr>
            <w:r>
              <w:rPr>
                <w:rFonts w:ascii="Arial"/>
                <w:sz w:val="21"/>
              </w:rPr>
              <w:t>35.52%</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7"/>
              <w:ind w:left="1015" w:right="0"/>
              <w:jc w:val="left"/>
              <w:rPr>
                <w:rFonts w:ascii="Arial" w:hAnsi="Arial" w:cs="Arial" w:eastAsia="Arial" w:hint="default"/>
                <w:sz w:val="21"/>
                <w:szCs w:val="21"/>
              </w:rPr>
            </w:pPr>
            <w:r>
              <w:rPr>
                <w:rFonts w:ascii="Arial"/>
                <w:sz w:val="21"/>
              </w:rPr>
              <w:t>22.68%</w:t>
            </w:r>
          </w:p>
        </w:tc>
        <w:tc>
          <w:tcPr>
            <w:tcW w:w="16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7"/>
              <w:ind w:left="866" w:right="0"/>
              <w:jc w:val="left"/>
              <w:rPr>
                <w:rFonts w:ascii="Arial" w:hAnsi="Arial" w:cs="Arial" w:eastAsia="Arial" w:hint="default"/>
                <w:sz w:val="21"/>
                <w:szCs w:val="21"/>
              </w:rPr>
            </w:pPr>
            <w:r>
              <w:rPr>
                <w:rFonts w:ascii="Arial"/>
                <w:sz w:val="21"/>
              </w:rPr>
              <w:t>12.84%</w:t>
            </w:r>
          </w:p>
        </w:tc>
        <w:tc>
          <w:tcPr>
            <w:tcW w:w="177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77"/>
              <w:ind w:left="1024" w:right="0"/>
              <w:jc w:val="left"/>
              <w:rPr>
                <w:rFonts w:ascii="Arial" w:hAnsi="Arial" w:cs="Arial" w:eastAsia="Arial" w:hint="default"/>
                <w:sz w:val="21"/>
                <w:szCs w:val="21"/>
              </w:rPr>
            </w:pPr>
            <w:r>
              <w:rPr>
                <w:rFonts w:ascii="Arial"/>
                <w:sz w:val="21"/>
              </w:rPr>
              <w:t>20.91%</w:t>
            </w:r>
          </w:p>
        </w:tc>
      </w:tr>
    </w:tbl>
    <w:p>
      <w:pPr>
        <w:spacing w:line="240" w:lineRule="auto" w:before="3"/>
        <w:rPr>
          <w:rFonts w:ascii="宋体" w:hAnsi="宋体" w:cs="宋体" w:eastAsia="宋体" w:hint="default"/>
          <w:sz w:val="25"/>
          <w:szCs w:val="25"/>
        </w:rPr>
      </w:pPr>
    </w:p>
    <w:p>
      <w:pPr>
        <w:pStyle w:val="BodyText"/>
        <w:spacing w:line="240" w:lineRule="auto" w:before="26"/>
        <w:ind w:right="0"/>
        <w:jc w:val="left"/>
      </w:pPr>
      <w:r>
        <w:rPr/>
        <w:t>截止披露前一交易日的公司总股本：</w:t>
      </w:r>
    </w:p>
    <w:p>
      <w:pPr>
        <w:spacing w:line="240" w:lineRule="auto" w:before="10"/>
        <w:rPr>
          <w:rFonts w:ascii="宋体" w:hAnsi="宋体" w:cs="宋体" w:eastAsia="宋体" w:hint="default"/>
          <w:sz w:val="4"/>
          <w:szCs w:val="4"/>
        </w:rPr>
      </w:pPr>
    </w:p>
    <w:p>
      <w:pPr>
        <w:spacing w:line="480" w:lineRule="exact"/>
        <w:ind w:left="138"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80pt;height:24pt;mso-position-horizontal-relative:char;mso-position-vertical-relative:line" coordorigin="0,0" coordsize="9600,480">
            <v:group style="position:absolute;left:29;top:29;width:4636;height:2" coordorigin="29,29" coordsize="4636,2">
              <v:shape style="position:absolute;left:29;top:29;width:4636;height:2" coordorigin="29,29" coordsize="4636,0" path="m29,29l4664,29e" filled="false" stroked="true" strokeweight="1.44pt" strokecolor="#000000">
                <v:path arrowok="t"/>
              </v:shape>
            </v:group>
            <v:group style="position:absolute;left:4664;top:29;width:29;height:2" coordorigin="4664,29" coordsize="29,2">
              <v:shape style="position:absolute;left:4664;top:29;width:29;height:2" coordorigin="4664,29" coordsize="29,0" path="m4664,29l4693,29e" filled="false" stroked="true" strokeweight="1.44pt" strokecolor="#000000">
                <v:path arrowok="t"/>
              </v:shape>
            </v:group>
            <v:group style="position:absolute;left:4693;top:29;width:4878;height:2" coordorigin="4693,29" coordsize="4878,2">
              <v:shape style="position:absolute;left:4693;top:29;width:4878;height:2" coordorigin="4693,29" coordsize="4878,0" path="m4693,29l9571,29e" filled="false" stroked="true" strokeweight="1.44pt" strokecolor="#000000">
                <v:path arrowok="t"/>
              </v:shape>
            </v:group>
            <v:group style="position:absolute;left:14;top:14;width:2;height:452" coordorigin="14,14" coordsize="2,452">
              <v:shape style="position:absolute;left:14;top:14;width:2;height:452" coordorigin="14,14" coordsize="0,452" path="m14,14l14,466e" filled="false" stroked="true" strokeweight="1.44pt" strokecolor="#000000">
                <v:path arrowok="t"/>
              </v:shape>
            </v:group>
            <v:group style="position:absolute;left:29;top:451;width:4636;height:2" coordorigin="29,451" coordsize="4636,2">
              <v:shape style="position:absolute;left:29;top:451;width:4636;height:2" coordorigin="29,451" coordsize="4636,0" path="m29,451l4664,451e" filled="false" stroked="true" strokeweight="1.44pt" strokecolor="#000000">
                <v:path arrowok="t"/>
              </v:shape>
            </v:group>
            <v:group style="position:absolute;left:4671;top:43;width:2;height:394" coordorigin="4671,43" coordsize="2,394">
              <v:shape style="position:absolute;left:4671;top:43;width:2;height:394" coordorigin="4671,43" coordsize="0,394" path="m4671,43l4671,437e" filled="false" stroked="true" strokeweight=".72pt" strokecolor="#000000">
                <v:path arrowok="t"/>
              </v:shape>
            </v:group>
            <v:group style="position:absolute;left:4664;top:451;width:29;height:2" coordorigin="4664,451" coordsize="29,2">
              <v:shape style="position:absolute;left:4664;top:451;width:29;height:2" coordorigin="4664,451" coordsize="29,0" path="m4664,451l4693,451e" filled="false" stroked="true" strokeweight="1.44pt" strokecolor="#000000">
                <v:path arrowok="t"/>
              </v:shape>
            </v:group>
            <v:group style="position:absolute;left:4693;top:451;width:4878;height:2" coordorigin="4693,451" coordsize="4878,2">
              <v:shape style="position:absolute;left:4693;top:451;width:4878;height:2" coordorigin="4693,451" coordsize="4878,0" path="m4693,451l9571,451e" filled="false" stroked="true" strokeweight="1.44pt" strokecolor="#000000">
                <v:path arrowok="t"/>
              </v:shape>
            </v:group>
            <v:group style="position:absolute;left:9585;top:14;width:2;height:452" coordorigin="9585,14" coordsize="2,452">
              <v:shape style="position:absolute;left:9585;top:14;width:2;height:452" coordorigin="9585,14" coordsize="0,452" path="m9585,14l9585,466e" filled="false" stroked="true" strokeweight="1.44pt" strokecolor="#000000">
                <v:path arrowok="t"/>
              </v:shape>
              <v:shape style="position:absolute;left:14;top:29;width:4657;height:423" type="#_x0000_t202" filled="false" stroked="false">
                <v:textbox inset="0,0,0,0">
                  <w:txbxContent>
                    <w:p>
                      <w:pPr>
                        <w:spacing w:before="45"/>
                        <w:ind w:left="28" w:right="0" w:firstLine="0"/>
                        <w:jc w:val="left"/>
                        <w:rPr>
                          <w:rFonts w:ascii="宋体" w:hAnsi="宋体" w:cs="宋体" w:eastAsia="宋体" w:hint="default"/>
                          <w:sz w:val="21"/>
                          <w:szCs w:val="21"/>
                        </w:rPr>
                      </w:pPr>
                      <w:r>
                        <w:rPr>
                          <w:rFonts w:ascii="宋体" w:hAnsi="宋体" w:cs="宋体" w:eastAsia="宋体" w:hint="default"/>
                          <w:sz w:val="21"/>
                          <w:szCs w:val="21"/>
                        </w:rPr>
                        <w:t>截止披露前一交易日的公司总股本（股）</w:t>
                      </w:r>
                    </w:p>
                  </w:txbxContent>
                </v:textbox>
                <w10:wrap type="none"/>
              </v:shape>
              <v:shape style="position:absolute;left:4671;top:29;width:4914;height:423" type="#_x0000_t202" filled="false" stroked="false">
                <v:textbox inset="0,0,0,0">
                  <w:txbxContent>
                    <w:p>
                      <w:pPr>
                        <w:spacing w:before="91"/>
                        <w:ind w:left="0" w:right="24" w:firstLine="0"/>
                        <w:jc w:val="right"/>
                        <w:rPr>
                          <w:rFonts w:ascii="Arial" w:hAnsi="Arial" w:cs="Arial" w:eastAsia="Arial" w:hint="default"/>
                          <w:sz w:val="21"/>
                          <w:szCs w:val="21"/>
                        </w:rPr>
                      </w:pPr>
                      <w:r>
                        <w:rPr>
                          <w:rFonts w:ascii="Arial"/>
                          <w:spacing w:val="-1"/>
                          <w:sz w:val="21"/>
                        </w:rPr>
                        <w:t>151,995,841</w:t>
                      </w:r>
                    </w:p>
                  </w:txbxContent>
                </v:textbox>
                <w10:wrap type="none"/>
              </v:shape>
            </v:group>
          </v:group>
        </w:pict>
      </w:r>
      <w:r>
        <w:rPr>
          <w:rFonts w:ascii="宋体" w:hAnsi="宋体" w:cs="宋体" w:eastAsia="宋体" w:hint="default"/>
          <w:position w:val="-9"/>
          <w:sz w:val="20"/>
          <w:szCs w:val="20"/>
        </w:rPr>
      </w:r>
    </w:p>
    <w:p>
      <w:pPr>
        <w:spacing w:line="240" w:lineRule="auto" w:before="12"/>
        <w:rPr>
          <w:rFonts w:ascii="宋体" w:hAnsi="宋体" w:cs="宋体" w:eastAsia="宋体" w:hint="default"/>
          <w:sz w:val="23"/>
          <w:szCs w:val="23"/>
        </w:rPr>
      </w:pPr>
    </w:p>
    <w:p>
      <w:pPr>
        <w:pStyle w:val="BodyText"/>
        <w:spacing w:line="312" w:lineRule="exact" w:before="56"/>
        <w:ind w:right="174"/>
        <w:jc w:val="left"/>
      </w:pPr>
      <w:r>
        <w:rPr/>
        <w:t>公司报告期末至年度报告披露日股本是否因发行新股、增发、配股、股权激励行权、回购等 原因发生变化且影响所有者权益金额</w:t>
      </w:r>
    </w:p>
    <w:p>
      <w:pPr>
        <w:pStyle w:val="BodyText"/>
        <w:spacing w:line="240" w:lineRule="auto" w:before="10"/>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6"/>
        <w:rPr>
          <w:rFonts w:ascii="宋体" w:hAnsi="宋体" w:cs="宋体" w:eastAsia="宋体" w:hint="default"/>
          <w:sz w:val="3"/>
          <w:szCs w:val="3"/>
        </w:rPr>
      </w:pPr>
    </w:p>
    <w:p>
      <w:pPr>
        <w:spacing w:line="480" w:lineRule="exact"/>
        <w:ind w:left="138"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80pt;height:24.05pt;mso-position-horizontal-relative:char;mso-position-vertical-relative:line" coordorigin="0,0" coordsize="9600,481">
            <v:group style="position:absolute;left:29;top:29;width:4636;height:2" coordorigin="29,29" coordsize="4636,2">
              <v:shape style="position:absolute;left:29;top:29;width:4636;height:2" coordorigin="29,29" coordsize="4636,0" path="m29,29l4664,29e" filled="false" stroked="true" strokeweight="1.44pt" strokecolor="#000000">
                <v:path arrowok="t"/>
              </v:shape>
            </v:group>
            <v:group style="position:absolute;left:4664;top:29;width:29;height:2" coordorigin="4664,29" coordsize="29,2">
              <v:shape style="position:absolute;left:4664;top:29;width:29;height:2" coordorigin="4664,29" coordsize="29,0" path="m4664,29l4693,29e" filled="false" stroked="true" strokeweight="1.44pt" strokecolor="#000000">
                <v:path arrowok="t"/>
              </v:shape>
            </v:group>
            <v:group style="position:absolute;left:4693;top:29;width:4878;height:2" coordorigin="4693,29" coordsize="4878,2">
              <v:shape style="position:absolute;left:4693;top:29;width:4878;height:2" coordorigin="4693,29" coordsize="4878,0" path="m4693,29l9571,29e" filled="false" stroked="true" strokeweight="1.44pt" strokecolor="#000000">
                <v:path arrowok="t"/>
              </v:shape>
            </v:group>
            <v:group style="position:absolute;left:14;top:14;width:2;height:452" coordorigin="14,14" coordsize="2,452">
              <v:shape style="position:absolute;left:14;top:14;width:2;height:452" coordorigin="14,14" coordsize="0,452" path="m14,14l14,466e" filled="false" stroked="true" strokeweight="1.44pt" strokecolor="#000000">
                <v:path arrowok="t"/>
              </v:shape>
            </v:group>
            <v:group style="position:absolute;left:29;top:452;width:4636;height:2" coordorigin="29,452" coordsize="4636,2">
              <v:shape style="position:absolute;left:29;top:452;width:4636;height:2" coordorigin="29,452" coordsize="4636,0" path="m29,452l4664,452e" filled="false" stroked="true" strokeweight="1.44pt" strokecolor="#000000">
                <v:path arrowok="t"/>
              </v:shape>
            </v:group>
            <v:group style="position:absolute;left:4671;top:43;width:2;height:395" coordorigin="4671,43" coordsize="2,395">
              <v:shape style="position:absolute;left:4671;top:43;width:2;height:395" coordorigin="4671,43" coordsize="0,395" path="m4671,43l4671,437e" filled="false" stroked="true" strokeweight=".72pt" strokecolor="#000000">
                <v:path arrowok="t"/>
              </v:shape>
            </v:group>
            <v:group style="position:absolute;left:4664;top:452;width:29;height:2" coordorigin="4664,452" coordsize="29,2">
              <v:shape style="position:absolute;left:4664;top:452;width:29;height:2" coordorigin="4664,452" coordsize="29,0" path="m4664,452l4693,452e" filled="false" stroked="true" strokeweight="1.44pt" strokecolor="#000000">
                <v:path arrowok="t"/>
              </v:shape>
            </v:group>
            <v:group style="position:absolute;left:4693;top:452;width:4878;height:2" coordorigin="4693,452" coordsize="4878,2">
              <v:shape style="position:absolute;left:4693;top:452;width:4878;height:2" coordorigin="4693,452" coordsize="4878,0" path="m4693,452l9571,452e" filled="false" stroked="true" strokeweight="1.44pt" strokecolor="#000000">
                <v:path arrowok="t"/>
              </v:shape>
            </v:group>
            <v:group style="position:absolute;left:9585;top:14;width:2;height:452" coordorigin="9585,14" coordsize="2,452">
              <v:shape style="position:absolute;left:9585;top:14;width:2;height:452" coordorigin="9585,14" coordsize="0,452" path="m9585,14l9585,466e" filled="false" stroked="true" strokeweight="1.44pt" strokecolor="#000000">
                <v:path arrowok="t"/>
              </v:shape>
              <v:shape style="position:absolute;left:14;top:29;width:4657;height:423" type="#_x0000_t202" filled="false" stroked="false">
                <v:textbox inset="0,0,0,0">
                  <w:txbxContent>
                    <w:p>
                      <w:pPr>
                        <w:spacing w:before="45"/>
                        <w:ind w:left="28" w:right="0" w:firstLine="0"/>
                        <w:jc w:val="left"/>
                        <w:rPr>
                          <w:rFonts w:ascii="宋体" w:hAnsi="宋体" w:cs="宋体" w:eastAsia="宋体" w:hint="default"/>
                          <w:sz w:val="21"/>
                          <w:szCs w:val="21"/>
                        </w:rPr>
                      </w:pPr>
                      <w:r>
                        <w:rPr>
                          <w:rFonts w:ascii="宋体" w:hAnsi="宋体" w:cs="宋体" w:eastAsia="宋体" w:hint="default"/>
                          <w:sz w:val="21"/>
                          <w:szCs w:val="21"/>
                        </w:rPr>
                        <w:t>用最新股本计算的基本每股收益（元</w:t>
                      </w:r>
                      <w:r>
                        <w:rPr>
                          <w:rFonts w:ascii="Arial" w:hAnsi="Arial" w:cs="Arial" w:eastAsia="Arial" w:hint="default"/>
                          <w:sz w:val="21"/>
                          <w:szCs w:val="21"/>
                        </w:rPr>
                        <w:t>/</w:t>
                      </w:r>
                      <w:r>
                        <w:rPr>
                          <w:rFonts w:ascii="宋体" w:hAnsi="宋体" w:cs="宋体" w:eastAsia="宋体" w:hint="default"/>
                          <w:sz w:val="21"/>
                          <w:szCs w:val="21"/>
                        </w:rPr>
                        <w:t>股）</w:t>
                      </w:r>
                    </w:p>
                  </w:txbxContent>
                </v:textbox>
                <w10:wrap type="none"/>
              </v:shape>
              <v:shape style="position:absolute;left:9148;top:146;width:411;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sz w:val="21"/>
                        </w:rPr>
                        <w:t>0.97</w:t>
                      </w:r>
                    </w:p>
                  </w:txbxContent>
                </v:textbox>
                <w10:wrap type="none"/>
              </v:shape>
            </v:group>
          </v:group>
        </w:pict>
      </w:r>
      <w:r>
        <w:rPr>
          <w:rFonts w:ascii="宋体" w:hAnsi="宋体" w:cs="宋体" w:eastAsia="宋体" w:hint="default"/>
          <w:position w:val="-9"/>
          <w:sz w:val="20"/>
          <w:szCs w:val="20"/>
        </w:rPr>
      </w:r>
    </w:p>
    <w:p>
      <w:pPr>
        <w:spacing w:line="240" w:lineRule="auto" w:before="2"/>
        <w:rPr>
          <w:rFonts w:ascii="宋体" w:hAnsi="宋体" w:cs="宋体" w:eastAsia="宋体" w:hint="default"/>
          <w:sz w:val="17"/>
          <w:szCs w:val="17"/>
        </w:rPr>
      </w:pPr>
    </w:p>
    <w:p>
      <w:pPr>
        <w:pStyle w:val="Heading3"/>
        <w:spacing w:line="240" w:lineRule="auto" w:before="26"/>
        <w:ind w:right="0"/>
        <w:jc w:val="left"/>
        <w:rPr>
          <w:b w:val="0"/>
          <w:bCs w:val="0"/>
        </w:rPr>
      </w:pPr>
      <w:r>
        <w:rPr/>
        <w:t>二、境内外会计准则下会计数据差异</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left"/>
        <w:rPr>
          <w:b w:val="0"/>
          <w:bCs w:val="0"/>
        </w:rPr>
      </w:pPr>
      <w:r>
        <w:rPr>
          <w:rFonts w:ascii="Arial" w:hAnsi="Arial" w:cs="Arial" w:eastAsia="Arial"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1"/>
          <w:szCs w:val="21"/>
        </w:rPr>
      </w:pPr>
    </w:p>
    <w:p>
      <w:pPr>
        <w:pStyle w:val="BodyText"/>
        <w:spacing w:line="247" w:lineRule="auto"/>
        <w:ind w:right="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公司报告期不存在按照国际会计准则与按照中国会计准则披露的财务报告中净利润和净资产 差异情况。</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1"/>
          <w:szCs w:val="21"/>
        </w:rPr>
      </w:pPr>
    </w:p>
    <w:p>
      <w:pPr>
        <w:pStyle w:val="BodyText"/>
        <w:spacing w:line="247" w:lineRule="auto"/>
        <w:ind w:right="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公司报告期不存在按照境外会计准则与按照中国会计准则披露的财务报告中净利润和净资产 差异情况。</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三、非经常性损益的项目及金额</w:t>
      </w:r>
      <w:r>
        <w:rPr>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52" w:footer="1010" w:top="1100" w:bottom="1200" w:left="980" w:right="980"/>
        </w:sectPr>
      </w:pPr>
    </w:p>
    <w:p>
      <w:pPr>
        <w:pStyle w:val="BodyText"/>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1990" w:space="6811"/>
            <w:col w:w="1149"/>
          </w:cols>
        </w:sectPr>
      </w:pPr>
    </w:p>
    <w:p>
      <w:pPr>
        <w:spacing w:line="240" w:lineRule="auto" w:before="10"/>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4112"/>
        <w:gridCol w:w="1560"/>
        <w:gridCol w:w="1416"/>
        <w:gridCol w:w="1419"/>
        <w:gridCol w:w="1063"/>
      </w:tblGrid>
      <w:tr>
        <w:trPr>
          <w:trHeight w:val="423" w:hRule="exact"/>
        </w:trPr>
        <w:tc>
          <w:tcPr>
            <w:tcW w:w="4112"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30"/>
              <w:ind w:right="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196" w:right="0"/>
              <w:jc w:val="left"/>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5"/>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5"/>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Arial" w:hAnsi="Arial" w:cs="Arial" w:eastAsia="Arial" w:hint="default"/>
                <w:b/>
                <w:bCs/>
                <w:sz w:val="21"/>
                <w:szCs w:val="21"/>
              </w:rPr>
              <w:t>2012</w:t>
            </w:r>
            <w:r>
              <w:rPr>
                <w:rFonts w:ascii="Arial" w:hAnsi="Arial" w:cs="Arial" w:eastAsia="Arial" w:hint="default"/>
                <w:b/>
                <w:bCs/>
                <w:spacing w:val="-5"/>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06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0"/>
              <w:ind w:left="314" w:right="0"/>
              <w:jc w:val="lef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727" w:hRule="exact"/>
        </w:trPr>
        <w:tc>
          <w:tcPr>
            <w:tcW w:w="4112" w:type="dxa"/>
            <w:tcBorders>
              <w:top w:val="single" w:sz="12" w:space="0" w:color="000000"/>
              <w:left w:val="single" w:sz="12" w:space="0" w:color="000000"/>
              <w:bottom w:val="single" w:sz="6" w:space="0" w:color="000000"/>
              <w:right w:val="single" w:sz="6" w:space="0" w:color="000000"/>
            </w:tcBorders>
          </w:tcPr>
          <w:p>
            <w:pPr>
              <w:pStyle w:val="TableParagraph"/>
              <w:spacing w:line="271" w:lineRule="auto" w:before="30"/>
              <w:ind w:left="14" w:right="81"/>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非流动资产处置损益（包括已计提资产减值</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准备的冲销部分）</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-474,066.58</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
              <w:jc w:val="right"/>
              <w:rPr>
                <w:rFonts w:ascii="Arial" w:hAnsi="Arial" w:cs="Arial" w:eastAsia="Arial" w:hint="default"/>
                <w:sz w:val="21"/>
                <w:szCs w:val="21"/>
              </w:rPr>
            </w:pPr>
            <w:r>
              <w:rPr>
                <w:rFonts w:ascii="Arial"/>
                <w:spacing w:val="-1"/>
                <w:sz w:val="21"/>
              </w:rPr>
              <w:t>-56,223.20</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-37,372.87</w:t>
            </w:r>
          </w:p>
        </w:tc>
        <w:tc>
          <w:tcPr>
            <w:tcW w:w="1063" w:type="dxa"/>
            <w:tcBorders>
              <w:top w:val="single" w:sz="12" w:space="0" w:color="000000"/>
              <w:left w:val="single" w:sz="6" w:space="0" w:color="000000"/>
              <w:bottom w:val="single" w:sz="6" w:space="0" w:color="000000"/>
              <w:right w:val="single" w:sz="12" w:space="0" w:color="000000"/>
            </w:tcBorders>
          </w:tcPr>
          <w:p>
            <w:pPr/>
          </w:p>
        </w:tc>
      </w:tr>
      <w:tr>
        <w:trPr>
          <w:trHeight w:val="361" w:hRule="exact"/>
        </w:trPr>
        <w:tc>
          <w:tcPr>
            <w:tcW w:w="4112" w:type="dxa"/>
            <w:tcBorders>
              <w:top w:val="single" w:sz="6" w:space="0" w:color="000000"/>
              <w:left w:val="single" w:sz="12" w:space="0" w:color="000000"/>
              <w:bottom w:val="nil" w:sz="6" w:space="0" w:color="auto"/>
              <w:right w:val="single" w:sz="6"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w:t>
            </w:r>
          </w:p>
        </w:tc>
        <w:tc>
          <w:tcPr>
            <w:tcW w:w="1560" w:type="dxa"/>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
        </w:tc>
        <w:tc>
          <w:tcPr>
            <w:tcW w:w="1419" w:type="dxa"/>
            <w:tcBorders>
              <w:top w:val="single" w:sz="6" w:space="0" w:color="000000"/>
              <w:left w:val="single" w:sz="6" w:space="0" w:color="000000"/>
              <w:bottom w:val="nil" w:sz="6" w:space="0" w:color="auto"/>
              <w:right w:val="single" w:sz="6" w:space="0" w:color="000000"/>
            </w:tcBorders>
          </w:tcPr>
          <w:p>
            <w:pPr/>
          </w:p>
        </w:tc>
        <w:tc>
          <w:tcPr>
            <w:tcW w:w="1063" w:type="dxa"/>
            <w:vMerge w:val="restart"/>
            <w:tcBorders>
              <w:top w:val="single" w:sz="6" w:space="0" w:color="000000"/>
              <w:left w:val="single" w:sz="6" w:space="0" w:color="000000"/>
              <w:right w:val="single" w:sz="12" w:space="0" w:color="000000"/>
            </w:tcBorders>
          </w:tcPr>
          <w:p>
            <w:pPr/>
          </w:p>
        </w:tc>
      </w:tr>
      <w:tr>
        <w:trPr>
          <w:trHeight w:val="316" w:hRule="exact"/>
        </w:trPr>
        <w:tc>
          <w:tcPr>
            <w:tcW w:w="4112"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相关，按照国家统一标准定额或定量享受的</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7"/>
              <w:jc w:val="right"/>
              <w:rPr>
                <w:rFonts w:ascii="Arial" w:hAnsi="Arial" w:cs="Arial" w:eastAsia="Arial" w:hint="default"/>
                <w:sz w:val="21"/>
                <w:szCs w:val="21"/>
              </w:rPr>
            </w:pPr>
            <w:r>
              <w:rPr>
                <w:rFonts w:ascii="Arial"/>
                <w:spacing w:val="-1"/>
                <w:sz w:val="21"/>
              </w:rPr>
              <w:t>3,335,425.85</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2"/>
              <w:jc w:val="right"/>
              <w:rPr>
                <w:rFonts w:ascii="Arial" w:hAnsi="Arial" w:cs="Arial" w:eastAsia="Arial" w:hint="default"/>
                <w:sz w:val="21"/>
                <w:szCs w:val="21"/>
              </w:rPr>
            </w:pPr>
            <w:r>
              <w:rPr>
                <w:rFonts w:ascii="Arial"/>
                <w:spacing w:val="-1"/>
                <w:sz w:val="21"/>
              </w:rPr>
              <w:t>3,238,350.00</w:t>
            </w:r>
          </w:p>
        </w:tc>
        <w:tc>
          <w:tcPr>
            <w:tcW w:w="141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left="158" w:right="0"/>
              <w:jc w:val="left"/>
              <w:rPr>
                <w:rFonts w:ascii="Arial" w:hAnsi="Arial" w:cs="Arial" w:eastAsia="Arial" w:hint="default"/>
                <w:sz w:val="21"/>
                <w:szCs w:val="21"/>
              </w:rPr>
            </w:pPr>
            <w:r>
              <w:rPr>
                <w:rFonts w:ascii="Arial"/>
                <w:sz w:val="21"/>
              </w:rPr>
              <w:t>1,262,770.00</w:t>
            </w:r>
          </w:p>
        </w:tc>
        <w:tc>
          <w:tcPr>
            <w:tcW w:w="1063" w:type="dxa"/>
            <w:vMerge/>
            <w:tcBorders>
              <w:left w:val="single" w:sz="6" w:space="0" w:color="000000"/>
              <w:right w:val="single" w:sz="12" w:space="0" w:color="000000"/>
            </w:tcBorders>
          </w:tcPr>
          <w:p>
            <w:pPr/>
          </w:p>
        </w:tc>
      </w:tr>
      <w:tr>
        <w:trPr>
          <w:trHeight w:val="355" w:hRule="exact"/>
        </w:trPr>
        <w:tc>
          <w:tcPr>
            <w:tcW w:w="4112" w:type="dxa"/>
            <w:tcBorders>
              <w:top w:val="nil" w:sz="6" w:space="0" w:color="auto"/>
              <w:left w:val="single" w:sz="12" w:space="0" w:color="000000"/>
              <w:bottom w:val="single" w:sz="6" w:space="0" w:color="000000"/>
              <w:right w:val="single" w:sz="6" w:space="0" w:color="000000"/>
            </w:tcBorders>
          </w:tcPr>
          <w:p>
            <w:pPr>
              <w:pStyle w:val="TableParagraph"/>
              <w:spacing w:line="257" w:lineRule="exact"/>
              <w:ind w:left="14" w:right="0"/>
              <w:jc w:val="left"/>
              <w:rPr>
                <w:rFonts w:ascii="宋体" w:hAnsi="宋体" w:cs="宋体" w:eastAsia="宋体" w:hint="default"/>
                <w:sz w:val="21"/>
                <w:szCs w:val="21"/>
              </w:rPr>
            </w:pPr>
            <w:r>
              <w:rPr>
                <w:rFonts w:ascii="宋体" w:hAnsi="宋体" w:cs="宋体" w:eastAsia="宋体" w:hint="default"/>
                <w:sz w:val="21"/>
                <w:szCs w:val="21"/>
              </w:rPr>
              <w:t>政府补助除外）</w:t>
            </w:r>
          </w:p>
        </w:tc>
        <w:tc>
          <w:tcPr>
            <w:tcW w:w="1560" w:type="dxa"/>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
        </w:tc>
        <w:tc>
          <w:tcPr>
            <w:tcW w:w="1419" w:type="dxa"/>
            <w:tcBorders>
              <w:top w:val="nil" w:sz="6" w:space="0" w:color="auto"/>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12" w:space="0" w:color="000000"/>
            </w:tcBorders>
          </w:tcPr>
          <w:p>
            <w:pPr/>
          </w:p>
        </w:tc>
      </w:tr>
      <w:tr>
        <w:trPr>
          <w:trHeight w:val="361" w:hRule="exact"/>
        </w:trPr>
        <w:tc>
          <w:tcPr>
            <w:tcW w:w="4112" w:type="dxa"/>
            <w:tcBorders>
              <w:top w:val="single" w:sz="6" w:space="0" w:color="000000"/>
              <w:left w:val="single" w:sz="12" w:space="0" w:color="000000"/>
              <w:bottom w:val="nil" w:sz="6" w:space="0" w:color="auto"/>
              <w:right w:val="single" w:sz="6"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w:t>
            </w:r>
          </w:p>
        </w:tc>
        <w:tc>
          <w:tcPr>
            <w:tcW w:w="1560" w:type="dxa"/>
            <w:vMerge w:val="restart"/>
            <w:tcBorders>
              <w:top w:val="single" w:sz="6" w:space="0" w:color="000000"/>
              <w:left w:val="single" w:sz="6" w:space="0" w:color="000000"/>
              <w:right w:val="single" w:sz="6" w:space="0" w:color="000000"/>
            </w:tcBorders>
          </w:tcPr>
          <w:p>
            <w:pPr/>
          </w:p>
        </w:tc>
        <w:tc>
          <w:tcPr>
            <w:tcW w:w="1416" w:type="dxa"/>
            <w:vMerge w:val="restart"/>
            <w:tcBorders>
              <w:top w:val="single" w:sz="6" w:space="0" w:color="000000"/>
              <w:left w:val="single" w:sz="6" w:space="0" w:color="000000"/>
              <w:right w:val="single" w:sz="6" w:space="0" w:color="000000"/>
            </w:tcBorders>
          </w:tcPr>
          <w:p>
            <w:pPr/>
          </w:p>
        </w:tc>
        <w:tc>
          <w:tcPr>
            <w:tcW w:w="1419" w:type="dxa"/>
            <w:tcBorders>
              <w:top w:val="single" w:sz="6" w:space="0" w:color="000000"/>
              <w:left w:val="single" w:sz="6" w:space="0" w:color="000000"/>
              <w:bottom w:val="nil" w:sz="6" w:space="0" w:color="auto"/>
              <w:right w:val="single" w:sz="6" w:space="0" w:color="000000"/>
            </w:tcBorders>
          </w:tcPr>
          <w:p>
            <w:pPr/>
          </w:p>
        </w:tc>
        <w:tc>
          <w:tcPr>
            <w:tcW w:w="1063" w:type="dxa"/>
            <w:vMerge w:val="restart"/>
            <w:tcBorders>
              <w:top w:val="single" w:sz="6" w:space="0" w:color="000000"/>
              <w:left w:val="single" w:sz="6" w:space="0" w:color="000000"/>
              <w:right w:val="single" w:sz="12" w:space="0" w:color="000000"/>
            </w:tcBorders>
          </w:tcPr>
          <w:p>
            <w:pPr/>
          </w:p>
        </w:tc>
      </w:tr>
      <w:tr>
        <w:trPr>
          <w:trHeight w:val="316" w:hRule="exact"/>
        </w:trPr>
        <w:tc>
          <w:tcPr>
            <w:tcW w:w="4112"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资成本小于取得投资时应享有被投资单位可</w:t>
            </w:r>
          </w:p>
        </w:tc>
        <w:tc>
          <w:tcPr>
            <w:tcW w:w="1560" w:type="dxa"/>
            <w:vMerge/>
            <w:tcBorders>
              <w:left w:val="single" w:sz="6"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1419" w:type="dxa"/>
            <w:tcBorders>
              <w:top w:val="nil" w:sz="6" w:space="0" w:color="auto"/>
              <w:left w:val="single" w:sz="6" w:space="0" w:color="000000"/>
              <w:bottom w:val="nil" w:sz="6" w:space="0" w:color="auto"/>
              <w:right w:val="single" w:sz="6" w:space="0" w:color="000000"/>
            </w:tcBorders>
          </w:tcPr>
          <w:p>
            <w:pPr>
              <w:pStyle w:val="TableParagraph"/>
              <w:spacing w:line="240" w:lineRule="auto" w:before="32"/>
              <w:ind w:right="15"/>
              <w:jc w:val="right"/>
              <w:rPr>
                <w:rFonts w:ascii="Arial" w:hAnsi="Arial" w:cs="Arial" w:eastAsia="Arial" w:hint="default"/>
                <w:sz w:val="21"/>
                <w:szCs w:val="21"/>
              </w:rPr>
            </w:pPr>
            <w:r>
              <w:rPr>
                <w:rFonts w:ascii="Arial"/>
                <w:spacing w:val="-1"/>
                <w:sz w:val="21"/>
              </w:rPr>
              <w:t>255,927.90</w:t>
            </w:r>
          </w:p>
        </w:tc>
        <w:tc>
          <w:tcPr>
            <w:tcW w:w="1063" w:type="dxa"/>
            <w:vMerge/>
            <w:tcBorders>
              <w:left w:val="single" w:sz="6" w:space="0" w:color="000000"/>
              <w:right w:val="single" w:sz="12" w:space="0" w:color="000000"/>
            </w:tcBorders>
          </w:tcPr>
          <w:p>
            <w:pPr/>
          </w:p>
        </w:tc>
      </w:tr>
      <w:tr>
        <w:trPr>
          <w:trHeight w:val="353" w:hRule="exact"/>
        </w:trPr>
        <w:tc>
          <w:tcPr>
            <w:tcW w:w="4112" w:type="dxa"/>
            <w:tcBorders>
              <w:top w:val="nil" w:sz="6" w:space="0" w:color="auto"/>
              <w:left w:val="single" w:sz="12" w:space="0" w:color="000000"/>
              <w:bottom w:val="single" w:sz="6" w:space="0" w:color="000000"/>
              <w:right w:val="single" w:sz="6" w:space="0" w:color="000000"/>
            </w:tcBorders>
          </w:tcPr>
          <w:p>
            <w:pPr>
              <w:pStyle w:val="TableParagraph"/>
              <w:spacing w:line="257" w:lineRule="exact"/>
              <w:ind w:left="14" w:right="0"/>
              <w:jc w:val="left"/>
              <w:rPr>
                <w:rFonts w:ascii="宋体" w:hAnsi="宋体" w:cs="宋体" w:eastAsia="宋体" w:hint="default"/>
                <w:sz w:val="21"/>
                <w:szCs w:val="21"/>
              </w:rPr>
            </w:pPr>
            <w:r>
              <w:rPr>
                <w:rFonts w:ascii="宋体" w:hAnsi="宋体" w:cs="宋体" w:eastAsia="宋体" w:hint="default"/>
                <w:sz w:val="21"/>
                <w:szCs w:val="21"/>
              </w:rPr>
              <w:t>辨认净资产公允价值产生的收益</w:t>
            </w:r>
          </w:p>
        </w:tc>
        <w:tc>
          <w:tcPr>
            <w:tcW w:w="1560"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419" w:type="dxa"/>
            <w:tcBorders>
              <w:top w:val="nil" w:sz="6" w:space="0" w:color="auto"/>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12" w:space="0" w:color="000000"/>
            </w:tcBorders>
          </w:tcPr>
          <w:p>
            <w:pPr/>
          </w:p>
        </w:tc>
      </w:tr>
      <w:tr>
        <w:trPr>
          <w:trHeight w:val="408"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369,342.89</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1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spacing w:val="-1"/>
                <w:sz w:val="21"/>
              </w:rPr>
              <w:t>-710.50</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z w:val="21"/>
              </w:rPr>
              <w:t>900.79</w:t>
            </w:r>
          </w:p>
        </w:tc>
        <w:tc>
          <w:tcPr>
            <w:tcW w:w="1063"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100" w:bottom="1200" w:left="980" w:right="980"/>
        </w:sectPr>
      </w:pPr>
    </w:p>
    <w:p>
      <w:pPr>
        <w:spacing w:line="240" w:lineRule="auto" w:before="7"/>
        <w:rPr>
          <w:rFonts w:ascii="宋体" w:hAnsi="宋体" w:cs="宋体" w:eastAsia="宋体" w:hint="default"/>
          <w:sz w:val="25"/>
          <w:szCs w:val="25"/>
        </w:rPr>
      </w:pPr>
    </w:p>
    <w:tbl>
      <w:tblPr>
        <w:tblW w:w="0" w:type="auto"/>
        <w:jc w:val="left"/>
        <w:tblInd w:w="138" w:type="dxa"/>
        <w:tblLayout w:type="fixed"/>
        <w:tblCellMar>
          <w:top w:w="0" w:type="dxa"/>
          <w:left w:w="0" w:type="dxa"/>
          <w:bottom w:w="0" w:type="dxa"/>
          <w:right w:w="0" w:type="dxa"/>
        </w:tblCellMar>
        <w:tblLook w:val="01E0"/>
      </w:tblPr>
      <w:tblGrid>
        <w:gridCol w:w="4112"/>
        <w:gridCol w:w="1560"/>
        <w:gridCol w:w="1416"/>
        <w:gridCol w:w="1419"/>
        <w:gridCol w:w="1063"/>
      </w:tblGrid>
      <w:tr>
        <w:trPr>
          <w:trHeight w:val="416" w:hRule="exact"/>
        </w:trPr>
        <w:tc>
          <w:tcPr>
            <w:tcW w:w="411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1"/>
              <w:ind w:left="1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right="17"/>
              <w:jc w:val="right"/>
              <w:rPr>
                <w:rFonts w:ascii="Arial" w:hAnsi="Arial" w:cs="Arial" w:eastAsia="Arial" w:hint="default"/>
                <w:sz w:val="21"/>
                <w:szCs w:val="21"/>
              </w:rPr>
            </w:pPr>
            <w:r>
              <w:rPr>
                <w:rFonts w:ascii="Arial"/>
                <w:spacing w:val="-1"/>
                <w:sz w:val="21"/>
              </w:rPr>
              <w:t>232,959.91</w:t>
            </w:r>
          </w:p>
        </w:tc>
        <w:tc>
          <w:tcPr>
            <w:tcW w:w="1416" w:type="dxa"/>
            <w:tcBorders>
              <w:top w:val="single" w:sz="12" w:space="0" w:color="000000"/>
              <w:left w:val="single" w:sz="6" w:space="0" w:color="000000"/>
              <w:bottom w:val="single" w:sz="6" w:space="0" w:color="000000"/>
              <w:right w:val="single" w:sz="6" w:space="0" w:color="000000"/>
            </w:tcBorders>
          </w:tcPr>
          <w:p>
            <w:pPr/>
          </w:p>
        </w:tc>
        <w:tc>
          <w:tcPr>
            <w:tcW w:w="1419" w:type="dxa"/>
            <w:tcBorders>
              <w:top w:val="single" w:sz="12" w:space="0" w:color="000000"/>
              <w:left w:val="single" w:sz="6" w:space="0" w:color="000000"/>
              <w:bottom w:val="single" w:sz="6" w:space="0" w:color="000000"/>
              <w:right w:val="single" w:sz="6" w:space="0" w:color="000000"/>
            </w:tcBorders>
          </w:tcPr>
          <w:p>
            <w:pPr/>
          </w:p>
        </w:tc>
        <w:tc>
          <w:tcPr>
            <w:tcW w:w="1063" w:type="dxa"/>
            <w:tcBorders>
              <w:top w:val="single" w:sz="12" w:space="0" w:color="000000"/>
              <w:left w:val="single" w:sz="6" w:space="0" w:color="000000"/>
              <w:bottom w:val="single" w:sz="6" w:space="0" w:color="000000"/>
              <w:right w:val="single" w:sz="12" w:space="0" w:color="000000"/>
            </w:tcBorders>
          </w:tcPr>
          <w:p>
            <w:pPr/>
          </w:p>
        </w:tc>
      </w:tr>
      <w:tr>
        <w:trPr>
          <w:trHeight w:val="406"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398,809.28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spacing w:val="-1"/>
                <w:sz w:val="21"/>
              </w:rPr>
              <w:t>350,116.55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134,665.59</w:t>
            </w:r>
          </w:p>
        </w:tc>
        <w:tc>
          <w:tcPr>
            <w:tcW w:w="106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1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437"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156,577.55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spacing w:val="-1"/>
                <w:sz w:val="21"/>
              </w:rPr>
              <w:t>166,204.23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spacing w:val="-1"/>
                <w:sz w:val="21"/>
              </w:rPr>
              <w:t>-20,149.73</w:t>
            </w:r>
          </w:p>
        </w:tc>
        <w:tc>
          <w:tcPr>
            <w:tcW w:w="106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1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2,908,275.24</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spacing w:val="-1"/>
                <w:sz w:val="21"/>
              </w:rPr>
              <w:t>2,665,095.52</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1,367,709.96</w:t>
            </w:r>
          </w:p>
        </w:tc>
        <w:tc>
          <w:tcPr>
            <w:tcW w:w="10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left="9" w:right="0"/>
              <w:jc w:val="center"/>
              <w:rPr>
                <w:rFonts w:ascii="Arial" w:hAnsi="Arial" w:cs="Arial" w:eastAsia="Arial" w:hint="default"/>
                <w:sz w:val="21"/>
                <w:szCs w:val="21"/>
              </w:rPr>
            </w:pPr>
            <w:r>
              <w:rPr>
                <w:rFonts w:ascii="Arial"/>
                <w:sz w:val="21"/>
              </w:rPr>
              <w:t>--</w:t>
            </w:r>
          </w:p>
        </w:tc>
      </w:tr>
    </w:tbl>
    <w:p>
      <w:pPr>
        <w:pStyle w:val="BodyText"/>
        <w:spacing w:line="322" w:lineRule="exact" w:before="3"/>
        <w:ind w:right="0"/>
        <w:jc w:val="both"/>
      </w:pPr>
      <w:r>
        <w:rPr/>
        <w:t>对公司根据《公开发行证券的公司信息披露解释性公告第</w:t>
      </w:r>
      <w:r>
        <w:rPr>
          <w:spacing w:val="-59"/>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非经常性损益》定义界定</w:t>
      </w:r>
    </w:p>
    <w:p>
      <w:pPr>
        <w:pStyle w:val="BodyText"/>
        <w:spacing w:line="312" w:lineRule="exact" w:before="21"/>
        <w:ind w:right="255"/>
        <w:jc w:val="both"/>
      </w:pPr>
      <w:r>
        <w:rPr/>
        <w:t>的非经常性损益项目，以及把《公开发行证券的公司信息披露解释性公告第</w:t>
      </w:r>
      <w:r>
        <w:rPr>
          <w:spacing w:val="-58"/>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 性损益》中列举的非经常性损益项目界定为经常性损益的项目，应说明原因</w:t>
      </w:r>
    </w:p>
    <w:p>
      <w:pPr>
        <w:pStyle w:val="BodyText"/>
        <w:spacing w:line="240" w:lineRule="auto" w:before="7"/>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312" w:lineRule="exact" w:before="52"/>
        <w:ind w:right="255"/>
        <w:jc w:val="both"/>
      </w:pPr>
      <w:r>
        <w:rPr/>
        <w:t>公司报告期不存在将根据《公开发行证券的公司信息披露解释性公告第</w:t>
      </w:r>
      <w:r>
        <w:rPr>
          <w:spacing w:val="-59"/>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非经常性损 益》定义、列举的非经常性损益项目界定为经常性损益的项目的情形。</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r>
        <w:rPr/>
        <w:t>四、重大风险提示</w:t>
      </w:r>
      <w:r>
        <w:rPr>
          <w:b w:val="0"/>
          <w:bCs w:val="0"/>
        </w:rPr>
      </w:r>
    </w:p>
    <w:p>
      <w:pPr>
        <w:pStyle w:val="BodyText"/>
        <w:spacing w:line="658" w:lineRule="exact" w:before="54"/>
        <w:ind w:left="633" w:right="99" w:hanging="481"/>
        <w:jc w:val="left"/>
      </w:pPr>
      <w:r>
        <w:rPr>
          <w:rFonts w:ascii="Arial" w:hAnsi="Arial" w:cs="Arial" w:eastAsia="Arial" w:hint="default"/>
          <w:b/>
          <w:bCs/>
        </w:rPr>
        <w:t>1</w:t>
      </w:r>
      <w:r>
        <w:rPr>
          <w:rFonts w:ascii="宋体" w:hAnsi="宋体" w:cs="宋体" w:eastAsia="宋体" w:hint="default"/>
          <w:b/>
          <w:bCs/>
        </w:rPr>
        <w:t>、经济环境风险</w:t>
      </w:r>
      <w:r>
        <w:rPr>
          <w:rFonts w:ascii="宋体" w:hAnsi="宋体" w:cs="宋体" w:eastAsia="宋体" w:hint="default"/>
          <w:b/>
          <w:bCs/>
          <w:w w:val="99"/>
        </w:rPr>
        <w:t> </w:t>
      </w:r>
      <w:r>
        <w:rPr>
          <w:spacing w:val="2"/>
        </w:rPr>
        <w:t>近年，全球经济处于复苏轨道，发达经济体表现分化，新兴经济体增速放缓。</w:t>
      </w:r>
      <w:r>
        <w:rPr>
          <w:rFonts w:ascii="Arial" w:hAnsi="Arial" w:cs="Arial" w:eastAsia="Arial" w:hint="default"/>
          <w:spacing w:val="2"/>
        </w:rPr>
        <w:t>2014</w:t>
      </w:r>
      <w:r>
        <w:rPr>
          <w:spacing w:val="2"/>
        </w:rPr>
        <w:t>年，</w:t>
      </w:r>
      <w:r>
        <w:rPr/>
      </w:r>
    </w:p>
    <w:p>
      <w:pPr>
        <w:pStyle w:val="BodyText"/>
        <w:spacing w:line="302" w:lineRule="auto"/>
        <w:ind w:right="234"/>
        <w:jc w:val="both"/>
      </w:pPr>
      <w:r>
        <w:rPr>
          <w:spacing w:val="-1"/>
        </w:rPr>
        <w:t>中国经济在优化结构的同时，增速呈现稳中趋降态势。</w:t>
      </w:r>
      <w:r>
        <w:rPr>
          <w:rFonts w:ascii="Arial" w:hAnsi="Arial" w:cs="Arial" w:eastAsia="Arial" w:hint="default"/>
          <w:spacing w:val="-1"/>
        </w:rPr>
        <w:t>2015</w:t>
      </w:r>
      <w:r>
        <w:rPr>
          <w:spacing w:val="-1"/>
        </w:rPr>
        <w:t>年，虽然货币政策逐步宽松，信</w:t>
      </w:r>
      <w:r>
        <w:rPr>
          <w:spacing w:val="-101"/>
        </w:rPr>
        <w:t> </w:t>
      </w:r>
      <w:r>
        <w:rPr>
          <w:spacing w:val="-101"/>
        </w:rPr>
      </w:r>
      <w:r>
        <w:rPr/>
        <w:t>息产业相比传统产业在政策调控中更具优势，但仍需警惕由宏观经济下行风险带来的企业经 营风险。</w:t>
      </w:r>
    </w:p>
    <w:p>
      <w:pPr>
        <w:pStyle w:val="BodyText"/>
        <w:spacing w:line="300" w:lineRule="auto" w:before="22"/>
        <w:ind w:right="238" w:firstLine="480"/>
        <w:jc w:val="both"/>
      </w:pPr>
      <w:r>
        <w:rPr/>
        <w:t>公司将警惕宏观经济下行变化，同时通过持续自主研发投入，鼓励员工创新，努力提高 产品竞争力，响应产业结构调整，尽量减少宏观经济下行对公司经营的影响。</w:t>
      </w:r>
    </w:p>
    <w:p>
      <w:pPr>
        <w:pStyle w:val="BodyText"/>
        <w:spacing w:line="660" w:lineRule="exact" w:before="28"/>
        <w:ind w:left="633" w:right="253" w:hanging="481"/>
        <w:jc w:val="left"/>
      </w:pPr>
      <w:r>
        <w:rPr>
          <w:rFonts w:ascii="Arial" w:hAnsi="Arial" w:cs="Arial" w:eastAsia="Arial" w:hint="default"/>
          <w:b/>
          <w:bCs/>
        </w:rPr>
        <w:t>2</w:t>
      </w:r>
      <w:r>
        <w:rPr>
          <w:rFonts w:ascii="宋体" w:hAnsi="宋体" w:cs="宋体" w:eastAsia="宋体" w:hint="default"/>
          <w:b/>
          <w:bCs/>
        </w:rPr>
        <w:t>、行业政策风险</w:t>
      </w:r>
      <w:r>
        <w:rPr>
          <w:rFonts w:ascii="宋体" w:hAnsi="宋体" w:cs="宋体" w:eastAsia="宋体" w:hint="default"/>
          <w:b/>
          <w:bCs/>
          <w:w w:val="99"/>
        </w:rPr>
        <w:t> </w:t>
      </w:r>
      <w:r>
        <w:rPr/>
        <w:t>近年，国家大力推动软件行业、电子政务等行业发展，相关政府部门先后颁布财税、投</w:t>
      </w:r>
    </w:p>
    <w:p>
      <w:pPr>
        <w:pStyle w:val="BodyText"/>
        <w:spacing w:line="309" w:lineRule="auto"/>
        <w:ind w:right="271"/>
        <w:jc w:val="both"/>
      </w:pPr>
      <w:r>
        <w:rPr/>
        <w:t>融资、研发、知识产权等多项扶持政策，为行业发展提供强有力的政策支持、营造良好的发 展环境。随着国家政策导向和产业布局的调整，产业政策也可能会出现调整，对本行业带来 影响。</w:t>
      </w:r>
    </w:p>
    <w:p>
      <w:pPr>
        <w:pStyle w:val="BodyText"/>
        <w:spacing w:line="297" w:lineRule="auto" w:before="14"/>
        <w:ind w:right="239" w:firstLine="480"/>
        <w:jc w:val="both"/>
      </w:pPr>
      <w:r>
        <w:rPr/>
        <w:t>公司将进一步建立健全快速的市场政策分析与监测机制，把握政策动向，严格依照国家 有关法律法规经营，规避可能造成的风险。同时，公司通过学习科学的管理思想，逐步提高</w:t>
      </w:r>
      <w:r>
        <w:rPr>
          <w:spacing w:val="-91"/>
        </w:rPr>
        <w:t> </w:t>
      </w:r>
      <w:r>
        <w:rPr>
          <w:spacing w:val="-91"/>
        </w:rPr>
      </w:r>
      <w:r>
        <w:rPr/>
        <w:t>在技术、知识产权、财务等方面的管理水平，从而提升自身风险抵抗能力，减小政策变化带</w:t>
      </w:r>
      <w:r>
        <w:rPr>
          <w:spacing w:val="-91"/>
        </w:rPr>
        <w:t> </w:t>
      </w:r>
      <w:r>
        <w:rPr>
          <w:spacing w:val="-91"/>
        </w:rPr>
      </w:r>
      <w:r>
        <w:rPr/>
        <w:t>来不利影响。</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r>
        <w:rPr>
          <w:rFonts w:ascii="Arial" w:hAnsi="Arial" w:cs="Arial" w:eastAsia="Arial" w:hint="default"/>
        </w:rPr>
        <w:t>3</w:t>
      </w:r>
      <w:r>
        <w:rPr/>
        <w:t>、技术风险</w:t>
      </w:r>
      <w:r>
        <w:rPr>
          <w:b w:val="0"/>
          <w:bCs w:val="0"/>
        </w:rPr>
      </w:r>
    </w:p>
    <w:p>
      <w:pPr>
        <w:spacing w:line="240" w:lineRule="auto" w:before="12"/>
        <w:rPr>
          <w:rFonts w:ascii="宋体" w:hAnsi="宋体" w:cs="宋体" w:eastAsia="宋体" w:hint="default"/>
          <w:b/>
          <w:bCs/>
          <w:sz w:val="24"/>
          <w:szCs w:val="24"/>
        </w:rPr>
      </w:pPr>
    </w:p>
    <w:p>
      <w:pPr>
        <w:pStyle w:val="BodyText"/>
        <w:spacing w:line="309" w:lineRule="auto"/>
        <w:ind w:right="270" w:firstLine="480"/>
        <w:jc w:val="both"/>
      </w:pPr>
      <w:r>
        <w:rPr/>
        <w:t>公司自成立以来，持续加大在技术研发的投入。经过多年的技术积累和创新，公司依托 自主研发的构建平台，形成了多项核心软件和行业应用解决方案，技术优势明显。但软件行 业属于技术高速发展的行业，公司在新技术、新产品研发上面临着一定程度的投入高、难度</w:t>
      </w:r>
    </w:p>
    <w:p>
      <w:pPr>
        <w:spacing w:after="0" w:line="309" w:lineRule="auto"/>
        <w:jc w:val="both"/>
        <w:sectPr>
          <w:pgSz w:w="11910" w:h="16840"/>
          <w:pgMar w:header="752" w:footer="1010" w:top="1100" w:bottom="1200" w:left="980" w:right="900"/>
        </w:sectPr>
      </w:pPr>
    </w:p>
    <w:p>
      <w:pPr>
        <w:spacing w:line="240" w:lineRule="auto" w:before="2"/>
        <w:rPr>
          <w:rFonts w:ascii="宋体" w:hAnsi="宋体" w:cs="宋体" w:eastAsia="宋体" w:hint="default"/>
          <w:sz w:val="24"/>
          <w:szCs w:val="24"/>
        </w:rPr>
      </w:pPr>
    </w:p>
    <w:p>
      <w:pPr>
        <w:pStyle w:val="BodyText"/>
        <w:spacing w:line="309" w:lineRule="auto" w:before="26"/>
        <w:ind w:left="633" w:right="0" w:hanging="481"/>
        <w:jc w:val="left"/>
      </w:pPr>
      <w:r>
        <w:rPr/>
        <w:t>大、更新换代快的风险。 </w:t>
      </w:r>
      <w:r>
        <w:rPr>
          <w:spacing w:val="-6"/>
        </w:rPr>
        <w:t>公司在继续保持技术预研和产品研发高投入的同时，不断完善技术研发、技术创新体系。</w:t>
      </w:r>
    </w:p>
    <w:p>
      <w:pPr>
        <w:pStyle w:val="BodyText"/>
        <w:spacing w:line="309" w:lineRule="auto" w:before="22"/>
        <w:ind w:right="139"/>
        <w:jc w:val="left"/>
      </w:pPr>
      <w:r>
        <w:rPr/>
        <w:t>紧跟行业技术发展趋势，把握产品和技术研发方向，让技术研发面向市场，及时根据市场变 </w:t>
      </w:r>
      <w:r>
        <w:rPr>
          <w:spacing w:val="-5"/>
        </w:rPr>
        <w:t>化和客户需求推出新产品和解决方案，保障技术的创新性和领先性，保证公司的市场竞争力。</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Arial" w:hAnsi="Arial" w:cs="Arial" w:eastAsia="Arial" w:hint="default"/>
        </w:rPr>
        <w:t>4</w:t>
      </w:r>
      <w:r>
        <w:rPr/>
        <w:t>、管理风险</w:t>
      </w:r>
      <w:r>
        <w:rPr>
          <w:b w:val="0"/>
          <w:bCs w:val="0"/>
        </w:rPr>
      </w:r>
    </w:p>
    <w:p>
      <w:pPr>
        <w:spacing w:line="240" w:lineRule="auto" w:before="2"/>
        <w:rPr>
          <w:rFonts w:ascii="宋体" w:hAnsi="宋体" w:cs="宋体" w:eastAsia="宋体" w:hint="default"/>
          <w:b/>
          <w:bCs/>
          <w:sz w:val="25"/>
          <w:szCs w:val="25"/>
        </w:rPr>
      </w:pPr>
    </w:p>
    <w:p>
      <w:pPr>
        <w:pStyle w:val="BodyText"/>
        <w:spacing w:line="309" w:lineRule="auto"/>
        <w:ind w:right="174" w:firstLine="480"/>
        <w:jc w:val="left"/>
      </w:pPr>
      <w:r>
        <w:rPr/>
        <w:t>公司在多年的管理经验累积和治理实践中，治理制度不断完善，形成较为健全的公司治 理机制体系，并在实际执行中运作良好。公司上市以来，业务规模日益扩大，公司组织结构 和管理体系趋于复杂化，公司的经营决策、风险控制的难度大为增加，对公司管理团队的管 理水平及驾驭经营风险的能力带来一定程度的挑战。 公司将根据上市企业规范运作指引要求，持续梳理和优化组织管理架构，不断提升管理团队 的管理能力和业务能力，完善法人治理结构，规范公司运作体系，加强内部控制，强化各项 决策的科学性，促进公司的机制创新和管理升级。</w:t>
      </w:r>
    </w:p>
    <w:p>
      <w:pPr>
        <w:pStyle w:val="BodyText"/>
        <w:spacing w:line="658" w:lineRule="exact" w:before="30"/>
        <w:ind w:left="633" w:right="173" w:hanging="481"/>
        <w:jc w:val="left"/>
      </w:pPr>
      <w:r>
        <w:rPr>
          <w:rFonts w:ascii="Arial" w:hAnsi="Arial" w:cs="Arial" w:eastAsia="Arial" w:hint="default"/>
          <w:b/>
          <w:bCs/>
        </w:rPr>
        <w:t>5</w:t>
      </w:r>
      <w:r>
        <w:rPr>
          <w:rFonts w:ascii="宋体" w:hAnsi="宋体" w:cs="宋体" w:eastAsia="宋体" w:hint="default"/>
          <w:b/>
          <w:bCs/>
        </w:rPr>
        <w:t>、业务拓展风险</w:t>
      </w:r>
      <w:r>
        <w:rPr>
          <w:rFonts w:ascii="宋体" w:hAnsi="宋体" w:cs="宋体" w:eastAsia="宋体" w:hint="default"/>
          <w:b/>
          <w:bCs/>
          <w:w w:val="99"/>
        </w:rPr>
        <w:t> </w:t>
      </w:r>
      <w:r>
        <w:rPr/>
        <w:t>公司上市后，根据公司长期发展战略，公司充分利用资本市场的平台，通过对外投资、</w:t>
      </w:r>
    </w:p>
    <w:p>
      <w:pPr>
        <w:pStyle w:val="BodyText"/>
        <w:spacing w:line="309" w:lineRule="auto"/>
        <w:ind w:right="174"/>
        <w:jc w:val="left"/>
      </w:pPr>
      <w:r>
        <w:rPr/>
        <w:t>并购等方式拓展业务，进行前瞻性布局。在专注主营业务，适时拓展的发展策略下，对公司 集团运营、管控和整合能力提出了更高的要求。</w:t>
      </w:r>
    </w:p>
    <w:p>
      <w:pPr>
        <w:pStyle w:val="BodyText"/>
        <w:spacing w:line="309" w:lineRule="auto" w:before="22"/>
        <w:ind w:right="0" w:firstLine="480"/>
        <w:jc w:val="left"/>
      </w:pPr>
      <w:r>
        <w:rPr>
          <w:spacing w:val="-6"/>
        </w:rPr>
        <w:t>公司将制定适合的发展战略，充分发挥集团整体的管理和协同效应，有效整合公司技术、</w:t>
      </w:r>
      <w:r>
        <w:rPr/>
        <w:t> 产品和业务资源，提升公司整体优势，防范业务扩张带来的风险。</w:t>
      </w:r>
    </w:p>
    <w:p>
      <w:pPr>
        <w:spacing w:after="0" w:line="309" w:lineRule="auto"/>
        <w:jc w:val="left"/>
        <w:sectPr>
          <w:footerReference w:type="default" r:id="rId11"/>
          <w:pgSz w:w="11910" w:h="16840"/>
          <w:pgMar w:footer="1010" w:header="752" w:top="110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line="398" w:lineRule="exact" w:before="0"/>
        <w:ind w:left="519" w:right="518" w:firstLine="0"/>
        <w:jc w:val="center"/>
        <w:rPr>
          <w:rFonts w:ascii="微软雅黑" w:hAnsi="微软雅黑" w:cs="微软雅黑" w:eastAsia="微软雅黑" w:hint="default"/>
          <w:sz w:val="28"/>
          <w:szCs w:val="28"/>
        </w:rPr>
      </w:pPr>
      <w:bookmarkStart w:name="_bookmark2" w:id="3"/>
      <w:bookmarkEnd w:id="3"/>
      <w:r>
        <w:rPr/>
      </w:r>
      <w:r>
        <w:rPr>
          <w:rFonts w:ascii="微软雅黑" w:hAnsi="微软雅黑" w:cs="微软雅黑" w:eastAsia="微软雅黑" w:hint="default"/>
          <w:b/>
          <w:bCs/>
          <w:sz w:val="28"/>
          <w:szCs w:val="28"/>
        </w:rPr>
        <w:t>第四节</w:t>
      </w:r>
      <w:r>
        <w:rPr>
          <w:rFonts w:ascii="微软雅黑" w:hAnsi="微软雅黑" w:cs="微软雅黑" w:eastAsia="微软雅黑" w:hint="default"/>
          <w:b/>
          <w:bCs/>
          <w:spacing w:val="58"/>
          <w:sz w:val="28"/>
          <w:szCs w:val="28"/>
        </w:rPr>
        <w:t> </w:t>
      </w:r>
      <w:r>
        <w:rPr>
          <w:rFonts w:ascii="微软雅黑" w:hAnsi="微软雅黑" w:cs="微软雅黑" w:eastAsia="微软雅黑" w:hint="default"/>
          <w:b/>
          <w:bCs/>
          <w:sz w:val="28"/>
          <w:szCs w:val="28"/>
        </w:rPr>
        <w:t>董事会报告</w:t>
      </w:r>
      <w:r>
        <w:rPr>
          <w:rFonts w:ascii="微软雅黑" w:hAnsi="微软雅黑" w:cs="微软雅黑" w:eastAsia="微软雅黑" w:hint="default"/>
          <w:sz w:val="28"/>
          <w:szCs w:val="28"/>
        </w:rPr>
      </w:r>
    </w:p>
    <w:p>
      <w:pPr>
        <w:spacing w:line="240" w:lineRule="auto" w:before="7"/>
        <w:rPr>
          <w:rFonts w:ascii="微软雅黑" w:hAnsi="微软雅黑" w:cs="微软雅黑" w:eastAsia="微软雅黑" w:hint="default"/>
          <w:b/>
          <w:bCs/>
          <w:sz w:val="25"/>
          <w:szCs w:val="25"/>
        </w:rPr>
      </w:pPr>
    </w:p>
    <w:p>
      <w:pPr>
        <w:pStyle w:val="Heading3"/>
        <w:spacing w:line="240" w:lineRule="auto" w:before="26"/>
        <w:ind w:right="0"/>
        <w:jc w:val="both"/>
        <w:rPr>
          <w:b w:val="0"/>
          <w:bCs w:val="0"/>
        </w:rPr>
      </w:pPr>
      <w:r>
        <w:rPr/>
        <w:t>一、管理层讨论与分析</w:t>
      </w:r>
      <w:r>
        <w:rPr>
          <w:b w:val="0"/>
          <w:bCs w:val="0"/>
        </w:rPr>
      </w:r>
    </w:p>
    <w:p>
      <w:pPr>
        <w:spacing w:line="240" w:lineRule="auto" w:before="12"/>
        <w:rPr>
          <w:rFonts w:ascii="宋体" w:hAnsi="宋体" w:cs="宋体" w:eastAsia="宋体" w:hint="default"/>
          <w:b/>
          <w:bCs/>
          <w:sz w:val="29"/>
          <w:szCs w:val="29"/>
        </w:rPr>
      </w:pPr>
    </w:p>
    <w:p>
      <w:pPr>
        <w:pStyle w:val="Heading3"/>
        <w:spacing w:line="240" w:lineRule="auto"/>
        <w:ind w:right="0"/>
        <w:jc w:val="both"/>
        <w:rPr>
          <w:b w:val="0"/>
          <w:bCs w:val="0"/>
        </w:rPr>
      </w:pPr>
      <w:r>
        <w:rPr>
          <w:rFonts w:ascii="Arial" w:hAnsi="Arial" w:cs="Arial" w:eastAsia="Arial" w:hint="default"/>
        </w:rPr>
        <w:t>1</w:t>
      </w:r>
      <w:r>
        <w:rPr/>
        <w:t>、报告期内主要业务回顾</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both"/>
        <w:rPr>
          <w:b w:val="0"/>
          <w:bCs w:val="0"/>
        </w:rPr>
      </w:pPr>
      <w:r>
        <w:rPr/>
        <w:t>（一）整体经营情况</w:t>
      </w:r>
      <w:r>
        <w:rPr>
          <w:b w:val="0"/>
          <w:bCs w:val="0"/>
        </w:rPr>
      </w:r>
    </w:p>
    <w:p>
      <w:pPr>
        <w:pStyle w:val="BodyText"/>
        <w:spacing w:line="240" w:lineRule="auto" w:before="74"/>
        <w:ind w:left="633" w:right="0"/>
        <w:jc w:val="left"/>
      </w:pPr>
      <w:r>
        <w:rPr/>
        <w:t>报告期内，公司业绩实现稳健、持续的增长，实现营业收入</w:t>
      </w:r>
      <w:r>
        <w:rPr>
          <w:spacing w:val="-95"/>
        </w:rPr>
        <w:t> </w:t>
      </w:r>
      <w:r>
        <w:rPr>
          <w:rFonts w:ascii="Arial" w:hAnsi="Arial" w:cs="Arial" w:eastAsia="Arial" w:hint="default"/>
        </w:rPr>
        <w:t>9.03</w:t>
      </w:r>
      <w:r>
        <w:rPr>
          <w:rFonts w:ascii="Arial" w:hAnsi="Arial" w:cs="Arial" w:eastAsia="Arial" w:hint="default"/>
          <w:spacing w:val="-42"/>
        </w:rPr>
        <w:t> </w:t>
      </w:r>
      <w:r>
        <w:rPr/>
        <w:t>亿元，较上年同期增长</w:t>
      </w:r>
    </w:p>
    <w:p>
      <w:pPr>
        <w:pStyle w:val="BodyText"/>
        <w:spacing w:line="240" w:lineRule="auto" w:before="58"/>
        <w:ind w:right="0"/>
        <w:jc w:val="both"/>
        <w:rPr>
          <w:rFonts w:ascii="Arial" w:hAnsi="Arial" w:cs="Arial" w:eastAsia="Arial" w:hint="default"/>
        </w:rPr>
      </w:pPr>
      <w:r>
        <w:rPr>
          <w:rFonts w:ascii="Arial" w:hAnsi="Arial" w:cs="Arial" w:eastAsia="Arial" w:hint="default"/>
          <w:spacing w:val="-4"/>
        </w:rPr>
        <w:t>34.75%</w:t>
      </w:r>
      <w:r>
        <w:rPr>
          <w:spacing w:val="-4"/>
        </w:rPr>
        <w:t>；营业利润</w:t>
      </w:r>
      <w:r>
        <w:rPr>
          <w:spacing w:val="-57"/>
        </w:rPr>
        <w:t> </w:t>
      </w:r>
      <w:r>
        <w:rPr>
          <w:rFonts w:ascii="Arial" w:hAnsi="Arial" w:cs="Arial" w:eastAsia="Arial" w:hint="default"/>
        </w:rPr>
        <w:t>1.27</w:t>
      </w:r>
      <w:r>
        <w:rPr>
          <w:rFonts w:ascii="Arial" w:hAnsi="Arial" w:cs="Arial" w:eastAsia="Arial" w:hint="default"/>
          <w:spacing w:val="-2"/>
        </w:rPr>
        <w:t> </w:t>
      </w:r>
      <w:r>
        <w:rPr>
          <w:spacing w:val="-5"/>
        </w:rPr>
        <w:t>亿元，较上年同期增加</w:t>
      </w:r>
      <w:r>
        <w:rPr>
          <w:spacing w:val="-56"/>
        </w:rPr>
        <w:t> </w:t>
      </w:r>
      <w:r>
        <w:rPr>
          <w:rFonts w:ascii="Arial" w:hAnsi="Arial" w:cs="Arial" w:eastAsia="Arial" w:hint="default"/>
          <w:spacing w:val="-3"/>
        </w:rPr>
        <w:t>52.09%</w:t>
      </w:r>
      <w:r>
        <w:rPr>
          <w:spacing w:val="-3"/>
        </w:rPr>
        <w:t>；归属于上市公司股东的净利润</w:t>
      </w:r>
      <w:r>
        <w:rPr>
          <w:spacing w:val="-56"/>
        </w:rPr>
        <w:t> </w:t>
      </w:r>
      <w:r>
        <w:rPr>
          <w:rFonts w:ascii="Arial" w:hAnsi="Arial" w:cs="Arial" w:eastAsia="Arial" w:hint="default"/>
        </w:rPr>
        <w:t>1.47</w:t>
      </w:r>
    </w:p>
    <w:p>
      <w:pPr>
        <w:pStyle w:val="BodyText"/>
        <w:spacing w:line="240" w:lineRule="auto" w:before="57"/>
        <w:ind w:right="0"/>
        <w:jc w:val="both"/>
      </w:pPr>
      <w:r>
        <w:rPr/>
        <w:t>亿元，较上年同期增长</w:t>
      </w:r>
      <w:r>
        <w:rPr>
          <w:spacing w:val="-62"/>
        </w:rPr>
        <w:t> </w:t>
      </w:r>
      <w:r>
        <w:rPr>
          <w:rFonts w:ascii="Arial" w:hAnsi="Arial" w:cs="Arial" w:eastAsia="Arial" w:hint="default"/>
        </w:rPr>
        <w:t>22.60%</w:t>
      </w:r>
      <w:r>
        <w:rPr/>
        <w:t>。</w:t>
      </w:r>
    </w:p>
    <w:p>
      <w:pPr>
        <w:spacing w:line="240" w:lineRule="auto" w:before="7"/>
        <w:rPr>
          <w:rFonts w:ascii="宋体" w:hAnsi="宋体" w:cs="宋体" w:eastAsia="宋体" w:hint="default"/>
          <w:sz w:val="16"/>
          <w:szCs w:val="16"/>
        </w:rPr>
      </w:pPr>
    </w:p>
    <w:p>
      <w:pPr>
        <w:pStyle w:val="Heading3"/>
        <w:spacing w:line="240" w:lineRule="auto"/>
        <w:ind w:right="0"/>
        <w:jc w:val="both"/>
        <w:rPr>
          <w:b w:val="0"/>
          <w:bCs w:val="0"/>
        </w:rPr>
      </w:pPr>
      <w:r>
        <w:rPr/>
        <w:t>（二）主要业务发展情况</w:t>
      </w:r>
      <w:r>
        <w:rPr>
          <w:b w:val="0"/>
          <w:bCs w:val="0"/>
        </w:rPr>
      </w:r>
    </w:p>
    <w:p>
      <w:pPr>
        <w:pStyle w:val="BodyText"/>
        <w:spacing w:line="240" w:lineRule="auto" w:before="74"/>
        <w:ind w:left="635" w:right="0"/>
        <w:jc w:val="left"/>
      </w:pPr>
      <w:r>
        <w:rPr>
          <w:rFonts w:ascii="Arial" w:hAnsi="Arial" w:cs="Arial" w:eastAsia="Arial" w:hint="default"/>
        </w:rPr>
        <w:t>1</w:t>
      </w:r>
      <w:r>
        <w:rPr/>
        <w:t>、法院检察院行业</w:t>
      </w:r>
    </w:p>
    <w:p>
      <w:pPr>
        <w:pStyle w:val="BodyText"/>
        <w:spacing w:line="280" w:lineRule="auto" w:before="57"/>
        <w:ind w:right="148" w:firstLine="482"/>
        <w:jc w:val="both"/>
      </w:pPr>
      <w:r>
        <w:rPr/>
        <w:t>报告期内，公司法院、检察院合计实现销售收入</w:t>
      </w:r>
      <w:r>
        <w:rPr>
          <w:spacing w:val="-56"/>
        </w:rPr>
        <w:t> </w:t>
      </w:r>
      <w:r>
        <w:rPr>
          <w:rFonts w:ascii="Arial" w:hAnsi="Arial" w:cs="Arial" w:eastAsia="Arial" w:hint="default"/>
        </w:rPr>
        <w:t>7.15</w:t>
      </w:r>
      <w:r>
        <w:rPr>
          <w:rFonts w:ascii="Arial" w:hAnsi="Arial" w:cs="Arial" w:eastAsia="Arial" w:hint="default"/>
          <w:spacing w:val="-2"/>
        </w:rPr>
        <w:t> </w:t>
      </w:r>
      <w:r>
        <w:rPr/>
        <w:t>亿元，较去年同期增长</w:t>
      </w:r>
      <w:r>
        <w:rPr>
          <w:spacing w:val="-56"/>
        </w:rPr>
        <w:t> </w:t>
      </w:r>
      <w:r>
        <w:rPr>
          <w:rFonts w:ascii="Arial" w:hAnsi="Arial" w:cs="Arial" w:eastAsia="Arial" w:hint="default"/>
        </w:rPr>
        <w:t>46.98%</w:t>
      </w:r>
      <w:r>
        <w:rPr/>
        <w:t>， 其中：法院行业实现销售收入</w:t>
      </w:r>
      <w:r>
        <w:rPr>
          <w:spacing w:val="-56"/>
        </w:rPr>
        <w:t> </w:t>
      </w:r>
      <w:r>
        <w:rPr>
          <w:rFonts w:ascii="Arial" w:hAnsi="Arial" w:cs="Arial" w:eastAsia="Arial" w:hint="default"/>
        </w:rPr>
        <w:t>5.54</w:t>
      </w:r>
      <w:r>
        <w:rPr>
          <w:rFonts w:ascii="Arial" w:hAnsi="Arial" w:cs="Arial" w:eastAsia="Arial" w:hint="default"/>
          <w:spacing w:val="-2"/>
        </w:rPr>
        <w:t> </w:t>
      </w:r>
      <w:r>
        <w:rPr/>
        <w:t>亿，较去年同期增长</w:t>
      </w:r>
      <w:r>
        <w:rPr>
          <w:spacing w:val="-56"/>
        </w:rPr>
        <w:t> </w:t>
      </w:r>
      <w:r>
        <w:rPr>
          <w:rFonts w:ascii="Arial" w:hAnsi="Arial" w:cs="Arial" w:eastAsia="Arial" w:hint="default"/>
        </w:rPr>
        <w:t>35.43%</w:t>
      </w:r>
      <w:r>
        <w:rPr/>
        <w:t>；检察院行业实现销售收入 </w:t>
      </w:r>
      <w:r>
        <w:rPr>
          <w:rFonts w:ascii="Arial" w:hAnsi="Arial" w:cs="Arial" w:eastAsia="Arial" w:hint="default"/>
        </w:rPr>
        <w:t>1.61 </w:t>
      </w:r>
      <w:r>
        <w:rPr/>
        <w:t>亿，较去年同期增长</w:t>
      </w:r>
      <w:r>
        <w:rPr>
          <w:spacing w:val="-69"/>
        </w:rPr>
        <w:t> </w:t>
      </w:r>
      <w:r>
        <w:rPr>
          <w:rFonts w:ascii="Arial" w:hAnsi="Arial" w:cs="Arial" w:eastAsia="Arial" w:hint="default"/>
        </w:rPr>
        <w:t>108.21%</w:t>
      </w:r>
      <w:r>
        <w:rPr/>
        <w:t>。</w:t>
      </w:r>
    </w:p>
    <w:p>
      <w:pPr>
        <w:pStyle w:val="BodyText"/>
        <w:spacing w:line="283" w:lineRule="auto" w:before="50"/>
        <w:ind w:left="633" w:right="140"/>
        <w:jc w:val="left"/>
      </w:pPr>
      <w:r>
        <w:rPr>
          <w:rFonts w:ascii="Arial" w:hAnsi="Arial" w:cs="Arial" w:eastAsia="Arial" w:hint="default"/>
        </w:rPr>
        <w:t>1.1</w:t>
      </w:r>
      <w:r>
        <w:rPr/>
        <w:t>、法院行业</w:t>
      </w:r>
      <w:r>
        <w:rPr>
          <w:w w:val="100"/>
        </w:rPr>
        <w:t> </w:t>
      </w:r>
      <w:r>
        <w:rPr>
          <w:spacing w:val="-9"/>
          <w:w w:val="99"/>
        </w:rPr>
        <w:t>随着依法治国、司法改革的全面推进，全国法院信息化建设力度显著加大。</w:t>
      </w:r>
      <w:r>
        <w:rPr>
          <w:rFonts w:ascii="Arial" w:hAnsi="Arial" w:cs="Arial" w:eastAsia="Arial" w:hint="default"/>
          <w:spacing w:val="-9"/>
          <w:w w:val="99"/>
        </w:rPr>
        <w:t>2014</w:t>
      </w:r>
      <w:r>
        <w:rPr>
          <w:rFonts w:ascii="Arial" w:hAnsi="Arial" w:cs="Arial" w:eastAsia="Arial" w:hint="default"/>
          <w:spacing w:val="-6"/>
          <w:w w:val="99"/>
        </w:rPr>
        <w:t> </w:t>
      </w:r>
      <w:r>
        <w:rPr/>
        <w:t>年</w:t>
      </w:r>
      <w:r>
        <w:rPr>
          <w:spacing w:val="-63"/>
        </w:rPr>
        <w:t> </w:t>
      </w:r>
      <w:r>
        <w:rPr>
          <w:rFonts w:ascii="Arial" w:hAnsi="Arial" w:cs="Arial" w:eastAsia="Arial" w:hint="default"/>
          <w:w w:val="99"/>
        </w:rPr>
        <w:t>7</w:t>
      </w:r>
      <w:r>
        <w:rPr>
          <w:rFonts w:ascii="Arial" w:hAnsi="Arial" w:cs="Arial" w:eastAsia="Arial" w:hint="default"/>
          <w:spacing w:val="-6"/>
          <w:w w:val="99"/>
        </w:rPr>
        <w:t> </w:t>
      </w:r>
      <w:r>
        <w:rPr/>
        <w:t>月，</w:t>
      </w:r>
    </w:p>
    <w:p>
      <w:pPr>
        <w:pStyle w:val="BodyText"/>
        <w:spacing w:line="290" w:lineRule="auto" w:before="9"/>
        <w:ind w:right="148"/>
        <w:jc w:val="both"/>
      </w:pPr>
      <w:r>
        <w:rPr>
          <w:spacing w:val="-2"/>
        </w:rPr>
        <w:t>最高人民法院发布了《人民法院第四个五年改革纲要</w:t>
      </w:r>
      <w:r>
        <w:rPr>
          <w:rFonts w:ascii="Arial" w:hAnsi="Arial" w:cs="Arial" w:eastAsia="Arial" w:hint="default"/>
          <w:spacing w:val="-2"/>
        </w:rPr>
        <w:t>(2014-2018)</w:t>
      </w:r>
      <w:r>
        <w:rPr>
          <w:spacing w:val="-2"/>
        </w:rPr>
        <w:t>》，明确指出：未来要进一</w:t>
      </w:r>
      <w:r>
        <w:rPr>
          <w:spacing w:val="-101"/>
        </w:rPr>
        <w:t> </w:t>
      </w:r>
      <w:r>
        <w:rPr>
          <w:spacing w:val="-101"/>
        </w:rPr>
      </w:r>
      <w:r>
        <w:rPr/>
        <w:t>步深化司法公开，在前期工作基础上，要完善庭审公开制度、审判信息数据库，加强中国裁</w:t>
      </w:r>
      <w:r>
        <w:rPr>
          <w:spacing w:val="-91"/>
        </w:rPr>
        <w:t> </w:t>
      </w:r>
      <w:r>
        <w:rPr>
          <w:spacing w:val="-91"/>
        </w:rPr>
      </w:r>
      <w:r>
        <w:rPr>
          <w:spacing w:val="2"/>
        </w:rPr>
        <w:t>判文书网网站建设，整合各类执行信息；深化司法统计改革，以</w:t>
      </w:r>
      <w:r>
        <w:rPr>
          <w:rFonts w:ascii="Arial" w:hAnsi="Arial" w:cs="Arial" w:eastAsia="Arial" w:hint="default"/>
          <w:spacing w:val="2"/>
        </w:rPr>
        <w:t>“</w:t>
      </w:r>
      <w:r>
        <w:rPr>
          <w:spacing w:val="2"/>
        </w:rPr>
        <w:t>大数据、大格局、大服务</w:t>
      </w:r>
      <w:r>
        <w:rPr>
          <w:rFonts w:ascii="Arial" w:hAnsi="Arial" w:cs="Arial" w:eastAsia="Arial" w:hint="default"/>
          <w:spacing w:val="2"/>
        </w:rPr>
        <w:t>”</w:t>
      </w:r>
      <w:r>
        <w:rPr>
          <w:rFonts w:ascii="Arial" w:hAnsi="Arial" w:cs="Arial" w:eastAsia="Arial" w:hint="default"/>
          <w:spacing w:val="-41"/>
        </w:rPr>
        <w:t> </w:t>
      </w:r>
      <w:r>
        <w:rPr/>
        <w:t>理念为指导，建立司法信息大数据中心；到 </w:t>
      </w:r>
      <w:r>
        <w:rPr>
          <w:rFonts w:ascii="Arial" w:hAnsi="Arial" w:cs="Arial" w:eastAsia="Arial" w:hint="default"/>
        </w:rPr>
        <w:t>2015</w:t>
      </w:r>
      <w:r>
        <w:rPr>
          <w:rFonts w:ascii="Arial" w:hAnsi="Arial" w:cs="Arial" w:eastAsia="Arial" w:hint="default"/>
          <w:spacing w:val="35"/>
        </w:rPr>
        <w:t> </w:t>
      </w:r>
      <w:r>
        <w:rPr/>
        <w:t>年底，形成体系完备、信息齐全、使用便 捷的人民法院审判流程公开、裁判文书公开和执行信息公开三大平台，建立覆盖全面、系统</w:t>
      </w:r>
      <w:r>
        <w:rPr>
          <w:spacing w:val="-91"/>
        </w:rPr>
        <w:t> </w:t>
      </w:r>
      <w:r>
        <w:rPr>
          <w:spacing w:val="-91"/>
        </w:rPr>
      </w:r>
      <w:r>
        <w:rPr>
          <w:spacing w:val="2"/>
        </w:rPr>
        <w:t>科学、便民利民的司法为民机制。加快</w:t>
      </w:r>
      <w:r>
        <w:rPr>
          <w:rFonts w:ascii="Arial" w:hAnsi="Arial" w:cs="Arial" w:eastAsia="Arial" w:hint="default"/>
          <w:spacing w:val="2"/>
        </w:rPr>
        <w:t>“</w:t>
      </w:r>
      <w:r>
        <w:rPr>
          <w:spacing w:val="2"/>
        </w:rPr>
        <w:t>天平工程</w:t>
      </w:r>
      <w:r>
        <w:rPr>
          <w:rFonts w:ascii="Arial" w:hAnsi="Arial" w:cs="Arial" w:eastAsia="Arial" w:hint="default"/>
          <w:spacing w:val="2"/>
        </w:rPr>
        <w:t>”</w:t>
      </w:r>
      <w:r>
        <w:rPr>
          <w:spacing w:val="2"/>
        </w:rPr>
        <w:t>建设，着力整合现有资源，推动以服务法</w:t>
      </w:r>
      <w:r>
        <w:rPr>
          <w:spacing w:val="-98"/>
        </w:rPr>
        <w:t> </w:t>
      </w:r>
      <w:r>
        <w:rPr>
          <w:spacing w:val="-98"/>
        </w:rPr>
      </w:r>
      <w:r>
        <w:rPr/>
        <w:t>院工作和公众需求的各类信息化应用。最高人民法院和高级人民法院主要业务信息化覆盖率</w:t>
      </w:r>
      <w:r>
        <w:rPr>
          <w:spacing w:val="-91"/>
        </w:rPr>
        <w:t> </w:t>
      </w:r>
      <w:r>
        <w:rPr>
          <w:spacing w:val="-91"/>
        </w:rPr>
      </w:r>
      <w:r>
        <w:rPr/>
        <w:t>达到</w:t>
      </w:r>
      <w:r>
        <w:rPr>
          <w:spacing w:val="-55"/>
        </w:rPr>
        <w:t> </w:t>
      </w:r>
      <w:r>
        <w:rPr>
          <w:rFonts w:ascii="Arial" w:hAnsi="Arial" w:cs="Arial" w:eastAsia="Arial" w:hint="default"/>
          <w:spacing w:val="-3"/>
        </w:rPr>
        <w:t>100%</w:t>
      </w:r>
      <w:r>
        <w:rPr>
          <w:spacing w:val="-3"/>
        </w:rPr>
        <w:t>，中级人民法院和基层人民法院分别达到</w:t>
      </w:r>
      <w:r>
        <w:rPr>
          <w:spacing w:val="-54"/>
        </w:rPr>
        <w:t> </w:t>
      </w:r>
      <w:r>
        <w:rPr>
          <w:rFonts w:ascii="Arial" w:hAnsi="Arial" w:cs="Arial" w:eastAsia="Arial" w:hint="default"/>
        </w:rPr>
        <w:t>95%</w:t>
      </w:r>
      <w:r>
        <w:rPr/>
        <w:t>和</w:t>
      </w:r>
      <w:r>
        <w:rPr>
          <w:spacing w:val="-55"/>
        </w:rPr>
        <w:t> </w:t>
      </w:r>
      <w:r>
        <w:rPr>
          <w:rFonts w:ascii="Arial" w:hAnsi="Arial" w:cs="Arial" w:eastAsia="Arial" w:hint="default"/>
        </w:rPr>
        <w:t>85%</w:t>
      </w:r>
      <w:r>
        <w:rPr/>
        <w:t>以上。法院信息化建设将迎</w:t>
      </w:r>
      <w:r>
        <w:rPr>
          <w:spacing w:val="-118"/>
        </w:rPr>
        <w:t> </w:t>
      </w:r>
      <w:r>
        <w:rPr>
          <w:spacing w:val="-118"/>
        </w:rPr>
      </w:r>
      <w:r>
        <w:rPr/>
        <w:t>来新一轮建设高潮。四个五年改革纲要作为重要纲领性文件指导未来五年法院工作重心，是</w:t>
      </w:r>
      <w:r>
        <w:rPr>
          <w:spacing w:val="-91"/>
        </w:rPr>
        <w:t> </w:t>
      </w:r>
      <w:r>
        <w:rPr>
          <w:spacing w:val="-91"/>
        </w:rPr>
      </w:r>
      <w:r>
        <w:rPr/>
        <w:t>法院信息化建设的重要基础和推动力。</w:t>
      </w:r>
    </w:p>
    <w:p>
      <w:pPr>
        <w:pStyle w:val="BodyText"/>
        <w:spacing w:line="297" w:lineRule="auto" w:before="24"/>
        <w:ind w:right="152" w:firstLine="480"/>
        <w:jc w:val="both"/>
      </w:pPr>
      <w:r>
        <w:rPr>
          <w:spacing w:val="-6"/>
        </w:rPr>
        <w:t>报告期内，公司围绕行业建设需求，积极拓展用户，在审判业务、诉讼服务、数字法庭、</w:t>
      </w:r>
      <w:r>
        <w:rPr/>
        <w:t> 执行业务等自有软件及解决方案的推广上取得显著成绩：自主研发的数字法院智能管理系统</w:t>
      </w:r>
      <w:r>
        <w:rPr>
          <w:spacing w:val="-88"/>
        </w:rPr>
        <w:t> </w:t>
      </w:r>
      <w:r>
        <w:rPr>
          <w:spacing w:val="-88"/>
        </w:rPr>
      </w:r>
      <w:r>
        <w:rPr>
          <w:spacing w:val="-5"/>
        </w:rPr>
        <w:t>拓展良好，核心应用产品覆盖用户即将突破千家；各省级法院的数据中心建设项目逐步启动，</w:t>
      </w:r>
      <w:r>
        <w:rPr>
          <w:spacing w:val="-117"/>
        </w:rPr>
        <w:t> </w:t>
      </w:r>
      <w:r>
        <w:rPr>
          <w:spacing w:val="-117"/>
        </w:rPr>
      </w:r>
      <w:r>
        <w:rPr/>
        <w:t>公司在行业制高点用户的项目建设中获得好评，并面向全国法院大力推广，中标数个具有示</w:t>
      </w:r>
      <w:r>
        <w:rPr>
          <w:spacing w:val="-90"/>
        </w:rPr>
        <w:t> </w:t>
      </w:r>
      <w:r>
        <w:rPr>
          <w:spacing w:val="-90"/>
        </w:rPr>
      </w:r>
      <w:r>
        <w:rPr/>
        <w:t>范效应的项目；积极推进庭审全程录音录像的建设，数字法庭及相关音视频应用系统建设积</w:t>
      </w:r>
      <w:r>
        <w:rPr>
          <w:spacing w:val="-91"/>
        </w:rPr>
        <w:t> </w:t>
      </w:r>
      <w:r>
        <w:rPr>
          <w:spacing w:val="-91"/>
        </w:rPr>
      </w:r>
      <w:r>
        <w:rPr/>
        <w:t>极开展，数字法庭解决方案市场占有率稳步提高。</w:t>
      </w:r>
    </w:p>
    <w:p>
      <w:pPr>
        <w:pStyle w:val="BodyText"/>
        <w:spacing w:line="240" w:lineRule="auto" w:before="17"/>
        <w:ind w:left="633" w:right="0"/>
        <w:jc w:val="left"/>
      </w:pPr>
      <w:r>
        <w:rPr/>
        <w:t>在最高人民法院推进司法公开、诉讼服务建设的政策机遇下，公司在法律服务领域首款</w:t>
      </w:r>
    </w:p>
    <w:p>
      <w:pPr>
        <w:spacing w:after="0" w:line="240" w:lineRule="auto"/>
        <w:jc w:val="left"/>
        <w:sectPr>
          <w:footerReference w:type="default" r:id="rId12"/>
          <w:pgSz w:w="11910" w:h="16840"/>
          <w:pgMar w:footer="1010" w:header="752" w:top="1100" w:bottom="1200" w:left="980" w:right="980"/>
        </w:sectPr>
      </w:pPr>
    </w:p>
    <w:p>
      <w:pPr>
        <w:spacing w:line="240" w:lineRule="auto" w:before="8"/>
        <w:rPr>
          <w:rFonts w:ascii="宋体" w:hAnsi="宋体" w:cs="宋体" w:eastAsia="宋体" w:hint="default"/>
          <w:sz w:val="23"/>
          <w:szCs w:val="23"/>
        </w:rPr>
      </w:pPr>
    </w:p>
    <w:p>
      <w:pPr>
        <w:pStyle w:val="BodyText"/>
        <w:spacing w:line="290" w:lineRule="auto" w:before="26"/>
        <w:ind w:right="351"/>
        <w:jc w:val="both"/>
      </w:pPr>
      <w:r>
        <w:rPr>
          <w:spacing w:val="-1"/>
        </w:rPr>
        <w:t>互联网和移动互联网产品</w:t>
      </w:r>
      <w:r>
        <w:rPr>
          <w:rFonts w:ascii="Arial" w:hAnsi="Arial" w:cs="Arial" w:eastAsia="Arial" w:hint="default"/>
          <w:spacing w:val="-1"/>
        </w:rPr>
        <w:t>“</w:t>
      </w:r>
      <w:r>
        <w:rPr>
          <w:spacing w:val="-1"/>
        </w:rPr>
        <w:t>诉讼无忧</w:t>
      </w:r>
      <w:r>
        <w:rPr>
          <w:rFonts w:ascii="Arial" w:hAnsi="Arial" w:cs="Arial" w:eastAsia="Arial" w:hint="default"/>
          <w:spacing w:val="-1"/>
        </w:rPr>
        <w:t>”</w:t>
      </w:r>
      <w:r>
        <w:rPr>
          <w:spacing w:val="-1"/>
        </w:rPr>
        <w:t>市场占有率快速增长，</w:t>
      </w:r>
      <w:r>
        <w:rPr>
          <w:rFonts w:ascii="Arial" w:hAnsi="Arial" w:cs="Arial" w:eastAsia="Arial" w:hint="default"/>
          <w:spacing w:val="-1"/>
        </w:rPr>
        <w:t>“</w:t>
      </w:r>
      <w:r>
        <w:rPr>
          <w:spacing w:val="-1"/>
        </w:rPr>
        <w:t>诉讼无忧</w:t>
      </w:r>
      <w:r>
        <w:rPr>
          <w:rFonts w:ascii="Arial" w:hAnsi="Arial" w:cs="Arial" w:eastAsia="Arial" w:hint="default"/>
          <w:spacing w:val="-1"/>
        </w:rPr>
        <w:t>”</w:t>
      </w:r>
      <w:r>
        <w:rPr>
          <w:spacing w:val="-1"/>
        </w:rPr>
        <w:t>借助互联网和移动互联</w:t>
      </w:r>
      <w:r>
        <w:rPr/>
        <w:t> 网为律师、诉讼当事人提供审判流程公开、网上立案、电子送达等服务，使律师和诉讼当事</w:t>
      </w:r>
      <w:r>
        <w:rPr>
          <w:spacing w:val="-87"/>
        </w:rPr>
        <w:t> </w:t>
      </w:r>
      <w:r>
        <w:rPr>
          <w:spacing w:val="-87"/>
        </w:rPr>
      </w:r>
      <w:r>
        <w:rPr/>
        <w:t>人获得诉讼便利，目前已覆盖</w:t>
      </w:r>
      <w:r>
        <w:rPr>
          <w:spacing w:val="-62"/>
        </w:rPr>
        <w:t> </w:t>
      </w:r>
      <w:r>
        <w:rPr>
          <w:rFonts w:ascii="Arial" w:hAnsi="Arial" w:cs="Arial" w:eastAsia="Arial" w:hint="default"/>
        </w:rPr>
        <w:t>18</w:t>
      </w:r>
      <w:r>
        <w:rPr>
          <w:rFonts w:ascii="Arial" w:hAnsi="Arial" w:cs="Arial" w:eastAsia="Arial" w:hint="default"/>
          <w:spacing w:val="-9"/>
        </w:rPr>
        <w:t> </w:t>
      </w:r>
      <w:r>
        <w:rPr/>
        <w:t>个省份的近千家法院。</w:t>
      </w:r>
    </w:p>
    <w:p>
      <w:pPr>
        <w:pStyle w:val="BodyText"/>
        <w:spacing w:line="256" w:lineRule="auto" w:before="157"/>
        <w:ind w:left="635" w:right="105" w:hanging="3"/>
        <w:jc w:val="left"/>
      </w:pPr>
      <w:r>
        <w:rPr>
          <w:rFonts w:ascii="Arial" w:hAnsi="Arial" w:cs="Arial" w:eastAsia="Arial" w:hint="default"/>
        </w:rPr>
        <w:t>1.2</w:t>
      </w:r>
      <w:r>
        <w:rPr/>
        <w:t>、检察院行业</w:t>
      </w:r>
      <w:r>
        <w:rPr>
          <w:w w:val="100"/>
        </w:rPr>
        <w:t> </w:t>
      </w:r>
      <w:r>
        <w:rPr/>
        <w:t>最高人民检察院深化检务公开改革试点，依托信息化手段创新检务公开方式，把执法办</w:t>
      </w:r>
    </w:p>
    <w:p>
      <w:pPr>
        <w:pStyle w:val="BodyText"/>
        <w:spacing w:line="297" w:lineRule="auto" w:before="58"/>
        <w:ind w:right="357"/>
        <w:jc w:val="both"/>
      </w:pPr>
      <w:r>
        <w:rPr/>
        <w:t>案信息公开作为重点，着力推进案件信息查询、重大案件信息和典型案例发布等工作；各省</w:t>
      </w:r>
      <w:r>
        <w:rPr>
          <w:spacing w:val="-90"/>
        </w:rPr>
        <w:t> </w:t>
      </w:r>
      <w:r>
        <w:rPr>
          <w:spacing w:val="-90"/>
        </w:rPr>
      </w:r>
      <w:r>
        <w:rPr/>
        <w:t>相继完成电子检务工程配套可研方案，电子检务工作有序开展，检察院行业信息建设热度显</w:t>
      </w:r>
      <w:r>
        <w:rPr>
          <w:spacing w:val="-91"/>
        </w:rPr>
        <w:t> </w:t>
      </w:r>
      <w:r>
        <w:rPr>
          <w:spacing w:val="-91"/>
        </w:rPr>
      </w:r>
      <w:r>
        <w:rPr/>
        <w:t>著提升。</w:t>
      </w:r>
    </w:p>
    <w:p>
      <w:pPr>
        <w:pStyle w:val="BodyText"/>
        <w:spacing w:line="295" w:lineRule="auto" w:before="56"/>
        <w:ind w:right="351" w:firstLine="480"/>
        <w:jc w:val="both"/>
      </w:pPr>
      <w:r>
        <w:rPr/>
        <w:t>报告期内，公司积极参与电子检务工程，以多年的行业研究和信息化建设经验促进全国 电子检务工作开展，为电子检务市场的拓展奠定基础；报告期内，最高人民检察院向全国下</w:t>
      </w:r>
      <w:r>
        <w:rPr>
          <w:spacing w:val="-88"/>
        </w:rPr>
        <w:t> </w:t>
      </w:r>
      <w:r>
        <w:rPr>
          <w:spacing w:val="-88"/>
        </w:rPr>
      </w:r>
      <w:r>
        <w:rPr/>
        <w:t>发职务犯罪侦查总体设计方案，职务犯罪侦查作为检察院行业应用热点，在市场推广上取得</w:t>
      </w:r>
      <w:r>
        <w:rPr>
          <w:spacing w:val="-91"/>
        </w:rPr>
        <w:t> </w:t>
      </w:r>
      <w:r>
        <w:rPr>
          <w:spacing w:val="-91"/>
        </w:rPr>
      </w:r>
      <w:r>
        <w:rPr>
          <w:spacing w:val="-3"/>
        </w:rPr>
        <w:t>了良好成绩，目前用户已覆盖</w:t>
      </w:r>
      <w:r>
        <w:rPr>
          <w:spacing w:val="-57"/>
        </w:rPr>
        <w:t> </w:t>
      </w:r>
      <w:r>
        <w:rPr>
          <w:rFonts w:ascii="Arial" w:hAnsi="Arial" w:cs="Arial" w:eastAsia="Arial" w:hint="default"/>
        </w:rPr>
        <w:t>14</w:t>
      </w:r>
      <w:r>
        <w:rPr>
          <w:rFonts w:ascii="Arial" w:hAnsi="Arial" w:cs="Arial" w:eastAsia="Arial" w:hint="default"/>
          <w:spacing w:val="-4"/>
        </w:rPr>
        <w:t> </w:t>
      </w:r>
      <w:r>
        <w:rPr>
          <w:spacing w:val="-3"/>
        </w:rPr>
        <w:t>个省；公司向全国各级检察院全面拓展运维服务，在竞争激</w:t>
      </w:r>
      <w:r>
        <w:rPr/>
        <w:t> 烈的市场中取得良好成绩，建立了检察行业运维服务的领先地位；报告期内，公司承建多家</w:t>
      </w:r>
      <w:r>
        <w:rPr>
          <w:spacing w:val="-89"/>
        </w:rPr>
        <w:t> </w:t>
      </w:r>
      <w:r>
        <w:rPr>
          <w:spacing w:val="-89"/>
        </w:rPr>
      </w:r>
      <w:r>
        <w:rPr/>
        <w:t>省级检察院具有战略制高点和行业示范意义的项目，继续巩固和加强公司在检察院行业的竞</w:t>
      </w:r>
      <w:r>
        <w:rPr>
          <w:spacing w:val="-86"/>
        </w:rPr>
        <w:t> </w:t>
      </w:r>
      <w:r>
        <w:rPr>
          <w:spacing w:val="-86"/>
        </w:rPr>
      </w:r>
      <w:r>
        <w:rPr/>
        <w:t>争优势。</w:t>
      </w:r>
    </w:p>
    <w:p>
      <w:pPr>
        <w:pStyle w:val="BodyText"/>
        <w:spacing w:line="240" w:lineRule="auto" w:before="178"/>
        <w:ind w:left="633" w:right="105"/>
        <w:jc w:val="left"/>
      </w:pPr>
      <w:r>
        <w:rPr>
          <w:rFonts w:ascii="Arial" w:hAnsi="Arial" w:cs="Arial" w:eastAsia="Arial" w:hint="default"/>
        </w:rPr>
        <w:t>2</w:t>
      </w:r>
      <w:r>
        <w:rPr/>
        <w:t>、食品安全</w:t>
      </w:r>
    </w:p>
    <w:p>
      <w:pPr>
        <w:pStyle w:val="BodyText"/>
        <w:spacing w:line="292" w:lineRule="auto" w:before="58"/>
        <w:ind w:right="352" w:firstLine="480"/>
        <w:jc w:val="both"/>
      </w:pPr>
      <w:r>
        <w:rPr>
          <w:rFonts w:ascii="Arial" w:hAnsi="Arial" w:cs="Arial" w:eastAsia="Arial" w:hint="default"/>
        </w:rPr>
        <w:t>2014</w:t>
      </w:r>
      <w:r>
        <w:rPr>
          <w:rFonts w:ascii="Arial" w:hAnsi="Arial" w:cs="Arial" w:eastAsia="Arial" w:hint="default"/>
          <w:spacing w:val="17"/>
        </w:rPr>
        <w:t> </w:t>
      </w:r>
      <w:r>
        <w:rPr>
          <w:spacing w:val="-3"/>
        </w:rPr>
        <w:t>年，随着各地食品药品安全管理部门机构调整的陆续到位，国家对食品安全保障工</w:t>
      </w:r>
      <w:r>
        <w:rPr/>
        <w:t> 作的推进力度不断加大。食药监总局继续落实《关于进一步加强食品药品监管信息化建设的</w:t>
      </w:r>
      <w:r>
        <w:rPr>
          <w:spacing w:val="-87"/>
        </w:rPr>
        <w:t> </w:t>
      </w:r>
      <w:r>
        <w:rPr>
          <w:spacing w:val="-87"/>
        </w:rPr>
      </w:r>
      <w:r>
        <w:rPr>
          <w:spacing w:val="-4"/>
        </w:rPr>
        <w:t>指导意见》，并先后出台《</w:t>
      </w:r>
      <w:r>
        <w:rPr>
          <w:rFonts w:ascii="Arial" w:hAnsi="Arial" w:cs="Arial" w:eastAsia="Arial" w:hint="default"/>
          <w:spacing w:val="-4"/>
        </w:rPr>
        <w:t>2014</w:t>
      </w:r>
      <w:r>
        <w:rPr>
          <w:rFonts w:ascii="Arial" w:hAnsi="Arial" w:cs="Arial" w:eastAsia="Arial" w:hint="default"/>
          <w:spacing w:val="-21"/>
        </w:rPr>
        <w:t> </w:t>
      </w:r>
      <w:r>
        <w:rPr/>
        <w:t>年总局食品安全重点工作安排》和《总局信息化建设工作规 则（暂行）》等文件，要求各地把完善监管链条作为促进食品安全监管工作提质增效的重要</w:t>
      </w:r>
      <w:r>
        <w:rPr>
          <w:spacing w:val="-91"/>
        </w:rPr>
        <w:t> </w:t>
      </w:r>
      <w:r>
        <w:rPr>
          <w:spacing w:val="-91"/>
        </w:rPr>
      </w:r>
      <w:r>
        <w:rPr/>
        <w:t>切入点，不断创新监管方式方法，着力构建科学有效的监管工作体系；并要求各地继续推动</w:t>
      </w:r>
      <w:r>
        <w:rPr>
          <w:spacing w:val="-91"/>
        </w:rPr>
        <w:t> </w:t>
      </w:r>
      <w:r>
        <w:rPr>
          <w:spacing w:val="-91"/>
        </w:rPr>
      </w:r>
      <w:r>
        <w:rPr/>
        <w:t>建立食品安全追溯体系，着力构建从生产到消费、从田间到餐桌的全过程监管体系，食品安</w:t>
      </w:r>
      <w:r>
        <w:rPr>
          <w:spacing w:val="-91"/>
        </w:rPr>
        <w:t> </w:t>
      </w:r>
      <w:r>
        <w:rPr>
          <w:spacing w:val="-91"/>
        </w:rPr>
      </w:r>
      <w:r>
        <w:rPr/>
        <w:t>全行业的信息化建设全面展开。</w:t>
      </w:r>
    </w:p>
    <w:p>
      <w:pPr>
        <w:pStyle w:val="BodyText"/>
        <w:spacing w:line="290" w:lineRule="auto" w:before="24"/>
        <w:ind w:right="105" w:firstLine="480"/>
        <w:jc w:val="left"/>
      </w:pPr>
      <w:r>
        <w:rPr>
          <w:spacing w:val="2"/>
        </w:rPr>
        <w:t>报告期内，在面向城市食品安全管理的</w:t>
      </w:r>
      <w:r>
        <w:rPr>
          <w:rFonts w:ascii="Arial" w:hAnsi="Arial" w:cs="Arial" w:eastAsia="Arial" w:hint="default"/>
          <w:spacing w:val="2"/>
        </w:rPr>
        <w:t>“</w:t>
      </w:r>
      <w:r>
        <w:rPr>
          <w:spacing w:val="2"/>
        </w:rPr>
        <w:t>城市立体化食品安全保障体系建设方案</w:t>
      </w:r>
      <w:r>
        <w:rPr>
          <w:rFonts w:ascii="Arial" w:hAnsi="Arial" w:cs="Arial" w:eastAsia="Arial" w:hint="default"/>
          <w:spacing w:val="2"/>
        </w:rPr>
        <w:t>”</w:t>
      </w:r>
      <w:r>
        <w:rPr>
          <w:spacing w:val="2"/>
        </w:rPr>
        <w:t>和面向</w:t>
      </w:r>
      <w:r>
        <w:rPr/>
        <w:t> </w:t>
      </w:r>
      <w:r>
        <w:rPr>
          <w:spacing w:val="2"/>
        </w:rPr>
        <w:t>食药监管理部门业务的</w:t>
      </w:r>
      <w:r>
        <w:rPr>
          <w:rFonts w:ascii="Arial" w:hAnsi="Arial" w:cs="Arial" w:eastAsia="Arial" w:hint="default"/>
          <w:spacing w:val="2"/>
        </w:rPr>
        <w:t>“</w:t>
      </w:r>
      <w:r>
        <w:rPr>
          <w:spacing w:val="2"/>
        </w:rPr>
        <w:t>食品药品安全监管一体化解决方案</w:t>
      </w:r>
      <w:r>
        <w:rPr>
          <w:rFonts w:ascii="Arial" w:hAnsi="Arial" w:cs="Arial" w:eastAsia="Arial" w:hint="default"/>
          <w:spacing w:val="2"/>
        </w:rPr>
        <w:t>”</w:t>
      </w:r>
      <w:r>
        <w:rPr>
          <w:spacing w:val="2"/>
        </w:rPr>
        <w:t>的基础上，公司形成了覆盖食药</w:t>
      </w:r>
      <w:r>
        <w:rPr>
          <w:spacing w:val="-96"/>
        </w:rPr>
        <w:t> </w:t>
      </w:r>
      <w:r>
        <w:rPr>
          <w:spacing w:val="-96"/>
        </w:rPr>
      </w:r>
      <w:r>
        <w:rPr/>
        <w:t>监管理各个业务环节完整的产品线。在市场层面，公司全盘部署、主动出击，在一二三线城</w:t>
      </w:r>
      <w:r>
        <w:rPr>
          <w:spacing w:val="-91"/>
        </w:rPr>
        <w:t> </w:t>
      </w:r>
      <w:r>
        <w:rPr>
          <w:spacing w:val="-91"/>
        </w:rPr>
      </w:r>
      <w:r>
        <w:rPr/>
        <w:t>市全面开花，北京、三亚、武汉、南宁等多地取得突破；公司继续拓展面向企业食品安全的</w:t>
      </w:r>
      <w:r>
        <w:rPr>
          <w:spacing w:val="-88"/>
        </w:rPr>
        <w:t> </w:t>
      </w:r>
      <w:r>
        <w:rPr>
          <w:spacing w:val="-88"/>
        </w:rPr>
      </w:r>
      <w:r>
        <w:rPr/>
        <w:t>全流程追溯管理系统，并在面向企业提供食品安全云服务的创新模式的建设运营方面取得了</w:t>
      </w:r>
      <w:r>
        <w:rPr>
          <w:spacing w:val="-87"/>
        </w:rPr>
        <w:t> </w:t>
      </w:r>
      <w:r>
        <w:rPr>
          <w:spacing w:val="-87"/>
        </w:rPr>
      </w:r>
      <w:r>
        <w:rPr>
          <w:spacing w:val="-10"/>
        </w:rPr>
        <w:t>一定的成果。报告期内，公司食品安全相关业务收入</w:t>
      </w:r>
      <w:r>
        <w:rPr>
          <w:spacing w:val="-55"/>
        </w:rPr>
        <w:t> </w:t>
      </w:r>
      <w:r>
        <w:rPr>
          <w:rFonts w:ascii="Arial" w:hAnsi="Arial" w:cs="Arial" w:eastAsia="Arial" w:hint="default"/>
          <w:spacing w:val="-1"/>
          <w:w w:val="99"/>
        </w:rPr>
        <w:t>6,830.95</w:t>
      </w:r>
      <w:r>
        <w:rPr>
          <w:rFonts w:ascii="Arial" w:hAnsi="Arial" w:cs="Arial" w:eastAsia="Arial" w:hint="default"/>
          <w:spacing w:val="-2"/>
          <w:w w:val="99"/>
        </w:rPr>
        <w:t> </w:t>
      </w:r>
      <w:r>
        <w:rPr>
          <w:spacing w:val="-12"/>
        </w:rPr>
        <w:t>万元，较去年实现增长</w:t>
      </w:r>
      <w:r>
        <w:rPr>
          <w:spacing w:val="-56"/>
        </w:rPr>
        <w:t> </w:t>
      </w:r>
      <w:r>
        <w:rPr>
          <w:rFonts w:ascii="Arial" w:hAnsi="Arial" w:cs="Arial" w:eastAsia="Arial" w:hint="default"/>
          <w:spacing w:val="-1"/>
          <w:w w:val="99"/>
        </w:rPr>
        <w:t>123.65%</w:t>
      </w:r>
      <w:r>
        <w:rPr>
          <w:spacing w:val="-1"/>
          <w:w w:val="99"/>
        </w:rPr>
        <w:t>，</w:t>
      </w:r>
      <w:r>
        <w:rPr/>
        <w:t> 并荣获</w:t>
      </w:r>
      <w:r>
        <w:rPr>
          <w:spacing w:val="-62"/>
        </w:rPr>
        <w:t> </w:t>
      </w:r>
      <w:r>
        <w:rPr>
          <w:rFonts w:ascii="Arial" w:hAnsi="Arial" w:cs="Arial" w:eastAsia="Arial" w:hint="default"/>
        </w:rPr>
        <w:t>2014</w:t>
      </w:r>
      <w:r>
        <w:rPr>
          <w:rFonts w:ascii="Arial" w:hAnsi="Arial" w:cs="Arial" w:eastAsia="Arial" w:hint="default"/>
          <w:spacing w:val="-8"/>
        </w:rPr>
        <w:t> </w:t>
      </w:r>
      <w:r>
        <w:rPr/>
        <w:t>年度中国食品安全行业信息化最具影响力企业奖。</w:t>
      </w:r>
    </w:p>
    <w:p>
      <w:pPr>
        <w:pStyle w:val="BodyText"/>
        <w:spacing w:line="283" w:lineRule="auto" w:before="1"/>
        <w:ind w:left="633" w:right="105"/>
        <w:jc w:val="left"/>
      </w:pPr>
      <w:r>
        <w:rPr>
          <w:rFonts w:ascii="Arial" w:hAnsi="Arial" w:cs="Arial" w:eastAsia="Arial" w:hint="default"/>
        </w:rPr>
        <w:t>4</w:t>
      </w:r>
      <w:r>
        <w:rPr/>
        <w:t>、商业智能 公司在商业智能领域继续保持较好的增长，在金融、政府行业和集团企业领域核心产品</w:t>
      </w:r>
    </w:p>
    <w:p>
      <w:pPr>
        <w:pStyle w:val="BodyText"/>
        <w:spacing w:line="297" w:lineRule="auto" w:before="31"/>
        <w:ind w:right="353"/>
        <w:jc w:val="both"/>
      </w:pPr>
      <w:r>
        <w:rPr/>
        <w:t>和行业解决方案销售业绩有较大提升，市场地位得到进一步发展。在金融行业，跟银行、金</w:t>
      </w:r>
      <w:r>
        <w:rPr>
          <w:spacing w:val="-89"/>
        </w:rPr>
        <w:t> </w:t>
      </w:r>
      <w:r>
        <w:rPr>
          <w:spacing w:val="-89"/>
        </w:rPr>
      </w:r>
      <w:r>
        <w:rPr/>
        <w:t>融租赁等用户的合作取得重要突破；继续拓展以税务、电力为核心的多行业用户，开展广泛</w:t>
      </w:r>
      <w:r>
        <w:rPr>
          <w:spacing w:val="-88"/>
        </w:rPr>
        <w:t> </w:t>
      </w:r>
      <w:r>
        <w:rPr>
          <w:spacing w:val="-88"/>
        </w:rPr>
      </w:r>
      <w:r>
        <w:rPr/>
        <w:t>应用；集团企业方面，与中国建筑、京东、复星等大型企业开展合作，建立产品优势。报告</w:t>
      </w:r>
    </w:p>
    <w:p>
      <w:pPr>
        <w:spacing w:after="0" w:line="297" w:lineRule="auto"/>
        <w:jc w:val="both"/>
        <w:sectPr>
          <w:footerReference w:type="default" r:id="rId13"/>
          <w:pgSz w:w="11910" w:h="16840"/>
          <w:pgMar w:footer="1010" w:header="752" w:top="1100" w:bottom="1200" w:left="980" w:right="780"/>
          <w:pgNumType w:start="12"/>
        </w:sectPr>
      </w:pPr>
    </w:p>
    <w:p>
      <w:pPr>
        <w:spacing w:line="240" w:lineRule="auto" w:before="8"/>
        <w:rPr>
          <w:rFonts w:ascii="宋体" w:hAnsi="宋体" w:cs="宋体" w:eastAsia="宋体" w:hint="default"/>
          <w:sz w:val="23"/>
          <w:szCs w:val="23"/>
        </w:rPr>
      </w:pPr>
    </w:p>
    <w:p>
      <w:pPr>
        <w:pStyle w:val="BodyText"/>
        <w:spacing w:line="297" w:lineRule="auto" w:before="26"/>
        <w:ind w:right="159"/>
        <w:jc w:val="both"/>
      </w:pPr>
      <w:r>
        <w:rPr/>
        <w:t>期内，公司在产品销售和渠道建设方面取得重要进展，为公司持续、快速发展注入了重要活</w:t>
      </w:r>
      <w:r>
        <w:rPr>
          <w:spacing w:val="-91"/>
        </w:rPr>
        <w:t> </w:t>
      </w:r>
      <w:r>
        <w:rPr>
          <w:spacing w:val="-91"/>
        </w:rPr>
      </w:r>
      <w:r>
        <w:rPr/>
        <w:t>力。报告期内，公司商务智能相关业务收入 </w:t>
      </w:r>
      <w:r>
        <w:rPr>
          <w:rFonts w:ascii="Arial" w:hAnsi="Arial" w:cs="Arial" w:eastAsia="Arial" w:hint="default"/>
        </w:rPr>
        <w:t>5,770 </w:t>
      </w:r>
      <w:r>
        <w:rPr/>
        <w:t>万元，与上年同比增长</w:t>
      </w:r>
      <w:r>
        <w:rPr>
          <w:spacing w:val="-71"/>
        </w:rPr>
        <w:t> </w:t>
      </w:r>
      <w:r>
        <w:rPr>
          <w:rFonts w:ascii="Arial" w:hAnsi="Arial" w:cs="Arial" w:eastAsia="Arial" w:hint="default"/>
        </w:rPr>
        <w:t>28.19%</w:t>
      </w:r>
      <w:r>
        <w:rPr/>
        <w:t>。</w:t>
      </w:r>
    </w:p>
    <w:p>
      <w:pPr>
        <w:pStyle w:val="BodyText"/>
        <w:spacing w:line="280" w:lineRule="auto" w:before="151"/>
        <w:ind w:left="633" w:right="0"/>
        <w:jc w:val="left"/>
      </w:pPr>
      <w:r>
        <w:rPr>
          <w:rFonts w:ascii="Arial" w:hAnsi="Arial" w:cs="Arial" w:eastAsia="Arial" w:hint="default"/>
        </w:rPr>
        <w:t>5</w:t>
      </w:r>
      <w:r>
        <w:rPr/>
        <w:t>、二维码业务 报告期内，公司投资成立华宇信码，以二维码专利为载体，依托移动互联网、大数据等</w:t>
      </w:r>
    </w:p>
    <w:p>
      <w:pPr>
        <w:pStyle w:val="BodyText"/>
        <w:spacing w:line="297" w:lineRule="auto" w:before="36"/>
        <w:ind w:right="148"/>
        <w:jc w:val="both"/>
      </w:pPr>
      <w:r>
        <w:rPr/>
        <w:t>技术，向客户提供信息服务、共同构建商品信息与营销服务平台。二维码业务定位于精准移</w:t>
      </w:r>
      <w:r>
        <w:rPr>
          <w:spacing w:val="-87"/>
        </w:rPr>
        <w:t> </w:t>
      </w:r>
      <w:r>
        <w:rPr>
          <w:spacing w:val="-87"/>
        </w:rPr>
      </w:r>
      <w:r>
        <w:rPr/>
        <w:t>动营销平台，通过二维码红包与快消品企业合作，提供基于移动互联网的终端促销服务。目</w:t>
      </w:r>
      <w:r>
        <w:rPr>
          <w:spacing w:val="-91"/>
        </w:rPr>
        <w:t> </w:t>
      </w:r>
      <w:r>
        <w:rPr>
          <w:spacing w:val="-91"/>
        </w:rPr>
      </w:r>
      <w:r>
        <w:rPr/>
        <w:t>前，华宇信码业务进展顺利，已与十余家快消品牌开展区域合作，单月赋码量超过 </w:t>
      </w:r>
      <w:r>
        <w:rPr>
          <w:rFonts w:ascii="Arial" w:hAnsi="Arial" w:cs="Arial" w:eastAsia="Arial" w:hint="default"/>
        </w:rPr>
        <w:t>1,000</w:t>
      </w:r>
      <w:r>
        <w:rPr>
          <w:rFonts w:ascii="Arial" w:hAnsi="Arial" w:cs="Arial" w:eastAsia="Arial" w:hint="default"/>
          <w:spacing w:val="-28"/>
        </w:rPr>
        <w:t> </w:t>
      </w:r>
      <w:r>
        <w:rPr/>
        <w:t>万</w:t>
      </w:r>
    </w:p>
    <w:p>
      <w:pPr>
        <w:pStyle w:val="BodyText"/>
        <w:spacing w:line="283" w:lineRule="auto"/>
        <w:ind w:right="151"/>
        <w:jc w:val="both"/>
      </w:pPr>
      <w:r>
        <w:rPr/>
        <w:t>枚，注册用户超过</w:t>
      </w:r>
      <w:r>
        <w:rPr>
          <w:spacing w:val="-58"/>
        </w:rPr>
        <w:t> </w:t>
      </w:r>
      <w:r>
        <w:rPr>
          <w:rFonts w:ascii="Arial" w:hAnsi="Arial" w:cs="Arial" w:eastAsia="Arial" w:hint="default"/>
        </w:rPr>
        <w:t>150,000</w:t>
      </w:r>
      <w:r>
        <w:rPr>
          <w:rFonts w:ascii="Arial" w:hAnsi="Arial" w:cs="Arial" w:eastAsia="Arial" w:hint="default"/>
          <w:spacing w:val="-3"/>
        </w:rPr>
        <w:t> </w:t>
      </w:r>
      <w:r>
        <w:rPr/>
        <w:t>人；同时，华宇信码与广告商合作，将其导流需求打包成标准红 包，与快消品的用户群精准匹配，打造消费者、快消品、广告商三方的共赢模式。</w:t>
      </w:r>
    </w:p>
    <w:p>
      <w:pPr>
        <w:pStyle w:val="Heading3"/>
        <w:spacing w:line="240" w:lineRule="auto" w:before="149"/>
        <w:ind w:right="0"/>
        <w:jc w:val="both"/>
        <w:rPr>
          <w:b w:val="0"/>
          <w:bCs w:val="0"/>
        </w:rPr>
      </w:pPr>
      <w:r>
        <w:rPr/>
        <w:t>三、管理改进</w:t>
      </w:r>
      <w:r>
        <w:rPr>
          <w:b w:val="0"/>
          <w:bCs w:val="0"/>
        </w:rPr>
      </w:r>
    </w:p>
    <w:p>
      <w:pPr>
        <w:pStyle w:val="BodyText"/>
        <w:spacing w:line="297" w:lineRule="auto" w:before="115"/>
        <w:ind w:right="153" w:firstLine="480"/>
        <w:jc w:val="both"/>
      </w:pPr>
      <w:r>
        <w:rPr/>
        <w:t>报告期内，公司进一步加强集团战略管理，由上市公司华宇软件负责集团的战略管理、 投资并购、品牌文化等，统筹集团业务发展与管理。立足电子政务，放眼企业应用，华宇信</w:t>
      </w:r>
      <w:r>
        <w:rPr>
          <w:spacing w:val="-88"/>
        </w:rPr>
        <w:t> </w:t>
      </w:r>
      <w:r>
        <w:rPr>
          <w:spacing w:val="-88"/>
        </w:rPr>
      </w:r>
      <w:r>
        <w:rPr/>
        <w:t>息、广州华宇、浦东华宇（浦东中软）、华宇金信、亿信华辰和华宇信码将在集团范围内协</w:t>
      </w:r>
      <w:r>
        <w:rPr>
          <w:spacing w:val="-88"/>
        </w:rPr>
        <w:t> </w:t>
      </w:r>
      <w:r>
        <w:rPr>
          <w:spacing w:val="-88"/>
        </w:rPr>
      </w:r>
      <w:r>
        <w:rPr/>
        <w:t>同作战，实现公司业务健康、持续的发展。</w:t>
      </w:r>
    </w:p>
    <w:p>
      <w:pPr>
        <w:pStyle w:val="BodyText"/>
        <w:spacing w:line="280" w:lineRule="auto" w:before="175"/>
        <w:ind w:left="633" w:right="0"/>
        <w:jc w:val="left"/>
      </w:pPr>
      <w:r>
        <w:rPr>
          <w:rFonts w:ascii="Arial" w:hAnsi="Arial" w:cs="Arial" w:eastAsia="Arial" w:hint="default"/>
        </w:rPr>
        <w:t>1</w:t>
      </w:r>
      <w:r>
        <w:rPr/>
        <w:t>、市场与营销 公司持续优化业务结构，保持盈利能力稳定增长。公司坚持自有产品和服务为核心发展</w:t>
      </w:r>
    </w:p>
    <w:p>
      <w:pPr>
        <w:pStyle w:val="BodyText"/>
        <w:spacing w:line="280" w:lineRule="auto" w:before="36"/>
        <w:ind w:right="151"/>
        <w:jc w:val="both"/>
      </w:pPr>
      <w:r>
        <w:rPr/>
        <w:t>战略，软件和服务收入中占比持续上升。报告期内，应用软件收入 </w:t>
      </w:r>
      <w:r>
        <w:rPr>
          <w:rFonts w:ascii="Arial" w:hAnsi="Arial" w:cs="Arial" w:eastAsia="Arial" w:hint="default"/>
        </w:rPr>
        <w:t>4.2</w:t>
      </w:r>
      <w:r>
        <w:rPr>
          <w:rFonts w:ascii="Arial" w:hAnsi="Arial" w:cs="Arial" w:eastAsia="Arial" w:hint="default"/>
          <w:spacing w:val="-3"/>
        </w:rPr>
        <w:t> </w:t>
      </w:r>
      <w:r>
        <w:rPr/>
        <w:t>亿元，较去年同期增</w:t>
      </w:r>
      <w:r>
        <w:rPr>
          <w:w w:val="100"/>
        </w:rPr>
        <w:t> </w:t>
      </w:r>
      <w:r>
        <w:rPr/>
        <w:t>长</w:t>
      </w:r>
      <w:r>
        <w:rPr>
          <w:spacing w:val="-62"/>
        </w:rPr>
        <w:t> </w:t>
      </w:r>
      <w:r>
        <w:rPr>
          <w:rFonts w:ascii="Arial" w:hAnsi="Arial" w:cs="Arial" w:eastAsia="Arial" w:hint="default"/>
        </w:rPr>
        <w:t>50.78%</w:t>
      </w:r>
      <w:r>
        <w:rPr/>
        <w:t>，运维服务收入</w:t>
      </w:r>
      <w:r>
        <w:rPr>
          <w:spacing w:val="-62"/>
        </w:rPr>
        <w:t> </w:t>
      </w:r>
      <w:r>
        <w:rPr>
          <w:rFonts w:ascii="Arial" w:hAnsi="Arial" w:cs="Arial" w:eastAsia="Arial" w:hint="default"/>
        </w:rPr>
        <w:t>1.46</w:t>
      </w:r>
      <w:r>
        <w:rPr>
          <w:rFonts w:ascii="Arial" w:hAnsi="Arial" w:cs="Arial" w:eastAsia="Arial" w:hint="default"/>
          <w:spacing w:val="-8"/>
        </w:rPr>
        <w:t> </w:t>
      </w:r>
      <w:r>
        <w:rPr/>
        <w:t>亿元，较去年同期增长</w:t>
      </w:r>
      <w:r>
        <w:rPr>
          <w:spacing w:val="-62"/>
        </w:rPr>
        <w:t> </w:t>
      </w:r>
      <w:r>
        <w:rPr>
          <w:rFonts w:ascii="Arial" w:hAnsi="Arial" w:cs="Arial" w:eastAsia="Arial" w:hint="default"/>
        </w:rPr>
        <w:t>72.67%</w:t>
      </w:r>
      <w:r>
        <w:rPr/>
        <w:t>。</w:t>
      </w:r>
    </w:p>
    <w:p>
      <w:pPr>
        <w:pStyle w:val="BodyText"/>
        <w:spacing w:line="292" w:lineRule="auto" w:before="14"/>
        <w:ind w:right="152" w:firstLine="480"/>
        <w:jc w:val="both"/>
      </w:pPr>
      <w:r>
        <w:rPr/>
        <w:t>公司积极布局全国营销网络，完善和加强区域销售服务平台建设，加强服务营销能力， 进一步提升公司在全国的市场销售和服务能力。报告期内，华北地区保持较高增长势头，实</w:t>
      </w:r>
      <w:r>
        <w:rPr>
          <w:spacing w:val="-88"/>
        </w:rPr>
        <w:t> </w:t>
      </w:r>
      <w:r>
        <w:rPr>
          <w:spacing w:val="-88"/>
        </w:rPr>
      </w:r>
      <w:r>
        <w:rPr/>
        <w:t>现销售收入</w:t>
      </w:r>
      <w:r>
        <w:rPr>
          <w:spacing w:val="-58"/>
        </w:rPr>
        <w:t> </w:t>
      </w:r>
      <w:r>
        <w:rPr>
          <w:rFonts w:ascii="Arial" w:hAnsi="Arial" w:cs="Arial" w:eastAsia="Arial" w:hint="default"/>
        </w:rPr>
        <w:t>4.91</w:t>
      </w:r>
      <w:r>
        <w:rPr>
          <w:rFonts w:ascii="Arial" w:hAnsi="Arial" w:cs="Arial" w:eastAsia="Arial" w:hint="default"/>
          <w:spacing w:val="-3"/>
        </w:rPr>
        <w:t> </w:t>
      </w:r>
      <w:r>
        <w:rPr>
          <w:spacing w:val="-10"/>
        </w:rPr>
        <w:t>亿元，较去年同期增长</w:t>
      </w:r>
      <w:r>
        <w:rPr>
          <w:spacing w:val="-58"/>
        </w:rPr>
        <w:t> </w:t>
      </w:r>
      <w:r>
        <w:rPr>
          <w:rFonts w:ascii="Arial" w:hAnsi="Arial" w:cs="Arial" w:eastAsia="Arial" w:hint="default"/>
          <w:spacing w:val="-8"/>
        </w:rPr>
        <w:t>33.57%</w:t>
      </w:r>
      <w:r>
        <w:rPr>
          <w:spacing w:val="-8"/>
        </w:rPr>
        <w:t>；西北区域拓展成果显著，实现销售收入</w:t>
      </w:r>
      <w:r>
        <w:rPr>
          <w:spacing w:val="-56"/>
        </w:rPr>
        <w:t> </w:t>
      </w:r>
      <w:r>
        <w:rPr>
          <w:rFonts w:ascii="Arial" w:hAnsi="Arial" w:cs="Arial" w:eastAsia="Arial" w:hint="default"/>
        </w:rPr>
        <w:t>1.08</w:t>
      </w:r>
      <w:r>
        <w:rPr>
          <w:rFonts w:ascii="Arial" w:hAnsi="Arial" w:cs="Arial" w:eastAsia="Arial" w:hint="default"/>
          <w:w w:val="99"/>
        </w:rPr>
        <w:t> </w:t>
      </w:r>
      <w:r>
        <w:rPr/>
        <w:t>亿元，较去年同期增长</w:t>
      </w:r>
      <w:r>
        <w:rPr>
          <w:spacing w:val="-64"/>
        </w:rPr>
        <w:t> </w:t>
      </w:r>
      <w:r>
        <w:rPr>
          <w:rFonts w:ascii="Arial" w:hAnsi="Arial" w:cs="Arial" w:eastAsia="Arial" w:hint="default"/>
        </w:rPr>
        <w:t>29.78%</w:t>
      </w:r>
      <w:r>
        <w:rPr/>
        <w:t>；在陕西、四川、新疆、山东等多个省份取得重要进展。</w:t>
      </w:r>
    </w:p>
    <w:p>
      <w:pPr>
        <w:pStyle w:val="BodyText"/>
        <w:spacing w:line="297" w:lineRule="auto" w:before="1"/>
        <w:ind w:right="152" w:firstLine="480"/>
        <w:jc w:val="both"/>
      </w:pPr>
      <w:r>
        <w:rPr>
          <w:spacing w:val="-6"/>
        </w:rPr>
        <w:t>公司以构建行业领先的市场营销体系为目标，推进全员营销意识的建设，完善营销策划、</w:t>
      </w:r>
      <w:r>
        <w:rPr/>
        <w:t> </w:t>
      </w:r>
      <w:r>
        <w:rPr>
          <w:spacing w:val="-5"/>
        </w:rPr>
        <w:t>决策、管理体系，鼓励创新营销思维和方法，优化跨部门的营销协作机制，加强销售、市场、</w:t>
      </w:r>
      <w:r>
        <w:rPr/>
        <w:t> 产品、研发、服务等各部门协作和联动。加强品牌建设，提升华宇品牌知名度和美誉度，在</w:t>
      </w:r>
      <w:r>
        <w:rPr>
          <w:spacing w:val="-89"/>
        </w:rPr>
        <w:t> </w:t>
      </w:r>
      <w:r>
        <w:rPr>
          <w:spacing w:val="-89"/>
        </w:rPr>
      </w:r>
      <w:r>
        <w:rPr/>
        <w:t>集团内建立统一、协调一致的品牌营销战略，管理并发展品牌资产，传递品牌价值。</w:t>
      </w:r>
    </w:p>
    <w:p>
      <w:pPr>
        <w:pStyle w:val="BodyText"/>
        <w:spacing w:line="280" w:lineRule="auto" w:before="175"/>
        <w:ind w:left="635" w:right="0" w:hanging="3"/>
        <w:jc w:val="left"/>
      </w:pPr>
      <w:r>
        <w:rPr>
          <w:rFonts w:ascii="Arial" w:hAnsi="Arial" w:cs="Arial" w:eastAsia="Arial" w:hint="default"/>
        </w:rPr>
        <w:t>2</w:t>
      </w:r>
      <w:r>
        <w:rPr/>
        <w:t>、运营管理 </w:t>
      </w:r>
      <w:r>
        <w:rPr>
          <w:spacing w:val="2"/>
        </w:rPr>
        <w:t>运营管理方面，公司全力构建以</w:t>
      </w:r>
      <w:r>
        <w:rPr>
          <w:rFonts w:ascii="Arial" w:hAnsi="Arial" w:cs="Arial" w:eastAsia="Arial" w:hint="default"/>
          <w:spacing w:val="2"/>
        </w:rPr>
        <w:t>“</w:t>
      </w:r>
      <w:r>
        <w:rPr>
          <w:spacing w:val="2"/>
        </w:rPr>
        <w:t>创造客户价值</w:t>
      </w:r>
      <w:r>
        <w:rPr>
          <w:rFonts w:ascii="Arial" w:hAnsi="Arial" w:cs="Arial" w:eastAsia="Arial" w:hint="default"/>
          <w:spacing w:val="2"/>
        </w:rPr>
        <w:t>”</w:t>
      </w:r>
      <w:r>
        <w:rPr>
          <w:spacing w:val="2"/>
        </w:rPr>
        <w:t>为目标的履约保障体系，成立公司履约</w:t>
      </w:r>
    </w:p>
    <w:p>
      <w:pPr>
        <w:pStyle w:val="BodyText"/>
        <w:spacing w:line="297" w:lineRule="auto" w:before="14"/>
        <w:ind w:left="635" w:right="0" w:hanging="483"/>
        <w:jc w:val="left"/>
      </w:pPr>
      <w:r>
        <w:rPr/>
        <w:t>保证管理委员会，持续提高履约保障能力。 公司持续完善质量管理、商务管理以及财务管理体系，为履约保证能力提升做支撑；建</w:t>
      </w:r>
    </w:p>
    <w:p>
      <w:pPr>
        <w:pStyle w:val="BodyText"/>
        <w:spacing w:line="292" w:lineRule="auto" w:before="19"/>
        <w:ind w:right="155"/>
        <w:jc w:val="both"/>
      </w:pPr>
      <w:r>
        <w:rPr>
          <w:spacing w:val="2"/>
        </w:rPr>
        <w:t>立集成化的产品管理体系，集中公司资源，构建</w:t>
      </w:r>
      <w:r>
        <w:rPr>
          <w:rFonts w:ascii="Arial" w:hAnsi="Arial" w:cs="Arial" w:eastAsia="Arial" w:hint="default"/>
          <w:spacing w:val="2"/>
        </w:rPr>
        <w:t>“</w:t>
      </w:r>
      <w:r>
        <w:rPr>
          <w:spacing w:val="2"/>
        </w:rPr>
        <w:t>集成化</w:t>
      </w:r>
      <w:r>
        <w:rPr>
          <w:rFonts w:ascii="Arial" w:hAnsi="Arial" w:cs="Arial" w:eastAsia="Arial" w:hint="default"/>
          <w:spacing w:val="2"/>
        </w:rPr>
        <w:t>”</w:t>
      </w:r>
      <w:r>
        <w:rPr>
          <w:spacing w:val="2"/>
        </w:rPr>
        <w:t>的产品管理团队，完善产品管理决</w:t>
      </w:r>
      <w:r>
        <w:rPr>
          <w:spacing w:val="-102"/>
        </w:rPr>
        <w:t> </w:t>
      </w:r>
      <w:r>
        <w:rPr>
          <w:spacing w:val="-102"/>
        </w:rPr>
      </w:r>
      <w:r>
        <w:rPr/>
        <w:t>策机制，指导研发和服务工作，提高产品营销、开发和服务的协同水平；建设并发展好区域</w:t>
      </w:r>
      <w:r>
        <w:rPr>
          <w:spacing w:val="-88"/>
        </w:rPr>
        <w:t> </w:t>
      </w:r>
      <w:r>
        <w:rPr>
          <w:spacing w:val="-88"/>
        </w:rPr>
      </w:r>
      <w:r>
        <w:rPr/>
        <w:t>服务平台，将公司业务平台化，优化不同地区客户的履约能力和用户体验。制订、完善公司</w:t>
      </w:r>
      <w:r>
        <w:rPr>
          <w:spacing w:val="-89"/>
        </w:rPr>
        <w:t> </w:t>
      </w:r>
      <w:r>
        <w:rPr>
          <w:spacing w:val="-89"/>
        </w:rPr>
      </w:r>
      <w:r>
        <w:rPr/>
        <w:t>信息化发展总体规划，完成信息系统顶层设计工作，为公司运营提供技术支撑，提高协作效</w:t>
      </w:r>
    </w:p>
    <w:p>
      <w:pPr>
        <w:spacing w:after="0" w:line="292" w:lineRule="auto"/>
        <w:jc w:val="both"/>
        <w:sectPr>
          <w:footerReference w:type="default" r:id="rId14"/>
          <w:pgSz w:w="11910" w:h="16840"/>
          <w:pgMar w:footer="1010" w:header="752" w:top="1100" w:bottom="1200" w:left="980" w:right="980"/>
          <w:pgNumType w:start="13"/>
        </w:sectPr>
      </w:pPr>
    </w:p>
    <w:p>
      <w:pPr>
        <w:spacing w:line="240" w:lineRule="auto" w:before="8"/>
        <w:rPr>
          <w:rFonts w:ascii="宋体" w:hAnsi="宋体" w:cs="宋体" w:eastAsia="宋体" w:hint="default"/>
          <w:sz w:val="23"/>
          <w:szCs w:val="23"/>
        </w:rPr>
      </w:pPr>
    </w:p>
    <w:p>
      <w:pPr>
        <w:pStyle w:val="BodyText"/>
        <w:spacing w:line="240" w:lineRule="auto" w:before="26"/>
        <w:ind w:right="0"/>
        <w:jc w:val="both"/>
      </w:pPr>
      <w:r>
        <w:rPr/>
        <w:t>率，有效控制运营风险。</w:t>
      </w:r>
    </w:p>
    <w:p>
      <w:pPr>
        <w:spacing w:line="240" w:lineRule="auto" w:before="8"/>
        <w:rPr>
          <w:rFonts w:ascii="宋体" w:hAnsi="宋体" w:cs="宋体" w:eastAsia="宋体" w:hint="default"/>
          <w:sz w:val="17"/>
          <w:szCs w:val="17"/>
        </w:rPr>
      </w:pPr>
    </w:p>
    <w:p>
      <w:pPr>
        <w:pStyle w:val="BodyText"/>
        <w:spacing w:line="283" w:lineRule="auto"/>
        <w:ind w:left="635" w:right="0" w:hanging="3"/>
        <w:jc w:val="left"/>
      </w:pPr>
      <w:r>
        <w:rPr>
          <w:rFonts w:ascii="Arial" w:hAnsi="Arial" w:cs="Arial" w:eastAsia="Arial" w:hint="default"/>
        </w:rPr>
        <w:t>3</w:t>
      </w:r>
      <w:r>
        <w:rPr/>
        <w:t>、研发管理 公司始终以建设优秀研发能力作为工作重点，优化产品架构，提升产品的高可用和高性</w:t>
      </w:r>
    </w:p>
    <w:p>
      <w:pPr>
        <w:pStyle w:val="BodyText"/>
        <w:spacing w:line="300" w:lineRule="auto" w:before="31"/>
        <w:ind w:left="635" w:right="0" w:hanging="483"/>
        <w:jc w:val="left"/>
      </w:pPr>
      <w:r>
        <w:rPr/>
        <w:t>能，致力于打造精品软件。 报告期内，公司进一步加大研发投入，成立研发中心，下设开发部、测试部、平台架构</w:t>
      </w:r>
    </w:p>
    <w:p>
      <w:pPr>
        <w:pStyle w:val="BodyText"/>
        <w:spacing w:line="297" w:lineRule="auto" w:before="14"/>
        <w:ind w:right="158"/>
        <w:jc w:val="both"/>
      </w:pPr>
      <w:r>
        <w:rPr/>
        <w:t>部和用户体验部。研发中心采用扁平化管理，实行研发经理负责制，提高客户响应的灵活性</w:t>
      </w:r>
      <w:r>
        <w:rPr>
          <w:spacing w:val="-91"/>
        </w:rPr>
        <w:t> </w:t>
      </w:r>
      <w:r>
        <w:rPr>
          <w:spacing w:val="-91"/>
        </w:rPr>
      </w:r>
      <w:r>
        <w:rPr/>
        <w:t>和及时性；新设立的平台架构部重点关注系统架构设计，提升系统核心设计能力和技术复用</w:t>
      </w:r>
      <w:r>
        <w:rPr>
          <w:spacing w:val="-91"/>
        </w:rPr>
        <w:t> </w:t>
      </w:r>
      <w:r>
        <w:rPr>
          <w:spacing w:val="-91"/>
        </w:rPr>
      </w:r>
      <w:r>
        <w:rPr/>
        <w:t>水平；用户体验部力求改进软件产品的</w:t>
      </w:r>
      <w:r>
        <w:rPr>
          <w:rFonts w:ascii="Arial" w:hAnsi="Arial" w:cs="Arial" w:eastAsia="Arial" w:hint="default"/>
        </w:rPr>
        <w:t>UI</w:t>
      </w:r>
      <w:r>
        <w:rPr/>
        <w:t>设计，提升产品使用的用户体验。</w:t>
      </w:r>
    </w:p>
    <w:p>
      <w:pPr>
        <w:pStyle w:val="BodyText"/>
        <w:spacing w:line="297" w:lineRule="auto"/>
        <w:ind w:right="151" w:firstLine="482"/>
        <w:jc w:val="both"/>
      </w:pPr>
      <w:r>
        <w:rPr/>
        <w:t>随着北京研发中心的成立，公司拥有了两大研发中心：北京研发中心以核心技术研究、 </w:t>
      </w:r>
      <w:r>
        <w:rPr>
          <w:spacing w:val="-5"/>
        </w:rPr>
        <w:t>战略项目研发为主，保证公司的发展具备持续的技术竞争力；大连研发中心以产品研发为主，</w:t>
      </w:r>
      <w:r>
        <w:rPr>
          <w:spacing w:val="-116"/>
        </w:rPr>
        <w:t> </w:t>
      </w:r>
      <w:r>
        <w:rPr>
          <w:spacing w:val="-116"/>
        </w:rPr>
      </w:r>
      <w:r>
        <w:rPr/>
        <w:t>快速响应市场需求，及时推出新产品。</w:t>
      </w:r>
    </w:p>
    <w:p>
      <w:pPr>
        <w:pStyle w:val="BodyText"/>
        <w:spacing w:line="300" w:lineRule="auto" w:before="17"/>
        <w:ind w:left="633" w:right="0"/>
        <w:jc w:val="left"/>
      </w:pPr>
      <w:r>
        <w:rPr/>
        <w:t>报告期内，公司持续加大新技术、新产品的研究： 大数据方面，以先进的技术开发完成司法数据集中管理平台，在法院行业应用中树立应</w:t>
      </w:r>
    </w:p>
    <w:p>
      <w:pPr>
        <w:pStyle w:val="BodyText"/>
        <w:spacing w:line="297" w:lineRule="auto" w:before="14"/>
        <w:ind w:right="155"/>
        <w:jc w:val="both"/>
      </w:pPr>
      <w:r>
        <w:rPr/>
        <w:t>用典范，实现全国审判数据的集中存储、分析、挖掘与展现，并在此基础上推出适合各省法</w:t>
      </w:r>
      <w:r>
        <w:rPr>
          <w:spacing w:val="-90"/>
        </w:rPr>
        <w:t> </w:t>
      </w:r>
      <w:r>
        <w:rPr>
          <w:spacing w:val="-90"/>
        </w:rPr>
      </w:r>
      <w:r>
        <w:rPr/>
        <w:t>院独立部署的数据中心产品；大数据处理在司法专项课题研究方面取得的成果获法院客户和</w:t>
      </w:r>
      <w:r>
        <w:rPr>
          <w:spacing w:val="-91"/>
        </w:rPr>
        <w:t> </w:t>
      </w:r>
      <w:r>
        <w:rPr>
          <w:spacing w:val="-91"/>
        </w:rPr>
      </w:r>
      <w:r>
        <w:rPr/>
        <w:t>业界专家们的极大认可；公司持续研究文本挖掘技术和多媒体数据分析技术，逐步建立了司</w:t>
      </w:r>
      <w:r>
        <w:rPr>
          <w:spacing w:val="-91"/>
        </w:rPr>
        <w:t> </w:t>
      </w:r>
      <w:r>
        <w:rPr>
          <w:spacing w:val="-91"/>
        </w:rPr>
      </w:r>
      <w:r>
        <w:rPr/>
        <w:t>法领域法律文书智能化分析与数据挖掘方面的优势地位，未来公司将继续探索以实现司法大</w:t>
      </w:r>
      <w:r>
        <w:rPr>
          <w:spacing w:val="-88"/>
        </w:rPr>
        <w:t> </w:t>
      </w:r>
      <w:r>
        <w:rPr>
          <w:spacing w:val="-88"/>
        </w:rPr>
      </w:r>
      <w:r>
        <w:rPr/>
        <w:t>数据与人工智能的结合，让数据来反映司法规律和趋势、指导司法研究的方向，有效规避和</w:t>
      </w:r>
      <w:r>
        <w:rPr>
          <w:spacing w:val="-91"/>
        </w:rPr>
        <w:t> </w:t>
      </w:r>
      <w:r>
        <w:rPr>
          <w:spacing w:val="-91"/>
        </w:rPr>
      </w:r>
      <w:r>
        <w:rPr/>
        <w:t>预防违法行为发生，让数据来辅助法院管理者做出精准决策，为法官提供更多智能化功能，</w:t>
      </w:r>
      <w:r>
        <w:rPr>
          <w:spacing w:val="-91"/>
        </w:rPr>
        <w:t> </w:t>
      </w:r>
      <w:r>
        <w:rPr>
          <w:spacing w:val="-91"/>
        </w:rPr>
      </w:r>
      <w:r>
        <w:rPr/>
        <w:t>并为律师、和诉讼当事人提供服务。</w:t>
      </w:r>
    </w:p>
    <w:p>
      <w:pPr>
        <w:pStyle w:val="BodyText"/>
        <w:spacing w:line="297" w:lineRule="auto" w:before="19"/>
        <w:ind w:right="159" w:firstLine="480"/>
        <w:jc w:val="both"/>
      </w:pPr>
      <w:r>
        <w:rPr/>
        <w:t>自主安全可控方面，公司大力推动自有知识产权的基础软件研发工作，优化自有应用中 间件产品，并开发完成自有数据库产品，同时完成了核心业务系统移植到国产服务器软硬件</w:t>
      </w:r>
      <w:r>
        <w:rPr>
          <w:spacing w:val="-91"/>
        </w:rPr>
        <w:t> </w:t>
      </w:r>
      <w:r>
        <w:rPr>
          <w:spacing w:val="-91"/>
        </w:rPr>
      </w:r>
      <w:r>
        <w:rPr/>
        <w:t>环境下的技术可行性研究工作。</w:t>
      </w:r>
    </w:p>
    <w:p>
      <w:pPr>
        <w:pStyle w:val="BodyText"/>
        <w:spacing w:line="290" w:lineRule="auto" w:before="17"/>
        <w:ind w:right="152" w:firstLine="480"/>
        <w:jc w:val="both"/>
      </w:pPr>
      <w:r>
        <w:rPr/>
        <w:t>报告期内，公司持续加大研发投入，提升公司产品和技术的核心竞争力，本年度研发支 出总额为</w:t>
      </w:r>
      <w:r>
        <w:rPr>
          <w:spacing w:val="-57"/>
        </w:rPr>
        <w:t> </w:t>
      </w:r>
      <w:r>
        <w:rPr>
          <w:rFonts w:ascii="Arial" w:hAnsi="Arial" w:cs="Arial" w:eastAsia="Arial" w:hint="default"/>
        </w:rPr>
        <w:t>1.55</w:t>
      </w:r>
      <w:r>
        <w:rPr>
          <w:rFonts w:ascii="Arial" w:hAnsi="Arial" w:cs="Arial" w:eastAsia="Arial" w:hint="default"/>
          <w:spacing w:val="-3"/>
        </w:rPr>
        <w:t> </w:t>
      </w:r>
      <w:r>
        <w:rPr/>
        <w:t>亿元，占公司收入比例为</w:t>
      </w:r>
      <w:r>
        <w:rPr>
          <w:spacing w:val="-57"/>
        </w:rPr>
        <w:t> </w:t>
      </w:r>
      <w:r>
        <w:rPr>
          <w:rFonts w:ascii="Arial" w:hAnsi="Arial" w:cs="Arial" w:eastAsia="Arial" w:hint="default"/>
        </w:rPr>
        <w:t>17.20%</w:t>
      </w:r>
      <w:r>
        <w:rPr/>
        <w:t>。报告期内，公司募投项目的研发工作均已 完成，所有募投项目按计划结项。</w:t>
      </w:r>
    </w:p>
    <w:p>
      <w:pPr>
        <w:pStyle w:val="BodyText"/>
        <w:spacing w:line="312" w:lineRule="auto" w:before="182"/>
        <w:ind w:left="633" w:right="0"/>
        <w:jc w:val="left"/>
      </w:pPr>
      <w:r>
        <w:rPr>
          <w:rFonts w:ascii="Arial" w:hAnsi="Arial" w:cs="Arial" w:eastAsia="Arial" w:hint="default"/>
        </w:rPr>
        <w:t>4</w:t>
      </w:r>
      <w:r>
        <w:rPr/>
        <w:t>、服务管理 报告期内，电子政务</w:t>
      </w:r>
      <w:r>
        <w:rPr>
          <w:rFonts w:ascii="Arial" w:hAnsi="Arial" w:cs="Arial" w:eastAsia="Arial" w:hint="default"/>
        </w:rPr>
        <w:t>IT</w:t>
      </w:r>
      <w:r>
        <w:rPr/>
        <w:t>运维服务建设热潮依旧持续，运维服务市场迅速扩大。公司面向</w:t>
      </w:r>
    </w:p>
    <w:p>
      <w:pPr>
        <w:pStyle w:val="BodyText"/>
        <w:spacing w:line="294" w:lineRule="exact"/>
        <w:ind w:right="0"/>
        <w:jc w:val="both"/>
      </w:pPr>
      <w:r>
        <w:rPr/>
        <w:t>全国法院、检察院、政府全面开拓运维服务市场，运维服务收入高速增长，较去年同期增长</w:t>
      </w:r>
    </w:p>
    <w:p>
      <w:pPr>
        <w:pStyle w:val="BodyText"/>
        <w:spacing w:line="240" w:lineRule="auto" w:before="74"/>
        <w:ind w:right="0"/>
        <w:jc w:val="both"/>
      </w:pPr>
      <w:r>
        <w:rPr>
          <w:rFonts w:ascii="Arial" w:hAnsi="Arial" w:cs="Arial" w:eastAsia="Arial" w:hint="default"/>
        </w:rPr>
        <w:t>72.67%</w:t>
      </w:r>
      <w:r>
        <w:rPr/>
        <w:t>。</w:t>
      </w:r>
    </w:p>
    <w:p>
      <w:pPr>
        <w:pStyle w:val="BodyText"/>
        <w:spacing w:line="297" w:lineRule="auto" w:before="98"/>
        <w:ind w:right="159" w:firstLine="480"/>
        <w:jc w:val="both"/>
      </w:pPr>
      <w:r>
        <w:rPr/>
        <w:t>公司紧跟市场和技术发展趋势，主动创新、探索诉讼无忧运营服务工作模式，致力于打 造领先的中国互联网诉讼服务运营商，为公司未来持续发展寻找新的业务增长点。诉讼无忧</w:t>
      </w:r>
      <w:r>
        <w:rPr>
          <w:spacing w:val="-91"/>
        </w:rPr>
        <w:t> </w:t>
      </w:r>
      <w:r>
        <w:rPr>
          <w:spacing w:val="-91"/>
        </w:rPr>
      </w:r>
      <w:r>
        <w:rPr/>
        <w:t>产品、研发、运营、技术、安全等各个层面的能力快速提升，工作机制、管理制度和工作规</w:t>
      </w:r>
      <w:r>
        <w:rPr>
          <w:spacing w:val="-91"/>
        </w:rPr>
        <w:t> </w:t>
      </w:r>
      <w:r>
        <w:rPr>
          <w:spacing w:val="-91"/>
        </w:rPr>
      </w:r>
      <w:r>
        <w:rPr/>
        <w:t>范进一步优化和改进，已经具有较高的品牌影响力。报告期内，公司诉讼无忧提供的司法公</w:t>
      </w:r>
    </w:p>
    <w:p>
      <w:pPr>
        <w:spacing w:after="0" w:line="297" w:lineRule="auto"/>
        <w:jc w:val="both"/>
        <w:sectPr>
          <w:pgSz w:w="11910" w:h="16840"/>
          <w:pgMar w:header="752" w:footer="1010" w:top="1100" w:bottom="1200" w:left="980" w:right="980"/>
        </w:sectPr>
      </w:pPr>
    </w:p>
    <w:p>
      <w:pPr>
        <w:spacing w:line="240" w:lineRule="auto" w:before="8"/>
        <w:rPr>
          <w:rFonts w:ascii="宋体" w:hAnsi="宋体" w:cs="宋体" w:eastAsia="宋体" w:hint="default"/>
          <w:sz w:val="23"/>
          <w:szCs w:val="23"/>
        </w:rPr>
      </w:pPr>
    </w:p>
    <w:p>
      <w:pPr>
        <w:pStyle w:val="BodyText"/>
        <w:spacing w:line="328" w:lineRule="auto" w:before="26"/>
        <w:ind w:left="633" w:right="99" w:hanging="481"/>
        <w:jc w:val="left"/>
      </w:pPr>
      <w:r>
        <w:rPr/>
        <w:t>开和诉讼服务已经涵盖近千家法院，仍然具有很大的发展潜力。 报告期内，公司进一步优化和完善服务管理体系。在组织管理层面，公司整合相关部门</w:t>
      </w:r>
    </w:p>
    <w:p>
      <w:pPr>
        <w:pStyle w:val="BodyText"/>
        <w:spacing w:line="292" w:lineRule="auto"/>
        <w:ind w:right="99"/>
        <w:jc w:val="left"/>
      </w:pPr>
      <w:r>
        <w:rPr/>
        <w:t>资源成立服务中心，按照服务管理、服务支持和服务交付的职责划分，服务中心内设六个服</w:t>
      </w:r>
      <w:r>
        <w:rPr>
          <w:spacing w:val="-91"/>
        </w:rPr>
        <w:t> </w:t>
      </w:r>
      <w:r>
        <w:rPr>
          <w:spacing w:val="-91"/>
        </w:rPr>
      </w:r>
      <w:r>
        <w:rPr/>
        <w:t>务部门和六个区域服务平台（东北、华北、西北、华中、西南和华东），确定了</w:t>
      </w:r>
      <w:r>
        <w:rPr>
          <w:rFonts w:ascii="Arial" w:hAnsi="Arial" w:cs="Arial" w:eastAsia="Arial" w:hint="default"/>
        </w:rPr>
        <w:t>“</w:t>
      </w:r>
      <w:r>
        <w:rPr/>
        <w:t>专业化的运 维服务、职业化的服务团队</w:t>
      </w:r>
      <w:r>
        <w:rPr>
          <w:rFonts w:ascii="Arial" w:hAnsi="Arial" w:cs="Arial" w:eastAsia="Arial" w:hint="default"/>
        </w:rPr>
        <w:t>”</w:t>
      </w:r>
      <w:r>
        <w:rPr/>
        <w:t>作为中心重点工作。在服务管理层面，公司确立应用服务能力、</w:t>
      </w:r>
      <w:r>
        <w:rPr>
          <w:spacing w:val="-50"/>
        </w:rPr>
        <w:t> </w:t>
      </w:r>
      <w:r>
        <w:rPr>
          <w:spacing w:val="-50"/>
        </w:rPr>
      </w:r>
      <w:r>
        <w:rPr/>
        <w:t>服务管理能力和运营服务能力作为公司三大核心服务能力，通过核心服务能力的建设，打造</w:t>
      </w:r>
      <w:r>
        <w:rPr>
          <w:spacing w:val="-91"/>
        </w:rPr>
        <w:t> </w:t>
      </w:r>
      <w:r>
        <w:rPr>
          <w:spacing w:val="-91"/>
        </w:rPr>
      </w:r>
      <w:r>
        <w:rPr/>
        <w:t>中国电子政务</w:t>
      </w:r>
      <w:r>
        <w:rPr>
          <w:rFonts w:ascii="Arial" w:hAnsi="Arial" w:cs="Arial" w:eastAsia="Arial" w:hint="default"/>
        </w:rPr>
        <w:t>IT</w:t>
      </w:r>
      <w:r>
        <w:rPr/>
        <w:t>运维服务卓越品牌，持续提高公司的核心竞争力。在技术管理层面，随着云</w:t>
      </w:r>
      <w:r>
        <w:rPr>
          <w:spacing w:val="-64"/>
        </w:rPr>
        <w:t> </w:t>
      </w:r>
      <w:r>
        <w:rPr>
          <w:spacing w:val="-64"/>
        </w:rPr>
      </w:r>
      <w:r>
        <w:rPr/>
        <w:t>计算、大数据、移动互联网等技术与业务的深度融合应用，公司逐步增加这些方面的人员储</w:t>
      </w:r>
      <w:r>
        <w:rPr>
          <w:spacing w:val="-91"/>
        </w:rPr>
        <w:t> </w:t>
      </w:r>
      <w:r>
        <w:rPr>
          <w:spacing w:val="-91"/>
        </w:rPr>
      </w:r>
      <w:r>
        <w:rPr/>
        <w:t>备，并加强这些技术方面的培训和培养，确保服务能力与客户信息化发展保持同步。在工具</w:t>
      </w:r>
      <w:r>
        <w:rPr>
          <w:spacing w:val="-89"/>
        </w:rPr>
        <w:t> </w:t>
      </w:r>
      <w:r>
        <w:rPr>
          <w:spacing w:val="-89"/>
        </w:rPr>
      </w:r>
      <w:r>
        <w:rPr/>
        <w:t>应用层面，公司深度推进数据管理、应用评估、网络监控、运维管理等运维工具的推广和应</w:t>
      </w:r>
      <w:r>
        <w:rPr>
          <w:spacing w:val="-91"/>
        </w:rPr>
        <w:t> </w:t>
      </w:r>
      <w:r>
        <w:rPr>
          <w:spacing w:val="-91"/>
        </w:rPr>
      </w:r>
      <w:r>
        <w:rPr/>
        <w:t>用，不断提高自动化运维的水平和能力，用信息化技术管理信息化系统，提高服务效率和质</w:t>
      </w:r>
      <w:r>
        <w:rPr>
          <w:spacing w:val="-91"/>
        </w:rPr>
        <w:t> </w:t>
      </w:r>
      <w:r>
        <w:rPr>
          <w:spacing w:val="-91"/>
        </w:rPr>
      </w:r>
      <w:r>
        <w:rPr/>
        <w:t>量。</w:t>
      </w:r>
    </w:p>
    <w:p>
      <w:pPr>
        <w:pStyle w:val="BodyText"/>
        <w:spacing w:line="295" w:lineRule="auto" w:before="62"/>
        <w:ind w:right="228" w:firstLine="480"/>
        <w:jc w:val="both"/>
      </w:pPr>
      <w:r>
        <w:rPr>
          <w:spacing w:val="-8"/>
        </w:rPr>
        <w:t>报告期内，运维服务能力显著提升，所有服务经理都经过</w:t>
      </w:r>
      <w:r>
        <w:rPr>
          <w:rFonts w:ascii="Arial" w:hAnsi="Arial" w:cs="Arial" w:eastAsia="Arial" w:hint="default"/>
          <w:spacing w:val="-8"/>
        </w:rPr>
        <w:t>ITIL</w:t>
      </w:r>
      <w:r>
        <w:rPr>
          <w:spacing w:val="-8"/>
        </w:rPr>
        <w:t>、</w:t>
      </w:r>
      <w:r>
        <w:rPr>
          <w:rFonts w:ascii="Arial" w:hAnsi="Arial" w:cs="Arial" w:eastAsia="Arial" w:hint="default"/>
          <w:spacing w:val="-8"/>
        </w:rPr>
        <w:t>ISO20000</w:t>
      </w:r>
      <w:r>
        <w:rPr>
          <w:spacing w:val="-8"/>
        </w:rPr>
        <w:t>、</w:t>
      </w:r>
      <w:r>
        <w:rPr>
          <w:rFonts w:ascii="Arial" w:hAnsi="Arial" w:cs="Arial" w:eastAsia="Arial" w:hint="default"/>
          <w:spacing w:val="-8"/>
        </w:rPr>
        <w:t>PMP</w:t>
      </w:r>
      <w:r>
        <w:rPr>
          <w:spacing w:val="-8"/>
        </w:rPr>
        <w:t>、</w:t>
      </w:r>
      <w:r>
        <w:rPr>
          <w:rFonts w:ascii="Arial" w:hAnsi="Arial" w:cs="Arial" w:eastAsia="Arial" w:hint="default"/>
          <w:spacing w:val="-8"/>
        </w:rPr>
        <w:t>ITSS</w:t>
      </w:r>
      <w:r>
        <w:rPr>
          <w:spacing w:val="-8"/>
        </w:rPr>
        <w:t>、</w:t>
      </w:r>
      <w:r>
        <w:rPr>
          <w:w w:val="100"/>
        </w:rPr>
        <w:t> </w:t>
      </w:r>
      <w:r>
        <w:rPr/>
        <w:t>信息系统项目管理师等单个或者多个科目的管理培训和实践，服务管理、服务支持和服务交</w:t>
      </w:r>
      <w:r>
        <w:rPr>
          <w:spacing w:val="-90"/>
        </w:rPr>
        <w:t> </w:t>
      </w:r>
      <w:r>
        <w:rPr>
          <w:spacing w:val="-90"/>
        </w:rPr>
      </w:r>
      <w:r>
        <w:rPr/>
        <w:t>付专业化分工进一步清晰、明确，服务管理能力大大提高；报告期内，运维服务团队的应用</w:t>
      </w:r>
      <w:r>
        <w:rPr>
          <w:spacing w:val="-90"/>
        </w:rPr>
        <w:t> </w:t>
      </w:r>
      <w:r>
        <w:rPr>
          <w:spacing w:val="-90"/>
        </w:rPr>
      </w:r>
      <w:r>
        <w:rPr/>
        <w:t>服务能力、基础设施服务能力、信息安全服务能力及服务咨询服务更加专业化、规范化、高</w:t>
      </w:r>
      <w:r>
        <w:rPr>
          <w:spacing w:val="-88"/>
        </w:rPr>
        <w:t> </w:t>
      </w:r>
      <w:r>
        <w:rPr>
          <w:spacing w:val="-88"/>
        </w:rPr>
      </w:r>
      <w:r>
        <w:rPr/>
        <w:t>效化。公司以运维服务作为切入点开拓新行业，取得较大突破。</w:t>
      </w:r>
    </w:p>
    <w:p>
      <w:pPr>
        <w:pStyle w:val="BodyText"/>
        <w:spacing w:line="283" w:lineRule="auto" w:before="60"/>
        <w:ind w:right="231" w:firstLine="480"/>
        <w:jc w:val="both"/>
      </w:pPr>
      <w:r>
        <w:rPr>
          <w:spacing w:val="-1"/>
        </w:rPr>
        <w:t>报告期内，公司作为中国电子标准化技术协会</w:t>
      </w:r>
      <w:r>
        <w:rPr>
          <w:rFonts w:ascii="Arial" w:hAnsi="Arial" w:cs="Arial" w:eastAsia="Arial" w:hint="default"/>
          <w:spacing w:val="-1"/>
        </w:rPr>
        <w:t>ITSS</w:t>
      </w:r>
      <w:r>
        <w:rPr>
          <w:spacing w:val="-1"/>
        </w:rPr>
        <w:t>服务分会的副会长单位，积极参与信</w:t>
      </w:r>
      <w:r>
        <w:rPr>
          <w:w w:val="100"/>
        </w:rPr>
        <w:t> </w:t>
      </w:r>
      <w:r>
        <w:rPr>
          <w:spacing w:val="-1"/>
        </w:rPr>
        <w:t>息技术服务标准研究，与国内同行专家一起，积极推进</w:t>
      </w:r>
      <w:r>
        <w:rPr>
          <w:rFonts w:ascii="Arial" w:hAnsi="Arial" w:cs="Arial" w:eastAsia="Arial" w:hint="default"/>
          <w:spacing w:val="-1"/>
        </w:rPr>
        <w:t>ITSS</w:t>
      </w:r>
      <w:r>
        <w:rPr>
          <w:spacing w:val="-1"/>
        </w:rPr>
        <w:t>方法论、运维服务成熟度、数据</w:t>
      </w:r>
      <w:r>
        <w:rPr>
          <w:spacing w:val="-97"/>
        </w:rPr>
        <w:t> </w:t>
      </w:r>
      <w:r>
        <w:rPr>
          <w:spacing w:val="-97"/>
        </w:rPr>
      </w:r>
      <w:r>
        <w:rPr>
          <w:spacing w:val="-1"/>
        </w:rPr>
        <w:t>中心等多个工作组的工作，成功举办</w:t>
      </w:r>
      <w:r>
        <w:rPr>
          <w:rFonts w:ascii="Arial" w:hAnsi="Arial" w:cs="Arial" w:eastAsia="Arial" w:hint="default"/>
          <w:spacing w:val="-1"/>
        </w:rPr>
        <w:t>ITSS</w:t>
      </w:r>
      <w:r>
        <w:rPr>
          <w:spacing w:val="-1"/>
        </w:rPr>
        <w:t>方法论组第二期高峰论坛，推动我国信息技术服务</w:t>
      </w:r>
      <w:r>
        <w:rPr>
          <w:spacing w:val="-96"/>
        </w:rPr>
        <w:t> </w:t>
      </w:r>
      <w:r>
        <w:rPr>
          <w:spacing w:val="-96"/>
        </w:rPr>
      </w:r>
      <w:r>
        <w:rPr/>
        <w:t>的标准化进程。</w:t>
      </w:r>
    </w:p>
    <w:p>
      <w:pPr>
        <w:pStyle w:val="BodyText"/>
        <w:spacing w:line="283" w:lineRule="auto" w:before="72"/>
        <w:ind w:left="635" w:right="99" w:hanging="3"/>
        <w:jc w:val="left"/>
      </w:pPr>
      <w:r>
        <w:rPr>
          <w:rFonts w:ascii="Arial" w:hAnsi="Arial" w:cs="Arial" w:eastAsia="Arial" w:hint="default"/>
        </w:rPr>
        <w:t>5</w:t>
      </w:r>
      <w:r>
        <w:rPr/>
        <w:t>、人力资源管理 推进积极的人才引进政策，吸引优秀人才加入，优化人才的结构，为公司发展提供充足</w:t>
      </w:r>
    </w:p>
    <w:p>
      <w:pPr>
        <w:pStyle w:val="BodyText"/>
        <w:spacing w:line="297" w:lineRule="auto" w:before="31"/>
        <w:ind w:right="235"/>
        <w:jc w:val="both"/>
      </w:pPr>
      <w:r>
        <w:rPr/>
        <w:t>的内在动力，满足公司多元业务发展需。持续加大人才培养力度，完善培训体系，将现有体</w:t>
      </w:r>
      <w:r>
        <w:rPr>
          <w:spacing w:val="-88"/>
        </w:rPr>
        <w:t> </w:t>
      </w:r>
      <w:r>
        <w:rPr>
          <w:spacing w:val="-88"/>
        </w:rPr>
      </w:r>
      <w:r>
        <w:rPr/>
        <w:t>系进行细化设计，全力打造华宇学院，建立和完善在线学习环境，促进员工技术、业务能力</w:t>
      </w:r>
      <w:r>
        <w:rPr>
          <w:spacing w:val="-91"/>
        </w:rPr>
        <w:t> </w:t>
      </w:r>
      <w:r>
        <w:rPr>
          <w:spacing w:val="-91"/>
        </w:rPr>
      </w:r>
      <w:r>
        <w:rPr/>
        <w:t>的提升，保证员工与公司共同成长。</w:t>
      </w:r>
    </w:p>
    <w:p>
      <w:pPr>
        <w:pStyle w:val="BodyText"/>
        <w:spacing w:line="285" w:lineRule="auto" w:before="19"/>
        <w:ind w:right="226" w:firstLine="482"/>
        <w:jc w:val="both"/>
      </w:pPr>
      <w:r>
        <w:rPr/>
        <w:t>积极构建科学合理的激励体系，改进营销、研发及管理人员的激励制度，强化责任目标 </w:t>
      </w:r>
      <w:r>
        <w:rPr>
          <w:spacing w:val="-3"/>
        </w:rPr>
        <w:t>约束，切实提升员工积极性、主动性。报告期内，公司股票期权激励计划顺利进行，共有</w:t>
      </w:r>
      <w:r>
        <w:rPr>
          <w:rFonts w:ascii="Arial" w:hAnsi="Arial" w:cs="Arial" w:eastAsia="Arial" w:hint="default"/>
          <w:spacing w:val="-3"/>
        </w:rPr>
        <w:t>491</w:t>
      </w:r>
      <w:r>
        <w:rPr>
          <w:rFonts w:ascii="Arial" w:hAnsi="Arial" w:cs="Arial" w:eastAsia="Arial" w:hint="default"/>
          <w:spacing w:val="-62"/>
        </w:rPr>
        <w:t> </w:t>
      </w:r>
      <w:r>
        <w:rPr>
          <w:rFonts w:ascii="Arial" w:hAnsi="Arial" w:cs="Arial" w:eastAsia="Arial" w:hint="default"/>
          <w:spacing w:val="-62"/>
        </w:rPr>
      </w:r>
      <w:r>
        <w:rPr/>
        <w:t>名激励对象行权，激励效果明显。为更好的激励优秀员工，公司于</w:t>
      </w:r>
      <w:r>
        <w:rPr>
          <w:rFonts w:ascii="Arial" w:hAnsi="Arial" w:cs="Arial" w:eastAsia="Arial" w:hint="default"/>
        </w:rPr>
        <w:t>2015</w:t>
      </w:r>
      <w:r>
        <w:rPr/>
        <w:t>年</w:t>
      </w:r>
      <w:r>
        <w:rPr>
          <w:rFonts w:ascii="Arial" w:hAnsi="Arial" w:cs="Arial" w:eastAsia="Arial" w:hint="default"/>
        </w:rPr>
        <w:t>1</w:t>
      </w:r>
      <w:r>
        <w:rPr/>
        <w:t>月公布了《限制</w:t>
      </w:r>
      <w:r>
        <w:rPr>
          <w:spacing w:val="-41"/>
        </w:rPr>
        <w:t> </w:t>
      </w:r>
      <w:r>
        <w:rPr/>
        <w:t>性股票激励计划》，拟向</w:t>
      </w:r>
      <w:r>
        <w:rPr>
          <w:rFonts w:ascii="Arial" w:hAnsi="Arial" w:cs="Arial" w:eastAsia="Arial" w:hint="default"/>
        </w:rPr>
        <w:t>466</w:t>
      </w:r>
      <w:r>
        <w:rPr/>
        <w:t>名激励对象授予</w:t>
      </w:r>
      <w:r>
        <w:rPr>
          <w:rFonts w:ascii="Arial" w:hAnsi="Arial" w:cs="Arial" w:eastAsia="Arial" w:hint="default"/>
        </w:rPr>
        <w:t>400</w:t>
      </w:r>
      <w:r>
        <w:rPr/>
        <w:t>万股限制性股票，授予价格每股</w:t>
      </w:r>
      <w:r>
        <w:rPr>
          <w:rFonts w:ascii="Arial" w:hAnsi="Arial" w:cs="Arial" w:eastAsia="Arial" w:hint="default"/>
        </w:rPr>
        <w:t>20.15</w:t>
      </w:r>
      <w:r>
        <w:rPr/>
        <w:t>元，</w:t>
      </w:r>
      <w:r>
        <w:rPr>
          <w:spacing w:val="-56"/>
        </w:rPr>
        <w:t> </w:t>
      </w:r>
      <w:r>
        <w:rPr/>
        <w:t>目前该计划已经通过证监会备案。</w:t>
      </w:r>
    </w:p>
    <w:p>
      <w:pPr>
        <w:spacing w:after="0" w:line="285" w:lineRule="auto"/>
        <w:jc w:val="both"/>
        <w:sectPr>
          <w:pgSz w:w="11910" w:h="16840"/>
          <w:pgMar w:header="752" w:footer="1010" w:top="1100" w:bottom="1200" w:left="980" w:right="900"/>
        </w:sectPr>
      </w:pPr>
    </w:p>
    <w:p>
      <w:pPr>
        <w:spacing w:line="240" w:lineRule="auto" w:before="2"/>
        <w:rPr>
          <w:rFonts w:ascii="宋体" w:hAnsi="宋体" w:cs="宋体" w:eastAsia="宋体" w:hint="default"/>
          <w:sz w:val="24"/>
          <w:szCs w:val="24"/>
        </w:rPr>
      </w:pPr>
    </w:p>
    <w:p>
      <w:pPr>
        <w:pStyle w:val="Heading3"/>
        <w:spacing w:line="240" w:lineRule="auto" w:before="26"/>
        <w:ind w:right="0"/>
        <w:jc w:val="left"/>
        <w:rPr>
          <w:b w:val="0"/>
          <w:bCs w:val="0"/>
        </w:rPr>
      </w:pPr>
      <w:r>
        <w:rPr>
          <w:rFonts w:ascii="Arial" w:hAnsi="Arial" w:cs="Arial" w:eastAsia="Arial" w:hint="default"/>
        </w:rPr>
        <w:t>2</w:t>
      </w:r>
      <w:r>
        <w:rPr/>
        <w:t>、报告期内主要经营情况</w:t>
      </w:r>
      <w:r>
        <w:rPr>
          <w:b w:val="0"/>
          <w:bCs w:val="0"/>
        </w:rPr>
      </w:r>
    </w:p>
    <w:p>
      <w:pPr>
        <w:spacing w:line="240" w:lineRule="auto" w:before="8"/>
        <w:rPr>
          <w:rFonts w:ascii="宋体" w:hAnsi="宋体" w:cs="宋体" w:eastAsia="宋体" w:hint="default"/>
          <w:b/>
          <w:bCs/>
          <w:sz w:val="28"/>
          <w:szCs w:val="28"/>
        </w:rPr>
      </w:pPr>
    </w:p>
    <w:p>
      <w:pPr>
        <w:pStyle w:val="Heading3"/>
        <w:spacing w:line="240" w:lineRule="auto"/>
        <w:ind w:right="0"/>
        <w:jc w:val="left"/>
        <w:rPr>
          <w:b w:val="0"/>
          <w:bCs w:val="0"/>
        </w:rPr>
      </w:pPr>
      <w:r>
        <w:rPr/>
        <w:t>（</w:t>
      </w:r>
      <w:r>
        <w:rPr>
          <w:rFonts w:ascii="Arial" w:hAnsi="Arial" w:cs="Arial" w:eastAsia="Arial" w:hint="default"/>
        </w:rPr>
        <w:t>1</w:t>
      </w:r>
      <w:r>
        <w:rPr/>
        <w:t>）主营业务分析</w:t>
      </w:r>
      <w:r>
        <w:rPr>
          <w:b w:val="0"/>
          <w:bCs w:val="0"/>
        </w:rPr>
      </w:r>
    </w:p>
    <w:p>
      <w:pPr>
        <w:spacing w:line="240" w:lineRule="auto" w:before="8"/>
        <w:rPr>
          <w:rFonts w:ascii="宋体" w:hAnsi="宋体" w:cs="宋体" w:eastAsia="宋体" w:hint="default"/>
          <w:b/>
          <w:bCs/>
          <w:sz w:val="28"/>
          <w:szCs w:val="28"/>
        </w:rPr>
      </w:pPr>
    </w:p>
    <w:p>
      <w:pPr>
        <w:pStyle w:val="BodyText"/>
        <w:spacing w:line="309" w:lineRule="auto"/>
        <w:ind w:right="146"/>
        <w:jc w:val="left"/>
      </w:pPr>
      <w:r>
        <w:rPr>
          <w:rFonts w:ascii="Arial" w:hAnsi="Arial" w:cs="Arial" w:eastAsia="Arial" w:hint="default"/>
        </w:rPr>
        <w:t>1</w:t>
      </w:r>
      <w:r>
        <w:rPr/>
        <w:t>）概述 报告期内</w:t>
      </w:r>
      <w:r>
        <w:rPr>
          <w:rFonts w:ascii="Arial" w:hAnsi="Arial" w:cs="Arial" w:eastAsia="Arial" w:hint="default"/>
        </w:rPr>
        <w:t>,</w:t>
      </w:r>
      <w:r>
        <w:rPr/>
        <w:t>公司实现营业收入</w:t>
      </w:r>
      <w:r>
        <w:rPr>
          <w:rFonts w:ascii="Arial" w:hAnsi="Arial" w:cs="Arial" w:eastAsia="Arial" w:hint="default"/>
        </w:rPr>
        <w:t>90,260.28</w:t>
      </w:r>
      <w:r>
        <w:rPr/>
        <w:t>万元，比上年同期增长</w:t>
      </w:r>
      <w:r>
        <w:rPr>
          <w:rFonts w:ascii="Arial" w:hAnsi="Arial" w:cs="Arial" w:eastAsia="Arial" w:hint="default"/>
        </w:rPr>
        <w:t>34.75%</w:t>
      </w:r>
      <w:r>
        <w:rPr/>
        <w:t>，归属于母公司所有者</w:t>
      </w:r>
      <w:r>
        <w:rPr>
          <w:spacing w:val="-116"/>
        </w:rPr>
        <w:t> </w:t>
      </w:r>
      <w:r>
        <w:rPr>
          <w:spacing w:val="-116"/>
        </w:rPr>
      </w:r>
      <w:r>
        <w:rPr/>
        <w:t>的净利润</w:t>
      </w:r>
      <w:r>
        <w:rPr>
          <w:rFonts w:ascii="Arial" w:hAnsi="Arial" w:cs="Arial" w:eastAsia="Arial" w:hint="default"/>
        </w:rPr>
        <w:t>14,738.05</w:t>
      </w:r>
      <w:r>
        <w:rPr/>
        <w:t>万元，比上年同期增长</w:t>
      </w:r>
      <w:r>
        <w:rPr>
          <w:rFonts w:ascii="Arial" w:hAnsi="Arial" w:cs="Arial" w:eastAsia="Arial" w:hint="default"/>
        </w:rPr>
        <w:t>22.60%</w:t>
      </w:r>
      <w:r>
        <w:rPr/>
        <w:t>。</w:t>
      </w:r>
    </w:p>
    <w:p>
      <w:pPr>
        <w:pStyle w:val="BodyText"/>
        <w:spacing w:line="240" w:lineRule="auto" w:before="116"/>
        <w:ind w:right="0"/>
        <w:jc w:val="left"/>
      </w:pPr>
      <w:r>
        <w:rPr>
          <w:rFonts w:ascii="Arial" w:hAnsi="Arial" w:cs="Arial" w:eastAsia="Arial" w:hint="default"/>
        </w:rPr>
        <w:t>2</w:t>
      </w:r>
      <w:r>
        <w:rPr/>
        <w:t>）报告期利润构成或利润来源发生重大变动的说明</w:t>
      </w:r>
    </w:p>
    <w:p>
      <w:pPr>
        <w:pStyle w:val="BodyText"/>
        <w:spacing w:line="240" w:lineRule="auto" w:before="113"/>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194"/>
        <w:ind w:right="0"/>
        <w:jc w:val="left"/>
      </w:pPr>
      <w:r>
        <w:rPr>
          <w:rFonts w:ascii="Arial" w:hAnsi="Arial" w:cs="Arial" w:eastAsia="Arial" w:hint="default"/>
        </w:rPr>
        <w:t>3</w:t>
      </w:r>
      <w:r>
        <w:rPr/>
        <w:t>）收入</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9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62" w:right="0"/>
              <w:jc w:val="left"/>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49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00" w:right="0"/>
              <w:jc w:val="left"/>
              <w:rPr>
                <w:rFonts w:ascii="Arial" w:hAnsi="Arial" w:cs="Arial" w:eastAsia="Arial" w:hint="default"/>
                <w:sz w:val="21"/>
                <w:szCs w:val="21"/>
              </w:rPr>
            </w:pPr>
            <w:r>
              <w:rPr>
                <w:rFonts w:ascii="Arial"/>
                <w:sz w:val="21"/>
              </w:rPr>
              <w:t>902,602,843.61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00" w:right="0"/>
              <w:jc w:val="left"/>
              <w:rPr>
                <w:rFonts w:ascii="Arial" w:hAnsi="Arial" w:cs="Arial" w:eastAsia="Arial" w:hint="default"/>
                <w:sz w:val="21"/>
                <w:szCs w:val="21"/>
              </w:rPr>
            </w:pPr>
            <w:r>
              <w:rPr>
                <w:rFonts w:ascii="Arial"/>
                <w:sz w:val="21"/>
              </w:rPr>
              <w:t>669,847,315.79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Arial" w:hAnsi="Arial" w:cs="Arial" w:eastAsia="Arial" w:hint="default"/>
                <w:sz w:val="21"/>
                <w:szCs w:val="21"/>
              </w:rPr>
            </w:pPr>
            <w:r>
              <w:rPr>
                <w:rFonts w:ascii="Arial"/>
                <w:spacing w:val="-1"/>
                <w:sz w:val="21"/>
              </w:rPr>
              <w:t>34.75%</w:t>
            </w:r>
          </w:p>
        </w:tc>
      </w:tr>
    </w:tbl>
    <w:p>
      <w:pPr>
        <w:pStyle w:val="BodyText"/>
        <w:spacing w:line="338" w:lineRule="auto" w:before="48"/>
        <w:ind w:left="633" w:right="173" w:hanging="481"/>
        <w:jc w:val="left"/>
      </w:pPr>
      <w:r>
        <w:rPr/>
        <w:t>驱动收入变化的因素 报告期内，公司紧抓行业政策优势，积极开拓市场，布局全国营销网络，签署合同额实</w:t>
      </w:r>
    </w:p>
    <w:p>
      <w:pPr>
        <w:pStyle w:val="BodyText"/>
        <w:spacing w:line="400" w:lineRule="auto"/>
        <w:ind w:right="4734"/>
        <w:jc w:val="left"/>
      </w:pPr>
      <w:r>
        <w:rPr/>
        <w:t>现较大服务增长，保证了业绩持续稳定的增长。 公司实物销售收入是否大于劳务收入</w:t>
      </w:r>
    </w:p>
    <w:p>
      <w:pPr>
        <w:pStyle w:val="BodyText"/>
        <w:spacing w:line="303" w:lineRule="exact"/>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pStyle w:val="BodyText"/>
        <w:spacing w:line="240" w:lineRule="auto" w:before="194"/>
        <w:ind w:right="0"/>
        <w:jc w:val="left"/>
      </w:pPr>
      <w:r>
        <w:rPr/>
        <w:t>公司重大的在手订单情况</w:t>
      </w:r>
    </w:p>
    <w:p>
      <w:pPr>
        <w:pStyle w:val="BodyText"/>
        <w:spacing w:line="379" w:lineRule="auto" w:before="132"/>
        <w:ind w:right="76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数量分散的订单情况</w:t>
      </w:r>
    </w:p>
    <w:p>
      <w:pPr>
        <w:pStyle w:val="BodyText"/>
        <w:spacing w:line="381" w:lineRule="auto"/>
        <w:ind w:right="40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公司报告期内产品或服务发生重大变化或调整有关情况</w:t>
      </w:r>
    </w:p>
    <w:p>
      <w:pPr>
        <w:pStyle w:val="BodyText"/>
        <w:spacing w:line="323" w:lineRule="exact"/>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52" w:footer="1010" w:top="1100" w:bottom="1200" w:left="980" w:right="980"/>
        </w:sectPr>
      </w:pPr>
    </w:p>
    <w:p>
      <w:pPr>
        <w:pStyle w:val="BodyText"/>
        <w:spacing w:line="240" w:lineRule="auto" w:before="26"/>
        <w:ind w:right="-19"/>
        <w:jc w:val="left"/>
      </w:pPr>
      <w:r>
        <w:rPr>
          <w:rFonts w:ascii="Arial" w:hAnsi="Arial" w:cs="Arial" w:eastAsia="Arial" w:hint="default"/>
        </w:rPr>
        <w:t>4</w:t>
      </w:r>
      <w:r>
        <w:rPr/>
        <w:t>）成本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1008" w:space="7793"/>
            <w:col w:w="1149"/>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77"/>
        <w:gridCol w:w="1700"/>
        <w:gridCol w:w="1560"/>
        <w:gridCol w:w="1844"/>
        <w:gridCol w:w="1844"/>
        <w:gridCol w:w="1344"/>
      </w:tblGrid>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
              <w:jc w:val="right"/>
              <w:rPr>
                <w:rFonts w:ascii="宋体" w:hAnsi="宋体" w:cs="宋体" w:eastAsia="宋体" w:hint="default"/>
                <w:sz w:val="21"/>
                <w:szCs w:val="21"/>
              </w:rPr>
            </w:pPr>
            <w:r>
              <w:rPr>
                <w:rFonts w:ascii="宋体" w:hAnsi="宋体" w:cs="宋体" w:eastAsia="宋体" w:hint="default"/>
                <w:spacing w:val="-1"/>
                <w:sz w:val="21"/>
                <w:szCs w:val="21"/>
              </w:rPr>
              <w:t>占营业成本比重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2" w:right="0"/>
              <w:jc w:val="left"/>
              <w:rPr>
                <w:rFonts w:ascii="宋体" w:hAnsi="宋体" w:cs="宋体" w:eastAsia="宋体" w:hint="default"/>
                <w:sz w:val="21"/>
                <w:szCs w:val="21"/>
              </w:rPr>
            </w:pPr>
            <w:r>
              <w:rPr>
                <w:rFonts w:ascii="宋体" w:hAnsi="宋体" w:cs="宋体" w:eastAsia="宋体" w:hint="default"/>
                <w:sz w:val="21"/>
                <w:szCs w:val="21"/>
              </w:rPr>
              <w:t>占营业成本比重</w:t>
            </w:r>
          </w:p>
        </w:tc>
        <w:tc>
          <w:tcPr>
            <w:tcW w:w="1344" w:type="dxa"/>
            <w:vMerge/>
            <w:tcBorders>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法院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260,772,166.78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52.79%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213,183,689.10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58.51%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22.32%</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检察院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116,050,124.35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23.49%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47,357,838.83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145.05%</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政府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93,763,018.96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18.98%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85,371,957.30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23.43%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9.83%</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23,398,935.08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4.74%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18,446,572.83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5.06%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26.85%</w:t>
            </w:r>
          </w:p>
        </w:tc>
      </w:tr>
    </w:tbl>
    <w:p>
      <w:pPr>
        <w:spacing w:after="0" w:line="240" w:lineRule="auto"/>
        <w:jc w:val="right"/>
        <w:rPr>
          <w:rFonts w:ascii="Arial" w:hAnsi="Arial" w:cs="Arial" w:eastAsia="Arial" w:hint="default"/>
          <w:sz w:val="21"/>
          <w:szCs w:val="21"/>
        </w:rPr>
        <w:sectPr>
          <w:type w:val="continuous"/>
          <w:pgSz w:w="11910" w:h="16840"/>
          <w:pgMar w:top="1100" w:bottom="120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277"/>
        <w:gridCol w:w="1700"/>
        <w:gridCol w:w="1560"/>
        <w:gridCol w:w="1844"/>
        <w:gridCol w:w="1844"/>
        <w:gridCol w:w="1344"/>
      </w:tblGrid>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8" w:right="0"/>
              <w:jc w:val="left"/>
              <w:rPr>
                <w:rFonts w:ascii="Arial" w:hAnsi="Arial" w:cs="Arial" w:eastAsia="Arial" w:hint="default"/>
                <w:sz w:val="21"/>
                <w:szCs w:val="21"/>
              </w:rPr>
            </w:pPr>
            <w:r>
              <w:rPr>
                <w:rFonts w:ascii="Arial"/>
                <w:sz w:val="21"/>
              </w:rPr>
              <w:t>493,984,245.17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00" w:right="0"/>
              <w:jc w:val="left"/>
              <w:rPr>
                <w:rFonts w:ascii="Arial" w:hAnsi="Arial" w:cs="Arial" w:eastAsia="Arial" w:hint="default"/>
                <w:sz w:val="21"/>
                <w:szCs w:val="21"/>
              </w:rPr>
            </w:pPr>
            <w:r>
              <w:rPr>
                <w:rFonts w:ascii="Arial"/>
                <w:sz w:val="21"/>
              </w:rPr>
              <w:t>100.00%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0" w:right="0"/>
              <w:jc w:val="left"/>
              <w:rPr>
                <w:rFonts w:ascii="Arial" w:hAnsi="Arial" w:cs="Arial" w:eastAsia="Arial" w:hint="default"/>
                <w:sz w:val="21"/>
                <w:szCs w:val="21"/>
              </w:rPr>
            </w:pPr>
            <w:r>
              <w:rPr>
                <w:rFonts w:ascii="Arial"/>
                <w:sz w:val="21"/>
              </w:rPr>
              <w:t>364,360,058.06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83" w:right="0"/>
              <w:jc w:val="left"/>
              <w:rPr>
                <w:rFonts w:ascii="Arial" w:hAnsi="Arial" w:cs="Arial" w:eastAsia="Arial" w:hint="default"/>
                <w:sz w:val="21"/>
                <w:szCs w:val="21"/>
              </w:rPr>
            </w:pPr>
            <w:r>
              <w:rPr>
                <w:rFonts w:ascii="Arial"/>
                <w:sz w:val="21"/>
              </w:rPr>
              <w:t>100.00%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99" w:right="0"/>
              <w:jc w:val="left"/>
              <w:rPr>
                <w:rFonts w:ascii="Arial" w:hAnsi="Arial" w:cs="Arial" w:eastAsia="Arial" w:hint="default"/>
                <w:sz w:val="21"/>
                <w:szCs w:val="21"/>
              </w:rPr>
            </w:pPr>
            <w:r>
              <w:rPr>
                <w:rFonts w:ascii="Arial"/>
                <w:sz w:val="21"/>
              </w:rPr>
              <w:t>35.58%</w:t>
            </w:r>
          </w:p>
        </w:tc>
      </w:tr>
    </w:tbl>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752" w:footer="1010" w:top="1100" w:bottom="1200" w:left="980" w:right="980"/>
        </w:sectPr>
      </w:pPr>
    </w:p>
    <w:p>
      <w:pPr>
        <w:pStyle w:val="BodyText"/>
        <w:spacing w:line="240" w:lineRule="auto" w:before="26"/>
        <w:ind w:right="-19"/>
        <w:jc w:val="left"/>
      </w:pPr>
      <w:r>
        <w:rPr>
          <w:rFonts w:ascii="Arial" w:hAnsi="Arial" w:cs="Arial" w:eastAsia="Arial" w:hint="default"/>
        </w:rPr>
        <w:t>5</w:t>
      </w:r>
      <w:r>
        <w:rPr/>
        <w:t>）费用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1008" w:space="7793"/>
            <w:col w:w="1149"/>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77"/>
        <w:gridCol w:w="1558"/>
        <w:gridCol w:w="1560"/>
        <w:gridCol w:w="1136"/>
        <w:gridCol w:w="4040"/>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0"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69,961,760.42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54,723,791.57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27.85%</w:t>
            </w:r>
          </w:p>
        </w:tc>
        <w:tc>
          <w:tcPr>
            <w:tcW w:w="40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197,128,283.45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157,594,945.32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25.09%</w:t>
            </w:r>
          </w:p>
        </w:tc>
        <w:tc>
          <w:tcPr>
            <w:tcW w:w="40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-4,140,125.80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-7,503,150.08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44.82%</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2"/>
                <w:sz w:val="21"/>
                <w:szCs w:val="21"/>
              </w:rPr>
              <w:t>随着募投项目推进以及超募资金的使用，募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投专户余额减少，使存款利息收入减少。</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19,701,994.46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-6,672,228.44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395.28%</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0"/>
              <w:jc w:val="center"/>
              <w:rPr>
                <w:rFonts w:ascii="宋体" w:hAnsi="宋体" w:cs="宋体" w:eastAsia="宋体" w:hint="default"/>
                <w:sz w:val="21"/>
                <w:szCs w:val="21"/>
              </w:rPr>
            </w:pPr>
            <w:r>
              <w:rPr>
                <w:rFonts w:ascii="宋体" w:hAnsi="宋体" w:cs="宋体" w:eastAsia="宋体" w:hint="default"/>
                <w:sz w:val="21"/>
                <w:szCs w:val="21"/>
              </w:rPr>
              <w:t>子公司华宇信息税率变化至</w:t>
            </w:r>
            <w:r>
              <w:rPr>
                <w:rFonts w:ascii="宋体" w:hAnsi="宋体" w:cs="宋体" w:eastAsia="宋体" w:hint="default"/>
                <w:spacing w:val="-53"/>
                <w:sz w:val="21"/>
                <w:szCs w:val="21"/>
              </w:rPr>
              <w:t> </w:t>
            </w:r>
            <w:r>
              <w:rPr>
                <w:rFonts w:ascii="Arial" w:hAnsi="Arial" w:cs="Arial" w:eastAsia="Arial" w:hint="default"/>
                <w:sz w:val="21"/>
                <w:szCs w:val="21"/>
              </w:rPr>
              <w:t>12.50%</w:t>
            </w:r>
            <w:r>
              <w:rPr>
                <w:rFonts w:ascii="宋体" w:hAnsi="宋体" w:cs="宋体" w:eastAsia="宋体" w:hint="default"/>
                <w:sz w:val="21"/>
                <w:szCs w:val="21"/>
              </w:rPr>
              <w:t>所致。</w:t>
            </w:r>
          </w:p>
        </w:tc>
      </w:tr>
    </w:tbl>
    <w:p>
      <w:pPr>
        <w:spacing w:line="240" w:lineRule="auto" w:before="10"/>
        <w:rPr>
          <w:rFonts w:ascii="宋体" w:hAnsi="宋体" w:cs="宋体" w:eastAsia="宋体" w:hint="default"/>
          <w:sz w:val="7"/>
          <w:szCs w:val="7"/>
        </w:rPr>
      </w:pPr>
    </w:p>
    <w:p>
      <w:pPr>
        <w:pStyle w:val="BodyText"/>
        <w:spacing w:line="240" w:lineRule="auto" w:before="26"/>
        <w:ind w:right="0"/>
        <w:jc w:val="left"/>
      </w:pPr>
      <w:r>
        <w:rPr>
          <w:rFonts w:ascii="Arial" w:hAnsi="Arial" w:cs="Arial" w:eastAsia="Arial" w:hint="default"/>
        </w:rPr>
        <w:t>6</w:t>
      </w:r>
      <w:r>
        <w:rPr/>
        <w:t>）研发投入</w:t>
      </w:r>
    </w:p>
    <w:p>
      <w:pPr>
        <w:pStyle w:val="BodyText"/>
        <w:spacing w:line="314" w:lineRule="auto" w:before="113"/>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w:t>
      </w:r>
      <w:r>
        <w:rPr>
          <w:spacing w:val="-2"/>
        </w:rPr>
        <w:t>报告期内，公司保持了稳定的研发投入，研发支出总额为</w:t>
      </w:r>
      <w:r>
        <w:rPr>
          <w:rFonts w:ascii="Arial" w:hAnsi="Arial" w:cs="Arial" w:eastAsia="Arial" w:hint="default"/>
          <w:spacing w:val="-2"/>
        </w:rPr>
        <w:t>15,526.03</w:t>
      </w:r>
      <w:r>
        <w:rPr>
          <w:spacing w:val="-2"/>
        </w:rPr>
        <w:t>万元，占营业收入比例为</w:t>
      </w:r>
      <w:r>
        <w:rPr>
          <w:spacing w:val="-107"/>
        </w:rPr>
        <w:t> </w:t>
      </w:r>
      <w:r>
        <w:rPr>
          <w:spacing w:val="-107"/>
        </w:rPr>
      </w:r>
      <w:r>
        <w:rPr>
          <w:rFonts w:ascii="Arial" w:hAnsi="Arial" w:cs="Arial" w:eastAsia="Arial" w:hint="default"/>
        </w:rPr>
        <w:t>17.20%</w:t>
      </w:r>
      <w:r>
        <w:rPr/>
        <w:t>，为公司进一步提高核心竞争力提供有力的保障。 近三年公司研发投入金额及占营业收入的比例</w:t>
      </w:r>
    </w:p>
    <w:p>
      <w:pPr>
        <w:spacing w:line="240" w:lineRule="auto" w:before="9"/>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687"/>
        <w:gridCol w:w="2268"/>
        <w:gridCol w:w="1985"/>
        <w:gridCol w:w="1630"/>
      </w:tblGrid>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1"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6"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155,260,311.95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116,103,553.72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87,901,141.94</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17.33%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16.11%</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81,320,261.76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55,149,546.21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56,886,173.92</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52.38%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47.50%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64.72%</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54.35%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45.16%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56.40%</w:t>
            </w:r>
          </w:p>
        </w:tc>
      </w:tr>
    </w:tbl>
    <w:p>
      <w:pPr>
        <w:spacing w:line="240" w:lineRule="auto" w:before="10"/>
        <w:rPr>
          <w:rFonts w:ascii="宋体" w:hAnsi="宋体" w:cs="宋体" w:eastAsia="宋体" w:hint="default"/>
          <w:sz w:val="7"/>
          <w:szCs w:val="7"/>
        </w:rPr>
      </w:pPr>
    </w:p>
    <w:p>
      <w:pPr>
        <w:pStyle w:val="BodyText"/>
        <w:spacing w:line="240" w:lineRule="auto" w:before="26"/>
        <w:ind w:right="0"/>
        <w:jc w:val="left"/>
      </w:pPr>
      <w:r>
        <w:rPr/>
        <w:t>研发投入资本化率大幅变动的原因及其合理性说明</w:t>
      </w:r>
    </w:p>
    <w:p>
      <w:pPr>
        <w:spacing w:before="157"/>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4"/>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00" w:bottom="1200" w:left="980" w:right="980"/>
        </w:sectPr>
      </w:pPr>
    </w:p>
    <w:p>
      <w:pPr>
        <w:pStyle w:val="BodyText"/>
        <w:spacing w:line="240" w:lineRule="auto" w:before="26"/>
        <w:ind w:right="-19"/>
        <w:jc w:val="left"/>
      </w:pPr>
      <w:r>
        <w:rPr>
          <w:rFonts w:ascii="Arial" w:hAnsi="Arial" w:cs="Arial" w:eastAsia="Arial" w:hint="default"/>
        </w:rPr>
        <w:t>7</w:t>
      </w:r>
      <w:r>
        <w:rPr/>
        <w:t>）现金流</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1248" w:space="7553"/>
            <w:col w:w="1149"/>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687"/>
        <w:gridCol w:w="2127"/>
        <w:gridCol w:w="2269"/>
        <w:gridCol w:w="1488"/>
      </w:tblGrid>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9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9"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1,435,409,187.79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789,913,390.12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81.72%</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1,146,648,132.46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801,774,519.07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43.01%</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288,761,055.33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-11,861,128.95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2534.52%</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177,873.07</w:t>
            </w:r>
          </w:p>
        </w:tc>
        <w:tc>
          <w:tcPr>
            <w:tcW w:w="226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179,580,098.22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92,383,416.91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94.39%</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-179,402,225.15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-92,383,416.91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-94.19%</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24,531,458.95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20,992,340.98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16.86%</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25,449,465.47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31,746,000.00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-19.83%</w:t>
            </w:r>
          </w:p>
        </w:tc>
      </w:tr>
    </w:tbl>
    <w:p>
      <w:pPr>
        <w:spacing w:after="0" w:line="240" w:lineRule="auto"/>
        <w:jc w:val="right"/>
        <w:rPr>
          <w:rFonts w:ascii="Arial" w:hAnsi="Arial" w:cs="Arial" w:eastAsia="Arial" w:hint="default"/>
          <w:sz w:val="21"/>
          <w:szCs w:val="21"/>
        </w:rPr>
        <w:sectPr>
          <w:type w:val="continuous"/>
          <w:pgSz w:w="11910" w:h="16840"/>
          <w:pgMar w:top="1100" w:bottom="120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687"/>
        <w:gridCol w:w="2127"/>
        <w:gridCol w:w="2269"/>
        <w:gridCol w:w="1488"/>
      </w:tblGrid>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-918,006.52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-10,753,659.02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91.46%</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108,440,823.66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-114,998,204.88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194.30%</w:t>
            </w:r>
          </w:p>
        </w:tc>
      </w:tr>
    </w:tbl>
    <w:p>
      <w:pPr>
        <w:pStyle w:val="BodyText"/>
        <w:spacing w:line="240" w:lineRule="auto" w:before="48"/>
        <w:ind w:right="0"/>
        <w:jc w:val="left"/>
      </w:pPr>
      <w:r>
        <w:rPr/>
        <w:t>相关数据同比发生变动</w:t>
      </w:r>
      <w:r>
        <w:rPr>
          <w:spacing w:val="-64"/>
        </w:rPr>
        <w:t> </w:t>
      </w:r>
      <w:r>
        <w:rPr>
          <w:rFonts w:ascii="Arial" w:hAnsi="Arial" w:cs="Arial" w:eastAsia="Arial" w:hint="default"/>
        </w:rPr>
        <w:t>30%</w:t>
      </w:r>
      <w:r>
        <w:rPr/>
        <w:t>以上的原因说明</w:t>
      </w:r>
    </w:p>
    <w:p>
      <w:pPr>
        <w:spacing w:before="138"/>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pStyle w:val="BodyText"/>
        <w:spacing w:line="297" w:lineRule="auto" w:before="131"/>
        <w:ind w:right="153" w:firstLine="480"/>
        <w:jc w:val="both"/>
      </w:pPr>
      <w:r>
        <w:rPr/>
        <w:t>报告期内，经营活动现金流入</w:t>
      </w:r>
      <w:r>
        <w:rPr>
          <w:spacing w:val="-63"/>
        </w:rPr>
        <w:t> </w:t>
      </w:r>
      <w:r>
        <w:rPr>
          <w:rFonts w:ascii="Arial" w:hAnsi="Arial" w:cs="Arial" w:eastAsia="Arial" w:hint="default"/>
        </w:rPr>
        <w:t>143,540.92</w:t>
      </w:r>
      <w:r>
        <w:rPr>
          <w:rFonts w:ascii="Arial" w:hAnsi="Arial" w:cs="Arial" w:eastAsia="Arial" w:hint="default"/>
          <w:spacing w:val="-9"/>
        </w:rPr>
        <w:t> </w:t>
      </w:r>
      <w:r>
        <w:rPr/>
        <w:t>万元，较上年增长</w:t>
      </w:r>
      <w:r>
        <w:rPr>
          <w:spacing w:val="-63"/>
        </w:rPr>
        <w:t> </w:t>
      </w:r>
      <w:r>
        <w:rPr>
          <w:rFonts w:ascii="Arial" w:hAnsi="Arial" w:cs="Arial" w:eastAsia="Arial" w:hint="default"/>
        </w:rPr>
        <w:t>81.72%</w:t>
      </w:r>
      <w:r>
        <w:rPr/>
        <w:t>，经营活动现金流 出小计</w:t>
      </w:r>
      <w:r>
        <w:rPr>
          <w:spacing w:val="-62"/>
        </w:rPr>
        <w:t> </w:t>
      </w:r>
      <w:r>
        <w:rPr>
          <w:rFonts w:ascii="Arial" w:hAnsi="Arial" w:cs="Arial" w:eastAsia="Arial" w:hint="default"/>
          <w:spacing w:val="-1"/>
          <w:w w:val="99"/>
        </w:rPr>
        <w:t>11,466.48</w:t>
      </w:r>
      <w:r>
        <w:rPr>
          <w:rFonts w:ascii="Arial" w:hAnsi="Arial" w:cs="Arial" w:eastAsia="Arial" w:hint="default"/>
          <w:spacing w:val="-8"/>
          <w:w w:val="99"/>
        </w:rPr>
        <w:t> </w:t>
      </w:r>
      <w:r>
        <w:rPr>
          <w:spacing w:val="-16"/>
        </w:rPr>
        <w:t>万元，较上年增长</w:t>
      </w:r>
      <w:r>
        <w:rPr>
          <w:spacing w:val="-63"/>
        </w:rPr>
        <w:t> </w:t>
      </w:r>
      <w:r>
        <w:rPr>
          <w:rFonts w:ascii="Arial" w:hAnsi="Arial" w:cs="Arial" w:eastAsia="Arial" w:hint="default"/>
          <w:spacing w:val="-6"/>
          <w:w w:val="99"/>
        </w:rPr>
        <w:t>43.01%</w:t>
      </w:r>
      <w:r>
        <w:rPr>
          <w:spacing w:val="-6"/>
          <w:w w:val="99"/>
        </w:rPr>
        <w:t>，经营活动产生的现金流量净额本期为</w:t>
      </w:r>
      <w:r>
        <w:rPr>
          <w:spacing w:val="-62"/>
          <w:w w:val="99"/>
        </w:rPr>
        <w:t> </w:t>
      </w:r>
      <w:r>
        <w:rPr>
          <w:rFonts w:ascii="Arial" w:hAnsi="Arial" w:cs="Arial" w:eastAsia="Arial" w:hint="default"/>
          <w:spacing w:val="-1"/>
          <w:w w:val="99"/>
        </w:rPr>
        <w:t>28,876.11</w:t>
      </w:r>
      <w:r>
        <w:rPr>
          <w:rFonts w:ascii="Arial" w:hAnsi="Arial" w:cs="Arial" w:eastAsia="Arial" w:hint="default"/>
          <w:spacing w:val="-65"/>
          <w:w w:val="99"/>
        </w:rPr>
        <w:t> </w:t>
      </w:r>
      <w:r>
        <w:rPr>
          <w:rFonts w:ascii="Arial" w:hAnsi="Arial" w:cs="Arial" w:eastAsia="Arial" w:hint="default"/>
          <w:spacing w:val="-65"/>
          <w:w w:val="99"/>
        </w:rPr>
      </w:r>
      <w:r>
        <w:rPr/>
        <w:t>万元，较上年增长了</w:t>
      </w:r>
      <w:r>
        <w:rPr>
          <w:spacing w:val="-63"/>
        </w:rPr>
        <w:t> </w:t>
      </w:r>
      <w:r>
        <w:rPr>
          <w:rFonts w:ascii="Arial" w:hAnsi="Arial" w:cs="Arial" w:eastAsia="Arial" w:hint="default"/>
        </w:rPr>
        <w:t>2,534.52%</w:t>
      </w:r>
      <w:r>
        <w:rPr/>
        <w:t>，主要原因是：报告期内，公司业绩稳步提升，订单量大幅 增长带来较多的预收账款；同时，公司持续加强对应收款项的管理，报告期内应收账款的回 款效果较好。</w:t>
      </w:r>
    </w:p>
    <w:p>
      <w:pPr>
        <w:pStyle w:val="BodyText"/>
        <w:spacing w:line="292" w:lineRule="auto" w:before="74"/>
        <w:ind w:right="148" w:firstLine="480"/>
        <w:jc w:val="both"/>
      </w:pPr>
      <w:r>
        <w:rPr/>
        <w:t>投资活动产生的现金流量净额</w:t>
      </w:r>
      <w:r>
        <w:rPr>
          <w:rFonts w:ascii="Arial" w:hAnsi="Arial" w:cs="Arial" w:eastAsia="Arial" w:hint="default"/>
        </w:rPr>
        <w:t>-17,940.22 </w:t>
      </w:r>
      <w:r>
        <w:rPr/>
        <w:t>万元，较上年降低了</w:t>
      </w:r>
      <w:r>
        <w:rPr>
          <w:spacing w:val="-23"/>
        </w:rPr>
        <w:t> </w:t>
      </w:r>
      <w:r>
        <w:rPr>
          <w:rFonts w:ascii="Arial" w:hAnsi="Arial" w:cs="Arial" w:eastAsia="Arial" w:hint="default"/>
        </w:rPr>
        <w:t>94.19%</w:t>
      </w:r>
      <w:r>
        <w:rPr/>
        <w:t>，主要原因是公 </w:t>
      </w:r>
      <w:r>
        <w:rPr>
          <w:spacing w:val="-3"/>
        </w:rPr>
        <w:t>司为了进一步提高核心竞争力，投资活动现金流出增加</w:t>
      </w:r>
      <w:r>
        <w:rPr>
          <w:spacing w:val="-58"/>
        </w:rPr>
        <w:t> </w:t>
      </w:r>
      <w:r>
        <w:rPr>
          <w:rFonts w:ascii="Arial" w:hAnsi="Arial" w:cs="Arial" w:eastAsia="Arial" w:hint="default"/>
        </w:rPr>
        <w:t>8,719.67</w:t>
      </w:r>
      <w:r>
        <w:rPr>
          <w:rFonts w:ascii="Arial" w:hAnsi="Arial" w:cs="Arial" w:eastAsia="Arial" w:hint="default"/>
          <w:spacing w:val="-3"/>
        </w:rPr>
        <w:t> </w:t>
      </w:r>
      <w:r>
        <w:rPr>
          <w:spacing w:val="-15"/>
        </w:rPr>
        <w:t>万元，增加</w:t>
      </w:r>
      <w:r>
        <w:rPr>
          <w:spacing w:val="-58"/>
        </w:rPr>
        <w:t> </w:t>
      </w:r>
      <w:r>
        <w:rPr>
          <w:rFonts w:ascii="Arial" w:hAnsi="Arial" w:cs="Arial" w:eastAsia="Arial" w:hint="default"/>
          <w:spacing w:val="-8"/>
        </w:rPr>
        <w:t>94.39%</w:t>
      </w:r>
      <w:r>
        <w:rPr>
          <w:spacing w:val="-8"/>
        </w:rPr>
        <w:t>，其中：</w:t>
      </w:r>
      <w:r>
        <w:rPr/>
        <w:t> 研发投入等增加 </w:t>
      </w:r>
      <w:r>
        <w:rPr>
          <w:rFonts w:ascii="Arial" w:hAnsi="Arial" w:cs="Arial" w:eastAsia="Arial" w:hint="default"/>
        </w:rPr>
        <w:t>3,685.25  </w:t>
      </w:r>
      <w:r>
        <w:rPr>
          <w:spacing w:val="2"/>
        </w:rPr>
        <w:t>万元、投资建设大连研发基地支出 </w:t>
      </w:r>
      <w:r>
        <w:rPr>
          <w:rFonts w:ascii="Arial" w:hAnsi="Arial" w:cs="Arial" w:eastAsia="Arial" w:hint="default"/>
        </w:rPr>
        <w:t>4,637.93 </w:t>
      </w:r>
      <w:r>
        <w:rPr>
          <w:rFonts w:ascii="Arial" w:hAnsi="Arial" w:cs="Arial" w:eastAsia="Arial" w:hint="default"/>
          <w:spacing w:val="1"/>
        </w:rPr>
        <w:t> </w:t>
      </w:r>
      <w:r>
        <w:rPr>
          <w:spacing w:val="2"/>
        </w:rPr>
        <w:t>万元，较上年增加</w:t>
      </w:r>
      <w:r>
        <w:rPr/>
      </w:r>
    </w:p>
    <w:p>
      <w:pPr>
        <w:pStyle w:val="BodyText"/>
        <w:spacing w:line="240" w:lineRule="auto" w:before="15"/>
        <w:ind w:right="0"/>
        <w:jc w:val="left"/>
      </w:pPr>
      <w:r>
        <w:rPr>
          <w:rFonts w:ascii="Arial" w:hAnsi="Arial" w:cs="Arial" w:eastAsia="Arial" w:hint="default"/>
        </w:rPr>
        <w:t>2,034.42</w:t>
      </w:r>
      <w:r>
        <w:rPr>
          <w:rFonts w:ascii="Arial" w:hAnsi="Arial" w:cs="Arial" w:eastAsia="Arial" w:hint="default"/>
          <w:spacing w:val="-8"/>
        </w:rPr>
        <w:t> </w:t>
      </w:r>
      <w:r>
        <w:rPr/>
        <w:t>万元；另外投资捷视飞通支出</w:t>
      </w:r>
      <w:r>
        <w:rPr>
          <w:spacing w:val="-63"/>
        </w:rPr>
        <w:t> </w:t>
      </w:r>
      <w:r>
        <w:rPr>
          <w:rFonts w:ascii="Arial" w:hAnsi="Arial" w:cs="Arial" w:eastAsia="Arial" w:hint="default"/>
        </w:rPr>
        <w:t>3,000</w:t>
      </w:r>
      <w:r>
        <w:rPr>
          <w:rFonts w:ascii="Arial" w:hAnsi="Arial" w:cs="Arial" w:eastAsia="Arial" w:hint="default"/>
          <w:spacing w:val="-11"/>
        </w:rPr>
        <w:t> </w:t>
      </w:r>
      <w:r>
        <w:rPr/>
        <w:t>万元。</w:t>
      </w:r>
    </w:p>
    <w:p>
      <w:pPr>
        <w:pStyle w:val="BodyText"/>
        <w:spacing w:line="292" w:lineRule="auto" w:before="113"/>
        <w:ind w:right="151" w:firstLine="480"/>
        <w:jc w:val="both"/>
      </w:pPr>
      <w:r>
        <w:rPr/>
        <w:t>筹资活动产生的现金流量净额</w:t>
      </w:r>
      <w:r>
        <w:rPr>
          <w:rFonts w:ascii="Arial" w:hAnsi="Arial" w:cs="Arial" w:eastAsia="Arial" w:hint="default"/>
        </w:rPr>
        <w:t>-91.80 </w:t>
      </w:r>
      <w:r>
        <w:rPr/>
        <w:t>万元，较上年增长了</w:t>
      </w:r>
      <w:r>
        <w:rPr>
          <w:spacing w:val="-36"/>
        </w:rPr>
        <w:t> </w:t>
      </w:r>
      <w:r>
        <w:rPr>
          <w:rFonts w:ascii="Arial" w:hAnsi="Arial" w:cs="Arial" w:eastAsia="Arial" w:hint="default"/>
        </w:rPr>
        <w:t>91.46%</w:t>
      </w:r>
      <w:r>
        <w:rPr/>
        <w:t>，主要原因是期权行 权等吸收投资收到现金同比增加，以及分配现金股利金额较上年有所减少所致。</w:t>
      </w:r>
    </w:p>
    <w:p>
      <w:pPr>
        <w:pStyle w:val="BodyText"/>
        <w:spacing w:line="240" w:lineRule="auto" w:before="158"/>
        <w:ind w:right="0"/>
        <w:jc w:val="left"/>
      </w:pPr>
      <w:r>
        <w:rPr/>
        <w:t>报告期内公司经营活动的现金流量与本年度净利润存在重大差异的原因说明</w:t>
      </w:r>
    </w:p>
    <w:p>
      <w:pPr>
        <w:pStyle w:val="BodyText"/>
        <w:spacing w:line="240" w:lineRule="auto" w:before="132"/>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324" w:lineRule="auto" w:before="194"/>
        <w:ind w:right="6520"/>
        <w:jc w:val="left"/>
      </w:pPr>
      <w:r>
        <w:rPr>
          <w:rFonts w:ascii="Arial" w:hAnsi="Arial" w:cs="Arial" w:eastAsia="Arial" w:hint="default"/>
        </w:rPr>
        <w:t>8</w:t>
      </w:r>
      <w:r>
        <w:rPr/>
        <w:t>）公司主要供应商、客户情况 公司主要销售客户情况</w:t>
      </w:r>
    </w:p>
    <w:p>
      <w:pPr>
        <w:spacing w:line="240" w:lineRule="auto" w:before="1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6381"/>
        <w:gridCol w:w="2835"/>
      </w:tblGrid>
      <w:tr>
        <w:trPr>
          <w:trHeight w:val="403"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132,701,161.36</w:t>
            </w:r>
          </w:p>
        </w:tc>
      </w:tr>
      <w:tr>
        <w:trPr>
          <w:trHeight w:val="403"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14.70%</w:t>
            </w:r>
          </w:p>
        </w:tc>
      </w:tr>
    </w:tbl>
    <w:p>
      <w:pPr>
        <w:spacing w:line="240" w:lineRule="auto" w:before="2"/>
        <w:rPr>
          <w:rFonts w:ascii="宋体" w:hAnsi="宋体" w:cs="宋体" w:eastAsia="宋体" w:hint="default"/>
          <w:sz w:val="10"/>
          <w:szCs w:val="10"/>
        </w:rPr>
      </w:pPr>
    </w:p>
    <w:p>
      <w:pPr>
        <w:pStyle w:val="BodyText"/>
        <w:spacing w:line="240" w:lineRule="auto" w:before="26"/>
        <w:ind w:right="0"/>
        <w:jc w:val="left"/>
      </w:pPr>
      <w:r>
        <w:rPr/>
        <w:t>向单一客户销售比例超过</w:t>
      </w:r>
      <w:r>
        <w:rPr>
          <w:spacing w:val="-60"/>
        </w:rPr>
        <w:t> </w:t>
      </w:r>
      <w:r>
        <w:rPr>
          <w:rFonts w:ascii="Arial" w:hAnsi="Arial" w:cs="Arial" w:eastAsia="Arial" w:hint="default"/>
        </w:rPr>
        <w:t>30%</w:t>
      </w:r>
      <w:r>
        <w:rPr/>
        <w:t>的客户资料</w:t>
      </w:r>
    </w:p>
    <w:p>
      <w:pPr>
        <w:pStyle w:val="BodyText"/>
        <w:spacing w:line="372" w:lineRule="auto" w:before="96"/>
        <w:ind w:right="76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公司主要供应商情况</w:t>
      </w:r>
    </w:p>
    <w:tbl>
      <w:tblPr>
        <w:tblW w:w="0" w:type="auto"/>
        <w:jc w:val="left"/>
        <w:tblInd w:w="148" w:type="dxa"/>
        <w:tblLayout w:type="fixed"/>
        <w:tblCellMar>
          <w:top w:w="0" w:type="dxa"/>
          <w:left w:w="0" w:type="dxa"/>
          <w:bottom w:w="0" w:type="dxa"/>
          <w:right w:w="0" w:type="dxa"/>
        </w:tblCellMar>
        <w:tblLook w:val="01E0"/>
      </w:tblPr>
      <w:tblGrid>
        <w:gridCol w:w="6522"/>
        <w:gridCol w:w="2693"/>
      </w:tblGrid>
      <w:tr>
        <w:trPr>
          <w:trHeight w:val="401"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82,984,492.60</w:t>
            </w:r>
          </w:p>
        </w:tc>
      </w:tr>
      <w:tr>
        <w:trPr>
          <w:trHeight w:val="403"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14.57%</w:t>
            </w:r>
          </w:p>
        </w:tc>
      </w:tr>
    </w:tbl>
    <w:p>
      <w:pPr>
        <w:spacing w:line="240" w:lineRule="auto" w:before="8"/>
        <w:rPr>
          <w:rFonts w:ascii="宋体" w:hAnsi="宋体" w:cs="宋体" w:eastAsia="宋体" w:hint="default"/>
          <w:sz w:val="9"/>
          <w:szCs w:val="9"/>
        </w:rPr>
      </w:pPr>
    </w:p>
    <w:p>
      <w:pPr>
        <w:pStyle w:val="BodyText"/>
        <w:spacing w:line="240" w:lineRule="auto" w:before="26"/>
        <w:ind w:right="0"/>
        <w:jc w:val="left"/>
      </w:pPr>
      <w:r>
        <w:rPr/>
        <w:t>向单一供应商采购比例超过</w:t>
      </w:r>
      <w:r>
        <w:rPr>
          <w:spacing w:val="-60"/>
        </w:rPr>
        <w:t> </w:t>
      </w:r>
      <w:r>
        <w:rPr>
          <w:rFonts w:ascii="Arial" w:hAnsi="Arial" w:cs="Arial" w:eastAsia="Arial" w:hint="default"/>
        </w:rPr>
        <w:t>30%</w:t>
      </w:r>
      <w:r>
        <w:rPr/>
        <w:t>的客户资料</w:t>
      </w:r>
    </w:p>
    <w:p>
      <w:pPr>
        <w:pStyle w:val="BodyText"/>
        <w:spacing w:line="240" w:lineRule="auto" w:before="115"/>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324" w:lineRule="auto" w:before="192"/>
        <w:ind w:right="2094"/>
        <w:jc w:val="left"/>
      </w:pPr>
      <w:r>
        <w:rPr>
          <w:rFonts w:ascii="Arial" w:hAnsi="Arial" w:cs="Arial" w:eastAsia="Arial" w:hint="default"/>
        </w:rPr>
        <w:t>9</w:t>
      </w:r>
      <w:r>
        <w:rPr/>
        <w:t>）公司未来发展与规划延续至报告期的说明 首次公开发行招股说明书中披露的未来发展与规划在本报告期的实施情况</w:t>
      </w:r>
    </w:p>
    <w:p>
      <w:pPr>
        <w:pStyle w:val="BodyText"/>
        <w:spacing w:line="240" w:lineRule="auto" w:before="48"/>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752" w:footer="1010" w:top="1100" w:bottom="1200" w:left="980" w:right="980"/>
        </w:sectPr>
      </w:pPr>
    </w:p>
    <w:p>
      <w:pPr>
        <w:spacing w:line="240" w:lineRule="auto" w:before="9"/>
        <w:rPr>
          <w:rFonts w:ascii="宋体" w:hAnsi="宋体" w:cs="宋体" w:eastAsia="宋体" w:hint="default"/>
          <w:sz w:val="20"/>
          <w:szCs w:val="20"/>
        </w:rPr>
      </w:pPr>
    </w:p>
    <w:p>
      <w:pPr>
        <w:pStyle w:val="BodyText"/>
        <w:spacing w:line="297" w:lineRule="auto" w:before="26"/>
        <w:ind w:right="190" w:firstLine="480"/>
        <w:jc w:val="both"/>
      </w:pPr>
      <w:r>
        <w:rPr/>
        <w:t>报告期内，公司严格按照招股书中公司未来三年发展规划推进，紧抓行业政策优势，积 极布局全国营销网络，持续专注主营业务，在深耕细作优势行业的同时，积极拓展新业务领 域，逐步扩大竞争优势，提升市场占有率；持续加大技术投入，加强研发核心能力，保证了 技术领先优势，实现业务整体健康、持续的增长。</w:t>
      </w:r>
    </w:p>
    <w:p>
      <w:pPr>
        <w:pStyle w:val="BodyText"/>
        <w:spacing w:line="340" w:lineRule="auto" w:before="182"/>
        <w:ind w:left="633" w:right="0" w:hanging="481"/>
        <w:jc w:val="left"/>
      </w:pPr>
      <w:r>
        <w:rPr/>
        <w:t>前期披露的发展战略和经营计划在报告期内的进展情况 报告期内，公司紧紧围绕上一报告期披露的发展战略和经营计划，积极推进各项工作，</w:t>
      </w:r>
    </w:p>
    <w:p>
      <w:pPr>
        <w:pStyle w:val="BodyText"/>
        <w:spacing w:line="324" w:lineRule="auto"/>
        <w:ind w:right="814"/>
        <w:jc w:val="left"/>
      </w:pPr>
      <w:r>
        <w:rPr/>
        <w:t>为公司未来发展奠定基础。具体内容详见</w:t>
      </w:r>
      <w:r>
        <w:rPr>
          <w:rFonts w:ascii="Arial" w:hAnsi="Arial" w:cs="Arial" w:eastAsia="Arial" w:hint="default"/>
        </w:rPr>
        <w:t>“</w:t>
      </w:r>
      <w:r>
        <w:rPr/>
        <w:t>第四节董事会报告</w:t>
      </w:r>
      <w:r>
        <w:rPr>
          <w:rFonts w:ascii="Arial" w:hAnsi="Arial" w:cs="Arial" w:eastAsia="Arial" w:hint="default"/>
        </w:rPr>
        <w:t>”</w:t>
      </w:r>
      <w:r>
        <w:rPr/>
        <w:t>中</w:t>
      </w:r>
      <w:r>
        <w:rPr>
          <w:rFonts w:ascii="Arial" w:hAnsi="Arial" w:cs="Arial" w:eastAsia="Arial" w:hint="default"/>
        </w:rPr>
        <w:t>“</w:t>
      </w:r>
      <w:r>
        <w:rPr/>
        <w:t>管理层讨论与分析</w:t>
      </w:r>
      <w:r>
        <w:rPr>
          <w:rFonts w:ascii="Arial" w:hAnsi="Arial" w:cs="Arial" w:eastAsia="Arial" w:hint="default"/>
        </w:rPr>
        <w:t>”</w:t>
      </w:r>
      <w:r>
        <w:rPr/>
        <w:t>。 公司实际经营业绩较曾公开披露过的本年度盈利预测低于或高于</w:t>
      </w:r>
      <w:r>
        <w:rPr>
          <w:spacing w:val="-62"/>
        </w:rPr>
        <w:t> </w:t>
      </w:r>
      <w:r>
        <w:rPr>
          <w:rFonts w:ascii="Arial" w:hAnsi="Arial" w:cs="Arial" w:eastAsia="Arial" w:hint="default"/>
        </w:rPr>
        <w:t>20%</w:t>
      </w:r>
      <w:r>
        <w:rPr/>
        <w:t>以上的差异原因</w:t>
      </w:r>
    </w:p>
    <w:p>
      <w:pPr>
        <w:pStyle w:val="BodyText"/>
        <w:spacing w:line="240" w:lineRule="auto" w:before="19"/>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10"/>
        <w:rPr>
          <w:rFonts w:ascii="宋体" w:hAnsi="宋体" w:cs="宋体" w:eastAsia="宋体" w:hint="default"/>
          <w:sz w:val="28"/>
          <w:szCs w:val="28"/>
        </w:rPr>
      </w:pPr>
    </w:p>
    <w:p>
      <w:pPr>
        <w:pStyle w:val="Heading3"/>
        <w:spacing w:line="240" w:lineRule="auto"/>
        <w:ind w:right="0"/>
        <w:jc w:val="left"/>
        <w:rPr>
          <w:b w:val="0"/>
          <w:bCs w:val="0"/>
        </w:rPr>
      </w:pPr>
      <w:r>
        <w:rPr/>
        <w:t>（</w:t>
      </w:r>
      <w:r>
        <w:rPr>
          <w:rFonts w:ascii="Arial" w:hAnsi="Arial" w:cs="Arial" w:eastAsia="Arial" w:hint="default"/>
        </w:rPr>
        <w:t>2</w:t>
      </w:r>
      <w:r>
        <w:rPr/>
        <w:t>）主营业务分部报告</w:t>
      </w:r>
      <w:r>
        <w:rPr>
          <w:b w:val="0"/>
          <w:bCs w:val="0"/>
        </w:rPr>
      </w:r>
    </w:p>
    <w:p>
      <w:pPr>
        <w:spacing w:line="240" w:lineRule="auto" w:before="6"/>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752" w:footer="1010" w:top="1100" w:bottom="1200" w:left="980" w:right="980"/>
        </w:sectPr>
      </w:pPr>
    </w:p>
    <w:p>
      <w:pPr>
        <w:pStyle w:val="BodyText"/>
        <w:spacing w:line="240" w:lineRule="auto" w:before="26"/>
        <w:ind w:right="-19"/>
        <w:jc w:val="left"/>
      </w:pPr>
      <w:r>
        <w:rPr>
          <w:rFonts w:ascii="Arial" w:hAnsi="Arial" w:cs="Arial" w:eastAsia="Arial" w:hint="default"/>
        </w:rPr>
        <w:t>1</w:t>
      </w:r>
      <w:r>
        <w:rPr/>
        <w:t>）报告期主营业务收入及主营业务利润的构成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5088" w:space="3713"/>
            <w:col w:w="1149"/>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分行业</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法院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554,427,816.62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293,655,649.84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检察院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160,784,782.36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44,734,658.01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政府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141,577,622.15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47,814,603.19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45,812,622.48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22,413,687.40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902,602,843.61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408,618,598.44</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应用软件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419,643,054.40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299,828,885.43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系统建设服务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336,625,653.02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51,685,237.68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运维服务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146,334,136.19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57,104,475.33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902,602,843.61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408,618,598.44</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490,951,489.01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209,938,930.71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106,876,697.65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41,212,119.31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75,666,853.11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35,079,511.45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107,564,077.97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59,846,104.68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78,720,374.94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48,301,687.91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5,886,524.72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1,923,053.50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36,936,826.21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12,317,190.88</w:t>
            </w:r>
          </w:p>
        </w:tc>
      </w:tr>
    </w:tbl>
    <w:p>
      <w:pPr>
        <w:spacing w:after="0" w:line="240" w:lineRule="auto"/>
        <w:jc w:val="right"/>
        <w:rPr>
          <w:rFonts w:ascii="Arial" w:hAnsi="Arial" w:cs="Arial" w:eastAsia="Arial" w:hint="default"/>
          <w:sz w:val="21"/>
          <w:szCs w:val="21"/>
        </w:rPr>
        <w:sectPr>
          <w:type w:val="continuous"/>
          <w:pgSz w:w="11910" w:h="16840"/>
          <w:pgMar w:top="1100" w:bottom="120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99" w:right="0"/>
              <w:jc w:val="left"/>
              <w:rPr>
                <w:rFonts w:ascii="Arial" w:hAnsi="Arial" w:cs="Arial" w:eastAsia="Arial" w:hint="default"/>
                <w:sz w:val="21"/>
                <w:szCs w:val="21"/>
              </w:rPr>
            </w:pPr>
            <w:r>
              <w:rPr>
                <w:rFonts w:ascii="Arial"/>
                <w:sz w:val="21"/>
              </w:rPr>
              <w:t>902,602,843.61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97" w:right="0"/>
              <w:jc w:val="left"/>
              <w:rPr>
                <w:rFonts w:ascii="Arial" w:hAnsi="Arial" w:cs="Arial" w:eastAsia="Arial" w:hint="default"/>
                <w:sz w:val="21"/>
                <w:szCs w:val="21"/>
              </w:rPr>
            </w:pPr>
            <w:r>
              <w:rPr>
                <w:rFonts w:ascii="Arial"/>
                <w:sz w:val="21"/>
              </w:rPr>
              <w:t>408,618,598.44</w:t>
            </w:r>
          </w:p>
        </w:tc>
      </w:tr>
    </w:tbl>
    <w:p>
      <w:pPr>
        <w:spacing w:after="0" w:line="240" w:lineRule="auto"/>
        <w:jc w:val="left"/>
        <w:rPr>
          <w:rFonts w:ascii="Arial" w:hAnsi="Arial" w:cs="Arial" w:eastAsia="Arial" w:hint="default"/>
          <w:sz w:val="21"/>
          <w:szCs w:val="21"/>
        </w:rPr>
        <w:sectPr>
          <w:footerReference w:type="default" r:id="rId15"/>
          <w:pgSz w:w="11910" w:h="16840"/>
          <w:pgMar w:footer="1010" w:header="752" w:top="1100" w:bottom="1200" w:left="980" w:right="980"/>
        </w:sectPr>
      </w:pPr>
    </w:p>
    <w:p>
      <w:pPr>
        <w:pStyle w:val="BodyText"/>
        <w:spacing w:line="240" w:lineRule="auto" w:before="79"/>
        <w:ind w:right="-15"/>
        <w:jc w:val="left"/>
      </w:pPr>
      <w:r>
        <w:rPr>
          <w:rFonts w:ascii="Arial" w:hAnsi="Arial" w:cs="Arial" w:eastAsia="Arial" w:hint="default"/>
        </w:rPr>
        <w:t>2</w:t>
      </w:r>
      <w:r>
        <w:rPr/>
        <w:t>）占比</w:t>
      </w:r>
      <w:r>
        <w:rPr>
          <w:spacing w:val="-64"/>
        </w:rPr>
        <w:t> </w:t>
      </w:r>
      <w:r>
        <w:rPr>
          <w:rFonts w:ascii="Arial" w:hAnsi="Arial" w:cs="Arial" w:eastAsia="Arial" w:hint="default"/>
        </w:rPr>
        <w:t>10%</w:t>
      </w:r>
      <w:r>
        <w:rPr/>
        <w:t>以上的产品、行业或地区情况</w:t>
      </w:r>
    </w:p>
    <w:p>
      <w:pPr>
        <w:pStyle w:val="BodyText"/>
        <w:spacing w:line="240" w:lineRule="auto" w:before="96"/>
        <w:ind w:right="-15"/>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4668" w:space="4132"/>
            <w:col w:w="1150"/>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702"/>
        <w:gridCol w:w="852"/>
        <w:gridCol w:w="1416"/>
        <w:gridCol w:w="1419"/>
        <w:gridCol w:w="1207"/>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77" w:right="67" w:hanging="104"/>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80" w:right="70" w:hanging="106"/>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74" w:right="6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年同期增减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法院</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554,427,816.62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260,772,166.78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52.97%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35.43%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22.32%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检察院</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7" w:right="0"/>
              <w:jc w:val="center"/>
              <w:rPr>
                <w:rFonts w:ascii="Arial" w:hAnsi="Arial" w:cs="Arial" w:eastAsia="Arial" w:hint="default"/>
                <w:sz w:val="21"/>
                <w:szCs w:val="21"/>
              </w:rPr>
            </w:pPr>
            <w:r>
              <w:rPr>
                <w:rFonts w:ascii="Arial"/>
                <w:sz w:val="21"/>
              </w:rPr>
              <w:t>160,784,782.36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116,050,124.35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Arial" w:hAnsi="Arial" w:cs="Arial" w:eastAsia="Arial" w:hint="default"/>
                <w:sz w:val="21"/>
                <w:szCs w:val="21"/>
              </w:rPr>
            </w:pPr>
            <w:r>
              <w:rPr>
                <w:rFonts w:ascii="Arial"/>
                <w:sz w:val="21"/>
              </w:rPr>
              <w:t>27.82%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sz w:val="21"/>
              </w:rPr>
              <w:t>108.21%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145.05%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-28.06%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141,577,622.15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93,763,018.96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33.77%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-7.85%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9.83%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-23.99%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419,643,054.40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119,814,168.97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71.45%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50.78%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60.45%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系统建设服务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336,625,653.02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284,940,415.34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15.35%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9.73%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18.89%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-29.81%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146,334,136.19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89,229,660.86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39.02%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72.67%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78.43%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-4.80%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490,951,489.01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281,012,558.30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42.76%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33.57%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39.96%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-5.76%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106,876,697.65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65,664,578.34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38.56%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21.88%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31.31%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107,564,077.97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47,717,973.29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55.64%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29.78%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-11.76%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60.08%</w:t>
            </w:r>
          </w:p>
        </w:tc>
      </w:tr>
    </w:tbl>
    <w:p>
      <w:pPr>
        <w:spacing w:line="240" w:lineRule="auto" w:before="10"/>
        <w:rPr>
          <w:rFonts w:ascii="宋体" w:hAnsi="宋体" w:cs="宋体" w:eastAsia="宋体" w:hint="default"/>
          <w:sz w:val="7"/>
          <w:szCs w:val="7"/>
        </w:rPr>
      </w:pPr>
    </w:p>
    <w:p>
      <w:pPr>
        <w:pStyle w:val="BodyText"/>
        <w:spacing w:line="292" w:lineRule="auto" w:before="26"/>
        <w:ind w:right="139"/>
        <w:jc w:val="left"/>
      </w:pPr>
      <w:r>
        <w:rPr>
          <w:rFonts w:ascii="Arial" w:hAnsi="Arial" w:cs="Arial" w:eastAsia="Arial" w:hint="default"/>
          <w:spacing w:val="-4"/>
        </w:rPr>
        <w:t>3</w:t>
      </w:r>
      <w:r>
        <w:rPr>
          <w:spacing w:val="-4"/>
        </w:rPr>
        <w:t>）公司主营业务数据统计口径在报告期发生调整的情况下，公司最近</w:t>
      </w:r>
      <w:r>
        <w:rPr>
          <w:spacing w:val="-54"/>
        </w:rPr>
        <w:t> </w:t>
      </w:r>
      <w:r>
        <w:rPr>
          <w:rFonts w:ascii="Arial" w:hAnsi="Arial" w:cs="Arial" w:eastAsia="Arial" w:hint="default"/>
        </w:rPr>
        <w:t>3</w:t>
      </w:r>
      <w:r>
        <w:rPr>
          <w:rFonts w:ascii="Arial" w:hAnsi="Arial" w:cs="Arial" w:eastAsia="Arial" w:hint="default"/>
          <w:spacing w:val="-1"/>
        </w:rPr>
        <w:t> </w:t>
      </w:r>
      <w:r>
        <w:rPr/>
        <w:t>年按报告期末口径调 整后的主营业务数据</w:t>
      </w:r>
    </w:p>
    <w:p>
      <w:pPr>
        <w:pStyle w:val="BodyText"/>
        <w:spacing w:line="240" w:lineRule="auto" w:before="79"/>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28"/>
          <w:szCs w:val="28"/>
        </w:rPr>
      </w:pPr>
    </w:p>
    <w:p>
      <w:pPr>
        <w:pStyle w:val="Heading3"/>
        <w:spacing w:line="240" w:lineRule="auto"/>
        <w:ind w:right="0"/>
        <w:jc w:val="left"/>
        <w:rPr>
          <w:b w:val="0"/>
          <w:bCs w:val="0"/>
        </w:rPr>
      </w:pPr>
      <w:r>
        <w:rPr/>
        <w:t>（</w:t>
      </w:r>
      <w:r>
        <w:rPr>
          <w:rFonts w:ascii="Arial" w:hAnsi="Arial" w:cs="Arial" w:eastAsia="Arial" w:hint="default"/>
        </w:rPr>
        <w:t>3</w:t>
      </w:r>
      <w:r>
        <w:rPr/>
        <w:t>）资产、负债状况分析</w:t>
      </w:r>
      <w:r>
        <w:rPr>
          <w:b w:val="0"/>
          <w:bCs w:val="0"/>
        </w:rPr>
      </w:r>
    </w:p>
    <w:p>
      <w:pPr>
        <w:spacing w:line="240" w:lineRule="auto" w:before="8"/>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type w:val="continuous"/>
          <w:pgSz w:w="11910" w:h="16840"/>
          <w:pgMar w:top="1100" w:bottom="1200" w:left="980" w:right="980"/>
        </w:sectPr>
      </w:pPr>
    </w:p>
    <w:p>
      <w:pPr>
        <w:pStyle w:val="BodyText"/>
        <w:spacing w:line="240" w:lineRule="auto" w:before="26"/>
        <w:ind w:right="-19"/>
        <w:jc w:val="left"/>
      </w:pPr>
      <w:r>
        <w:rPr>
          <w:rFonts w:ascii="Arial" w:hAnsi="Arial" w:cs="Arial" w:eastAsia="Arial" w:hint="default"/>
        </w:rPr>
        <w:t>1</w:t>
      </w:r>
      <w:r>
        <w:rPr/>
        <w:t>）资产项目重大变动情况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2928" w:space="5873"/>
            <w:col w:w="1149"/>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36"/>
        <w:gridCol w:w="1561"/>
        <w:gridCol w:w="900"/>
        <w:gridCol w:w="1649"/>
        <w:gridCol w:w="994"/>
        <w:gridCol w:w="850"/>
        <w:gridCol w:w="2482"/>
      </w:tblGrid>
      <w:tr>
        <w:trPr>
          <w:trHeight w:val="401"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5"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26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7"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07" w:lineRule="auto"/>
              <w:ind w:left="211" w:right="204"/>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pacing w:val="-103"/>
                <w:sz w:val="21"/>
                <w:szCs w:val="21"/>
              </w:rPr>
              <w:t> </w:t>
            </w:r>
            <w:r>
              <w:rPr>
                <w:rFonts w:ascii="宋体" w:hAnsi="宋体" w:cs="宋体" w:eastAsia="宋体" w:hint="default"/>
                <w:sz w:val="21"/>
                <w:szCs w:val="21"/>
              </w:rPr>
              <w:t>增减</w:t>
            </w:r>
          </w:p>
        </w:tc>
        <w:tc>
          <w:tcPr>
            <w:tcW w:w="24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04"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715" w:hRule="exact"/>
        </w:trPr>
        <w:tc>
          <w:tcPr>
            <w:tcW w:w="1136"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5" w:right="19"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83" w:right="65"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850" w:type="dxa"/>
            <w:vMerge/>
            <w:tcBorders>
              <w:left w:val="single" w:sz="4" w:space="0" w:color="000000"/>
              <w:bottom w:val="single" w:sz="4" w:space="0" w:color="000000"/>
              <w:right w:val="single" w:sz="4" w:space="0" w:color="000000"/>
            </w:tcBorders>
          </w:tcPr>
          <w:p>
            <w:pPr/>
          </w:p>
        </w:tc>
        <w:tc>
          <w:tcPr>
            <w:tcW w:w="2482" w:type="dxa"/>
            <w:vMerge/>
            <w:tcBorders>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537,925,517.39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30.07%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436,993,695.67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34.20%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-4.13%</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303,026,700.26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16.94%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286,144,157.97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22.39%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-5.45%</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369,852,107.36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20.68%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200,184,598.58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5.01%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处在实施阶段项目较多</w:t>
            </w:r>
          </w:p>
        </w:tc>
      </w:tr>
      <w:tr>
        <w:trPr>
          <w:trHeight w:val="75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0"/>
              <w:ind w:left="353" w:right="139" w:hanging="212"/>
              <w:jc w:val="left"/>
              <w:rPr>
                <w:rFonts w:ascii="宋体" w:hAnsi="宋体" w:cs="宋体" w:eastAsia="宋体" w:hint="default"/>
                <w:sz w:val="21"/>
                <w:szCs w:val="21"/>
              </w:rPr>
            </w:pPr>
            <w:r>
              <w:rPr>
                <w:rFonts w:ascii="宋体" w:hAnsi="宋体" w:cs="宋体" w:eastAsia="宋体" w:hint="default"/>
                <w:sz w:val="21"/>
                <w:szCs w:val="21"/>
              </w:rPr>
              <w:t>长期股权</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30,025,518.99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pacing w:val="-1"/>
                <w:sz w:val="21"/>
              </w:rPr>
              <w:t>1.68%</w:t>
            </w:r>
          </w:p>
        </w:tc>
        <w:tc>
          <w:tcPr>
            <w:tcW w:w="164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pacing w:val="-1"/>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pacing w:val="-1"/>
                <w:sz w:val="21"/>
              </w:rPr>
              <w:t>1.68%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新增对捷视飞通投资</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62,080,833.18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3.47%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55,518,815.28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4.34%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-0.87%</w:t>
            </w: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136"/>
        <w:gridCol w:w="1561"/>
        <w:gridCol w:w="900"/>
        <w:gridCol w:w="1649"/>
        <w:gridCol w:w="994"/>
        <w:gridCol w:w="850"/>
        <w:gridCol w:w="2482"/>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68,978,222.89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3.86%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11,503,795.34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0.90%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2.96%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2"/>
              <w:jc w:val="left"/>
              <w:rPr>
                <w:rFonts w:ascii="宋体" w:hAnsi="宋体" w:cs="宋体" w:eastAsia="宋体" w:hint="default"/>
                <w:sz w:val="21"/>
                <w:szCs w:val="21"/>
              </w:rPr>
            </w:pPr>
            <w:r>
              <w:rPr>
                <w:rFonts w:ascii="宋体" w:hAnsi="宋体" w:cs="宋体" w:eastAsia="宋体" w:hint="default"/>
                <w:spacing w:val="-2"/>
                <w:sz w:val="21"/>
                <w:szCs w:val="21"/>
              </w:rPr>
              <w:t>大连华宇建设研发基地所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致</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106,201,330.92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5.94%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61,643,135.33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4.82%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1.12%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32"/>
              <w:jc w:val="left"/>
              <w:rPr>
                <w:rFonts w:ascii="宋体" w:hAnsi="宋体" w:cs="宋体" w:eastAsia="宋体" w:hint="default"/>
                <w:sz w:val="21"/>
                <w:szCs w:val="21"/>
              </w:rPr>
            </w:pPr>
            <w:r>
              <w:rPr>
                <w:rFonts w:ascii="宋体" w:hAnsi="宋体" w:cs="宋体" w:eastAsia="宋体" w:hint="default"/>
                <w:spacing w:val="-1"/>
                <w:sz w:val="21"/>
                <w:szCs w:val="21"/>
              </w:rPr>
              <w:t>履约保证金增加及计提增</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值税即征即退税款所致</w:t>
            </w:r>
          </w:p>
        </w:tc>
      </w:tr>
    </w:tbl>
    <w:p>
      <w:pPr>
        <w:spacing w:after="0" w:line="271" w:lineRule="auto"/>
        <w:jc w:val="left"/>
        <w:rPr>
          <w:rFonts w:ascii="宋体" w:hAnsi="宋体" w:cs="宋体" w:eastAsia="宋体" w:hint="default"/>
          <w:sz w:val="21"/>
          <w:szCs w:val="21"/>
        </w:rPr>
        <w:sectPr>
          <w:footerReference w:type="default" r:id="rId16"/>
          <w:pgSz w:w="11910" w:h="16840"/>
          <w:pgMar w:footer="1010" w:header="752" w:top="1100" w:bottom="1200" w:left="980" w:right="980"/>
          <w:pgNumType w:start="21"/>
        </w:sectPr>
      </w:pPr>
    </w:p>
    <w:p>
      <w:pPr>
        <w:pStyle w:val="BodyText"/>
        <w:spacing w:line="240" w:lineRule="auto" w:before="79"/>
        <w:ind w:right="-19"/>
        <w:jc w:val="left"/>
      </w:pPr>
      <w:r>
        <w:rPr>
          <w:rFonts w:ascii="Arial" w:hAnsi="Arial" w:cs="Arial" w:eastAsia="Arial" w:hint="default"/>
        </w:rPr>
        <w:t>2</w:t>
      </w:r>
      <w:r>
        <w:rPr/>
        <w:t>）负债项目重大变动情况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2928" w:space="5873"/>
            <w:col w:w="1149"/>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94"/>
        <w:gridCol w:w="1702"/>
        <w:gridCol w:w="900"/>
        <w:gridCol w:w="1649"/>
        <w:gridCol w:w="994"/>
        <w:gridCol w:w="850"/>
        <w:gridCol w:w="2482"/>
      </w:tblGrid>
      <w:tr>
        <w:trPr>
          <w:trHeight w:val="403" w:hRule="exact"/>
        </w:trPr>
        <w:tc>
          <w:tcPr>
            <w:tcW w:w="994" w:type="dxa"/>
            <w:vMerge w:val="restart"/>
            <w:tcBorders>
              <w:top w:val="single" w:sz="4" w:space="0" w:color="000000"/>
              <w:left w:val="single" w:sz="4" w:space="0" w:color="000000"/>
              <w:right w:val="single" w:sz="4" w:space="0" w:color="000000"/>
            </w:tcBorders>
          </w:tcPr>
          <w:p>
            <w:pPr/>
          </w:p>
        </w:tc>
        <w:tc>
          <w:tcPr>
            <w:tcW w:w="2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6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07" w:lineRule="auto"/>
              <w:ind w:left="211" w:right="204"/>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pacing w:val="-103"/>
                <w:sz w:val="21"/>
                <w:szCs w:val="21"/>
              </w:rPr>
              <w:t> </w:t>
            </w:r>
            <w:r>
              <w:rPr>
                <w:rFonts w:ascii="宋体" w:hAnsi="宋体" w:cs="宋体" w:eastAsia="宋体" w:hint="default"/>
                <w:sz w:val="21"/>
                <w:szCs w:val="21"/>
              </w:rPr>
              <w:t>增减</w:t>
            </w:r>
          </w:p>
        </w:tc>
        <w:tc>
          <w:tcPr>
            <w:tcW w:w="24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604"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754" w:hRule="exact"/>
        </w:trPr>
        <w:tc>
          <w:tcPr>
            <w:tcW w:w="99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35" w:right="19"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83" w:right="65"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850" w:type="dxa"/>
            <w:vMerge/>
            <w:tcBorders>
              <w:left w:val="single" w:sz="4" w:space="0" w:color="000000"/>
              <w:bottom w:val="single" w:sz="4" w:space="0" w:color="000000"/>
              <w:right w:val="single" w:sz="4" w:space="0" w:color="000000"/>
            </w:tcBorders>
          </w:tcPr>
          <w:p>
            <w:pPr/>
          </w:p>
        </w:tc>
        <w:tc>
          <w:tcPr>
            <w:tcW w:w="2482" w:type="dxa"/>
            <w:vMerge/>
            <w:tcBorders>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2,000,000.00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0.11%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-0.05%</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453,385,479.85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25.35%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173,188,961.14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11.80%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2"/>
              <w:jc w:val="left"/>
              <w:rPr>
                <w:rFonts w:ascii="宋体" w:hAnsi="宋体" w:cs="宋体" w:eastAsia="宋体" w:hint="default"/>
                <w:sz w:val="21"/>
                <w:szCs w:val="21"/>
              </w:rPr>
            </w:pPr>
            <w:r>
              <w:rPr>
                <w:rFonts w:ascii="宋体" w:hAnsi="宋体" w:cs="宋体" w:eastAsia="宋体" w:hint="default"/>
                <w:spacing w:val="-1"/>
                <w:sz w:val="21"/>
                <w:szCs w:val="21"/>
              </w:rPr>
              <w:t>主要是业务增长预收客户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合同款增多所致</w:t>
            </w:r>
          </w:p>
        </w:tc>
      </w:tr>
    </w:tbl>
    <w:p>
      <w:pPr>
        <w:spacing w:line="240" w:lineRule="auto" w:before="10"/>
        <w:rPr>
          <w:rFonts w:ascii="宋体" w:hAnsi="宋体" w:cs="宋体" w:eastAsia="宋体" w:hint="default"/>
          <w:sz w:val="7"/>
          <w:szCs w:val="7"/>
        </w:rPr>
      </w:pPr>
    </w:p>
    <w:p>
      <w:pPr>
        <w:pStyle w:val="BodyText"/>
        <w:spacing w:line="240" w:lineRule="auto" w:before="26"/>
        <w:ind w:right="0"/>
        <w:jc w:val="left"/>
      </w:pPr>
      <w:r>
        <w:rPr>
          <w:rFonts w:ascii="Arial" w:hAnsi="Arial" w:cs="Arial" w:eastAsia="Arial" w:hint="default"/>
        </w:rPr>
        <w:t>3</w:t>
      </w:r>
      <w:r>
        <w:rPr/>
        <w:t>）以公允价值计量的资产和负债</w:t>
      </w:r>
    </w:p>
    <w:p>
      <w:pPr>
        <w:pStyle w:val="BodyText"/>
        <w:spacing w:line="240" w:lineRule="auto" w:before="115"/>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28"/>
          <w:szCs w:val="28"/>
        </w:rPr>
      </w:pPr>
    </w:p>
    <w:p>
      <w:pPr>
        <w:pStyle w:val="Heading3"/>
        <w:spacing w:line="240" w:lineRule="auto"/>
        <w:ind w:right="0"/>
        <w:jc w:val="left"/>
        <w:rPr>
          <w:b w:val="0"/>
          <w:bCs w:val="0"/>
        </w:rPr>
      </w:pPr>
      <w:r>
        <w:rPr/>
        <w:t>（</w:t>
      </w:r>
      <w:r>
        <w:rPr>
          <w:rFonts w:ascii="Arial" w:hAnsi="Arial" w:cs="Arial" w:eastAsia="Arial" w:hint="default"/>
        </w:rPr>
        <w:t>4</w:t>
      </w:r>
      <w:r>
        <w:rPr/>
        <w:t>）公司竞争能力重大变化分析</w:t>
      </w:r>
      <w:r>
        <w:rPr>
          <w:b w:val="0"/>
          <w:bCs w:val="0"/>
        </w:rPr>
      </w:r>
    </w:p>
    <w:p>
      <w:pPr>
        <w:spacing w:line="240" w:lineRule="auto" w:before="8"/>
        <w:rPr>
          <w:rFonts w:ascii="宋体" w:hAnsi="宋体" w:cs="宋体" w:eastAsia="宋体" w:hint="default"/>
          <w:b/>
          <w:bCs/>
          <w:sz w:val="28"/>
          <w:szCs w:val="28"/>
        </w:rPr>
      </w:pPr>
    </w:p>
    <w:p>
      <w:pPr>
        <w:spacing w:line="343" w:lineRule="auto" w:before="0"/>
        <w:ind w:left="152" w:right="593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报告期内，无形资产新增情况如下： </w:t>
      </w:r>
      <w:r>
        <w:rPr>
          <w:rFonts w:ascii="宋体" w:hAnsi="宋体" w:cs="宋体" w:eastAsia="宋体" w:hint="default"/>
          <w:b/>
          <w:bCs/>
          <w:sz w:val="24"/>
          <w:szCs w:val="24"/>
        </w:rPr>
        <w:t>新增登记的软件著作权</w:t>
      </w:r>
      <w:r>
        <w:rPr>
          <w:rFonts w:ascii="宋体" w:hAnsi="宋体" w:cs="宋体" w:eastAsia="宋体" w:hint="default"/>
          <w:sz w:val="24"/>
          <w:szCs w:val="24"/>
        </w:rPr>
      </w:r>
    </w:p>
    <w:p>
      <w:pPr>
        <w:spacing w:line="240" w:lineRule="auto" w:before="0"/>
        <w:rPr>
          <w:rFonts w:ascii="宋体" w:hAnsi="宋体" w:cs="宋体" w:eastAsia="宋体" w:hint="default"/>
          <w:b/>
          <w:bCs/>
          <w:sz w:val="4"/>
          <w:szCs w:val="4"/>
        </w:rPr>
      </w:pPr>
    </w:p>
    <w:tbl>
      <w:tblPr>
        <w:tblW w:w="0" w:type="auto"/>
        <w:jc w:val="left"/>
        <w:tblInd w:w="248" w:type="dxa"/>
        <w:tblLayout w:type="fixed"/>
        <w:tblCellMar>
          <w:top w:w="0" w:type="dxa"/>
          <w:left w:w="0" w:type="dxa"/>
          <w:bottom w:w="0" w:type="dxa"/>
          <w:right w:w="0" w:type="dxa"/>
        </w:tblCellMar>
        <w:tblLook w:val="01E0"/>
      </w:tblPr>
      <w:tblGrid>
        <w:gridCol w:w="581"/>
        <w:gridCol w:w="2168"/>
        <w:gridCol w:w="4092"/>
        <w:gridCol w:w="1136"/>
        <w:gridCol w:w="1418"/>
      </w:tblGrid>
      <w:tr>
        <w:trPr>
          <w:trHeight w:val="52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1"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1" w:right="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1"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35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w w:val="100"/>
                <w:sz w:val="21"/>
              </w:rPr>
              <w:t>1</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0761088</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食品可追溯智能超市管理系统</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2014/7/5</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w w:val="100"/>
                <w:sz w:val="21"/>
              </w:rPr>
              <w:t>2</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0761090</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食品可追溯智能餐厅管理系统</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2014/7/5</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w w:val="100"/>
                <w:sz w:val="21"/>
              </w:rPr>
              <w:t>3</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0758719</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华宇拼音输入法软件</w:t>
            </w:r>
            <w:r>
              <w:rPr>
                <w:rFonts w:ascii="Arial" w:hAnsi="Arial" w:cs="Arial" w:eastAsia="Arial" w:hint="default"/>
                <w:sz w:val="21"/>
                <w:szCs w:val="21"/>
              </w:rPr>
              <w:t>V6.9</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2014/7/2</w:t>
            </w:r>
          </w:p>
        </w:tc>
      </w:tr>
      <w:tr>
        <w:trPr>
          <w:trHeight w:val="35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w w:val="100"/>
                <w:sz w:val="21"/>
              </w:rPr>
              <w:t>4</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0818547</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数据智能分析系统</w:t>
            </w:r>
            <w:r>
              <w:rPr>
                <w:rFonts w:ascii="Arial" w:hAnsi="Arial" w:cs="Arial" w:eastAsia="Arial" w:hint="default"/>
                <w:sz w:val="21"/>
                <w:szCs w:val="21"/>
              </w:rPr>
              <w:t>V2.2</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2014/10/10</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w w:val="100"/>
                <w:sz w:val="21"/>
              </w:rPr>
              <w:t>5</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0817694</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center"/>
              <w:rPr>
                <w:rFonts w:ascii="Arial" w:hAnsi="Arial" w:cs="Arial" w:eastAsia="Arial" w:hint="default"/>
                <w:sz w:val="21"/>
                <w:szCs w:val="21"/>
              </w:rPr>
            </w:pPr>
            <w:r>
              <w:rPr>
                <w:rFonts w:ascii="宋体" w:hAnsi="宋体" w:cs="宋体" w:eastAsia="宋体" w:hint="default"/>
                <w:sz w:val="21"/>
                <w:szCs w:val="21"/>
              </w:rPr>
              <w:t>数字法院智能管理系统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z w:val="21"/>
              </w:rPr>
              <w:t>2014/10/9</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w w:val="100"/>
                <w:sz w:val="21"/>
              </w:rPr>
              <w:t>6</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0821804</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检察办案业务系统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2014/10/14</w:t>
            </w:r>
          </w:p>
        </w:tc>
      </w:tr>
      <w:tr>
        <w:trPr>
          <w:trHeight w:val="35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w w:val="100"/>
                <w:sz w:val="21"/>
              </w:rPr>
              <w:t>7</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0839114</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华宇政务应用支撑和研发平台</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2014/11/5</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w w:val="100"/>
                <w:sz w:val="21"/>
              </w:rPr>
              <w:t>8</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0679459</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数据质量检查系统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2014/1/23</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w w:val="100"/>
                <w:sz w:val="21"/>
              </w:rPr>
              <w:t>9</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0684434</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法院数据管理平台</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2014/2/11</w:t>
            </w:r>
          </w:p>
        </w:tc>
      </w:tr>
      <w:tr>
        <w:trPr>
          <w:trHeight w:val="35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10</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0688437</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2" w:right="0"/>
              <w:jc w:val="center"/>
              <w:rPr>
                <w:rFonts w:ascii="Arial" w:hAnsi="Arial" w:cs="Arial" w:eastAsia="Arial" w:hint="default"/>
                <w:sz w:val="21"/>
                <w:szCs w:val="21"/>
              </w:rPr>
            </w:pPr>
            <w:r>
              <w:rPr>
                <w:rFonts w:ascii="宋体" w:hAnsi="宋体" w:cs="宋体" w:eastAsia="宋体" w:hint="default"/>
                <w:sz w:val="21"/>
                <w:szCs w:val="21"/>
              </w:rPr>
              <w:t>华宇短信平台</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2014/2/18</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11</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0693794</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数字档案管理系统</w:t>
            </w:r>
            <w:r>
              <w:rPr>
                <w:rFonts w:ascii="Arial" w:hAnsi="Arial" w:cs="Arial" w:eastAsia="Arial" w:hint="default"/>
                <w:sz w:val="21"/>
                <w:szCs w:val="21"/>
              </w:rPr>
              <w:t>V3.0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2014/2/28</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12</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0693786</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智能会议管理系统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2014/2/28</w:t>
            </w:r>
          </w:p>
        </w:tc>
      </w:tr>
      <w:tr>
        <w:trPr>
          <w:trHeight w:val="35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13</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0702740</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检察机关便民服务系统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2014/3/24</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z w:val="21"/>
              </w:rPr>
              <w:t>14</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0704661</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center"/>
              <w:rPr>
                <w:rFonts w:ascii="Arial" w:hAnsi="Arial" w:cs="Arial" w:eastAsia="Arial" w:hint="default"/>
                <w:sz w:val="21"/>
                <w:szCs w:val="21"/>
              </w:rPr>
            </w:pPr>
            <w:r>
              <w:rPr>
                <w:rFonts w:ascii="宋体" w:hAnsi="宋体" w:cs="宋体" w:eastAsia="宋体" w:hint="default"/>
                <w:sz w:val="21"/>
                <w:szCs w:val="21"/>
              </w:rPr>
              <w:t>司法网络查控系统</w:t>
            </w:r>
            <w:r>
              <w:rPr>
                <w:rFonts w:ascii="Arial" w:hAnsi="Arial" w:cs="Arial" w:eastAsia="Arial" w:hint="default"/>
                <w:sz w:val="21"/>
                <w:szCs w:val="21"/>
              </w:rPr>
              <w:t>V2.3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z w:val="21"/>
              </w:rPr>
              <w:t>2014/3/29</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15</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0712583</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互联网庭审直播点播系统</w:t>
            </w:r>
            <w:r>
              <w:rPr>
                <w:rFonts w:ascii="Arial" w:hAnsi="Arial" w:cs="Arial" w:eastAsia="Arial" w:hint="default"/>
                <w:sz w:val="21"/>
                <w:szCs w:val="21"/>
              </w:rPr>
              <w:t>V2.1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2014/4/15</w:t>
            </w:r>
          </w:p>
        </w:tc>
      </w:tr>
    </w:tbl>
    <w:p>
      <w:pPr>
        <w:spacing w:after="0" w:line="240" w:lineRule="auto"/>
        <w:jc w:val="center"/>
        <w:rPr>
          <w:rFonts w:ascii="Arial" w:hAnsi="Arial" w:cs="Arial" w:eastAsia="Arial" w:hint="default"/>
          <w:sz w:val="21"/>
          <w:szCs w:val="21"/>
        </w:rPr>
        <w:sectPr>
          <w:type w:val="continuous"/>
          <w:pgSz w:w="11910" w:h="16840"/>
          <w:pgMar w:top="1100" w:bottom="1200" w:left="980" w:right="980"/>
        </w:sectPr>
      </w:pPr>
    </w:p>
    <w:p>
      <w:pPr>
        <w:spacing w:line="240" w:lineRule="auto" w:before="1"/>
        <w:rPr>
          <w:rFonts w:ascii="Times New Roman" w:hAnsi="Times New Roman" w:cs="Times New Roman" w:eastAsia="Times New Roman" w:hint="default"/>
          <w:sz w:val="29"/>
          <w:szCs w:val="29"/>
        </w:rPr>
      </w:pPr>
    </w:p>
    <w:tbl>
      <w:tblPr>
        <w:tblW w:w="0" w:type="auto"/>
        <w:jc w:val="left"/>
        <w:tblInd w:w="248" w:type="dxa"/>
        <w:tblLayout w:type="fixed"/>
        <w:tblCellMar>
          <w:top w:w="0" w:type="dxa"/>
          <w:left w:w="0" w:type="dxa"/>
          <w:bottom w:w="0" w:type="dxa"/>
          <w:right w:w="0" w:type="dxa"/>
        </w:tblCellMar>
        <w:tblLook w:val="01E0"/>
      </w:tblPr>
      <w:tblGrid>
        <w:gridCol w:w="581"/>
        <w:gridCol w:w="2168"/>
        <w:gridCol w:w="4092"/>
        <w:gridCol w:w="1136"/>
        <w:gridCol w:w="1418"/>
      </w:tblGrid>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sz w:val="21"/>
              </w:rPr>
              <w:t>16</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0712562</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2" w:right="0"/>
              <w:jc w:val="center"/>
              <w:rPr>
                <w:rFonts w:ascii="Arial" w:hAnsi="Arial" w:cs="Arial" w:eastAsia="Arial" w:hint="default"/>
                <w:sz w:val="21"/>
                <w:szCs w:val="21"/>
              </w:rPr>
            </w:pPr>
            <w:r>
              <w:rPr>
                <w:rFonts w:ascii="宋体" w:hAnsi="宋体" w:cs="宋体" w:eastAsia="宋体" w:hint="default"/>
                <w:sz w:val="21"/>
                <w:szCs w:val="21"/>
              </w:rPr>
              <w:t>送达留证系统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z w:val="21"/>
              </w:rPr>
              <w:t>2014/4/15</w:t>
            </w:r>
          </w:p>
        </w:tc>
      </w:tr>
      <w:tr>
        <w:trPr>
          <w:trHeight w:val="35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17</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0715896</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法院执行线索分析系统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2014/4/22</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18</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0723446</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数据导入工具系统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2014/5/6</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19</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0723426</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数据导出工具系统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2014/5/6</w:t>
            </w:r>
          </w:p>
        </w:tc>
      </w:tr>
      <w:tr>
        <w:trPr>
          <w:trHeight w:val="35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20</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0729981</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2" w:right="0"/>
              <w:jc w:val="center"/>
              <w:rPr>
                <w:rFonts w:ascii="Arial" w:hAnsi="Arial" w:cs="Arial" w:eastAsia="Arial" w:hint="default"/>
                <w:sz w:val="21"/>
                <w:szCs w:val="21"/>
              </w:rPr>
            </w:pPr>
            <w:r>
              <w:rPr>
                <w:rFonts w:ascii="Arial" w:hAnsi="Arial" w:cs="Arial" w:eastAsia="Arial" w:hint="default"/>
                <w:sz w:val="21"/>
                <w:szCs w:val="21"/>
              </w:rPr>
              <w:t>ETL</w:t>
            </w:r>
            <w:r>
              <w:rPr>
                <w:rFonts w:ascii="宋体" w:hAnsi="宋体" w:cs="宋体" w:eastAsia="宋体" w:hint="default"/>
                <w:sz w:val="21"/>
                <w:szCs w:val="21"/>
              </w:rPr>
              <w:t>工具系统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2014/5/15</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21</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0729780</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全程同步录音录像系统</w:t>
            </w:r>
            <w:r>
              <w:rPr>
                <w:rFonts w:ascii="Arial" w:hAnsi="Arial" w:cs="Arial" w:eastAsia="Arial" w:hint="default"/>
                <w:sz w:val="21"/>
                <w:szCs w:val="21"/>
              </w:rPr>
              <w:t>V2.2</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2014/5/15</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22</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0729786</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多媒体资源综合应用平台</w:t>
            </w:r>
            <w:r>
              <w:rPr>
                <w:rFonts w:ascii="Arial" w:hAnsi="Arial" w:cs="Arial" w:eastAsia="Arial" w:hint="default"/>
                <w:sz w:val="21"/>
                <w:szCs w:val="21"/>
              </w:rPr>
              <w:t>V2.1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2014/5/15</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23</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0736829</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信息应用运维管理与服务系统</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2014/5/27</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24</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0746093</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诉讼服务平台系统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2014/6/12</w:t>
            </w:r>
          </w:p>
        </w:tc>
      </w:tr>
      <w:tr>
        <w:trPr>
          <w:trHeight w:val="361"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25</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0757349</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 w:right="0"/>
              <w:jc w:val="center"/>
              <w:rPr>
                <w:rFonts w:ascii="Arial" w:hAnsi="Arial" w:cs="Arial" w:eastAsia="Arial" w:hint="default"/>
                <w:sz w:val="21"/>
                <w:szCs w:val="21"/>
              </w:rPr>
            </w:pPr>
            <w:r>
              <w:rPr>
                <w:rFonts w:ascii="宋体" w:hAnsi="宋体" w:cs="宋体" w:eastAsia="宋体" w:hint="default"/>
                <w:sz w:val="21"/>
                <w:szCs w:val="21"/>
              </w:rPr>
              <w:t>谈话应用系统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2014/6/30</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26</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0762288</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罪犯信息库管理平台</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2014/7/8</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27</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0769347</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2" w:right="0"/>
              <w:jc w:val="center"/>
              <w:rPr>
                <w:rFonts w:ascii="Arial" w:hAnsi="Arial" w:cs="Arial" w:eastAsia="Arial" w:hint="default"/>
                <w:sz w:val="21"/>
                <w:szCs w:val="21"/>
              </w:rPr>
            </w:pPr>
            <w:r>
              <w:rPr>
                <w:rFonts w:ascii="宋体" w:hAnsi="宋体" w:cs="宋体" w:eastAsia="宋体" w:hint="default"/>
                <w:sz w:val="21"/>
                <w:szCs w:val="21"/>
              </w:rPr>
              <w:t>执行指挥系统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2014/7/18</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28</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0782994</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检察文书公开辅助系统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2014/8/6</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29</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0790336</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2" w:right="0"/>
              <w:jc w:val="center"/>
              <w:rPr>
                <w:rFonts w:ascii="Arial" w:hAnsi="Arial" w:cs="Arial" w:eastAsia="Arial" w:hint="default"/>
                <w:sz w:val="21"/>
                <w:szCs w:val="21"/>
              </w:rPr>
            </w:pPr>
            <w:r>
              <w:rPr>
                <w:rFonts w:ascii="Arial" w:hAnsi="Arial" w:cs="Arial" w:eastAsia="Arial" w:hint="default"/>
                <w:sz w:val="21"/>
                <w:szCs w:val="21"/>
              </w:rPr>
              <w:t>ArteryDB</w:t>
            </w:r>
            <w:r>
              <w:rPr>
                <w:rFonts w:ascii="宋体" w:hAnsi="宋体" w:cs="宋体" w:eastAsia="宋体" w:hint="default"/>
                <w:sz w:val="21"/>
                <w:szCs w:val="21"/>
              </w:rPr>
              <w:t>数据库管理系统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2014/8/18</w:t>
            </w:r>
          </w:p>
        </w:tc>
      </w:tr>
      <w:tr>
        <w:trPr>
          <w:trHeight w:val="662"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30</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0790339</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ind w:left="1084" w:right="751" w:hanging="334"/>
              <w:jc w:val="left"/>
              <w:rPr>
                <w:rFonts w:ascii="Arial" w:hAnsi="Arial" w:cs="Arial" w:eastAsia="Arial" w:hint="default"/>
                <w:sz w:val="21"/>
                <w:szCs w:val="21"/>
              </w:rPr>
            </w:pPr>
            <w:r>
              <w:rPr>
                <w:rFonts w:ascii="Arial" w:hAnsi="Arial" w:cs="Arial" w:eastAsia="Arial" w:hint="default"/>
                <w:spacing w:val="-1"/>
                <w:sz w:val="21"/>
                <w:szCs w:val="21"/>
              </w:rPr>
              <w:t>ArteryDBCluster</w:t>
            </w:r>
            <w:r>
              <w:rPr>
                <w:rFonts w:ascii="宋体" w:hAnsi="宋体" w:cs="宋体" w:eastAsia="宋体" w:hint="default"/>
                <w:spacing w:val="-1"/>
                <w:sz w:val="21"/>
                <w:szCs w:val="21"/>
              </w:rPr>
              <w:t>并行分布式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数据库管理系统</w:t>
            </w:r>
            <w:r>
              <w:rPr>
                <w:rFonts w:ascii="Arial" w:hAnsi="Arial" w:cs="Arial" w:eastAsia="Arial" w:hint="default"/>
                <w:sz w:val="21"/>
                <w:szCs w:val="21"/>
              </w:rPr>
              <w:t>V3.0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2014/8/18</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31</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0808641</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廉政风险防控系统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2014/9/17</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32</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0833218</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法院数据集中管理平台</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2014/10/30</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33</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0827026</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人事管理应用系统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2014/10/22</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34</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0833220</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2" w:right="0"/>
              <w:jc w:val="center"/>
              <w:rPr>
                <w:rFonts w:ascii="Arial" w:hAnsi="Arial" w:cs="Arial" w:eastAsia="Arial" w:hint="default"/>
                <w:sz w:val="21"/>
                <w:szCs w:val="21"/>
              </w:rPr>
            </w:pPr>
            <w:r>
              <w:rPr>
                <w:rFonts w:ascii="宋体" w:hAnsi="宋体" w:cs="宋体" w:eastAsia="宋体" w:hint="default"/>
                <w:sz w:val="21"/>
                <w:szCs w:val="21"/>
              </w:rPr>
              <w:t>执行留证系统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2014/10/22</w:t>
            </w:r>
          </w:p>
        </w:tc>
      </w:tr>
      <w:tr>
        <w:trPr>
          <w:trHeight w:val="667"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35</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0843824</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775" w:right="0"/>
              <w:jc w:val="left"/>
              <w:rPr>
                <w:rFonts w:ascii="宋体" w:hAnsi="宋体" w:cs="宋体" w:eastAsia="宋体" w:hint="default"/>
                <w:sz w:val="21"/>
                <w:szCs w:val="21"/>
              </w:rPr>
            </w:pPr>
            <w:r>
              <w:rPr>
                <w:rFonts w:ascii="宋体" w:hAnsi="宋体" w:cs="宋体" w:eastAsia="宋体" w:hint="default"/>
                <w:sz w:val="21"/>
                <w:szCs w:val="21"/>
              </w:rPr>
              <w:t>党政机关电子公文处理系统</w:t>
            </w:r>
          </w:p>
          <w:p>
            <w:pPr>
              <w:pStyle w:val="TableParagraph"/>
              <w:spacing w:line="240" w:lineRule="auto" w:before="37"/>
              <w:ind w:left="873" w:right="0"/>
              <w:jc w:val="left"/>
              <w:rPr>
                <w:rFonts w:ascii="Arial" w:hAnsi="Arial" w:cs="Arial" w:eastAsia="Arial" w:hint="default"/>
                <w:sz w:val="21"/>
                <w:szCs w:val="21"/>
              </w:rPr>
            </w:pPr>
            <w:r>
              <w:rPr>
                <w:rFonts w:ascii="宋体" w:hAnsi="宋体" w:cs="宋体" w:eastAsia="宋体" w:hint="default"/>
                <w:sz w:val="21"/>
                <w:szCs w:val="21"/>
              </w:rPr>
              <w:t>（安全可靠平台版）</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2014/11/17</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36</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0852142</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华宇大数据分析支撑平台</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2014/11/28</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37</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0722555</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2" w:right="0"/>
              <w:jc w:val="center"/>
              <w:rPr>
                <w:rFonts w:ascii="Arial" w:hAnsi="Arial" w:cs="Arial" w:eastAsia="Arial" w:hint="default"/>
                <w:sz w:val="21"/>
                <w:szCs w:val="21"/>
              </w:rPr>
            </w:pPr>
            <w:r>
              <w:rPr>
                <w:rFonts w:ascii="宋体" w:hAnsi="宋体" w:cs="宋体" w:eastAsia="宋体" w:hint="default"/>
                <w:sz w:val="21"/>
                <w:szCs w:val="21"/>
              </w:rPr>
              <w:t>电子法院系统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2014/5/4</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38</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0747397</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2" w:right="0"/>
              <w:jc w:val="center"/>
              <w:rPr>
                <w:rFonts w:ascii="Arial" w:hAnsi="Arial" w:cs="Arial" w:eastAsia="Arial" w:hint="default"/>
                <w:sz w:val="21"/>
                <w:szCs w:val="21"/>
              </w:rPr>
            </w:pPr>
            <w:r>
              <w:rPr>
                <w:rFonts w:ascii="宋体" w:hAnsi="宋体" w:cs="宋体" w:eastAsia="宋体" w:hint="default"/>
                <w:sz w:val="21"/>
                <w:szCs w:val="21"/>
              </w:rPr>
              <w:t>数字卷宗系统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2014/6/16</w:t>
            </w:r>
          </w:p>
        </w:tc>
      </w:tr>
      <w:tr>
        <w:trPr>
          <w:trHeight w:val="35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39</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0761086</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法院巡回审判系统</w:t>
            </w:r>
            <w:r>
              <w:rPr>
                <w:rFonts w:ascii="Arial" w:hAnsi="Arial" w:cs="Arial" w:eastAsia="Arial" w:hint="default"/>
                <w:sz w:val="21"/>
                <w:szCs w:val="21"/>
              </w:rPr>
              <w:t>V2.1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2014/7/5</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40</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0776886</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执行关联信息分析系统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2014/7/29</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41</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0784315</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华宇食品安全系统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2014/8/7</w:t>
            </w:r>
          </w:p>
        </w:tc>
      </w:tr>
      <w:tr>
        <w:trPr>
          <w:trHeight w:val="361"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sz w:val="21"/>
              </w:rPr>
              <w:t>42</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0819802</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2" w:right="0"/>
              <w:jc w:val="center"/>
              <w:rPr>
                <w:rFonts w:ascii="Arial" w:hAnsi="Arial" w:cs="Arial" w:eastAsia="Arial" w:hint="default"/>
                <w:sz w:val="21"/>
                <w:szCs w:val="21"/>
              </w:rPr>
            </w:pPr>
            <w:r>
              <w:rPr>
                <w:rFonts w:ascii="宋体" w:hAnsi="宋体" w:cs="宋体" w:eastAsia="宋体" w:hint="default"/>
                <w:sz w:val="21"/>
                <w:szCs w:val="21"/>
              </w:rPr>
              <w:t>单兵装备系统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z w:val="21"/>
              </w:rPr>
              <w:t>2014/10/11</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43</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0819793</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信访信息分析统计系统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2014/10/11</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44</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0822464</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电子文书管理系统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2014/10/15</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45</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0824786</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检察统计分析系统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2014/10/18</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46</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0841642</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款项信息管理系统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2014/11/14</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47</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0856709</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宋体" w:hAnsi="宋体" w:cs="宋体" w:eastAsia="宋体" w:hint="default"/>
                <w:sz w:val="21"/>
                <w:szCs w:val="21"/>
              </w:rPr>
              <w:t>执行联动管理系统</w:t>
            </w:r>
            <w:r>
              <w:rPr>
                <w:rFonts w:ascii="Arial" w:hAnsi="Arial" w:cs="Arial" w:eastAsia="Arial" w:hint="default"/>
                <w:sz w:val="21"/>
                <w:szCs w:val="21"/>
              </w:rPr>
              <w:t>V2.0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2014/12/4</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48</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0828600</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center"/>
              <w:rPr>
                <w:rFonts w:ascii="Arial" w:hAnsi="Arial" w:cs="Arial" w:eastAsia="Arial" w:hint="default"/>
                <w:sz w:val="21"/>
                <w:szCs w:val="21"/>
              </w:rPr>
            </w:pPr>
            <w:r>
              <w:rPr>
                <w:rFonts w:ascii="Arial" w:hAnsi="Arial" w:cs="Arial" w:eastAsia="Arial" w:hint="default"/>
                <w:sz w:val="21"/>
                <w:szCs w:val="21"/>
              </w:rPr>
              <w:t>EsDataClean</w:t>
            </w:r>
            <w:r>
              <w:rPr>
                <w:rFonts w:ascii="宋体" w:hAnsi="宋体" w:cs="宋体" w:eastAsia="宋体" w:hint="default"/>
                <w:sz w:val="21"/>
                <w:szCs w:val="21"/>
              </w:rPr>
              <w:t>数据质量管理平台</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2014/10/24</w:t>
            </w:r>
          </w:p>
        </w:tc>
      </w:tr>
      <w:tr>
        <w:trPr>
          <w:trHeight w:val="662"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49</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0827453</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ind w:left="1039" w:right="823" w:hanging="212"/>
              <w:jc w:val="left"/>
              <w:rPr>
                <w:rFonts w:ascii="Arial" w:hAnsi="Arial" w:cs="Arial" w:eastAsia="Arial" w:hint="default"/>
                <w:sz w:val="21"/>
                <w:szCs w:val="21"/>
              </w:rPr>
            </w:pPr>
            <w:r>
              <w:rPr>
                <w:rFonts w:ascii="Arial" w:hAnsi="Arial" w:cs="Arial" w:eastAsia="Arial" w:hint="default"/>
                <w:sz w:val="21"/>
                <w:szCs w:val="21"/>
              </w:rPr>
              <w:t>Esensoft</w:t>
            </w:r>
            <w:r>
              <w:rPr>
                <w:rFonts w:ascii="Arial" w:hAnsi="Arial" w:cs="Arial" w:eastAsia="Arial" w:hint="default"/>
                <w:spacing w:val="-3"/>
                <w:sz w:val="21"/>
                <w:szCs w:val="21"/>
              </w:rPr>
              <w:t> </w:t>
            </w:r>
            <w:r>
              <w:rPr>
                <w:rFonts w:ascii="Arial" w:hAnsi="Arial" w:cs="Arial" w:eastAsia="Arial" w:hint="default"/>
                <w:sz w:val="21"/>
                <w:szCs w:val="21"/>
              </w:rPr>
              <w:t>PetaBase</w:t>
            </w:r>
            <w:r>
              <w:rPr>
                <w:rFonts w:ascii="宋体" w:hAnsi="宋体" w:cs="宋体" w:eastAsia="宋体" w:hint="default"/>
                <w:sz w:val="21"/>
                <w:szCs w:val="21"/>
              </w:rPr>
              <w:t>分布式</w:t>
            </w:r>
            <w:r>
              <w:rPr>
                <w:rFonts w:ascii="宋体" w:hAnsi="宋体" w:cs="宋体" w:eastAsia="宋体" w:hint="default"/>
                <w:w w:val="100"/>
                <w:sz w:val="21"/>
                <w:szCs w:val="21"/>
              </w:rPr>
              <w:t> </w:t>
            </w:r>
            <w:r>
              <w:rPr>
                <w:rFonts w:ascii="宋体" w:hAnsi="宋体" w:cs="宋体" w:eastAsia="宋体" w:hint="default"/>
                <w:sz w:val="21"/>
                <w:szCs w:val="21"/>
              </w:rPr>
              <w:t>数据库管理系统</w:t>
            </w:r>
            <w:r>
              <w:rPr>
                <w:rFonts w:ascii="宋体" w:hAnsi="宋体" w:cs="宋体" w:eastAsia="宋体" w:hint="default"/>
                <w:spacing w:val="-13"/>
                <w:sz w:val="21"/>
                <w:szCs w:val="21"/>
              </w:rPr>
              <w:t> </w:t>
            </w:r>
            <w:r>
              <w:rPr>
                <w:rFonts w:ascii="Arial" w:hAnsi="Arial" w:cs="Arial" w:eastAsia="Arial" w:hint="default"/>
                <w:sz w:val="21"/>
                <w:szCs w:val="21"/>
              </w:rPr>
              <w:t>V1.1</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2014/10/22</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sz w:val="21"/>
              </w:rPr>
              <w:t>50</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0827454</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center"/>
              <w:rPr>
                <w:rFonts w:ascii="Arial" w:hAnsi="Arial" w:cs="Arial" w:eastAsia="Arial" w:hint="default"/>
                <w:sz w:val="21"/>
                <w:szCs w:val="21"/>
              </w:rPr>
            </w:pPr>
            <w:r>
              <w:rPr>
                <w:rFonts w:ascii="宋体" w:hAnsi="宋体" w:cs="宋体" w:eastAsia="宋体" w:hint="default"/>
                <w:sz w:val="21"/>
                <w:szCs w:val="21"/>
              </w:rPr>
              <w:t>卫生统计分析与决策支持系统</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z w:val="21"/>
              </w:rPr>
              <w:t>2014/10/22</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51</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0828595</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2" w:right="0"/>
              <w:jc w:val="center"/>
              <w:rPr>
                <w:rFonts w:ascii="Arial" w:hAnsi="Arial" w:cs="Arial" w:eastAsia="Arial" w:hint="default"/>
                <w:sz w:val="21"/>
                <w:szCs w:val="21"/>
              </w:rPr>
            </w:pPr>
            <w:r>
              <w:rPr>
                <w:rFonts w:ascii="宋体" w:hAnsi="宋体" w:cs="宋体" w:eastAsia="宋体" w:hint="default"/>
                <w:sz w:val="21"/>
                <w:szCs w:val="21"/>
              </w:rPr>
              <w:t>卫生统计数据综合采集系统</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2014/10/23</w:t>
            </w:r>
          </w:p>
        </w:tc>
      </w:tr>
    </w:tbl>
    <w:p>
      <w:pPr>
        <w:spacing w:after="0" w:line="240" w:lineRule="auto"/>
        <w:jc w:val="center"/>
        <w:rPr>
          <w:rFonts w:ascii="Arial" w:hAnsi="Arial" w:cs="Arial" w:eastAsia="Arial" w:hint="default"/>
          <w:sz w:val="21"/>
          <w:szCs w:val="21"/>
        </w:rPr>
        <w:sectPr>
          <w:pgSz w:w="11910" w:h="16840"/>
          <w:pgMar w:header="752" w:footer="1010" w:top="1100" w:bottom="1200" w:left="980" w:right="980"/>
        </w:sectPr>
      </w:pPr>
    </w:p>
    <w:p>
      <w:pPr>
        <w:spacing w:line="240" w:lineRule="auto" w:before="1"/>
        <w:rPr>
          <w:rFonts w:ascii="Times New Roman" w:hAnsi="Times New Roman" w:cs="Times New Roman" w:eastAsia="Times New Roman" w:hint="default"/>
          <w:sz w:val="29"/>
          <w:szCs w:val="29"/>
        </w:rPr>
      </w:pPr>
    </w:p>
    <w:tbl>
      <w:tblPr>
        <w:tblW w:w="0" w:type="auto"/>
        <w:jc w:val="left"/>
        <w:tblInd w:w="248" w:type="dxa"/>
        <w:tblLayout w:type="fixed"/>
        <w:tblCellMar>
          <w:top w:w="0" w:type="dxa"/>
          <w:left w:w="0" w:type="dxa"/>
          <w:bottom w:w="0" w:type="dxa"/>
          <w:right w:w="0" w:type="dxa"/>
        </w:tblCellMar>
        <w:tblLook w:val="01E0"/>
      </w:tblPr>
      <w:tblGrid>
        <w:gridCol w:w="581"/>
        <w:gridCol w:w="2168"/>
        <w:gridCol w:w="4092"/>
        <w:gridCol w:w="1136"/>
        <w:gridCol w:w="1418"/>
      </w:tblGrid>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sz w:val="21"/>
              </w:rPr>
              <w:t>52</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0826901</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2" w:right="0"/>
              <w:jc w:val="center"/>
              <w:rPr>
                <w:rFonts w:ascii="Arial" w:hAnsi="Arial" w:cs="Arial" w:eastAsia="Arial" w:hint="default"/>
                <w:sz w:val="21"/>
                <w:szCs w:val="21"/>
              </w:rPr>
            </w:pPr>
            <w:r>
              <w:rPr>
                <w:rFonts w:ascii="宋体" w:hAnsi="宋体" w:cs="宋体" w:eastAsia="宋体" w:hint="default"/>
                <w:sz w:val="21"/>
                <w:szCs w:val="21"/>
              </w:rPr>
              <w:t>医院综合信息管理与决策支持系统</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z w:val="21"/>
              </w:rPr>
              <w:t>2014/10/22</w:t>
            </w:r>
          </w:p>
        </w:tc>
      </w:tr>
      <w:tr>
        <w:trPr>
          <w:trHeight w:val="353"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53</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0850405</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Arial" w:hAnsi="Arial" w:cs="Arial" w:eastAsia="Arial" w:hint="default"/>
                <w:sz w:val="21"/>
                <w:szCs w:val="21"/>
              </w:rPr>
              <w:t>EsPower</w:t>
            </w:r>
            <w:r>
              <w:rPr>
                <w:rFonts w:ascii="Arial" w:hAnsi="Arial" w:cs="Arial" w:eastAsia="Arial" w:hint="default"/>
                <w:spacing w:val="-4"/>
                <w:sz w:val="21"/>
                <w:szCs w:val="21"/>
              </w:rPr>
              <w:t> </w:t>
            </w:r>
            <w:r>
              <w:rPr>
                <w:rFonts w:ascii="Arial" w:hAnsi="Arial" w:cs="Arial" w:eastAsia="Arial" w:hint="default"/>
                <w:sz w:val="21"/>
                <w:szCs w:val="21"/>
              </w:rPr>
              <w:t>Index</w:t>
            </w:r>
            <w:r>
              <w:rPr>
                <w:rFonts w:ascii="宋体" w:hAnsi="宋体" w:cs="宋体" w:eastAsia="宋体" w:hint="default"/>
                <w:sz w:val="21"/>
                <w:szCs w:val="21"/>
              </w:rPr>
              <w:t>指标管理平台</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2014/11/26</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54</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0850407</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2" w:right="0"/>
              <w:jc w:val="center"/>
              <w:rPr>
                <w:rFonts w:ascii="Arial" w:hAnsi="Arial" w:cs="Arial" w:eastAsia="Arial" w:hint="default"/>
                <w:sz w:val="21"/>
                <w:szCs w:val="21"/>
              </w:rPr>
            </w:pPr>
            <w:r>
              <w:rPr>
                <w:rFonts w:ascii="Arial" w:hAnsi="Arial" w:cs="Arial" w:eastAsia="Arial" w:hint="default"/>
                <w:sz w:val="21"/>
                <w:szCs w:val="21"/>
              </w:rPr>
              <w:t>EsPowerMeta</w:t>
            </w:r>
            <w:r>
              <w:rPr>
                <w:rFonts w:ascii="宋体" w:hAnsi="宋体" w:cs="宋体" w:eastAsia="宋体" w:hint="default"/>
                <w:sz w:val="21"/>
                <w:szCs w:val="21"/>
              </w:rPr>
              <w:t>元数据管理平台</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2014/11/26</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55</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0819672</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互联网广告监控系统</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2014/10/11</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56</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0819677</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食品药品监管舆情分析系统</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2014/10/11</w:t>
            </w:r>
          </w:p>
        </w:tc>
      </w:tr>
      <w:tr>
        <w:trPr>
          <w:trHeight w:val="35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Arial" w:hAnsi="Arial" w:cs="Arial" w:eastAsia="Arial" w:hint="default"/>
                <w:sz w:val="21"/>
                <w:szCs w:val="21"/>
              </w:rPr>
            </w:pPr>
            <w:r>
              <w:rPr>
                <w:rFonts w:ascii="Arial"/>
                <w:sz w:val="21"/>
              </w:rPr>
              <w:t>57</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0819632</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网络交易及服务行为监管系统</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2014/10/11</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58</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0669947</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华宇派车管理软件</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2014/1/3</w:t>
            </w:r>
          </w:p>
        </w:tc>
      </w:tr>
      <w:tr>
        <w:trPr>
          <w:trHeight w:val="360"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59</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0670071</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华宇监所减刑假释软件</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2014/1/3</w:t>
            </w:r>
          </w:p>
        </w:tc>
      </w:tr>
      <w:tr>
        <w:trPr>
          <w:trHeight w:val="362" w:hRule="exact"/>
        </w:trPr>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61"/>
              <w:jc w:val="right"/>
              <w:rPr>
                <w:rFonts w:ascii="Arial" w:hAnsi="Arial" w:cs="Arial" w:eastAsia="Arial" w:hint="default"/>
                <w:sz w:val="21"/>
                <w:szCs w:val="21"/>
              </w:rPr>
            </w:pPr>
            <w:r>
              <w:rPr>
                <w:rFonts w:ascii="Arial"/>
                <w:sz w:val="21"/>
              </w:rPr>
              <w:t>60</w:t>
            </w:r>
          </w:p>
        </w:tc>
        <w:tc>
          <w:tcPr>
            <w:tcW w:w="2168"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35"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0690615</w:t>
            </w:r>
            <w:r>
              <w:rPr>
                <w:rFonts w:ascii="宋体" w:hAnsi="宋体" w:cs="宋体" w:eastAsia="宋体" w:hint="default"/>
                <w:sz w:val="21"/>
                <w:szCs w:val="21"/>
              </w:rPr>
              <w:t>号</w:t>
            </w:r>
          </w:p>
        </w:tc>
        <w:tc>
          <w:tcPr>
            <w:tcW w:w="4092"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Arial" w:hAnsi="Arial" w:cs="Arial" w:eastAsia="Arial" w:hint="default"/>
                <w:sz w:val="21"/>
                <w:szCs w:val="21"/>
              </w:rPr>
            </w:pPr>
            <w:r>
              <w:rPr>
                <w:rFonts w:ascii="宋体" w:hAnsi="宋体" w:cs="宋体" w:eastAsia="宋体" w:hint="default"/>
                <w:sz w:val="21"/>
                <w:szCs w:val="21"/>
              </w:rPr>
              <w:t>华宇律师阅卷软件</w:t>
            </w:r>
            <w:r>
              <w:rPr>
                <w:rFonts w:ascii="Arial" w:hAnsi="Arial" w:cs="Arial" w:eastAsia="Arial" w:hint="default"/>
                <w:sz w:val="21"/>
                <w:szCs w:val="21"/>
              </w:rPr>
              <w:t>V1.0</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2014/2/21</w:t>
            </w:r>
          </w:p>
        </w:tc>
      </w:tr>
    </w:tbl>
    <w:p>
      <w:pPr>
        <w:spacing w:line="240" w:lineRule="auto" w:before="7"/>
        <w:rPr>
          <w:rFonts w:ascii="Times New Roman" w:hAnsi="Times New Roman" w:cs="Times New Roman" w:eastAsia="Times New Roman" w:hint="default"/>
          <w:sz w:val="20"/>
          <w:szCs w:val="20"/>
        </w:rPr>
      </w:pPr>
    </w:p>
    <w:p>
      <w:pPr>
        <w:pStyle w:val="BodyText"/>
        <w:spacing w:line="240" w:lineRule="auto" w:before="26"/>
        <w:ind w:right="0"/>
        <w:jc w:val="left"/>
      </w:pPr>
      <w:r>
        <w:rPr/>
        <w:t>报告期内，公司无其他核心竞争力存在重大变化。</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Arial" w:hAnsi="Arial" w:cs="Arial" w:eastAsia="Arial" w:hint="default"/>
        </w:rPr>
        <w:t>5</w:t>
      </w:r>
      <w:r>
        <w:rPr/>
        <w:t>）投资状况分析</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Arial" w:hAnsi="Arial" w:cs="Arial" w:eastAsia="Arial" w:hint="default"/>
        </w:rPr>
        <w:t>1</w:t>
      </w:r>
      <w:r>
        <w:rPr/>
        <w:t>）对外投资情况</w:t>
      </w:r>
    </w:p>
    <w:p>
      <w:pPr>
        <w:pStyle w:val="BodyText"/>
        <w:spacing w:line="240" w:lineRule="auto" w:before="96"/>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10"/>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419"/>
        <w:gridCol w:w="1774"/>
        <w:gridCol w:w="670"/>
        <w:gridCol w:w="1594"/>
        <w:gridCol w:w="924"/>
        <w:gridCol w:w="139"/>
        <w:gridCol w:w="1063"/>
        <w:gridCol w:w="1208"/>
        <w:gridCol w:w="780"/>
      </w:tblGrid>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1"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6"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4"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14" w:right="0"/>
              <w:jc w:val="left"/>
              <w:rPr>
                <w:rFonts w:ascii="Arial" w:hAnsi="Arial" w:cs="Arial" w:eastAsia="Arial" w:hint="default"/>
                <w:sz w:val="21"/>
                <w:szCs w:val="21"/>
              </w:rPr>
            </w:pPr>
            <w:r>
              <w:rPr>
                <w:rFonts w:ascii="Arial"/>
                <w:sz w:val="21"/>
              </w:rPr>
              <w:t>30,000,000.00</w:t>
            </w:r>
          </w:p>
        </w:tc>
        <w:tc>
          <w:tcPr>
            <w:tcW w:w="3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0.00</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100.00%</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7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6"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57" w:right="51"/>
              <w:jc w:val="left"/>
              <w:rPr>
                <w:rFonts w:ascii="宋体" w:hAnsi="宋体" w:cs="宋体" w:eastAsia="宋体" w:hint="default"/>
                <w:sz w:val="21"/>
                <w:szCs w:val="21"/>
              </w:rPr>
            </w:pPr>
            <w:r>
              <w:rPr>
                <w:rFonts w:ascii="宋体" w:hAnsi="宋体" w:cs="宋体" w:eastAsia="宋体" w:hint="default"/>
                <w:sz w:val="21"/>
                <w:szCs w:val="21"/>
              </w:rPr>
              <w:t>上市公司占被投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资公司权益比例</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合作方</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180" w:right="68" w:hanging="107"/>
              <w:jc w:val="left"/>
              <w:rPr>
                <w:rFonts w:ascii="宋体" w:hAnsi="宋体" w:cs="宋体" w:eastAsia="宋体" w:hint="default"/>
                <w:sz w:val="21"/>
                <w:szCs w:val="21"/>
              </w:rPr>
            </w:pPr>
            <w:r>
              <w:rPr>
                <w:rFonts w:ascii="宋体" w:hAnsi="宋体" w:cs="宋体" w:eastAsia="宋体" w:hint="default"/>
                <w:sz w:val="21"/>
                <w:szCs w:val="21"/>
              </w:rPr>
              <w:t>本期投资盈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亏（元）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75" w:right="17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涉诉</w:t>
            </w:r>
          </w:p>
        </w:tc>
      </w:tr>
      <w:tr>
        <w:trPr>
          <w:trHeight w:val="196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4" w:right="120"/>
              <w:jc w:val="both"/>
              <w:rPr>
                <w:rFonts w:ascii="宋体" w:hAnsi="宋体" w:cs="宋体" w:eastAsia="宋体" w:hint="default"/>
                <w:sz w:val="21"/>
                <w:szCs w:val="21"/>
              </w:rPr>
            </w:pPr>
            <w:r>
              <w:rPr>
                <w:rFonts w:ascii="宋体" w:hAnsi="宋体" w:cs="宋体" w:eastAsia="宋体" w:hint="default"/>
                <w:sz w:val="21"/>
                <w:szCs w:val="21"/>
              </w:rPr>
              <w:t>深圳市捷视飞</w:t>
            </w:r>
            <w:r>
              <w:rPr>
                <w:rFonts w:ascii="宋体" w:hAnsi="宋体" w:cs="宋体" w:eastAsia="宋体" w:hint="default"/>
                <w:w w:val="100"/>
                <w:sz w:val="21"/>
                <w:szCs w:val="21"/>
              </w:rPr>
              <w:t> </w:t>
            </w:r>
            <w:r>
              <w:rPr>
                <w:rFonts w:ascii="宋体" w:hAnsi="宋体" w:cs="宋体" w:eastAsia="宋体" w:hint="default"/>
                <w:sz w:val="21"/>
                <w:szCs w:val="21"/>
              </w:rPr>
              <w:t>通科技有限公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94"/>
              <w:jc w:val="both"/>
              <w:rPr>
                <w:rFonts w:ascii="宋体" w:hAnsi="宋体" w:cs="宋体" w:eastAsia="宋体" w:hint="default"/>
                <w:sz w:val="21"/>
                <w:szCs w:val="21"/>
              </w:rPr>
            </w:pPr>
            <w:r>
              <w:rPr>
                <w:rFonts w:ascii="宋体" w:hAnsi="宋体" w:cs="宋体" w:eastAsia="宋体" w:hint="default"/>
                <w:spacing w:val="-2"/>
                <w:sz w:val="21"/>
                <w:szCs w:val="21"/>
              </w:rPr>
              <w:t>信息技术及网络技术的开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发、计算机软硬件的技术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开发，通信设备的技术开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sz w:val="21"/>
                <w:szCs w:val="21"/>
              </w:rPr>
              <w:t>发与购销，经济信息咨询</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兴办实业；多媒体通信设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备的生产。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176" w:lineRule="exact"/>
              <w:ind w:left="849" w:right="0"/>
              <w:jc w:val="left"/>
              <w:rPr>
                <w:rFonts w:ascii="Arial" w:hAnsi="Arial" w:cs="Arial" w:eastAsia="Arial" w:hint="default"/>
                <w:sz w:val="21"/>
                <w:szCs w:val="21"/>
              </w:rPr>
            </w:pPr>
            <w:r>
              <w:rPr>
                <w:rFonts w:ascii="Arial"/>
                <w:sz w:val="21"/>
              </w:rPr>
              <w:t>16.67%</w:t>
            </w:r>
          </w:p>
          <w:p>
            <w:pPr>
              <w:pStyle w:val="TableParagraph"/>
              <w:spacing w:line="209"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超募资金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60"/>
              <w:jc w:val="left"/>
              <w:rPr>
                <w:rFonts w:ascii="宋体" w:hAnsi="宋体" w:cs="宋体" w:eastAsia="宋体" w:hint="default"/>
                <w:sz w:val="21"/>
                <w:szCs w:val="21"/>
              </w:rPr>
            </w:pPr>
            <w:r>
              <w:rPr>
                <w:rFonts w:ascii="宋体" w:hAnsi="宋体" w:cs="宋体" w:eastAsia="宋体" w:hint="default"/>
                <w:spacing w:val="-19"/>
                <w:sz w:val="21"/>
                <w:szCs w:val="21"/>
              </w:rPr>
              <w:t>蒋延春、深</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圳市传奇</w:t>
            </w:r>
            <w:r>
              <w:rPr>
                <w:rFonts w:ascii="宋体" w:hAnsi="宋体" w:cs="宋体" w:eastAsia="宋体" w:hint="default"/>
                <w:w w:val="100"/>
                <w:sz w:val="21"/>
                <w:szCs w:val="21"/>
              </w:rPr>
              <w:t> </w:t>
            </w:r>
            <w:r>
              <w:rPr>
                <w:rFonts w:ascii="宋体" w:hAnsi="宋体" w:cs="宋体" w:eastAsia="宋体" w:hint="default"/>
                <w:sz w:val="21"/>
                <w:szCs w:val="21"/>
              </w:rPr>
              <w:t>视讯科技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2" w:right="0"/>
              <w:jc w:val="left"/>
              <w:rPr>
                <w:rFonts w:ascii="Arial" w:hAnsi="Arial" w:cs="Arial" w:eastAsia="Arial" w:hint="default"/>
                <w:sz w:val="21"/>
                <w:szCs w:val="21"/>
              </w:rPr>
            </w:pPr>
            <w:r>
              <w:rPr>
                <w:rFonts w:ascii="Arial"/>
                <w:sz w:val="21"/>
              </w:rPr>
              <w:t>25,518.99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752" w:footer="1010" w:top="1100" w:bottom="1200" w:left="980" w:right="980"/>
        </w:sectPr>
      </w:pPr>
    </w:p>
    <w:p>
      <w:pPr>
        <w:pStyle w:val="BodyText"/>
        <w:spacing w:line="240" w:lineRule="auto" w:before="48"/>
        <w:ind w:right="-8"/>
        <w:jc w:val="left"/>
      </w:pPr>
      <w:r>
        <w:rPr>
          <w:rFonts w:ascii="Arial" w:hAnsi="Arial" w:cs="Arial" w:eastAsia="Arial" w:hint="default"/>
        </w:rPr>
        <w:t>2</w:t>
      </w:r>
      <w:r>
        <w:rPr/>
        <w:t>）募集资金使用情况</w:t>
      </w:r>
    </w:p>
    <w:p>
      <w:pPr>
        <w:pStyle w:val="BodyText"/>
        <w:spacing w:line="240" w:lineRule="auto" w:before="113"/>
        <w:ind w:right="-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115"/>
        <w:ind w:right="-8"/>
        <w:jc w:val="left"/>
      </w:pPr>
      <w:r>
        <w:rPr>
          <w:rFonts w:ascii="Arial" w:hAnsi="Arial" w:cs="Arial" w:eastAsia="Arial" w:hint="default"/>
          <w:spacing w:val="-1"/>
        </w:rPr>
        <w:t>1.</w:t>
      </w:r>
      <w:r>
        <w:rPr>
          <w:spacing w:val="-1"/>
        </w:rPr>
        <w:t>募集资金总体使用情况</w:t>
      </w:r>
    </w:p>
    <w:p>
      <w:pPr>
        <w:pStyle w:val="BodyText"/>
        <w:spacing w:line="240" w:lineRule="auto" w:before="115"/>
        <w:ind w:right="-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2753" w:space="5836"/>
            <w:col w:w="1361"/>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100"/>
        <w:gridCol w:w="5471"/>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51,481.18</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13,556.81</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44,748.64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w w:val="100"/>
                <w:sz w:val="21"/>
              </w:rPr>
              <w:t>0</w:t>
            </w:r>
          </w:p>
        </w:tc>
      </w:tr>
    </w:tbl>
    <w:p>
      <w:pPr>
        <w:spacing w:after="0" w:line="240" w:lineRule="auto"/>
        <w:jc w:val="right"/>
        <w:rPr>
          <w:rFonts w:ascii="Arial" w:hAnsi="Arial" w:cs="Arial" w:eastAsia="Arial" w:hint="default"/>
          <w:sz w:val="21"/>
          <w:szCs w:val="21"/>
        </w:rPr>
        <w:sectPr>
          <w:type w:val="continuous"/>
          <w:pgSz w:w="11910" w:h="16840"/>
          <w:pgMar w:top="110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36"/>
        <w:ind w:left="0" w:right="170" w:firstLine="0"/>
        <w:jc w:val="right"/>
        <w:rPr>
          <w:rFonts w:ascii="宋体" w:hAnsi="宋体" w:cs="宋体" w:eastAsia="宋体" w:hint="default"/>
          <w:sz w:val="21"/>
          <w:szCs w:val="21"/>
        </w:rPr>
      </w:pPr>
      <w:r>
        <w:rPr/>
        <w:pict>
          <v:shape style="position:absolute;margin-left:56.400002pt;margin-top:-91.556343pt;width:479.3pt;height:176.6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471"/>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231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9" w:firstLine="372"/>
                          <w:jc w:val="left"/>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Arial" w:hAnsi="Arial" w:cs="Arial" w:eastAsia="Arial" w:hint="default"/>
                            <w:sz w:val="21"/>
                            <w:szCs w:val="21"/>
                          </w:rPr>
                          <w:t>[2011]1492</w:t>
                        </w:r>
                        <w:r>
                          <w:rPr>
                            <w:rFonts w:ascii="Arial" w:hAnsi="Arial" w:cs="Arial" w:eastAsia="Arial" w:hint="default"/>
                            <w:spacing w:val="41"/>
                            <w:sz w:val="21"/>
                            <w:szCs w:val="21"/>
                          </w:rPr>
                          <w:t> </w:t>
                        </w:r>
                        <w:r>
                          <w:rPr>
                            <w:rFonts w:ascii="宋体" w:hAnsi="宋体" w:cs="宋体" w:eastAsia="宋体" w:hint="default"/>
                            <w:sz w:val="21"/>
                            <w:szCs w:val="21"/>
                          </w:rPr>
                          <w:t>号文核准，公司委托主承销商国信证劵股份有限公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Arial" w:hAnsi="Arial" w:cs="Arial" w:eastAsia="Arial" w:hint="default"/>
                            <w:sz w:val="21"/>
                            <w:szCs w:val="21"/>
                          </w:rPr>
                          <w:t>(</w:t>
                        </w:r>
                        <w:r>
                          <w:rPr>
                            <w:rFonts w:ascii="宋体" w:hAnsi="宋体" w:cs="宋体" w:eastAsia="宋体" w:hint="default"/>
                            <w:sz w:val="21"/>
                            <w:szCs w:val="21"/>
                          </w:rPr>
                          <w:t>以下简称</w:t>
                        </w:r>
                        <w:r>
                          <w:rPr>
                            <w:rFonts w:ascii="Arial" w:hAnsi="Arial" w:cs="Arial" w:eastAsia="Arial" w:hint="default"/>
                            <w:sz w:val="21"/>
                            <w:szCs w:val="21"/>
                          </w:rPr>
                          <w:t>“</w:t>
                        </w:r>
                        <w:r>
                          <w:rPr>
                            <w:rFonts w:ascii="宋体" w:hAnsi="宋体" w:cs="宋体" w:eastAsia="宋体" w:hint="default"/>
                            <w:sz w:val="21"/>
                            <w:szCs w:val="21"/>
                          </w:rPr>
                          <w:t>国信证劵</w:t>
                        </w:r>
                        <w:r>
                          <w:rPr>
                            <w:rFonts w:ascii="Arial" w:hAnsi="Arial" w:cs="Arial" w:eastAsia="Arial" w:hint="default"/>
                            <w:sz w:val="21"/>
                            <w:szCs w:val="21"/>
                          </w:rPr>
                          <w:t>”)</w:t>
                        </w:r>
                        <w:r>
                          <w:rPr>
                            <w:rFonts w:ascii="宋体" w:hAnsi="宋体" w:cs="宋体" w:eastAsia="宋体" w:hint="default"/>
                            <w:sz w:val="21"/>
                            <w:szCs w:val="21"/>
                          </w:rPr>
                          <w:t>首次公开发行人民币普通股（</w:t>
                        </w:r>
                        <w:r>
                          <w:rPr>
                            <w:rFonts w:ascii="Arial" w:hAnsi="Arial" w:cs="Arial" w:eastAsia="Arial" w:hint="default"/>
                            <w:sz w:val="21"/>
                            <w:szCs w:val="21"/>
                          </w:rPr>
                          <w:t>A </w:t>
                        </w:r>
                        <w:r>
                          <w:rPr>
                            <w:rFonts w:ascii="宋体" w:hAnsi="宋体" w:cs="宋体" w:eastAsia="宋体" w:hint="default"/>
                            <w:sz w:val="21"/>
                            <w:szCs w:val="21"/>
                          </w:rPr>
                          <w:t>股）</w:t>
                        </w:r>
                        <w:r>
                          <w:rPr>
                            <w:rFonts w:ascii="Arial" w:hAnsi="Arial" w:cs="Arial" w:eastAsia="Arial" w:hint="default"/>
                            <w:sz w:val="21"/>
                            <w:szCs w:val="21"/>
                          </w:rPr>
                          <w:t>1,850 </w:t>
                        </w:r>
                        <w:r>
                          <w:rPr>
                            <w:rFonts w:ascii="宋体" w:hAnsi="宋体" w:cs="宋体" w:eastAsia="宋体" w:hint="default"/>
                            <w:sz w:val="21"/>
                            <w:szCs w:val="21"/>
                          </w:rPr>
                          <w:t>万股（每股面值 </w:t>
                        </w:r>
                        <w:r>
                          <w:rPr>
                            <w:rFonts w:ascii="Arial" w:hAnsi="Arial" w:cs="Arial" w:eastAsia="Arial" w:hint="default"/>
                            <w:sz w:val="21"/>
                            <w:szCs w:val="21"/>
                          </w:rPr>
                          <w:t>1</w:t>
                        </w:r>
                        <w:r>
                          <w:rPr>
                            <w:rFonts w:ascii="Arial" w:hAnsi="Arial" w:cs="Arial" w:eastAsia="Arial" w:hint="default"/>
                            <w:spacing w:val="19"/>
                            <w:sz w:val="21"/>
                            <w:szCs w:val="21"/>
                          </w:rPr>
                          <w:t> </w:t>
                        </w:r>
                        <w:r>
                          <w:rPr>
                            <w:rFonts w:ascii="宋体" w:hAnsi="宋体" w:cs="宋体" w:eastAsia="宋体" w:hint="default"/>
                            <w:sz w:val="21"/>
                            <w:szCs w:val="21"/>
                          </w:rPr>
                          <w:t>元），每股发行</w:t>
                        </w:r>
                        <w:r>
                          <w:rPr>
                            <w:rFonts w:ascii="宋体" w:hAnsi="宋体" w:cs="宋体" w:eastAsia="宋体" w:hint="default"/>
                            <w:w w:val="100"/>
                            <w:sz w:val="21"/>
                            <w:szCs w:val="21"/>
                          </w:rPr>
                          <w:t> </w:t>
                        </w:r>
                        <w:r>
                          <w:rPr>
                            <w:rFonts w:ascii="宋体" w:hAnsi="宋体" w:cs="宋体" w:eastAsia="宋体" w:hint="default"/>
                            <w:sz w:val="21"/>
                            <w:szCs w:val="21"/>
                          </w:rPr>
                          <w:t>价格为 </w:t>
                        </w:r>
                        <w:r>
                          <w:rPr>
                            <w:rFonts w:ascii="Arial" w:hAnsi="Arial" w:cs="Arial" w:eastAsia="Arial" w:hint="default"/>
                            <w:sz w:val="21"/>
                            <w:szCs w:val="21"/>
                          </w:rPr>
                          <w:t>30.80 </w:t>
                        </w:r>
                        <w:r>
                          <w:rPr>
                            <w:rFonts w:ascii="宋体" w:hAnsi="宋体" w:cs="宋体" w:eastAsia="宋体" w:hint="default"/>
                            <w:sz w:val="21"/>
                            <w:szCs w:val="21"/>
                          </w:rPr>
                          <w:t>元，募集资金总额为 </w:t>
                        </w:r>
                        <w:r>
                          <w:rPr>
                            <w:rFonts w:ascii="Arial" w:hAnsi="Arial" w:cs="Arial" w:eastAsia="Arial" w:hint="default"/>
                            <w:sz w:val="21"/>
                            <w:szCs w:val="21"/>
                          </w:rPr>
                          <w:t>56,980.00 </w:t>
                        </w:r>
                        <w:r>
                          <w:rPr>
                            <w:rFonts w:ascii="宋体" w:hAnsi="宋体" w:cs="宋体" w:eastAsia="宋体" w:hint="default"/>
                            <w:sz w:val="21"/>
                            <w:szCs w:val="21"/>
                          </w:rPr>
                          <w:t>万元；扣除发行费用后募集资金净额为 </w:t>
                        </w:r>
                        <w:r>
                          <w:rPr>
                            <w:rFonts w:ascii="Arial" w:hAnsi="Arial" w:cs="Arial" w:eastAsia="Arial" w:hint="default"/>
                            <w:sz w:val="21"/>
                            <w:szCs w:val="21"/>
                          </w:rPr>
                          <w:t>51,481.18</w:t>
                        </w:r>
                        <w:r>
                          <w:rPr>
                            <w:rFonts w:ascii="Arial" w:hAnsi="Arial" w:cs="Arial" w:eastAsia="Arial" w:hint="default"/>
                            <w:spacing w:val="-24"/>
                            <w:sz w:val="21"/>
                            <w:szCs w:val="21"/>
                          </w:rPr>
                          <w:t> </w:t>
                        </w:r>
                        <w:r>
                          <w:rPr>
                            <w:rFonts w:ascii="宋体" w:hAnsi="宋体" w:cs="宋体" w:eastAsia="宋体" w:hint="default"/>
                            <w:sz w:val="21"/>
                            <w:szCs w:val="21"/>
                          </w:rPr>
                          <w:t>万元</w:t>
                        </w:r>
                      </w:p>
                      <w:p>
                        <w:pPr>
                          <w:pStyle w:val="TableParagraph"/>
                          <w:spacing w:line="240" w:lineRule="auto" w:before="6"/>
                          <w:ind w:left="24" w:right="0"/>
                          <w:jc w:val="left"/>
                          <w:rPr>
                            <w:rFonts w:ascii="Arial" w:hAnsi="Arial" w:cs="Arial" w:eastAsia="Arial" w:hint="default"/>
                            <w:sz w:val="21"/>
                            <w:szCs w:val="21"/>
                          </w:rPr>
                        </w:pPr>
                        <w:r>
                          <w:rPr>
                            <w:rFonts w:ascii="宋体" w:hAnsi="宋体" w:cs="宋体" w:eastAsia="宋体" w:hint="default"/>
                            <w:w w:val="100"/>
                            <w:sz w:val="21"/>
                            <w:szCs w:val="21"/>
                          </w:rPr>
                          <w:t>该募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到</w:t>
                        </w:r>
                        <w:r>
                          <w:rPr>
                            <w:rFonts w:ascii="宋体" w:hAnsi="宋体" w:cs="宋体" w:eastAsia="宋体" w:hint="default"/>
                            <w:spacing w:val="-3"/>
                            <w:w w:val="100"/>
                            <w:sz w:val="21"/>
                            <w:szCs w:val="21"/>
                          </w:rPr>
                          <w:t>位</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已</w:t>
                        </w:r>
                        <w:r>
                          <w:rPr>
                            <w:rFonts w:ascii="宋体" w:hAnsi="宋体" w:cs="宋体" w:eastAsia="宋体" w:hint="default"/>
                            <w:spacing w:val="-3"/>
                            <w:w w:val="100"/>
                            <w:sz w:val="21"/>
                            <w:szCs w:val="21"/>
                          </w:rPr>
                          <w:t>经</w:t>
                        </w:r>
                        <w:r>
                          <w:rPr>
                            <w:rFonts w:ascii="宋体" w:hAnsi="宋体" w:cs="宋体" w:eastAsia="宋体" w:hint="default"/>
                            <w:w w:val="100"/>
                            <w:sz w:val="21"/>
                            <w:szCs w:val="21"/>
                          </w:rPr>
                          <w:t>兴华</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责</w:t>
                        </w:r>
                        <w:r>
                          <w:rPr>
                            <w:rFonts w:ascii="宋体" w:hAnsi="宋体" w:cs="宋体" w:eastAsia="宋体" w:hint="default"/>
                            <w:w w:val="100"/>
                            <w:sz w:val="21"/>
                            <w:szCs w:val="21"/>
                          </w:rPr>
                          <w:t>任公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审</w:t>
                        </w:r>
                        <w:r>
                          <w:rPr>
                            <w:rFonts w:ascii="宋体" w:hAnsi="宋体" w:cs="宋体" w:eastAsia="宋体" w:hint="default"/>
                            <w:spacing w:val="-3"/>
                            <w:w w:val="100"/>
                            <w:sz w:val="21"/>
                            <w:szCs w:val="21"/>
                          </w:rPr>
                          <w:t>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于</w:t>
                        </w:r>
                        <w:r>
                          <w:rPr>
                            <w:rFonts w:ascii="宋体" w:hAnsi="宋体" w:cs="宋体" w:eastAsia="宋体" w:hint="default"/>
                            <w:spacing w:val="-62"/>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11</w:t>
                        </w:r>
                        <w:r>
                          <w:rPr>
                            <w:rFonts w:ascii="Arial" w:hAnsi="Arial" w:cs="Arial" w:eastAsia="Arial" w:hint="default"/>
                            <w:sz w:val="21"/>
                            <w:szCs w:val="21"/>
                          </w:rPr>
                          <w:t> </w:t>
                        </w:r>
                        <w:r>
                          <w:rPr>
                            <w:rFonts w:ascii="Arial" w:hAnsi="Arial" w:cs="Arial" w:eastAsia="Arial" w:hint="default"/>
                            <w:spacing w:val="-14"/>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Arial" w:hAnsi="Arial" w:cs="Arial" w:eastAsia="Arial" w:hint="default"/>
                            <w:w w:val="100"/>
                            <w:sz w:val="21"/>
                            <w:szCs w:val="21"/>
                          </w:rPr>
                          <w:t>10</w:t>
                        </w:r>
                        <w:r>
                          <w:rPr>
                            <w:rFonts w:ascii="Arial" w:hAnsi="Arial" w:cs="Arial" w:eastAsia="Arial" w:hint="default"/>
                            <w:sz w:val="21"/>
                            <w:szCs w:val="21"/>
                          </w:rPr>
                          <w:t> </w:t>
                        </w:r>
                        <w:r>
                          <w:rPr>
                            <w:rFonts w:ascii="Arial" w:hAnsi="Arial" w:cs="Arial" w:eastAsia="Arial" w:hint="default"/>
                            <w:spacing w:val="-14"/>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Arial" w:hAnsi="Arial" w:cs="Arial" w:eastAsia="Arial" w:hint="default"/>
                            <w:w w:val="100"/>
                            <w:sz w:val="21"/>
                            <w:szCs w:val="21"/>
                          </w:rPr>
                          <w:t>31</w:t>
                        </w:r>
                        <w:r>
                          <w:rPr>
                            <w:rFonts w:ascii="Arial" w:hAnsi="Arial" w:cs="Arial" w:eastAsia="Arial" w:hint="default"/>
                            <w:sz w:val="21"/>
                            <w:szCs w:val="21"/>
                          </w:rPr>
                          <w:t> </w:t>
                        </w:r>
                        <w:r>
                          <w:rPr>
                            <w:rFonts w:ascii="Arial" w:hAnsi="Arial" w:cs="Arial" w:eastAsia="Arial" w:hint="default"/>
                            <w:spacing w:val="-1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出</w:t>
                        </w:r>
                        <w:r>
                          <w:rPr>
                            <w:rFonts w:ascii="宋体" w:hAnsi="宋体" w:cs="宋体" w:eastAsia="宋体" w:hint="default"/>
                            <w:w w:val="100"/>
                            <w:sz w:val="21"/>
                            <w:szCs w:val="21"/>
                          </w:rPr>
                          <w:t>具</w:t>
                        </w:r>
                        <w:r>
                          <w:rPr>
                            <w:rFonts w:ascii="宋体" w:hAnsi="宋体" w:cs="宋体" w:eastAsia="宋体" w:hint="default"/>
                            <w:spacing w:val="-106"/>
                            <w:w w:val="100"/>
                            <w:sz w:val="21"/>
                            <w:szCs w:val="21"/>
                          </w:rPr>
                          <w:t>了</w:t>
                        </w:r>
                        <w:r>
                          <w:rPr>
                            <w:rFonts w:ascii="宋体" w:hAnsi="宋体" w:cs="宋体" w:eastAsia="宋体" w:hint="default"/>
                            <w:spacing w:val="-3"/>
                            <w:w w:val="100"/>
                            <w:sz w:val="21"/>
                            <w:szCs w:val="21"/>
                          </w:rPr>
                          <w:t>（</w:t>
                        </w:r>
                        <w:r>
                          <w:rPr>
                            <w:rFonts w:ascii="Arial" w:hAnsi="Arial" w:cs="Arial" w:eastAsia="Arial" w:hint="default"/>
                            <w:w w:val="100"/>
                            <w:sz w:val="21"/>
                            <w:szCs w:val="21"/>
                          </w:rPr>
                          <w:t>20</w:t>
                        </w:r>
                        <w:r>
                          <w:rPr>
                            <w:rFonts w:ascii="Arial" w:hAnsi="Arial" w:cs="Arial" w:eastAsia="Arial" w:hint="default"/>
                            <w:spacing w:val="-2"/>
                            <w:w w:val="100"/>
                            <w:sz w:val="21"/>
                            <w:szCs w:val="21"/>
                          </w:rPr>
                          <w:t>1</w:t>
                        </w:r>
                        <w:r>
                          <w:rPr>
                            <w:rFonts w:ascii="Arial" w:hAnsi="Arial" w:cs="Arial" w:eastAsia="Arial" w:hint="default"/>
                            <w:w w:val="100"/>
                            <w:sz w:val="21"/>
                            <w:szCs w:val="21"/>
                          </w:rPr>
                          <w:t>1</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京会兴（验）字第 </w:t>
                        </w:r>
                        <w:r>
                          <w:rPr>
                            <w:rFonts w:ascii="Arial" w:hAnsi="Arial" w:cs="Arial" w:eastAsia="Arial" w:hint="default"/>
                            <w:sz w:val="21"/>
                            <w:szCs w:val="21"/>
                          </w:rPr>
                          <w:t>7-017</w:t>
                        </w:r>
                        <w:r>
                          <w:rPr>
                            <w:rFonts w:ascii="Arial" w:hAnsi="Arial" w:cs="Arial" w:eastAsia="Arial" w:hint="default"/>
                            <w:spacing w:val="-11"/>
                            <w:sz w:val="21"/>
                            <w:szCs w:val="21"/>
                          </w:rPr>
                          <w:t> </w:t>
                        </w:r>
                        <w:r>
                          <w:rPr>
                            <w:rFonts w:ascii="宋体" w:hAnsi="宋体" w:cs="宋体" w:eastAsia="宋体" w:hint="default"/>
                            <w:sz w:val="21"/>
                            <w:szCs w:val="21"/>
                          </w:rPr>
                          <w:t>号《验资报告》。</w:t>
                        </w:r>
                      </w:p>
                      <w:p>
                        <w:pPr>
                          <w:pStyle w:val="TableParagraph"/>
                          <w:spacing w:line="240" w:lineRule="auto" w:before="63"/>
                          <w:ind w:left="396"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Arial" w:hAnsi="Arial" w:cs="Arial" w:eastAsia="Arial" w:hint="default"/>
                            <w:sz w:val="21"/>
                            <w:szCs w:val="21"/>
                          </w:rPr>
                          <w:t>2014</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w:hAnsi="Arial" w:cs="Arial" w:eastAsia="Arial" w:hint="default"/>
                            <w:sz w:val="21"/>
                            <w:szCs w:val="21"/>
                          </w:rPr>
                          <w:t>31</w:t>
                        </w:r>
                        <w:r>
                          <w:rPr>
                            <w:rFonts w:ascii="Arial" w:hAnsi="Arial" w:cs="Arial" w:eastAsia="Arial" w:hint="default"/>
                            <w:spacing w:val="54"/>
                            <w:sz w:val="21"/>
                            <w:szCs w:val="21"/>
                          </w:rPr>
                          <w:t> </w:t>
                        </w:r>
                        <w:r>
                          <w:rPr>
                            <w:rFonts w:ascii="宋体" w:hAnsi="宋体" w:cs="宋体" w:eastAsia="宋体" w:hint="default"/>
                            <w:spacing w:val="-3"/>
                            <w:sz w:val="21"/>
                            <w:szCs w:val="21"/>
                          </w:rPr>
                          <w:t>日，公司已累计投入募集资金总额为</w:t>
                        </w:r>
                        <w:r>
                          <w:rPr>
                            <w:rFonts w:ascii="宋体" w:hAnsi="宋体" w:cs="宋体" w:eastAsia="宋体" w:hint="default"/>
                            <w:spacing w:val="-47"/>
                            <w:sz w:val="21"/>
                            <w:szCs w:val="21"/>
                          </w:rPr>
                          <w:t> </w:t>
                        </w:r>
                        <w:r>
                          <w:rPr>
                            <w:rFonts w:ascii="Arial" w:hAnsi="Arial" w:cs="Arial" w:eastAsia="Arial" w:hint="default"/>
                            <w:sz w:val="21"/>
                            <w:szCs w:val="21"/>
                          </w:rPr>
                          <w:t>44,748.64</w:t>
                        </w:r>
                        <w:r>
                          <w:rPr>
                            <w:rFonts w:ascii="Arial" w:hAnsi="Arial" w:cs="Arial" w:eastAsia="Arial" w:hint="default"/>
                            <w:spacing w:val="54"/>
                            <w:sz w:val="21"/>
                            <w:szCs w:val="21"/>
                          </w:rPr>
                          <w:t> </w:t>
                        </w:r>
                        <w:r>
                          <w:rPr>
                            <w:rFonts w:ascii="宋体" w:hAnsi="宋体" w:cs="宋体" w:eastAsia="宋体" w:hint="default"/>
                            <w:spacing w:val="-3"/>
                            <w:sz w:val="21"/>
                            <w:szCs w:val="21"/>
                          </w:rPr>
                          <w:t>万元，其中报告期内投入募</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投项目金额</w:t>
                        </w:r>
                        <w:r>
                          <w:rPr>
                            <w:rFonts w:ascii="宋体" w:hAnsi="宋体" w:cs="宋体" w:eastAsia="宋体" w:hint="default"/>
                            <w:spacing w:val="-52"/>
                            <w:sz w:val="21"/>
                            <w:szCs w:val="21"/>
                          </w:rPr>
                          <w:t> </w:t>
                        </w:r>
                        <w:r>
                          <w:rPr>
                            <w:rFonts w:ascii="Arial" w:hAnsi="Arial" w:cs="Arial" w:eastAsia="Arial" w:hint="default"/>
                            <w:sz w:val="21"/>
                            <w:szCs w:val="21"/>
                          </w:rPr>
                          <w:t>13,556.81</w:t>
                        </w:r>
                        <w:r>
                          <w:rPr>
                            <w:rFonts w:ascii="Arial" w:hAnsi="Arial" w:cs="Arial" w:eastAsia="Arial" w:hint="default"/>
                            <w:spacing w:val="-8"/>
                            <w:sz w:val="21"/>
                            <w:szCs w:val="21"/>
                          </w:rPr>
                          <w:t> </w:t>
                        </w:r>
                        <w:r>
                          <w:rPr>
                            <w:rFonts w:ascii="宋体" w:hAnsi="宋体" w:cs="宋体" w:eastAsia="宋体" w:hint="default"/>
                            <w:sz w:val="21"/>
                            <w:szCs w:val="21"/>
                          </w:rPr>
                          <w:t>万元。</w:t>
                        </w:r>
                      </w:p>
                    </w:tc>
                  </w:tr>
                </w:tbl>
                <w:p>
                  <w:pPr/>
                </w:p>
              </w:txbxContent>
            </v:textbox>
            <w10:wrap type="none"/>
          </v:shape>
        </w:pict>
      </w:r>
      <w:r>
        <w:rPr>
          <w:rFonts w:ascii="宋体" w:hAnsi="宋体" w:cs="宋体" w:eastAsia="宋体" w:hint="default"/>
          <w:w w:val="100"/>
          <w:sz w:val="21"/>
          <w:szCs w:val="21"/>
        </w:rPr>
        <w:t>。</w:t>
      </w:r>
    </w:p>
    <w:p>
      <w:pPr>
        <w:spacing w:before="37"/>
        <w:ind w:left="0" w:right="13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52" w:footer="1010" w:top="1100" w:bottom="1200" w:left="980" w:right="980"/>
        </w:sectPr>
      </w:pPr>
    </w:p>
    <w:p>
      <w:pPr>
        <w:pStyle w:val="BodyText"/>
        <w:spacing w:line="240" w:lineRule="auto" w:before="61"/>
        <w:ind w:left="140" w:right="-9"/>
        <w:jc w:val="left"/>
      </w:pPr>
      <w:r>
        <w:rPr/>
        <w:pict>
          <v:group style="position:absolute;margin-left:70.559998pt;margin-top:2.285627pt;width:700.95pt;height:.1pt;mso-position-horizontal-relative:page;mso-position-vertical-relative:paragraph;z-index:1264" coordorigin="1411,46" coordsize="14019,2">
            <v:shape style="position:absolute;left:1411;top:46;width:14019;height:2" coordorigin="1411,46" coordsize="14019,0" path="m1411,46l15430,46e" filled="false" stroked="true" strokeweight=".72pt" strokecolor="#000000">
              <v:path arrowok="t"/>
            </v:shape>
            <w10:wrap type="none"/>
          </v:group>
        </w:pict>
      </w:r>
      <w:r>
        <w:rPr>
          <w:rFonts w:ascii="Arial" w:hAnsi="Arial" w:cs="Arial" w:eastAsia="Arial" w:hint="default"/>
          <w:spacing w:val="-1"/>
        </w:rPr>
        <w:t>2.</w:t>
      </w:r>
      <w:r>
        <w:rPr>
          <w:spacing w:val="-1"/>
        </w:rPr>
        <w:t>募集资金承诺项目情况</w:t>
      </w:r>
    </w:p>
    <w:p>
      <w:pPr>
        <w:pStyle w:val="BodyText"/>
        <w:spacing w:line="240" w:lineRule="auto" w:before="113"/>
        <w:ind w:left="140" w:right="-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headerReference w:type="default" r:id="rId17"/>
          <w:footerReference w:type="default" r:id="rId18"/>
          <w:pgSz w:w="16840" w:h="11910" w:orient="landscape"/>
          <w:pgMar w:header="884" w:footer="1011" w:top="1100" w:bottom="1200" w:left="1300" w:right="1240"/>
          <w:pgNumType w:start="25"/>
          <w:cols w:num="2" w:equalWidth="0">
            <w:col w:w="2740" w:space="10320"/>
            <w:col w:w="1240"/>
          </w:cols>
        </w:sectPr>
      </w:pP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118"/>
        <w:gridCol w:w="711"/>
        <w:gridCol w:w="991"/>
        <w:gridCol w:w="994"/>
        <w:gridCol w:w="992"/>
        <w:gridCol w:w="1277"/>
        <w:gridCol w:w="1133"/>
        <w:gridCol w:w="1561"/>
        <w:gridCol w:w="994"/>
        <w:gridCol w:w="850"/>
        <w:gridCol w:w="566"/>
        <w:gridCol w:w="142"/>
        <w:gridCol w:w="710"/>
      </w:tblGrid>
      <w:tr>
        <w:trPr>
          <w:trHeight w:val="1337"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48" w:right="50" w:firstLine="31"/>
              <w:jc w:val="both"/>
              <w:rPr>
                <w:rFonts w:ascii="Arial" w:hAnsi="Arial" w:cs="Arial" w:eastAsia="Arial" w:hint="default"/>
                <w:sz w:val="18"/>
                <w:szCs w:val="18"/>
              </w:rPr>
            </w:pPr>
            <w:r>
              <w:rPr>
                <w:rFonts w:ascii="宋体" w:hAnsi="宋体" w:cs="宋体" w:eastAsia="宋体" w:hint="default"/>
                <w:sz w:val="18"/>
                <w:szCs w:val="18"/>
              </w:rPr>
              <w:t>是否已 变更项 目</w:t>
            </w:r>
            <w:r>
              <w:rPr>
                <w:rFonts w:ascii="Arial" w:hAnsi="Arial" w:cs="Arial" w:eastAsia="Arial" w:hint="default"/>
                <w:sz w:val="18"/>
                <w:szCs w:val="18"/>
              </w:rPr>
              <w:t>(</w:t>
            </w:r>
            <w:r>
              <w:rPr>
                <w:rFonts w:ascii="宋体" w:hAnsi="宋体" w:cs="宋体" w:eastAsia="宋体" w:hint="default"/>
                <w:sz w:val="18"/>
                <w:szCs w:val="18"/>
              </w:rPr>
              <w:t>含部 分变更</w:t>
            </w:r>
            <w:r>
              <w:rPr>
                <w:rFonts w:ascii="Arial" w:hAnsi="Arial" w:cs="Arial" w:eastAsia="Arial"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0" w:right="38"/>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1" w:right="41" w:hanging="161"/>
              <w:jc w:val="left"/>
              <w:rPr>
                <w:rFonts w:ascii="Arial" w:hAnsi="Arial" w:cs="Arial" w:eastAsia="Arial" w:hint="default"/>
                <w:sz w:val="18"/>
                <w:szCs w:val="18"/>
              </w:rPr>
            </w:pPr>
            <w:r>
              <w:rPr>
                <w:rFonts w:ascii="宋体" w:hAnsi="宋体" w:cs="宋体" w:eastAsia="宋体" w:hint="default"/>
                <w:sz w:val="18"/>
                <w:szCs w:val="18"/>
              </w:rPr>
              <w:t>调整后投资 总额</w:t>
            </w:r>
            <w:r>
              <w:rPr>
                <w:rFonts w:ascii="Arial" w:hAnsi="Arial" w:cs="Arial" w:eastAsia="Arial" w:hint="default"/>
                <w:sz w:val="18"/>
                <w:szCs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18" w:right="4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63" w:right="91" w:hanging="70"/>
              <w:jc w:val="left"/>
              <w:rPr>
                <w:rFonts w:ascii="Arial" w:hAnsi="Arial" w:cs="Arial" w:eastAsia="Arial" w:hint="default"/>
                <w:sz w:val="18"/>
                <w:szCs w:val="18"/>
              </w:rPr>
            </w:pPr>
            <w:r>
              <w:rPr>
                <w:rFonts w:ascii="宋体" w:hAnsi="宋体" w:cs="宋体" w:eastAsia="宋体" w:hint="default"/>
                <w:sz w:val="18"/>
                <w:szCs w:val="18"/>
              </w:rPr>
              <w:t>截至期末累计 投入金额</w:t>
            </w:r>
            <w:r>
              <w:rPr>
                <w:rFonts w:ascii="Arial" w:hAnsi="Arial" w:cs="Arial" w:eastAsia="Arial" w:hint="default"/>
                <w:sz w:val="18"/>
                <w:szCs w:val="18"/>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8" w:lineRule="auto"/>
              <w:ind w:left="88" w:right="91" w:firstLine="2"/>
              <w:jc w:val="center"/>
              <w:rPr>
                <w:rFonts w:ascii="Arial" w:hAnsi="Arial" w:cs="Arial" w:eastAsia="Arial" w:hint="default"/>
                <w:sz w:val="18"/>
                <w:szCs w:val="18"/>
              </w:rPr>
            </w:pPr>
            <w:r>
              <w:rPr>
                <w:rFonts w:ascii="宋体" w:hAnsi="宋体" w:cs="宋体" w:eastAsia="宋体" w:hint="default"/>
                <w:sz w:val="18"/>
                <w:szCs w:val="18"/>
              </w:rPr>
              <w:t>截至期末投 资进度</w:t>
            </w:r>
            <w:r>
              <w:rPr>
                <w:rFonts w:ascii="Arial" w:hAnsi="Arial" w:cs="Arial" w:eastAsia="Arial"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Arial" w:hAnsi="Arial" w:cs="Arial" w:eastAsia="Arial" w:hint="default"/>
                <w:sz w:val="18"/>
                <w:szCs w:val="18"/>
              </w:rPr>
              <w:t>(2)/(1)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24" w:right="53"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29" w:right="43" w:hanging="92"/>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7" w:right="60"/>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5" w:right="98"/>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0" w:right="60"/>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4" w:hRule="exact"/>
        </w:trPr>
        <w:tc>
          <w:tcPr>
            <w:tcW w:w="1403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数字法院智能管理系统</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5,982.04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5,230.44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11.88</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5,230.38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06</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30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861.32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861.32</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电子检务管理系统</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5,583.54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3,488.10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11.92</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3,488.08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06</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30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商业智能分析应用平台</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2,485.70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1,329.65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15.77</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1,329.63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08</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31</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w w:val="95"/>
                <w:sz w:val="18"/>
              </w:rPr>
              <w:t>98.23</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98.23</w:t>
            </w:r>
            <w:r>
              <w:rPr>
                <w:rFonts w:ascii="Arial"/>
                <w:sz w:val="18"/>
              </w:rPr>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华宇政务应用支撑和研发平台</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1,973.52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15.47</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1,001.08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08</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31</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w w:val="95"/>
                <w:sz w:val="18"/>
              </w:rPr>
              <w:t>14.78</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14.78</w:t>
            </w:r>
            <w:r>
              <w:rPr>
                <w:rFonts w:ascii="Arial"/>
                <w:sz w:val="18"/>
              </w:rPr>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信息应用运维管理与服务系统</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3,452.72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3,450.78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w w:val="99"/>
                <w:sz w:val="18"/>
              </w:rPr>
              <w:t>0</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3,450.78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12</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31</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1,094.11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1,094.11</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8" w:right="0"/>
              <w:jc w:val="left"/>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19,477.52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14,500.11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55.04</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14,499.95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2,068.44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2,068.44</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1" w:hRule="exact"/>
        </w:trPr>
        <w:tc>
          <w:tcPr>
            <w:tcW w:w="1403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收购子公司华宇金信</w:t>
            </w: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1,173</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1,173</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1,173</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341.85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511.18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宋体" w:hAnsi="宋体" w:cs="宋体" w:eastAsia="宋体" w:hint="default"/>
                <w:sz w:val="18"/>
                <w:szCs w:val="18"/>
              </w:rPr>
              <w:t>建设实施</w:t>
            </w:r>
            <w:r>
              <w:rPr>
                <w:rFonts w:ascii="Arial" w:hAnsi="Arial" w:cs="Arial" w:eastAsia="Arial" w:hint="default"/>
                <w:sz w:val="18"/>
                <w:szCs w:val="18"/>
              </w:rPr>
              <w:t>“</w:t>
            </w:r>
            <w:r>
              <w:rPr>
                <w:rFonts w:ascii="宋体" w:hAnsi="宋体" w:cs="宋体" w:eastAsia="宋体" w:hint="default"/>
                <w:sz w:val="18"/>
                <w:szCs w:val="18"/>
              </w:rPr>
              <w:t>华宇（大连）研发基地项目</w:t>
            </w:r>
            <w:r>
              <w:rPr>
                <w:rFonts w:ascii="Arial" w:hAnsi="Arial" w:cs="Arial" w:eastAsia="Arial" w:hint="default"/>
                <w:sz w:val="18"/>
                <w:szCs w:val="18"/>
              </w:rPr>
              <w:t>”</w:t>
            </w: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4,151.10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6,925.02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69.25%</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投资深圳捷视飞通</w:t>
            </w: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3,000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3,000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3,000</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3,000</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10</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13</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w w:val="95"/>
                <w:sz w:val="18"/>
              </w:rPr>
              <w:t>2.55</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2.55</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8" w:right="0"/>
              <w:jc w:val="left"/>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3,000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3,000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3,000</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5" w:right="0"/>
              <w:jc w:val="left"/>
              <w:rPr>
                <w:rFonts w:ascii="Arial" w:hAnsi="Arial" w:cs="Arial" w:eastAsia="Arial" w:hint="default"/>
                <w:sz w:val="18"/>
                <w:szCs w:val="18"/>
              </w:rPr>
            </w:pPr>
            <w:r>
              <w:rPr>
                <w:rFonts w:ascii="Arial"/>
                <w:sz w:val="18"/>
              </w:rPr>
              <w:t>--</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8" w:right="0"/>
              <w:jc w:val="left"/>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16,150.67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16,150.67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6,350.67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16,150.67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5" w:right="0"/>
              <w:jc w:val="left"/>
              <w:rPr>
                <w:rFonts w:ascii="Arial" w:hAnsi="Arial" w:cs="Arial" w:eastAsia="Arial" w:hint="default"/>
                <w:sz w:val="18"/>
                <w:szCs w:val="18"/>
              </w:rPr>
            </w:pPr>
            <w:r>
              <w:rPr>
                <w:rFonts w:ascii="Arial"/>
                <w:sz w:val="18"/>
              </w:rPr>
              <w:t>--</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8" w:right="0"/>
              <w:jc w:val="left"/>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33,323.67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33,323.67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13,501.77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30,248.69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344.40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513.73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5" w:right="0"/>
              <w:jc w:val="left"/>
              <w:rPr>
                <w:rFonts w:ascii="Arial" w:hAnsi="Arial" w:cs="Arial" w:eastAsia="Arial" w:hint="default"/>
                <w:sz w:val="18"/>
                <w:szCs w:val="18"/>
              </w:rPr>
            </w:pPr>
            <w:r>
              <w:rPr>
                <w:rFonts w:ascii="Arial"/>
                <w:sz w:val="18"/>
              </w:rPr>
              <w:t>--</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8" w:right="0"/>
              <w:jc w:val="left"/>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52,801.19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47,823.78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13,556.81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44,748.64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2,412.84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2,582.17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5" w:right="0"/>
              <w:jc w:val="left"/>
              <w:rPr>
                <w:rFonts w:ascii="Arial" w:hAnsi="Arial" w:cs="Arial" w:eastAsia="Arial" w:hint="default"/>
                <w:sz w:val="18"/>
                <w:szCs w:val="18"/>
              </w:rPr>
            </w:pPr>
            <w:r>
              <w:rPr>
                <w:rFonts w:ascii="Arial"/>
                <w:sz w:val="18"/>
              </w:rPr>
              <w:t>--</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71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 因（分具体项目）</w:t>
            </w:r>
          </w:p>
        </w:tc>
        <w:tc>
          <w:tcPr>
            <w:tcW w:w="1092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2" w:right="0"/>
              <w:jc w:val="left"/>
              <w:rPr>
                <w:rFonts w:ascii="宋体" w:hAnsi="宋体" w:cs="宋体" w:eastAsia="宋体" w:hint="default"/>
                <w:sz w:val="18"/>
                <w:szCs w:val="18"/>
              </w:rPr>
            </w:pPr>
            <w:r>
              <w:rPr>
                <w:rFonts w:ascii="宋体" w:hAnsi="宋体" w:cs="宋体" w:eastAsia="宋体" w:hint="default"/>
                <w:sz w:val="18"/>
                <w:szCs w:val="18"/>
              </w:rPr>
              <w:t>华宇软件于 </w:t>
            </w:r>
            <w:r>
              <w:rPr>
                <w:rFonts w:ascii="Arial" w:hAnsi="Arial" w:cs="Arial" w:eastAsia="Arial" w:hint="default"/>
                <w:sz w:val="18"/>
                <w:szCs w:val="18"/>
              </w:rPr>
              <w:t>2011 </w:t>
            </w:r>
            <w:r>
              <w:rPr>
                <w:rFonts w:ascii="宋体" w:hAnsi="宋体" w:cs="宋体" w:eastAsia="宋体" w:hint="default"/>
                <w:sz w:val="18"/>
                <w:szCs w:val="18"/>
              </w:rPr>
              <w:t>年 </w:t>
            </w:r>
            <w:r>
              <w:rPr>
                <w:rFonts w:ascii="Arial" w:hAnsi="Arial" w:cs="Arial" w:eastAsia="Arial" w:hint="default"/>
                <w:sz w:val="18"/>
                <w:szCs w:val="18"/>
              </w:rPr>
              <w:t>10 </w:t>
            </w:r>
            <w:r>
              <w:rPr>
                <w:rFonts w:ascii="宋体" w:hAnsi="宋体" w:cs="宋体" w:eastAsia="宋体" w:hint="default"/>
                <w:sz w:val="18"/>
                <w:szCs w:val="18"/>
              </w:rPr>
              <w:t>月 </w:t>
            </w:r>
            <w:r>
              <w:rPr>
                <w:rFonts w:ascii="Arial" w:hAnsi="Arial" w:cs="Arial" w:eastAsia="Arial" w:hint="default"/>
                <w:sz w:val="18"/>
                <w:szCs w:val="18"/>
              </w:rPr>
              <w:t>26</w:t>
            </w:r>
            <w:r>
              <w:rPr>
                <w:rFonts w:ascii="Arial" w:hAnsi="Arial" w:cs="Arial" w:eastAsia="Arial" w:hint="default"/>
                <w:spacing w:val="-20"/>
                <w:sz w:val="18"/>
                <w:szCs w:val="18"/>
              </w:rPr>
              <w:t> </w:t>
            </w:r>
            <w:r>
              <w:rPr>
                <w:rFonts w:ascii="宋体" w:hAnsi="宋体" w:cs="宋体" w:eastAsia="宋体" w:hint="default"/>
                <w:sz w:val="18"/>
                <w:szCs w:val="18"/>
              </w:rPr>
              <w:t>日在深圳证券交易所创业板挂牌上市，在此之前公司尚未取得募集资金，由于存在资金缺口，公司在</w:t>
            </w:r>
          </w:p>
          <w:p>
            <w:pPr>
              <w:pStyle w:val="TableParagraph"/>
              <w:spacing w:line="240" w:lineRule="auto" w:before="63"/>
              <w:ind w:left="21"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2"/>
                <w:sz w:val="18"/>
                <w:szCs w:val="18"/>
              </w:rPr>
              <w:t> </w:t>
            </w:r>
            <w:r>
              <w:rPr>
                <w:rFonts w:ascii="宋体" w:hAnsi="宋体" w:cs="宋体" w:eastAsia="宋体" w:hint="default"/>
                <w:sz w:val="18"/>
                <w:szCs w:val="18"/>
              </w:rPr>
              <w:t>年或</w:t>
            </w:r>
            <w:r>
              <w:rPr>
                <w:rFonts w:ascii="宋体" w:hAnsi="宋体" w:cs="宋体" w:eastAsia="宋体" w:hint="default"/>
                <w:spacing w:val="-59"/>
                <w:sz w:val="18"/>
                <w:szCs w:val="18"/>
              </w:rPr>
              <w:t> </w:t>
            </w:r>
            <w:r>
              <w:rPr>
                <w:rFonts w:ascii="Arial" w:hAnsi="Arial" w:cs="Arial" w:eastAsia="Arial" w:hint="default"/>
                <w:sz w:val="18"/>
                <w:szCs w:val="18"/>
              </w:rPr>
              <w:t>2010</w:t>
            </w:r>
            <w:r>
              <w:rPr>
                <w:rFonts w:ascii="Arial" w:hAnsi="Arial" w:cs="Arial" w:eastAsia="Arial" w:hint="default"/>
                <w:spacing w:val="11"/>
                <w:sz w:val="18"/>
                <w:szCs w:val="18"/>
              </w:rPr>
              <w:t> </w:t>
            </w:r>
            <w:r>
              <w:rPr>
                <w:rFonts w:ascii="宋体" w:hAnsi="宋体" w:cs="宋体" w:eastAsia="宋体" w:hint="default"/>
                <w:sz w:val="18"/>
                <w:szCs w:val="18"/>
              </w:rPr>
              <w:t>年起仅以自筹资金的方式对五个募集资金投资项目进行了小规模投入，也取得了部分阶段性成果，但总体来说并未按照募</w:t>
            </w:r>
          </w:p>
        </w:tc>
      </w:tr>
    </w:tbl>
    <w:p>
      <w:pPr>
        <w:spacing w:after="0" w:line="240" w:lineRule="auto"/>
        <w:jc w:val="left"/>
        <w:rPr>
          <w:rFonts w:ascii="宋体" w:hAnsi="宋体" w:cs="宋体" w:eastAsia="宋体" w:hint="default"/>
          <w:sz w:val="18"/>
          <w:szCs w:val="18"/>
        </w:rPr>
        <w:sectPr>
          <w:type w:val="continuous"/>
          <w:pgSz w:w="16840" w:h="11910" w:orient="landscape"/>
          <w:pgMar w:top="1100" w:bottom="1200" w:left="1300" w:right="1240"/>
        </w:sectPr>
      </w:pPr>
    </w:p>
    <w:p>
      <w:pPr>
        <w:spacing w:line="240" w:lineRule="auto" w:before="5"/>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118"/>
        <w:gridCol w:w="10920"/>
      </w:tblGrid>
      <w:tr>
        <w:trPr>
          <w:trHeight w:val="1697" w:hRule="exact"/>
        </w:trPr>
        <w:tc>
          <w:tcPr>
            <w:tcW w:w="3118" w:type="dxa"/>
            <w:tcBorders>
              <w:top w:val="single" w:sz="10" w:space="0" w:color="000000"/>
              <w:left w:val="single" w:sz="4" w:space="0" w:color="000000"/>
              <w:bottom w:val="single" w:sz="4" w:space="0" w:color="000000"/>
              <w:right w:val="single" w:sz="4" w:space="0" w:color="000000"/>
            </w:tcBorders>
          </w:tcPr>
          <w:p>
            <w:pPr/>
          </w:p>
        </w:tc>
        <w:tc>
          <w:tcPr>
            <w:tcW w:w="10920"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8"/>
              <w:ind w:left="21" w:right="86"/>
              <w:jc w:val="left"/>
              <w:rPr>
                <w:rFonts w:ascii="宋体" w:hAnsi="宋体" w:cs="宋体" w:eastAsia="宋体" w:hint="default"/>
                <w:sz w:val="18"/>
                <w:szCs w:val="18"/>
              </w:rPr>
            </w:pPr>
            <w:r>
              <w:rPr>
                <w:rFonts w:ascii="宋体" w:hAnsi="宋体" w:cs="宋体" w:eastAsia="宋体" w:hint="default"/>
                <w:sz w:val="18"/>
                <w:szCs w:val="18"/>
              </w:rPr>
              <w:t>集资金投资项目原定计划进行实施。近两年业界基于云计算、物联网等技术的应用逐渐成熟，将成为未来一段时期内行业信息化建设的重 点和亮点，结合公司主营行业信息化建设的要求和特点，增加对这些技术的应用将带来更大的经济效益和社会效益。</w:t>
            </w:r>
          </w:p>
          <w:p>
            <w:pPr>
              <w:pStyle w:val="TableParagraph"/>
              <w:spacing w:line="316" w:lineRule="auto" w:before="57"/>
              <w:ind w:left="21" w:right="85" w:firstLine="360"/>
              <w:jc w:val="left"/>
              <w:rPr>
                <w:rFonts w:ascii="宋体" w:hAnsi="宋体" w:cs="宋体" w:eastAsia="宋体" w:hint="default"/>
                <w:sz w:val="18"/>
                <w:szCs w:val="18"/>
              </w:rPr>
            </w:pPr>
            <w:r>
              <w:rPr>
                <w:rFonts w:ascii="宋体" w:hAnsi="宋体" w:cs="宋体" w:eastAsia="宋体" w:hint="default"/>
                <w:sz w:val="18"/>
                <w:szCs w:val="18"/>
              </w:rPr>
              <w:t>因此，华宇软件在对市场情况进行充分分析后，对五个募集资金投资项目的研发计划做了相应的调整，使募集资金投资项目更具市场 性和领先性，符合公司长期发展的需要。</w:t>
            </w:r>
          </w:p>
          <w:p>
            <w:pPr>
              <w:pStyle w:val="TableParagraph"/>
              <w:spacing w:line="240" w:lineRule="auto" w:before="59"/>
              <w:ind w:left="382" w:right="0"/>
              <w:jc w:val="left"/>
              <w:rPr>
                <w:rFonts w:ascii="宋体" w:hAnsi="宋体" w:cs="宋体" w:eastAsia="宋体" w:hint="default"/>
                <w:sz w:val="18"/>
                <w:szCs w:val="18"/>
              </w:rPr>
            </w:pPr>
            <w:r>
              <w:rPr>
                <w:rFonts w:ascii="宋体" w:hAnsi="宋体" w:cs="宋体" w:eastAsia="宋体" w:hint="default"/>
                <w:sz w:val="18"/>
                <w:szCs w:val="18"/>
              </w:rPr>
              <w:t>截止目前，公司五个募集资金投资项目均已按计划结项。</w:t>
            </w:r>
          </w:p>
        </w:tc>
      </w:tr>
      <w:tr>
        <w:trPr>
          <w:trHeight w:val="40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923" w:hRule="exact"/>
        </w:trPr>
        <w:tc>
          <w:tcPr>
            <w:tcW w:w="3118" w:type="dxa"/>
            <w:vMerge/>
            <w:tcBorders>
              <w:left w:val="single" w:sz="4" w:space="0" w:color="000000"/>
              <w:bottom w:val="single" w:sz="4" w:space="0" w:color="000000"/>
              <w:right w:val="single" w:sz="4" w:space="0" w:color="000000"/>
            </w:tcBorders>
          </w:tcPr>
          <w:p>
            <w:pP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1" w:right="24" w:firstLine="360"/>
              <w:jc w:val="both"/>
              <w:rPr>
                <w:rFonts w:ascii="宋体" w:hAnsi="宋体" w:cs="宋体" w:eastAsia="宋体" w:hint="default"/>
                <w:sz w:val="18"/>
                <w:szCs w:val="18"/>
              </w:rPr>
            </w:pPr>
            <w:r>
              <w:rPr>
                <w:rFonts w:ascii="宋体" w:hAnsi="宋体" w:cs="宋体" w:eastAsia="宋体" w:hint="default"/>
                <w:sz w:val="18"/>
                <w:szCs w:val="18"/>
              </w:rPr>
              <w:t>根据本公司《招股说明书》披露的情况，公司首次公开发行并上市募集资金拟投向</w:t>
            </w:r>
            <w:r>
              <w:rPr>
                <w:rFonts w:ascii="Arial" w:hAnsi="Arial" w:cs="Arial" w:eastAsia="Arial" w:hint="default"/>
                <w:sz w:val="18"/>
                <w:szCs w:val="18"/>
              </w:rPr>
              <w:t>“</w:t>
            </w:r>
            <w:r>
              <w:rPr>
                <w:rFonts w:ascii="宋体" w:hAnsi="宋体" w:cs="宋体" w:eastAsia="宋体" w:hint="default"/>
                <w:sz w:val="18"/>
                <w:szCs w:val="18"/>
              </w:rPr>
              <w:t>数字法院智能管理系统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电子检务管理系统</w:t>
            </w:r>
            <w:r>
              <w:rPr>
                <w:rFonts w:ascii="Arial" w:hAnsi="Arial" w:cs="Arial" w:eastAsia="Arial" w:hint="default"/>
                <w:sz w:val="18"/>
                <w:szCs w:val="18"/>
              </w:rPr>
              <w:t>”</w:t>
            </w:r>
            <w:r>
              <w:rPr>
                <w:rFonts w:ascii="宋体" w:hAnsi="宋体" w:cs="宋体" w:eastAsia="宋体" w:hint="default"/>
                <w:sz w:val="18"/>
                <w:szCs w:val="18"/>
              </w:rPr>
              <w:t>等五 个项目，投资总额为</w:t>
            </w:r>
            <w:r>
              <w:rPr>
                <w:rFonts w:ascii="宋体" w:hAnsi="宋体" w:cs="宋体" w:eastAsia="宋体" w:hint="default"/>
                <w:spacing w:val="-46"/>
                <w:sz w:val="18"/>
                <w:szCs w:val="18"/>
              </w:rPr>
              <w:t> </w:t>
            </w:r>
            <w:r>
              <w:rPr>
                <w:rFonts w:ascii="Arial" w:hAnsi="Arial" w:cs="Arial" w:eastAsia="Arial" w:hint="default"/>
                <w:sz w:val="18"/>
                <w:szCs w:val="18"/>
              </w:rPr>
              <w:t>19,477.52</w:t>
            </w:r>
            <w:r>
              <w:rPr>
                <w:rFonts w:ascii="Arial" w:hAnsi="Arial" w:cs="Arial" w:eastAsia="Arial" w:hint="default"/>
                <w:spacing w:val="-6"/>
                <w:sz w:val="18"/>
                <w:szCs w:val="18"/>
              </w:rPr>
              <w:t> </w:t>
            </w:r>
            <w:r>
              <w:rPr>
                <w:rFonts w:ascii="宋体" w:hAnsi="宋体" w:cs="宋体" w:eastAsia="宋体" w:hint="default"/>
                <w:sz w:val="18"/>
                <w:szCs w:val="18"/>
              </w:rPr>
              <w:t>万元，本公司实际募集资金净额为</w:t>
            </w:r>
            <w:r>
              <w:rPr>
                <w:rFonts w:ascii="宋体" w:hAnsi="宋体" w:cs="宋体" w:eastAsia="宋体" w:hint="default"/>
                <w:spacing w:val="-46"/>
                <w:sz w:val="18"/>
                <w:szCs w:val="18"/>
              </w:rPr>
              <w:t> </w:t>
            </w:r>
            <w:r>
              <w:rPr>
                <w:rFonts w:ascii="Arial" w:hAnsi="Arial" w:cs="Arial" w:eastAsia="Arial" w:hint="default"/>
                <w:sz w:val="18"/>
                <w:szCs w:val="18"/>
              </w:rPr>
              <w:t>51,481.18</w:t>
            </w:r>
            <w:r>
              <w:rPr>
                <w:rFonts w:ascii="Arial" w:hAnsi="Arial" w:cs="Arial" w:eastAsia="Arial" w:hint="default"/>
                <w:spacing w:val="-6"/>
                <w:sz w:val="18"/>
                <w:szCs w:val="18"/>
              </w:rPr>
              <w:t> </w:t>
            </w:r>
            <w:r>
              <w:rPr>
                <w:rFonts w:ascii="宋体" w:hAnsi="宋体" w:cs="宋体" w:eastAsia="宋体" w:hint="default"/>
                <w:sz w:val="18"/>
                <w:szCs w:val="18"/>
              </w:rPr>
              <w:t>万元，超募资金为</w:t>
            </w:r>
            <w:r>
              <w:rPr>
                <w:rFonts w:ascii="宋体" w:hAnsi="宋体" w:cs="宋体" w:eastAsia="宋体" w:hint="default"/>
                <w:spacing w:val="-46"/>
                <w:sz w:val="18"/>
                <w:szCs w:val="18"/>
              </w:rPr>
              <w:t> </w:t>
            </w:r>
            <w:r>
              <w:rPr>
                <w:rFonts w:ascii="Arial" w:hAnsi="Arial" w:cs="Arial" w:eastAsia="Arial" w:hint="default"/>
                <w:sz w:val="18"/>
                <w:szCs w:val="18"/>
              </w:rPr>
              <w:t>32,003.66</w:t>
            </w:r>
            <w:r>
              <w:rPr>
                <w:rFonts w:ascii="Arial" w:hAnsi="Arial" w:cs="Arial" w:eastAsia="Arial" w:hint="default"/>
                <w:spacing w:val="-6"/>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Arial" w:hAnsi="Arial" w:cs="Arial" w:eastAsia="Arial" w:hint="default"/>
                <w:sz w:val="18"/>
                <w:szCs w:val="18"/>
              </w:rPr>
              <w:t>2014</w:t>
            </w:r>
            <w:r>
              <w:rPr>
                <w:rFonts w:ascii="Arial" w:hAnsi="Arial" w:cs="Arial" w:eastAsia="Arial"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Arial" w:hAnsi="Arial" w:cs="Arial" w:eastAsia="Arial" w:hint="default"/>
                <w:sz w:val="18"/>
                <w:szCs w:val="18"/>
              </w:rPr>
              <w:t>31</w:t>
            </w:r>
            <w:r>
              <w:rPr>
                <w:rFonts w:ascii="Arial" w:hAnsi="Arial" w:cs="Arial" w:eastAsia="Arial" w:hint="default"/>
                <w:spacing w:val="-2"/>
                <w:w w:val="99"/>
                <w:sz w:val="18"/>
                <w:szCs w:val="18"/>
              </w:rPr>
              <w:t> </w:t>
            </w:r>
            <w:r>
              <w:rPr>
                <w:rFonts w:ascii="宋体" w:hAnsi="宋体" w:cs="宋体" w:eastAsia="宋体" w:hint="default"/>
                <w:sz w:val="18"/>
                <w:szCs w:val="18"/>
              </w:rPr>
              <w:t>日，公司超募资金使用情况如下：</w:t>
            </w:r>
          </w:p>
          <w:p>
            <w:pPr>
              <w:pStyle w:val="TableParagraph"/>
              <w:spacing w:line="240" w:lineRule="auto" w:before="68"/>
              <w:ind w:left="38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0"/>
                <w:sz w:val="18"/>
                <w:szCs w:val="18"/>
              </w:rPr>
              <w:t> </w:t>
            </w:r>
            <w:r>
              <w:rPr>
                <w:rFonts w:ascii="Arial" w:hAnsi="Arial" w:cs="Arial" w:eastAsia="Arial" w:hint="default"/>
                <w:sz w:val="18"/>
                <w:szCs w:val="18"/>
              </w:rPr>
              <w:t>2011</w:t>
            </w:r>
            <w:r>
              <w:rPr>
                <w:rFonts w:ascii="Arial" w:hAnsi="Arial" w:cs="Arial" w:eastAsia="Arial"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w:hAnsi="Arial" w:cs="Arial" w:eastAsia="Arial" w:hint="default"/>
                <w:sz w:val="18"/>
                <w:szCs w:val="18"/>
              </w:rPr>
              <w:t>12</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w:hAnsi="Arial" w:cs="Arial" w:eastAsia="Arial" w:hint="default"/>
                <w:sz w:val="18"/>
                <w:szCs w:val="18"/>
              </w:rPr>
              <w:t>13</w:t>
            </w:r>
            <w:r>
              <w:rPr>
                <w:rFonts w:ascii="Arial" w:hAnsi="Arial" w:cs="Arial" w:eastAsia="Arial" w:hint="default"/>
                <w:spacing w:val="-20"/>
                <w:sz w:val="18"/>
                <w:szCs w:val="18"/>
              </w:rPr>
              <w:t> </w:t>
            </w:r>
            <w:r>
              <w:rPr>
                <w:rFonts w:ascii="宋体" w:hAnsi="宋体" w:cs="宋体" w:eastAsia="宋体" w:hint="default"/>
                <w:sz w:val="18"/>
                <w:szCs w:val="18"/>
              </w:rPr>
              <w:t>日，公司第四届董事会第十次会议审议通过了《使用部分超募资金偿还银行贷款和永久补充流动资金的议案》，同</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意使用超募资金</w:t>
            </w:r>
            <w:r>
              <w:rPr>
                <w:rFonts w:ascii="宋体" w:hAnsi="宋体" w:cs="宋体" w:eastAsia="宋体" w:hint="default"/>
                <w:spacing w:val="-47"/>
                <w:sz w:val="18"/>
                <w:szCs w:val="18"/>
              </w:rPr>
              <w:t> </w:t>
            </w:r>
            <w:r>
              <w:rPr>
                <w:rFonts w:ascii="Arial" w:hAnsi="Arial" w:cs="Arial" w:eastAsia="Arial" w:hint="default"/>
                <w:sz w:val="18"/>
                <w:szCs w:val="18"/>
              </w:rPr>
              <w:t>3,000</w:t>
            </w:r>
            <w:r>
              <w:rPr>
                <w:rFonts w:ascii="Arial" w:hAnsi="Arial" w:cs="Arial" w:eastAsia="Arial" w:hint="default"/>
                <w:spacing w:val="-7"/>
                <w:sz w:val="18"/>
                <w:szCs w:val="18"/>
              </w:rPr>
              <w:t> </w:t>
            </w:r>
            <w:r>
              <w:rPr>
                <w:rFonts w:ascii="宋体" w:hAnsi="宋体" w:cs="宋体" w:eastAsia="宋体" w:hint="default"/>
                <w:sz w:val="18"/>
                <w:szCs w:val="18"/>
              </w:rPr>
              <w:t>万元偿还银行贷款及</w:t>
            </w:r>
            <w:r>
              <w:rPr>
                <w:rFonts w:ascii="宋体" w:hAnsi="宋体" w:cs="宋体" w:eastAsia="宋体" w:hint="default"/>
                <w:spacing w:val="-48"/>
                <w:sz w:val="18"/>
                <w:szCs w:val="18"/>
              </w:rPr>
              <w:t> </w:t>
            </w:r>
            <w:r>
              <w:rPr>
                <w:rFonts w:ascii="Arial" w:hAnsi="Arial" w:cs="Arial" w:eastAsia="Arial" w:hint="default"/>
                <w:sz w:val="18"/>
                <w:szCs w:val="18"/>
              </w:rPr>
              <w:t>3,400</w:t>
            </w:r>
            <w:r>
              <w:rPr>
                <w:rFonts w:ascii="Arial" w:hAnsi="Arial" w:cs="Arial" w:eastAsia="Arial" w:hint="default"/>
                <w:spacing w:val="-6"/>
                <w:sz w:val="18"/>
                <w:szCs w:val="18"/>
              </w:rPr>
              <w:t> </w:t>
            </w:r>
            <w:r>
              <w:rPr>
                <w:rFonts w:ascii="宋体" w:hAnsi="宋体" w:cs="宋体" w:eastAsia="宋体" w:hint="default"/>
                <w:sz w:val="18"/>
                <w:szCs w:val="18"/>
              </w:rPr>
              <w:t>万元用于永久补充流动资金。截止目前，以上计划已经实施完毕。</w:t>
            </w:r>
          </w:p>
          <w:p>
            <w:pPr>
              <w:pStyle w:val="TableParagraph"/>
              <w:spacing w:line="321" w:lineRule="auto" w:before="104"/>
              <w:ind w:left="21" w:right="23" w:firstLine="360"/>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6"/>
                <w:sz w:val="18"/>
                <w:szCs w:val="18"/>
              </w:rPr>
              <w:t> </w:t>
            </w:r>
            <w:r>
              <w:rPr>
                <w:rFonts w:ascii="Arial" w:hAnsi="Arial" w:cs="Arial" w:eastAsia="Arial" w:hint="default"/>
                <w:sz w:val="18"/>
                <w:szCs w:val="18"/>
              </w:rPr>
              <w:t>2012</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5"/>
                <w:sz w:val="18"/>
                <w:szCs w:val="18"/>
              </w:rPr>
              <w:t> </w:t>
            </w:r>
            <w:r>
              <w:rPr>
                <w:rFonts w:ascii="宋体" w:hAnsi="宋体" w:cs="宋体" w:eastAsia="宋体" w:hint="default"/>
                <w:sz w:val="18"/>
                <w:szCs w:val="18"/>
              </w:rPr>
              <w:t>日，公司第四届董事会第十三次会议审议通过了《使用超募资金收购航宇金信（北京）软件有限公司</w:t>
            </w:r>
            <w:r>
              <w:rPr>
                <w:rFonts w:ascii="宋体" w:hAnsi="宋体" w:cs="宋体" w:eastAsia="宋体" w:hint="default"/>
                <w:spacing w:val="-45"/>
                <w:sz w:val="18"/>
                <w:szCs w:val="18"/>
              </w:rPr>
              <w:t> </w:t>
            </w:r>
            <w:r>
              <w:rPr>
                <w:rFonts w:ascii="Arial" w:hAnsi="Arial" w:cs="Arial" w:eastAsia="Arial" w:hint="default"/>
                <w:sz w:val="18"/>
                <w:szCs w:val="18"/>
              </w:rPr>
              <w:t>51%</w:t>
            </w:r>
            <w:r>
              <w:rPr>
                <w:rFonts w:ascii="宋体" w:hAnsi="宋体" w:cs="宋体" w:eastAsia="宋体" w:hint="default"/>
                <w:sz w:val="18"/>
                <w:szCs w:val="18"/>
              </w:rPr>
              <w:t>股权的 议案》，同意使用超募资金</w:t>
            </w:r>
            <w:r>
              <w:rPr>
                <w:rFonts w:ascii="宋体" w:hAnsi="宋体" w:cs="宋体" w:eastAsia="宋体" w:hint="default"/>
                <w:spacing w:val="-47"/>
                <w:sz w:val="18"/>
                <w:szCs w:val="18"/>
              </w:rPr>
              <w:t> </w:t>
            </w:r>
            <w:r>
              <w:rPr>
                <w:rFonts w:ascii="Arial" w:hAnsi="Arial" w:cs="Arial" w:eastAsia="Arial" w:hint="default"/>
                <w:sz w:val="18"/>
                <w:szCs w:val="18"/>
              </w:rPr>
              <w:t>1,173</w:t>
            </w:r>
            <w:r>
              <w:rPr>
                <w:rFonts w:ascii="Arial" w:hAnsi="Arial" w:cs="Arial" w:eastAsia="Arial" w:hint="default"/>
                <w:spacing w:val="-7"/>
                <w:sz w:val="18"/>
                <w:szCs w:val="18"/>
              </w:rPr>
              <w:t> </w:t>
            </w:r>
            <w:r>
              <w:rPr>
                <w:rFonts w:ascii="宋体" w:hAnsi="宋体" w:cs="宋体" w:eastAsia="宋体" w:hint="default"/>
                <w:sz w:val="18"/>
                <w:szCs w:val="18"/>
              </w:rPr>
              <w:t>万元向陈京念先生收购航宇金信</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软件有限公司</w:t>
            </w:r>
            <w:r>
              <w:rPr>
                <w:rFonts w:ascii="宋体" w:hAnsi="宋体" w:cs="宋体" w:eastAsia="宋体" w:hint="default"/>
                <w:spacing w:val="-47"/>
                <w:sz w:val="18"/>
                <w:szCs w:val="18"/>
              </w:rPr>
              <w:t> </w:t>
            </w:r>
            <w:r>
              <w:rPr>
                <w:rFonts w:ascii="Arial" w:hAnsi="Arial" w:cs="Arial" w:eastAsia="Arial" w:hint="default"/>
                <w:sz w:val="18"/>
                <w:szCs w:val="18"/>
              </w:rPr>
              <w:t>51%</w:t>
            </w:r>
            <w:r>
              <w:rPr>
                <w:rFonts w:ascii="宋体" w:hAnsi="宋体" w:cs="宋体" w:eastAsia="宋体" w:hint="default"/>
                <w:sz w:val="18"/>
                <w:szCs w:val="18"/>
              </w:rPr>
              <w:t>的股权。截止目前，以上计划已经实施完毕。 </w:t>
            </w:r>
            <w:r>
              <w:rPr>
                <w:rFonts w:ascii="Arial" w:hAnsi="Arial" w:cs="Arial" w:eastAsia="Arial" w:hint="default"/>
                <w:sz w:val="18"/>
                <w:szCs w:val="18"/>
              </w:rPr>
              <w:t>3.</w:t>
            </w:r>
            <w:r>
              <w:rPr>
                <w:rFonts w:ascii="Arial" w:hAnsi="Arial" w:cs="Arial" w:eastAsia="Arial" w:hint="default"/>
                <w:spacing w:val="-10"/>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26</w:t>
            </w:r>
            <w:r>
              <w:rPr>
                <w:rFonts w:ascii="Arial" w:hAnsi="Arial" w:cs="Arial" w:eastAsia="Arial" w:hint="default"/>
                <w:spacing w:val="-9"/>
                <w:sz w:val="18"/>
                <w:szCs w:val="18"/>
              </w:rPr>
              <w:t> </w:t>
            </w:r>
            <w:r>
              <w:rPr>
                <w:rFonts w:ascii="宋体" w:hAnsi="宋体" w:cs="宋体" w:eastAsia="宋体" w:hint="default"/>
                <w:sz w:val="18"/>
                <w:szCs w:val="18"/>
              </w:rPr>
              <w:t>日，公司第四届董事会第二十二次会议审议通过了《关于使用超募资金建设实施</w:t>
            </w:r>
            <w:r>
              <w:rPr>
                <w:rFonts w:ascii="Arial" w:hAnsi="Arial" w:cs="Arial" w:eastAsia="Arial" w:hint="default"/>
                <w:sz w:val="18"/>
                <w:szCs w:val="18"/>
              </w:rPr>
              <w:t>“</w:t>
            </w:r>
            <w:r>
              <w:rPr>
                <w:rFonts w:ascii="宋体" w:hAnsi="宋体" w:cs="宋体" w:eastAsia="宋体" w:hint="default"/>
                <w:sz w:val="18"/>
                <w:szCs w:val="18"/>
              </w:rPr>
              <w:t>华宇（大连）研发基地项目</w:t>
            </w:r>
            <w:r>
              <w:rPr>
                <w:rFonts w:ascii="Arial" w:hAnsi="Arial" w:cs="Arial" w:eastAsia="Arial" w:hint="default"/>
                <w:sz w:val="18"/>
                <w:szCs w:val="18"/>
              </w:rPr>
              <w:t>”</w:t>
            </w:r>
            <w:r>
              <w:rPr>
                <w:rFonts w:ascii="宋体" w:hAnsi="宋体" w:cs="宋体" w:eastAsia="宋体" w:hint="default"/>
                <w:sz w:val="18"/>
                <w:szCs w:val="18"/>
              </w:rPr>
              <w:t>的议</w:t>
            </w:r>
          </w:p>
          <w:p>
            <w:pPr>
              <w:pStyle w:val="TableParagraph"/>
              <w:spacing w:line="244"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案》，同意使用超募资金</w:t>
            </w:r>
            <w:r>
              <w:rPr>
                <w:rFonts w:ascii="宋体" w:hAnsi="宋体" w:cs="宋体" w:eastAsia="宋体" w:hint="default"/>
                <w:spacing w:val="-59"/>
                <w:sz w:val="18"/>
                <w:szCs w:val="18"/>
              </w:rPr>
              <w:t> </w:t>
            </w:r>
            <w:r>
              <w:rPr>
                <w:rFonts w:ascii="Arial" w:hAnsi="Arial" w:cs="Arial" w:eastAsia="Arial" w:hint="default"/>
                <w:sz w:val="18"/>
                <w:szCs w:val="18"/>
              </w:rPr>
              <w:t>1</w:t>
            </w:r>
            <w:r>
              <w:rPr>
                <w:rFonts w:ascii="Arial" w:hAnsi="Arial" w:cs="Arial" w:eastAsia="Arial" w:hint="default"/>
                <w:spacing w:val="-19"/>
                <w:sz w:val="18"/>
                <w:szCs w:val="18"/>
              </w:rPr>
              <w:t> </w:t>
            </w:r>
            <w:r>
              <w:rPr>
                <w:rFonts w:ascii="宋体" w:hAnsi="宋体" w:cs="宋体" w:eastAsia="宋体" w:hint="default"/>
                <w:sz w:val="18"/>
                <w:szCs w:val="18"/>
              </w:rPr>
              <w:t>亿元建设实施</w:t>
            </w:r>
            <w:r>
              <w:rPr>
                <w:rFonts w:ascii="Arial" w:hAnsi="Arial" w:cs="Arial" w:eastAsia="Arial" w:hint="default"/>
                <w:sz w:val="18"/>
                <w:szCs w:val="18"/>
              </w:rPr>
              <w:t>“</w:t>
            </w:r>
            <w:r>
              <w:rPr>
                <w:rFonts w:ascii="宋体" w:hAnsi="宋体" w:cs="宋体" w:eastAsia="宋体" w:hint="default"/>
                <w:sz w:val="18"/>
                <w:szCs w:val="18"/>
              </w:rPr>
              <w:t>华宇（大连）研发基地项目</w:t>
            </w:r>
            <w:r>
              <w:rPr>
                <w:rFonts w:ascii="Arial" w:hAnsi="Arial" w:cs="Arial" w:eastAsia="Arial" w:hint="default"/>
                <w:sz w:val="18"/>
                <w:szCs w:val="18"/>
              </w:rPr>
              <w:t>”</w:t>
            </w:r>
            <w:r>
              <w:rPr>
                <w:rFonts w:ascii="宋体" w:hAnsi="宋体" w:cs="宋体" w:eastAsia="宋体" w:hint="default"/>
                <w:sz w:val="18"/>
                <w:szCs w:val="18"/>
              </w:rPr>
              <w:t>。超募资金</w:t>
            </w:r>
            <w:r>
              <w:rPr>
                <w:rFonts w:ascii="宋体" w:hAnsi="宋体" w:cs="宋体" w:eastAsia="宋体" w:hint="default"/>
                <w:spacing w:val="-59"/>
                <w:sz w:val="18"/>
                <w:szCs w:val="18"/>
              </w:rPr>
              <w:t> </w:t>
            </w:r>
            <w:r>
              <w:rPr>
                <w:rFonts w:ascii="Arial" w:hAnsi="Arial" w:cs="Arial" w:eastAsia="Arial" w:hint="default"/>
                <w:sz w:val="18"/>
                <w:szCs w:val="18"/>
              </w:rPr>
              <w:t>1</w:t>
            </w:r>
            <w:r>
              <w:rPr>
                <w:rFonts w:ascii="Arial" w:hAnsi="Arial" w:cs="Arial" w:eastAsia="Arial" w:hint="default"/>
                <w:spacing w:val="-19"/>
                <w:sz w:val="18"/>
                <w:szCs w:val="18"/>
              </w:rPr>
              <w:t> </w:t>
            </w:r>
            <w:r>
              <w:rPr>
                <w:rFonts w:ascii="宋体" w:hAnsi="宋体" w:cs="宋体" w:eastAsia="宋体" w:hint="default"/>
                <w:sz w:val="18"/>
                <w:szCs w:val="18"/>
              </w:rPr>
              <w:t>亿元将分两次以增资方式注入华宇（大连）信息服务有</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限公司，截至目前，首次注资</w:t>
            </w:r>
            <w:r>
              <w:rPr>
                <w:rFonts w:ascii="宋体" w:hAnsi="宋体" w:cs="宋体" w:eastAsia="宋体" w:hint="default"/>
                <w:spacing w:val="-46"/>
                <w:sz w:val="18"/>
                <w:szCs w:val="18"/>
              </w:rPr>
              <w:t> </w:t>
            </w:r>
            <w:r>
              <w:rPr>
                <w:rFonts w:ascii="Arial" w:hAnsi="Arial" w:cs="Arial" w:eastAsia="Arial" w:hint="default"/>
                <w:sz w:val="18"/>
                <w:szCs w:val="18"/>
              </w:rPr>
              <w:t>6,000</w:t>
            </w:r>
            <w:r>
              <w:rPr>
                <w:rFonts w:ascii="Arial" w:hAnsi="Arial" w:cs="Arial" w:eastAsia="Arial" w:hint="default"/>
                <w:spacing w:val="-6"/>
                <w:sz w:val="18"/>
                <w:szCs w:val="18"/>
              </w:rPr>
              <w:t> </w:t>
            </w:r>
            <w:r>
              <w:rPr>
                <w:rFonts w:ascii="宋体" w:hAnsi="宋体" w:cs="宋体" w:eastAsia="宋体" w:hint="default"/>
                <w:sz w:val="18"/>
                <w:szCs w:val="18"/>
              </w:rPr>
              <w:t>万元及第二次注资</w:t>
            </w:r>
            <w:r>
              <w:rPr>
                <w:rFonts w:ascii="宋体" w:hAnsi="宋体" w:cs="宋体" w:eastAsia="宋体" w:hint="default"/>
                <w:spacing w:val="-46"/>
                <w:sz w:val="18"/>
                <w:szCs w:val="18"/>
              </w:rPr>
              <w:t> </w:t>
            </w:r>
            <w:r>
              <w:rPr>
                <w:rFonts w:ascii="Arial" w:hAnsi="Arial" w:cs="Arial" w:eastAsia="Arial" w:hint="default"/>
                <w:sz w:val="18"/>
                <w:szCs w:val="18"/>
              </w:rPr>
              <w:t>4,000</w:t>
            </w:r>
            <w:r>
              <w:rPr>
                <w:rFonts w:ascii="Arial" w:hAnsi="Arial" w:cs="Arial" w:eastAsia="Arial" w:hint="default"/>
                <w:spacing w:val="-6"/>
                <w:sz w:val="18"/>
                <w:szCs w:val="18"/>
              </w:rPr>
              <w:t> </w:t>
            </w:r>
            <w:r>
              <w:rPr>
                <w:rFonts w:ascii="宋体" w:hAnsi="宋体" w:cs="宋体" w:eastAsia="宋体" w:hint="default"/>
                <w:sz w:val="18"/>
                <w:szCs w:val="18"/>
              </w:rPr>
              <w:t>万元均已完成，大连华宇注册资金增至</w:t>
            </w:r>
            <w:r>
              <w:rPr>
                <w:rFonts w:ascii="宋体" w:hAnsi="宋体" w:cs="宋体" w:eastAsia="宋体" w:hint="default"/>
                <w:spacing w:val="-46"/>
                <w:sz w:val="18"/>
                <w:szCs w:val="18"/>
              </w:rPr>
              <w:t> </w:t>
            </w:r>
            <w:r>
              <w:rPr>
                <w:rFonts w:ascii="Arial" w:hAnsi="Arial" w:cs="Arial" w:eastAsia="Arial" w:hint="default"/>
                <w:sz w:val="18"/>
                <w:szCs w:val="18"/>
              </w:rPr>
              <w:t>12,000</w:t>
            </w:r>
            <w:r>
              <w:rPr>
                <w:rFonts w:ascii="Arial" w:hAnsi="Arial" w:cs="Arial" w:eastAsia="Arial" w:hint="default"/>
                <w:spacing w:val="-6"/>
                <w:sz w:val="18"/>
                <w:szCs w:val="18"/>
              </w:rPr>
              <w:t> </w:t>
            </w:r>
            <w:r>
              <w:rPr>
                <w:rFonts w:ascii="宋体" w:hAnsi="宋体" w:cs="宋体" w:eastAsia="宋体" w:hint="default"/>
                <w:sz w:val="18"/>
                <w:szCs w:val="18"/>
              </w:rPr>
              <w:t>万元。。</w:t>
            </w:r>
          </w:p>
          <w:p>
            <w:pPr>
              <w:pStyle w:val="TableParagraph"/>
              <w:spacing w:line="240" w:lineRule="auto" w:before="102"/>
              <w:ind w:left="38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2"/>
                <w:sz w:val="18"/>
                <w:szCs w:val="18"/>
              </w:rPr>
              <w:t> </w:t>
            </w: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22</w:t>
            </w:r>
            <w:r>
              <w:rPr>
                <w:rFonts w:ascii="Arial" w:hAnsi="Arial" w:cs="Arial" w:eastAsia="Arial" w:hint="default"/>
                <w:spacing w:val="-6"/>
                <w:sz w:val="18"/>
                <w:szCs w:val="18"/>
              </w:rPr>
              <w:t> </w:t>
            </w:r>
            <w:r>
              <w:rPr>
                <w:rFonts w:ascii="宋体" w:hAnsi="宋体" w:cs="宋体" w:eastAsia="宋体" w:hint="default"/>
                <w:sz w:val="18"/>
                <w:szCs w:val="18"/>
              </w:rPr>
              <w:t>日，公司第四届董事会第二十六次会议审议通过了《使用部分超募资金永久补充流动资金的议案》，同意使用超募</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7"/>
                <w:sz w:val="18"/>
                <w:szCs w:val="18"/>
              </w:rPr>
              <w:t> </w:t>
            </w:r>
            <w:r>
              <w:rPr>
                <w:rFonts w:ascii="Arial" w:hAnsi="Arial" w:cs="Arial" w:eastAsia="Arial" w:hint="default"/>
                <w:sz w:val="18"/>
                <w:szCs w:val="18"/>
              </w:rPr>
              <w:t>6,400</w:t>
            </w:r>
            <w:r>
              <w:rPr>
                <w:rFonts w:ascii="Arial" w:hAnsi="Arial" w:cs="Arial" w:eastAsia="Arial" w:hint="default"/>
                <w:spacing w:val="-7"/>
                <w:sz w:val="18"/>
                <w:szCs w:val="18"/>
              </w:rPr>
              <w:t> </w:t>
            </w:r>
            <w:r>
              <w:rPr>
                <w:rFonts w:ascii="宋体" w:hAnsi="宋体" w:cs="宋体" w:eastAsia="宋体" w:hint="default"/>
                <w:sz w:val="18"/>
                <w:szCs w:val="18"/>
              </w:rPr>
              <w:t>万元用于永久补充流动资金。截止目前，以上计划已经实施完毕。</w:t>
            </w:r>
          </w:p>
          <w:p>
            <w:pPr>
              <w:pStyle w:val="TableParagraph"/>
              <w:spacing w:line="240" w:lineRule="auto" w:before="104"/>
              <w:ind w:left="38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2"/>
                <w:sz w:val="18"/>
                <w:szCs w:val="18"/>
              </w:rPr>
              <w:t> </w:t>
            </w: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7</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6"/>
                <w:sz w:val="18"/>
                <w:szCs w:val="18"/>
              </w:rPr>
              <w:t> </w:t>
            </w:r>
            <w:r>
              <w:rPr>
                <w:rFonts w:ascii="宋体" w:hAnsi="宋体" w:cs="宋体" w:eastAsia="宋体" w:hint="default"/>
                <w:sz w:val="18"/>
                <w:szCs w:val="18"/>
              </w:rPr>
              <w:t>日，公司第四届董事会第二十八次会议审议通过了《使用部分超募资金暂时补充流动资金的议案》，同意使用超募</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51"/>
                <w:sz w:val="18"/>
                <w:szCs w:val="18"/>
              </w:rPr>
              <w:t> </w:t>
            </w:r>
            <w:r>
              <w:rPr>
                <w:rFonts w:ascii="Arial" w:hAnsi="Arial" w:cs="Arial" w:eastAsia="Arial" w:hint="default"/>
                <w:sz w:val="18"/>
                <w:szCs w:val="18"/>
              </w:rPr>
              <w:t>5,000</w:t>
            </w:r>
            <w:r>
              <w:rPr>
                <w:rFonts w:ascii="Arial" w:hAnsi="Arial" w:cs="Arial" w:eastAsia="Arial" w:hint="default"/>
                <w:spacing w:val="-11"/>
                <w:sz w:val="18"/>
                <w:szCs w:val="18"/>
              </w:rPr>
              <w:t> </w:t>
            </w:r>
            <w:r>
              <w:rPr>
                <w:rFonts w:ascii="宋体" w:hAnsi="宋体" w:cs="宋体" w:eastAsia="宋体" w:hint="default"/>
                <w:sz w:val="18"/>
                <w:szCs w:val="18"/>
              </w:rPr>
              <w:t>万元用于暂时补充流动资金。</w:t>
            </w:r>
            <w:r>
              <w:rPr>
                <w:rFonts w:ascii="Arial" w:hAnsi="Arial" w:cs="Arial" w:eastAsia="Arial" w:hint="default"/>
                <w:sz w:val="18"/>
                <w:szCs w:val="18"/>
              </w:rPr>
              <w:t>2013</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12</w:t>
            </w:r>
            <w:r>
              <w:rPr>
                <w:rFonts w:ascii="Arial" w:hAnsi="Arial" w:cs="Arial" w:eastAsia="Arial"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1"/>
                <w:sz w:val="18"/>
                <w:szCs w:val="18"/>
              </w:rPr>
              <w:t> </w:t>
            </w:r>
            <w:r>
              <w:rPr>
                <w:rFonts w:ascii="宋体" w:hAnsi="宋体" w:cs="宋体" w:eastAsia="宋体" w:hint="default"/>
                <w:spacing w:val="-3"/>
                <w:sz w:val="18"/>
                <w:szCs w:val="18"/>
              </w:rPr>
              <w:t>日，公司已将人民币</w:t>
            </w:r>
            <w:r>
              <w:rPr>
                <w:rFonts w:ascii="宋体" w:hAnsi="宋体" w:cs="宋体" w:eastAsia="宋体" w:hint="default"/>
                <w:spacing w:val="-51"/>
                <w:sz w:val="18"/>
                <w:szCs w:val="18"/>
              </w:rPr>
              <w:t> </w:t>
            </w:r>
            <w:r>
              <w:rPr>
                <w:rFonts w:ascii="Arial" w:hAnsi="Arial" w:cs="Arial" w:eastAsia="Arial" w:hint="default"/>
                <w:sz w:val="18"/>
                <w:szCs w:val="18"/>
              </w:rPr>
              <w:t>5,000</w:t>
            </w:r>
            <w:r>
              <w:rPr>
                <w:rFonts w:ascii="Arial" w:hAnsi="Arial" w:cs="Arial" w:eastAsia="Arial" w:hint="default"/>
                <w:spacing w:val="-11"/>
                <w:sz w:val="18"/>
                <w:szCs w:val="18"/>
              </w:rPr>
              <w:t> </w:t>
            </w:r>
            <w:r>
              <w:rPr>
                <w:rFonts w:ascii="宋体" w:hAnsi="宋体" w:cs="宋体" w:eastAsia="宋体" w:hint="default"/>
                <w:sz w:val="18"/>
                <w:szCs w:val="18"/>
              </w:rPr>
              <w:t>万元归还至原超募资金存放账户。同时，公司将上述</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募集资金归还情况通知了保荐机构及保荐代表人。至此，公司使用超募资金</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7"/>
                <w:sz w:val="18"/>
                <w:szCs w:val="18"/>
              </w:rPr>
              <w:t> </w:t>
            </w:r>
            <w:r>
              <w:rPr>
                <w:rFonts w:ascii="宋体" w:hAnsi="宋体" w:cs="宋体" w:eastAsia="宋体" w:hint="default"/>
                <w:sz w:val="18"/>
                <w:szCs w:val="18"/>
              </w:rPr>
              <w:t>万元暂时补充流动资金已一次性归还完毕。</w:t>
            </w:r>
          </w:p>
          <w:p>
            <w:pPr>
              <w:pStyle w:val="TableParagraph"/>
              <w:spacing w:line="240" w:lineRule="auto" w:before="104"/>
              <w:ind w:left="382" w:right="0"/>
              <w:jc w:val="left"/>
              <w:rPr>
                <w:rFonts w:ascii="宋体" w:hAnsi="宋体" w:cs="宋体" w:eastAsia="宋体" w:hint="default"/>
                <w:sz w:val="18"/>
                <w:szCs w:val="18"/>
              </w:rPr>
            </w:pPr>
            <w:r>
              <w:rPr>
                <w:rFonts w:ascii="Arial" w:hAnsi="Arial" w:cs="Arial" w:eastAsia="Arial" w:hint="default"/>
                <w:sz w:val="18"/>
                <w:szCs w:val="18"/>
              </w:rPr>
              <w:t>6.</w:t>
            </w:r>
            <w:r>
              <w:rPr>
                <w:rFonts w:ascii="Arial" w:hAnsi="Arial" w:cs="Arial" w:eastAsia="Arial" w:hint="default"/>
                <w:spacing w:val="-2"/>
                <w:sz w:val="18"/>
                <w:szCs w:val="18"/>
              </w:rPr>
              <w:t> </w:t>
            </w: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日，公司第五届董事会第六次会议审议通过了《使用部分超募资金暂时补充流动资金的议案》，同意使用超募资金</w:t>
            </w:r>
          </w:p>
          <w:p>
            <w:pPr>
              <w:pStyle w:val="TableParagraph"/>
              <w:spacing w:line="240" w:lineRule="auto" w:before="64"/>
              <w:ind w:left="21" w:right="0"/>
              <w:jc w:val="left"/>
              <w:rPr>
                <w:rFonts w:ascii="宋体" w:hAnsi="宋体" w:cs="宋体" w:eastAsia="宋体" w:hint="default"/>
                <w:sz w:val="18"/>
                <w:szCs w:val="18"/>
              </w:rPr>
            </w:pP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万元用于暂时补充流动资金。</w:t>
            </w: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日，公司已将人民币</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6"/>
                <w:sz w:val="18"/>
                <w:szCs w:val="18"/>
              </w:rPr>
              <w:t> </w:t>
            </w:r>
            <w:r>
              <w:rPr>
                <w:rFonts w:ascii="宋体" w:hAnsi="宋体" w:cs="宋体" w:eastAsia="宋体" w:hint="default"/>
                <w:sz w:val="18"/>
                <w:szCs w:val="18"/>
              </w:rPr>
              <w:t>万元归还至原超募资金存放账户。同时，公司将上述募集资</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金归还情况通知了保荐机构及保荐代表人。至此，公司使用超募资金</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7"/>
                <w:sz w:val="18"/>
                <w:szCs w:val="18"/>
              </w:rPr>
              <w:t> </w:t>
            </w:r>
            <w:r>
              <w:rPr>
                <w:rFonts w:ascii="宋体" w:hAnsi="宋体" w:cs="宋体" w:eastAsia="宋体" w:hint="default"/>
                <w:sz w:val="18"/>
                <w:szCs w:val="18"/>
              </w:rPr>
              <w:t>万元暂时补充流动资金已一次性归还完毕。</w:t>
            </w:r>
          </w:p>
          <w:p>
            <w:pPr>
              <w:pStyle w:val="TableParagraph"/>
              <w:spacing w:line="240" w:lineRule="auto" w:before="102"/>
              <w:ind w:left="382" w:right="0"/>
              <w:jc w:val="left"/>
              <w:rPr>
                <w:rFonts w:ascii="Arial" w:hAnsi="Arial" w:cs="Arial" w:eastAsia="Arial" w:hint="default"/>
                <w:sz w:val="18"/>
                <w:szCs w:val="18"/>
              </w:rPr>
            </w:pPr>
            <w:r>
              <w:rPr>
                <w:rFonts w:ascii="Arial" w:hAnsi="Arial" w:cs="Arial" w:eastAsia="Arial" w:hint="default"/>
                <w:sz w:val="18"/>
                <w:szCs w:val="18"/>
              </w:rPr>
              <w:t>7.</w:t>
            </w:r>
            <w:r>
              <w:rPr>
                <w:rFonts w:ascii="Arial" w:hAnsi="Arial" w:cs="Arial" w:eastAsia="Arial" w:hint="default"/>
                <w:spacing w:val="-2"/>
                <w:sz w:val="18"/>
                <w:szCs w:val="18"/>
              </w:rPr>
              <w:t> </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6</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13</w:t>
            </w:r>
            <w:r>
              <w:rPr>
                <w:rFonts w:ascii="Arial" w:hAnsi="Arial" w:cs="Arial" w:eastAsia="Arial" w:hint="default"/>
                <w:spacing w:val="-6"/>
                <w:sz w:val="18"/>
                <w:szCs w:val="18"/>
              </w:rPr>
              <w:t> </w:t>
            </w:r>
            <w:r>
              <w:rPr>
                <w:rFonts w:ascii="宋体" w:hAnsi="宋体" w:cs="宋体" w:eastAsia="宋体" w:hint="default"/>
                <w:sz w:val="18"/>
                <w:szCs w:val="18"/>
              </w:rPr>
              <w:t>日，公司第五届董事会第九次会议审议通过了《使用部分超募资金永久补充流动资金》，同意使用超募资金</w:t>
            </w:r>
            <w:r>
              <w:rPr>
                <w:rFonts w:ascii="宋体" w:hAnsi="宋体" w:cs="宋体" w:eastAsia="宋体" w:hint="default"/>
                <w:spacing w:val="-46"/>
                <w:sz w:val="18"/>
                <w:szCs w:val="18"/>
              </w:rPr>
              <w:t> </w:t>
            </w:r>
            <w:r>
              <w:rPr>
                <w:rFonts w:ascii="Arial" w:hAnsi="Arial" w:cs="Arial" w:eastAsia="Arial" w:hint="default"/>
                <w:sz w:val="18"/>
                <w:szCs w:val="18"/>
              </w:rPr>
              <w:t>3,000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万元用于永久补充流动资金。</w:t>
            </w:r>
          </w:p>
          <w:p>
            <w:pPr>
              <w:pStyle w:val="TableParagraph"/>
              <w:spacing w:line="240" w:lineRule="auto" w:before="117"/>
              <w:ind w:left="382" w:right="0"/>
              <w:jc w:val="left"/>
              <w:rPr>
                <w:rFonts w:ascii="宋体" w:hAnsi="宋体" w:cs="宋体" w:eastAsia="宋体" w:hint="default"/>
                <w:sz w:val="18"/>
                <w:szCs w:val="18"/>
              </w:rPr>
            </w:pPr>
            <w:r>
              <w:rPr>
                <w:rFonts w:ascii="Arial" w:hAnsi="Arial" w:cs="Arial" w:eastAsia="Arial" w:hint="default"/>
                <w:sz w:val="18"/>
                <w:szCs w:val="18"/>
              </w:rPr>
              <w:t>8.</w:t>
            </w:r>
            <w:r>
              <w:rPr>
                <w:rFonts w:ascii="Arial" w:hAnsi="Arial" w:cs="Arial" w:eastAsia="Arial" w:hint="default"/>
                <w:spacing w:val="-2"/>
                <w:sz w:val="18"/>
                <w:szCs w:val="18"/>
              </w:rPr>
              <w:t> </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日，公司第五届董事会第十三次会议审议通过了《关于部分募投项目结项并将结余资金转超募资金的议案》，同意</w:t>
            </w:r>
          </w:p>
        </w:tc>
      </w:tr>
    </w:tbl>
    <w:p>
      <w:pPr>
        <w:spacing w:after="0" w:line="240" w:lineRule="auto"/>
        <w:jc w:val="left"/>
        <w:rPr>
          <w:rFonts w:ascii="宋体" w:hAnsi="宋体" w:cs="宋体" w:eastAsia="宋体" w:hint="default"/>
          <w:sz w:val="18"/>
          <w:szCs w:val="18"/>
        </w:rPr>
        <w:sectPr>
          <w:pgSz w:w="16840" w:h="11910" w:orient="landscape"/>
          <w:pgMar w:header="884" w:footer="1011" w:top="1100" w:bottom="1200" w:left="1320" w:right="1240"/>
        </w:sectPr>
      </w:pPr>
    </w:p>
    <w:p>
      <w:pPr>
        <w:spacing w:line="240" w:lineRule="auto" w:before="0"/>
        <w:rPr>
          <w:rFonts w:ascii="Times New Roman" w:hAnsi="Times New Roman" w:cs="Times New Roman" w:eastAsia="Times New Roman" w:hint="default"/>
          <w:sz w:val="20"/>
          <w:szCs w:val="20"/>
        </w:rPr>
      </w:pPr>
      <w:r>
        <w:rPr/>
        <w:pict>
          <v:shape style="position:absolute;margin-left:71.760002pt;margin-top:57.240005pt;width:702.6pt;height:476.1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8"/>
                    <w:gridCol w:w="10920"/>
                  </w:tblGrid>
                  <w:tr>
                    <w:trPr>
                      <w:trHeight w:val="327" w:hRule="exact"/>
                    </w:trPr>
                    <w:tc>
                      <w:tcPr>
                        <w:tcW w:w="3118" w:type="dxa"/>
                        <w:vMerge w:val="restart"/>
                        <w:tcBorders>
                          <w:top w:val="single" w:sz="10" w:space="0" w:color="000000"/>
                          <w:left w:val="single" w:sz="4" w:space="0" w:color="000000"/>
                          <w:right w:val="single" w:sz="4" w:space="0" w:color="000000"/>
                        </w:tcBorders>
                      </w:tcPr>
                      <w:p>
                        <w:pPr/>
                      </w:p>
                    </w:tc>
                    <w:tc>
                      <w:tcPr>
                        <w:tcW w:w="1092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将公司募投项目</w:t>
                        </w:r>
                        <w:r>
                          <w:rPr>
                            <w:rFonts w:ascii="Arial" w:hAnsi="Arial" w:cs="Arial" w:eastAsia="Arial" w:hint="default"/>
                            <w:sz w:val="18"/>
                            <w:szCs w:val="18"/>
                          </w:rPr>
                          <w:t>“</w:t>
                        </w:r>
                        <w:r>
                          <w:rPr>
                            <w:rFonts w:ascii="宋体" w:hAnsi="宋体" w:cs="宋体" w:eastAsia="宋体" w:hint="default"/>
                            <w:sz w:val="18"/>
                            <w:szCs w:val="18"/>
                          </w:rPr>
                          <w:t>商业智能分析应用平台</w:t>
                        </w:r>
                        <w:r>
                          <w:rPr>
                            <w:rFonts w:ascii="宋体" w:hAnsi="宋体" w:cs="宋体" w:eastAsia="宋体" w:hint="default"/>
                            <w:spacing w:val="-2"/>
                            <w:sz w:val="18"/>
                            <w:szCs w:val="18"/>
                          </w:rPr>
                          <w:t> </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华宇政务应用支撑和研发平台</w:t>
                        </w:r>
                        <w:r>
                          <w:rPr>
                            <w:rFonts w:ascii="Arial" w:hAnsi="Arial" w:cs="Arial" w:eastAsia="Arial" w:hint="default"/>
                            <w:sz w:val="18"/>
                            <w:szCs w:val="18"/>
                          </w:rPr>
                          <w:t>”</w:t>
                        </w:r>
                        <w:r>
                          <w:rPr>
                            <w:rFonts w:ascii="宋体" w:hAnsi="宋体" w:cs="宋体" w:eastAsia="宋体" w:hint="default"/>
                            <w:sz w:val="18"/>
                            <w:szCs w:val="18"/>
                          </w:rPr>
                          <w:t>的结余募集资金</w:t>
                        </w:r>
                        <w:r>
                          <w:rPr>
                            <w:rFonts w:ascii="宋体" w:hAnsi="宋体" w:cs="宋体" w:eastAsia="宋体" w:hint="default"/>
                            <w:spacing w:val="-46"/>
                            <w:sz w:val="18"/>
                            <w:szCs w:val="18"/>
                          </w:rPr>
                          <w:t> </w:t>
                        </w:r>
                        <w:r>
                          <w:rPr>
                            <w:rFonts w:ascii="Arial" w:hAnsi="Arial" w:cs="Arial" w:eastAsia="Arial" w:hint="default"/>
                            <w:sz w:val="18"/>
                            <w:szCs w:val="18"/>
                          </w:rPr>
                          <w:t>2,300.32</w:t>
                        </w:r>
                        <w:r>
                          <w:rPr>
                            <w:rFonts w:ascii="Arial" w:hAnsi="Arial" w:cs="Arial" w:eastAsia="Arial" w:hint="default"/>
                            <w:spacing w:val="-5"/>
                            <w:sz w:val="18"/>
                            <w:szCs w:val="18"/>
                          </w:rPr>
                          <w:t> </w:t>
                        </w:r>
                        <w:r>
                          <w:rPr>
                            <w:rFonts w:ascii="宋体" w:hAnsi="宋体" w:cs="宋体" w:eastAsia="宋体" w:hint="default"/>
                            <w:sz w:val="18"/>
                            <w:szCs w:val="18"/>
                          </w:rPr>
                          <w:t>万元（含利息收入）转为超募资金管</w:t>
                        </w:r>
                      </w:p>
                    </w:tc>
                  </w:tr>
                  <w:tr>
                    <w:trPr>
                      <w:trHeight w:val="327" w:hRule="exact"/>
                    </w:trPr>
                    <w:tc>
                      <w:tcPr>
                        <w:tcW w:w="3118" w:type="dxa"/>
                        <w:vMerge/>
                        <w:tcBorders>
                          <w:left w:val="single" w:sz="4" w:space="0" w:color="000000"/>
                          <w:right w:val="single" w:sz="4" w:space="0" w:color="000000"/>
                        </w:tcBorders>
                      </w:tcPr>
                      <w:p>
                        <w:pPr/>
                      </w:p>
                    </w:tc>
                    <w:tc>
                      <w:tcPr>
                        <w:tcW w:w="109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理。</w:t>
                        </w:r>
                      </w:p>
                    </w:tc>
                  </w:tr>
                  <w:tr>
                    <w:trPr>
                      <w:trHeight w:val="336" w:hRule="exact"/>
                    </w:trPr>
                    <w:tc>
                      <w:tcPr>
                        <w:tcW w:w="3118" w:type="dxa"/>
                        <w:vMerge/>
                        <w:tcBorders>
                          <w:left w:val="single" w:sz="4" w:space="0" w:color="000000"/>
                          <w:right w:val="single" w:sz="4" w:space="0" w:color="000000"/>
                        </w:tcBorders>
                      </w:tcPr>
                      <w:p>
                        <w:pPr/>
                      </w:p>
                    </w:tc>
                    <w:tc>
                      <w:tcPr>
                        <w:tcW w:w="1092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40"/>
                          <w:jc w:val="right"/>
                          <w:rPr>
                            <w:rFonts w:ascii="宋体" w:hAnsi="宋体" w:cs="宋体" w:eastAsia="宋体" w:hint="default"/>
                            <w:sz w:val="18"/>
                            <w:szCs w:val="18"/>
                          </w:rPr>
                        </w:pPr>
                        <w:r>
                          <w:rPr>
                            <w:rFonts w:ascii="Arial" w:hAnsi="Arial" w:cs="Arial" w:eastAsia="Arial" w:hint="default"/>
                            <w:sz w:val="18"/>
                            <w:szCs w:val="18"/>
                          </w:rPr>
                          <w:t>9.</w:t>
                        </w:r>
                        <w:r>
                          <w:rPr>
                            <w:rFonts w:ascii="Arial" w:hAnsi="Arial" w:cs="Arial" w:eastAsia="Arial" w:hint="default"/>
                            <w:spacing w:val="-2"/>
                            <w:sz w:val="18"/>
                            <w:szCs w:val="18"/>
                          </w:rPr>
                          <w:t> </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6"/>
                            <w:sz w:val="18"/>
                            <w:szCs w:val="18"/>
                          </w:rPr>
                          <w:t> </w:t>
                        </w:r>
                        <w:r>
                          <w:rPr>
                            <w:rFonts w:ascii="宋体" w:hAnsi="宋体" w:cs="宋体" w:eastAsia="宋体" w:hint="default"/>
                            <w:sz w:val="18"/>
                            <w:szCs w:val="18"/>
                          </w:rPr>
                          <w:t>日，公司第五届董事会第十四次会议决议通过《关于使用超募资金参股深圳市捷视飞通科技有限公司的议案》，同</w:t>
                        </w:r>
                      </w:p>
                    </w:tc>
                  </w:tr>
                  <w:tr>
                    <w:trPr>
                      <w:trHeight w:val="332" w:hRule="exact"/>
                    </w:trPr>
                    <w:tc>
                      <w:tcPr>
                        <w:tcW w:w="3118" w:type="dxa"/>
                        <w:vMerge/>
                        <w:tcBorders>
                          <w:left w:val="single" w:sz="4" w:space="0" w:color="000000"/>
                          <w:right w:val="single" w:sz="4" w:space="0" w:color="000000"/>
                        </w:tcBorders>
                      </w:tcPr>
                      <w:p>
                        <w:pPr/>
                      </w:p>
                    </w:tc>
                    <w:tc>
                      <w:tcPr>
                        <w:tcW w:w="109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意使用超募资金</w:t>
                        </w:r>
                        <w:r>
                          <w:rPr>
                            <w:rFonts w:ascii="宋体" w:hAnsi="宋体" w:cs="宋体" w:eastAsia="宋体" w:hint="default"/>
                            <w:spacing w:val="-47"/>
                            <w:sz w:val="18"/>
                            <w:szCs w:val="18"/>
                          </w:rPr>
                          <w:t> </w:t>
                        </w:r>
                        <w:r>
                          <w:rPr>
                            <w:rFonts w:ascii="Arial" w:hAnsi="Arial" w:cs="Arial" w:eastAsia="Arial" w:hint="default"/>
                            <w:sz w:val="18"/>
                            <w:szCs w:val="18"/>
                          </w:rPr>
                          <w:t>3,000</w:t>
                        </w:r>
                        <w:r>
                          <w:rPr>
                            <w:rFonts w:ascii="Arial" w:hAnsi="Arial" w:cs="Arial" w:eastAsia="Arial" w:hint="default"/>
                            <w:spacing w:val="-7"/>
                            <w:sz w:val="18"/>
                            <w:szCs w:val="18"/>
                          </w:rPr>
                          <w:t> </w:t>
                        </w:r>
                        <w:r>
                          <w:rPr>
                            <w:rFonts w:ascii="宋体" w:hAnsi="宋体" w:cs="宋体" w:eastAsia="宋体" w:hint="default"/>
                            <w:sz w:val="18"/>
                            <w:szCs w:val="18"/>
                          </w:rPr>
                          <w:t>万元以增资的形式投资深圳市捷视飞通科技限公司。截止目前，以上计划已经实施完毕。</w:t>
                        </w:r>
                      </w:p>
                    </w:tc>
                  </w:tr>
                  <w:tr>
                    <w:trPr>
                      <w:trHeight w:val="332" w:hRule="exact"/>
                    </w:trPr>
                    <w:tc>
                      <w:tcPr>
                        <w:tcW w:w="3118" w:type="dxa"/>
                        <w:vMerge/>
                        <w:tcBorders>
                          <w:left w:val="single" w:sz="4" w:space="0" w:color="000000"/>
                          <w:right w:val="single" w:sz="4" w:space="0" w:color="000000"/>
                        </w:tcBorders>
                      </w:tcPr>
                      <w:p>
                        <w:pPr/>
                      </w:p>
                    </w:tc>
                    <w:tc>
                      <w:tcPr>
                        <w:tcW w:w="1092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5"/>
                          <w:jc w:val="right"/>
                          <w:rPr>
                            <w:rFonts w:ascii="宋体" w:hAnsi="宋体" w:cs="宋体" w:eastAsia="宋体" w:hint="default"/>
                            <w:sz w:val="18"/>
                            <w:szCs w:val="18"/>
                          </w:rPr>
                        </w:pPr>
                        <w:r>
                          <w:rPr>
                            <w:rFonts w:ascii="Arial" w:hAnsi="Arial" w:cs="Arial" w:eastAsia="Arial" w:hint="default"/>
                            <w:sz w:val="18"/>
                            <w:szCs w:val="18"/>
                          </w:rPr>
                          <w:t>10.</w:t>
                        </w:r>
                        <w:r>
                          <w:rPr>
                            <w:rFonts w:ascii="Arial" w:hAnsi="Arial" w:cs="Arial" w:eastAsia="Arial" w:hint="default"/>
                            <w:spacing w:val="-20"/>
                            <w:sz w:val="18"/>
                            <w:szCs w:val="18"/>
                          </w:rPr>
                          <w:t> </w:t>
                        </w:r>
                        <w:r>
                          <w:rPr>
                            <w:rFonts w:ascii="Arial" w:hAnsi="Arial" w:cs="Arial" w:eastAsia="Arial" w:hint="default"/>
                            <w:sz w:val="18"/>
                            <w:szCs w:val="18"/>
                          </w:rPr>
                          <w:t>2014</w:t>
                        </w:r>
                        <w:r>
                          <w:rPr>
                            <w:rFonts w:ascii="Arial" w:hAnsi="Arial" w:cs="Arial" w:eastAsia="Arial"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9</w:t>
                        </w:r>
                        <w:r>
                          <w:rPr>
                            <w:rFonts w:ascii="Arial" w:hAnsi="Arial" w:cs="Arial" w:eastAsia="Arial"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Arial" w:hAnsi="Arial" w:cs="Arial" w:eastAsia="Arial" w:hint="default"/>
                            <w:sz w:val="18"/>
                            <w:szCs w:val="18"/>
                          </w:rPr>
                          <w:t>15</w:t>
                        </w:r>
                        <w:r>
                          <w:rPr>
                            <w:rFonts w:ascii="Arial" w:hAnsi="Arial" w:cs="Arial" w:eastAsia="Arial" w:hint="default"/>
                            <w:spacing w:val="-19"/>
                            <w:sz w:val="18"/>
                            <w:szCs w:val="18"/>
                          </w:rPr>
                          <w:t> </w:t>
                        </w:r>
                        <w:r>
                          <w:rPr>
                            <w:rFonts w:ascii="宋体" w:hAnsi="宋体" w:cs="宋体" w:eastAsia="宋体" w:hint="default"/>
                            <w:sz w:val="18"/>
                            <w:szCs w:val="18"/>
                          </w:rPr>
                          <w:t>日，公司第五届董事会第十四次会议决议审议通过《关于使用部分超募资金支付公司发行股份及支付现金购买资产</w:t>
                        </w:r>
                      </w:p>
                    </w:tc>
                  </w:tr>
                  <w:tr>
                    <w:trPr>
                      <w:trHeight w:val="312" w:hRule="exact"/>
                    </w:trPr>
                    <w:tc>
                      <w:tcPr>
                        <w:tcW w:w="3118" w:type="dxa"/>
                        <w:vMerge/>
                        <w:tcBorders>
                          <w:left w:val="single" w:sz="4" w:space="0" w:color="000000"/>
                          <w:right w:val="single" w:sz="4" w:space="0" w:color="000000"/>
                        </w:tcBorders>
                      </w:tcPr>
                      <w:p>
                        <w:pPr/>
                      </w:p>
                    </w:tc>
                    <w:tc>
                      <w:tcPr>
                        <w:tcW w:w="109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现金对价的议案</w:t>
                        </w:r>
                        <w:r>
                          <w:rPr>
                            <w:rFonts w:ascii="宋体" w:hAnsi="宋体" w:cs="宋体" w:eastAsia="宋体" w:hint="default"/>
                            <w:spacing w:val="-87"/>
                            <w:sz w:val="18"/>
                            <w:szCs w:val="18"/>
                          </w:rPr>
                          <w:t>》，</w:t>
                        </w:r>
                        <w:r>
                          <w:rPr>
                            <w:rFonts w:ascii="宋体" w:hAnsi="宋体" w:cs="宋体" w:eastAsia="宋体" w:hint="default"/>
                            <w:sz w:val="18"/>
                            <w:szCs w:val="18"/>
                          </w:rPr>
                          <w:t>同意以发</w:t>
                        </w:r>
                        <w:r>
                          <w:rPr>
                            <w:rFonts w:ascii="宋体" w:hAnsi="宋体" w:cs="宋体" w:eastAsia="宋体" w:hint="default"/>
                            <w:spacing w:val="-3"/>
                            <w:sz w:val="18"/>
                            <w:szCs w:val="18"/>
                          </w:rPr>
                          <w:t>行</w:t>
                        </w:r>
                        <w:r>
                          <w:rPr>
                            <w:rFonts w:ascii="宋体" w:hAnsi="宋体" w:cs="宋体" w:eastAsia="宋体" w:hint="default"/>
                            <w:sz w:val="18"/>
                            <w:szCs w:val="18"/>
                          </w:rPr>
                          <w:t>股份及支付现金的方式购买马勤等</w:t>
                        </w:r>
                        <w:r>
                          <w:rPr>
                            <w:rFonts w:ascii="宋体" w:hAnsi="宋体" w:cs="宋体" w:eastAsia="宋体" w:hint="default"/>
                            <w:spacing w:val="-44"/>
                            <w:sz w:val="18"/>
                            <w:szCs w:val="18"/>
                          </w:rPr>
                          <w:t> </w:t>
                        </w:r>
                        <w:r>
                          <w:rPr>
                            <w:rFonts w:ascii="Arial" w:hAnsi="Arial" w:cs="Arial" w:eastAsia="Arial" w:hint="default"/>
                            <w:w w:val="99"/>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名交易对方合计持有</w:t>
                        </w:r>
                        <w:r>
                          <w:rPr>
                            <w:rFonts w:ascii="宋体" w:hAnsi="宋体" w:cs="宋体" w:eastAsia="宋体" w:hint="default"/>
                            <w:spacing w:val="-3"/>
                            <w:sz w:val="18"/>
                            <w:szCs w:val="18"/>
                          </w:rPr>
                          <w:t>的</w:t>
                        </w:r>
                        <w:r>
                          <w:rPr>
                            <w:rFonts w:ascii="宋体" w:hAnsi="宋体" w:cs="宋体" w:eastAsia="宋体" w:hint="default"/>
                            <w:sz w:val="18"/>
                            <w:szCs w:val="18"/>
                          </w:rPr>
                          <w:t>上海浦东中软科技发展有限公司</w:t>
                        </w:r>
                        <w:r>
                          <w:rPr>
                            <w:rFonts w:ascii="宋体" w:hAnsi="宋体" w:cs="宋体" w:eastAsia="宋体" w:hint="default"/>
                            <w:spacing w:val="-44"/>
                            <w:sz w:val="18"/>
                            <w:szCs w:val="18"/>
                          </w:rPr>
                          <w:t> </w:t>
                        </w:r>
                        <w:r>
                          <w:rPr>
                            <w:rFonts w:ascii="Arial" w:hAnsi="Arial" w:cs="Arial" w:eastAsia="Arial" w:hint="default"/>
                            <w:w w:val="99"/>
                            <w:sz w:val="18"/>
                            <w:szCs w:val="18"/>
                          </w:rPr>
                          <w:t>90</w:t>
                        </w:r>
                        <w:r>
                          <w:rPr>
                            <w:rFonts w:ascii="Arial" w:hAnsi="Arial" w:cs="Arial" w:eastAsia="Arial" w:hint="default"/>
                            <w:w w:val="100"/>
                            <w:sz w:val="18"/>
                            <w:szCs w:val="18"/>
                          </w:rPr>
                          <w:t>.</w:t>
                        </w:r>
                        <w:r>
                          <w:rPr>
                            <w:rFonts w:ascii="Arial" w:hAnsi="Arial" w:cs="Arial" w:eastAsia="Arial" w:hint="default"/>
                            <w:spacing w:val="-2"/>
                            <w:w w:val="100"/>
                            <w:sz w:val="18"/>
                            <w:szCs w:val="18"/>
                          </w:rPr>
                          <w:t>1</w:t>
                        </w:r>
                        <w:r>
                          <w:rPr>
                            <w:rFonts w:ascii="Arial" w:hAnsi="Arial" w:cs="Arial" w:eastAsia="Arial" w:hint="default"/>
                            <w:w w:val="99"/>
                            <w:sz w:val="18"/>
                            <w:szCs w:val="18"/>
                          </w:rPr>
                          <w:t>85</w:t>
                        </w:r>
                        <w:r>
                          <w:rPr>
                            <w:rFonts w:ascii="Arial" w:hAnsi="Arial" w:cs="Arial" w:eastAsia="Arial" w:hint="default"/>
                            <w:spacing w:val="1"/>
                            <w:w w:val="99"/>
                            <w:sz w:val="18"/>
                            <w:szCs w:val="18"/>
                          </w:rPr>
                          <w:t>%</w:t>
                        </w:r>
                        <w:r>
                          <w:rPr>
                            <w:rFonts w:ascii="宋体" w:hAnsi="宋体" w:cs="宋体" w:eastAsia="宋体" w:hint="default"/>
                            <w:sz w:val="18"/>
                            <w:szCs w:val="18"/>
                          </w:rPr>
                          <w:t>股权</w:t>
                        </w:r>
                      </w:p>
                    </w:tc>
                  </w:tr>
                  <w:tr>
                    <w:trPr>
                      <w:trHeight w:val="355" w:hRule="exact"/>
                    </w:trPr>
                    <w:tc>
                      <w:tcPr>
                        <w:tcW w:w="3118" w:type="dxa"/>
                        <w:vMerge/>
                        <w:tcBorders>
                          <w:left w:val="single" w:sz="4" w:space="0" w:color="000000"/>
                          <w:bottom w:val="single" w:sz="4" w:space="0" w:color="000000"/>
                          <w:right w:val="single" w:sz="4" w:space="0" w:color="000000"/>
                        </w:tcBorders>
                      </w:tcPr>
                      <w:p>
                        <w:pPr/>
                      </w:p>
                    </w:tc>
                    <w:tc>
                      <w:tcPr>
                        <w:tcW w:w="109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交易总额为</w:t>
                        </w:r>
                        <w:r>
                          <w:rPr>
                            <w:rFonts w:ascii="宋体" w:hAnsi="宋体" w:cs="宋体" w:eastAsia="宋体" w:hint="default"/>
                            <w:spacing w:val="-48"/>
                            <w:sz w:val="18"/>
                            <w:szCs w:val="18"/>
                          </w:rPr>
                          <w:t> </w:t>
                        </w:r>
                        <w:r>
                          <w:rPr>
                            <w:rFonts w:ascii="Arial" w:hAnsi="Arial" w:cs="Arial" w:eastAsia="Arial" w:hint="default"/>
                            <w:sz w:val="18"/>
                            <w:szCs w:val="18"/>
                          </w:rPr>
                          <w:t>13,527.75</w:t>
                        </w:r>
                        <w:r>
                          <w:rPr>
                            <w:rFonts w:ascii="Arial" w:hAnsi="Arial" w:cs="Arial" w:eastAsia="Arial" w:hint="default"/>
                            <w:spacing w:val="-8"/>
                            <w:sz w:val="18"/>
                            <w:szCs w:val="18"/>
                          </w:rPr>
                          <w:t> </w:t>
                        </w:r>
                        <w:r>
                          <w:rPr>
                            <w:rFonts w:ascii="宋体" w:hAnsi="宋体" w:cs="宋体" w:eastAsia="宋体" w:hint="default"/>
                            <w:sz w:val="18"/>
                            <w:szCs w:val="18"/>
                          </w:rPr>
                          <w:t>万元，其中使用超募资金</w:t>
                        </w:r>
                        <w:r>
                          <w:rPr>
                            <w:rFonts w:ascii="宋体" w:hAnsi="宋体" w:cs="宋体" w:eastAsia="宋体" w:hint="default"/>
                            <w:spacing w:val="-48"/>
                            <w:sz w:val="18"/>
                            <w:szCs w:val="18"/>
                          </w:rPr>
                          <w:t> </w:t>
                        </w:r>
                        <w:r>
                          <w:rPr>
                            <w:rFonts w:ascii="Arial" w:hAnsi="Arial" w:cs="Arial" w:eastAsia="Arial" w:hint="default"/>
                            <w:sz w:val="18"/>
                            <w:szCs w:val="18"/>
                          </w:rPr>
                          <w:t>5,500</w:t>
                        </w:r>
                        <w:r>
                          <w:rPr>
                            <w:rFonts w:ascii="Arial" w:hAnsi="Arial" w:cs="Arial" w:eastAsia="Arial" w:hint="default"/>
                            <w:spacing w:val="-8"/>
                            <w:sz w:val="18"/>
                            <w:szCs w:val="18"/>
                          </w:rPr>
                          <w:t> </w:t>
                        </w:r>
                        <w:r>
                          <w:rPr>
                            <w:rFonts w:ascii="宋体" w:hAnsi="宋体" w:cs="宋体" w:eastAsia="宋体" w:hint="default"/>
                            <w:sz w:val="18"/>
                            <w:szCs w:val="18"/>
                          </w:rPr>
                          <w:t>万元支付本次交易的部分现金对价，不足部分由公司以自有资金支付。</w:t>
                        </w:r>
                      </w:p>
                    </w:tc>
                  </w:tr>
                  <w:tr>
                    <w:trPr>
                      <w:trHeight w:val="64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3118" w:type="dxa"/>
                        <w:vMerge/>
                        <w:tcBorders>
                          <w:left w:val="single" w:sz="4" w:space="0" w:color="000000"/>
                          <w:right w:val="single" w:sz="4" w:space="0" w:color="000000"/>
                        </w:tcBorders>
                      </w:tcPr>
                      <w:p>
                        <w:pP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3" w:hRule="exact"/>
                    </w:trPr>
                    <w:tc>
                      <w:tcPr>
                        <w:tcW w:w="3118" w:type="dxa"/>
                        <w:vMerge/>
                        <w:tcBorders>
                          <w:left w:val="single" w:sz="4" w:space="0" w:color="000000"/>
                          <w:bottom w:val="single" w:sz="4" w:space="0" w:color="000000"/>
                          <w:right w:val="single" w:sz="4" w:space="0" w:color="000000"/>
                        </w:tcBorders>
                      </w:tcPr>
                      <w:p>
                        <w:pP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经公司 </w:t>
                        </w: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年第一次临时股东大会审议通过，</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项目变更由公司全资子公司华宇信息实施。该项目拟使</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用募集资金投资额为 </w:t>
                        </w:r>
                        <w:r>
                          <w:rPr>
                            <w:rFonts w:ascii="Arial" w:hAnsi="Arial" w:cs="Arial" w:eastAsia="Arial" w:hint="default"/>
                            <w:sz w:val="18"/>
                            <w:szCs w:val="18"/>
                          </w:rPr>
                          <w:t>3,452.72</w:t>
                        </w:r>
                        <w:r>
                          <w:rPr>
                            <w:rFonts w:ascii="Arial" w:hAnsi="Arial" w:cs="Arial" w:eastAsia="Arial" w:hint="default"/>
                            <w:spacing w:val="-10"/>
                            <w:sz w:val="18"/>
                            <w:szCs w:val="18"/>
                          </w:rPr>
                          <w:t> </w:t>
                        </w:r>
                        <w:r>
                          <w:rPr>
                            <w:rFonts w:ascii="宋体" w:hAnsi="宋体" w:cs="宋体" w:eastAsia="宋体" w:hint="default"/>
                            <w:sz w:val="18"/>
                            <w:szCs w:val="18"/>
                          </w:rPr>
                          <w:t>万元，由公司以增资的方式注入华宇信息并全部用于该项目的建设</w:t>
                        </w:r>
                      </w:p>
                    </w:tc>
                  </w:tr>
                  <w:tr>
                    <w:trPr>
                      <w:trHeight w:val="403" w:hRule="exact"/>
                    </w:trPr>
                    <w:tc>
                      <w:tcPr>
                        <w:tcW w:w="3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3118" w:type="dxa"/>
                        <w:vMerge/>
                        <w:tcBorders>
                          <w:left w:val="single" w:sz="4" w:space="0" w:color="000000"/>
                          <w:bottom w:val="single" w:sz="4" w:space="0" w:color="000000"/>
                          <w:right w:val="single" w:sz="4" w:space="0" w:color="000000"/>
                        </w:tcBorders>
                      </w:tcPr>
                      <w:p>
                        <w:pP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为加快项目建设以满足公司发展需要，在募集资金到位前公司先行以自筹资金支付数字法院智能管理系统项目款项</w:t>
                        </w:r>
                        <w:r>
                          <w:rPr>
                            <w:rFonts w:ascii="宋体" w:hAnsi="宋体" w:cs="宋体" w:eastAsia="宋体" w:hint="default"/>
                            <w:spacing w:val="-46"/>
                            <w:sz w:val="18"/>
                            <w:szCs w:val="18"/>
                          </w:rPr>
                          <w:t> </w:t>
                        </w:r>
                        <w:r>
                          <w:rPr>
                            <w:rFonts w:ascii="Arial" w:hAnsi="Arial" w:cs="Arial" w:eastAsia="Arial" w:hint="default"/>
                            <w:sz w:val="18"/>
                            <w:szCs w:val="18"/>
                          </w:rPr>
                          <w:t>2647.99</w:t>
                        </w:r>
                        <w:r>
                          <w:rPr>
                            <w:rFonts w:ascii="Arial" w:hAnsi="Arial" w:cs="Arial" w:eastAsia="Arial" w:hint="default"/>
                            <w:spacing w:val="-5"/>
                            <w:sz w:val="18"/>
                            <w:szCs w:val="18"/>
                          </w:rPr>
                          <w:t> </w:t>
                        </w:r>
                        <w:r>
                          <w:rPr>
                            <w:rFonts w:ascii="宋体" w:hAnsi="宋体" w:cs="宋体" w:eastAsia="宋体" w:hint="default"/>
                            <w:sz w:val="18"/>
                            <w:szCs w:val="18"/>
                          </w:rPr>
                          <w:t>万元、电</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子检务管理系统项目款项</w:t>
                        </w:r>
                        <w:r>
                          <w:rPr>
                            <w:rFonts w:ascii="宋体" w:hAnsi="宋体" w:cs="宋体" w:eastAsia="宋体" w:hint="default"/>
                            <w:spacing w:val="-47"/>
                            <w:sz w:val="18"/>
                            <w:szCs w:val="18"/>
                          </w:rPr>
                          <w:t> </w:t>
                        </w:r>
                        <w:r>
                          <w:rPr>
                            <w:rFonts w:ascii="Arial" w:hAnsi="Arial" w:cs="Arial" w:eastAsia="Arial" w:hint="default"/>
                            <w:sz w:val="18"/>
                            <w:szCs w:val="18"/>
                          </w:rPr>
                          <w:t>2320.67</w:t>
                        </w:r>
                        <w:r>
                          <w:rPr>
                            <w:rFonts w:ascii="Arial" w:hAnsi="Arial" w:cs="Arial" w:eastAsia="Arial" w:hint="default"/>
                            <w:spacing w:val="-7"/>
                            <w:sz w:val="18"/>
                            <w:szCs w:val="18"/>
                          </w:rPr>
                          <w:t> </w:t>
                        </w:r>
                        <w:r>
                          <w:rPr>
                            <w:rFonts w:ascii="宋体" w:hAnsi="宋体" w:cs="宋体" w:eastAsia="宋体" w:hint="default"/>
                            <w:sz w:val="18"/>
                            <w:szCs w:val="18"/>
                          </w:rPr>
                          <w:t>万元、商业智能分析应用平台项目款项</w:t>
                        </w:r>
                        <w:r>
                          <w:rPr>
                            <w:rFonts w:ascii="宋体" w:hAnsi="宋体" w:cs="宋体" w:eastAsia="宋体" w:hint="default"/>
                            <w:spacing w:val="-47"/>
                            <w:sz w:val="18"/>
                            <w:szCs w:val="18"/>
                          </w:rPr>
                          <w:t> </w:t>
                        </w:r>
                        <w:r>
                          <w:rPr>
                            <w:rFonts w:ascii="Arial" w:hAnsi="Arial" w:cs="Arial" w:eastAsia="Arial" w:hint="default"/>
                            <w:sz w:val="18"/>
                            <w:szCs w:val="18"/>
                          </w:rPr>
                          <w:t>154.71</w:t>
                        </w:r>
                        <w:r>
                          <w:rPr>
                            <w:rFonts w:ascii="Arial" w:hAnsi="Arial" w:cs="Arial" w:eastAsia="Arial" w:hint="default"/>
                            <w:spacing w:val="-7"/>
                            <w:sz w:val="18"/>
                            <w:szCs w:val="18"/>
                          </w:rPr>
                          <w:t> </w:t>
                        </w:r>
                        <w:r>
                          <w:rPr>
                            <w:rFonts w:ascii="宋体" w:hAnsi="宋体" w:cs="宋体" w:eastAsia="宋体" w:hint="default"/>
                            <w:sz w:val="18"/>
                            <w:szCs w:val="18"/>
                          </w:rPr>
                          <w:t>万元、华宇政务应用支撑和研发平台项目款项</w:t>
                        </w:r>
                        <w:r>
                          <w:rPr>
                            <w:rFonts w:ascii="宋体" w:hAnsi="宋体" w:cs="宋体" w:eastAsia="宋体" w:hint="default"/>
                            <w:spacing w:val="-47"/>
                            <w:sz w:val="18"/>
                            <w:szCs w:val="18"/>
                          </w:rPr>
                          <w:t> </w:t>
                        </w:r>
                        <w:r>
                          <w:rPr>
                            <w:rFonts w:ascii="Arial" w:hAnsi="Arial" w:cs="Arial" w:eastAsia="Arial" w:hint="default"/>
                            <w:sz w:val="18"/>
                            <w:szCs w:val="18"/>
                          </w:rPr>
                          <w:t>157.97</w:t>
                        </w:r>
                        <w:r>
                          <w:rPr>
                            <w:rFonts w:ascii="Arial" w:hAnsi="Arial" w:cs="Arial" w:eastAsia="Arial" w:hint="default"/>
                            <w:spacing w:val="-7"/>
                            <w:sz w:val="18"/>
                            <w:szCs w:val="18"/>
                          </w:rPr>
                          <w:t> </w:t>
                        </w:r>
                        <w:r>
                          <w:rPr>
                            <w:rFonts w:ascii="宋体" w:hAnsi="宋体" w:cs="宋体" w:eastAsia="宋体" w:hint="default"/>
                            <w:sz w:val="18"/>
                            <w:szCs w:val="18"/>
                          </w:rPr>
                          <w:t>万</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元。</w:t>
                        </w: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日，公司第四届董事会第十次会议审核通过了《关于用募集资金置换预先已投入募集资金项目的自筹资金的议案》</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同意公司用募集资金</w:t>
                        </w:r>
                        <w:r>
                          <w:rPr>
                            <w:rFonts w:ascii="宋体" w:hAnsi="宋体" w:cs="宋体" w:eastAsia="宋体" w:hint="default"/>
                            <w:spacing w:val="-46"/>
                            <w:sz w:val="18"/>
                            <w:szCs w:val="18"/>
                          </w:rPr>
                          <w:t> </w:t>
                        </w:r>
                        <w:r>
                          <w:rPr>
                            <w:rFonts w:ascii="Arial" w:hAnsi="Arial" w:cs="Arial" w:eastAsia="Arial" w:hint="default"/>
                            <w:sz w:val="18"/>
                            <w:szCs w:val="18"/>
                          </w:rPr>
                          <w:t>5281.34</w:t>
                        </w:r>
                        <w:r>
                          <w:rPr>
                            <w:rFonts w:ascii="Arial" w:hAnsi="Arial" w:cs="Arial" w:eastAsia="Arial" w:hint="default"/>
                            <w:spacing w:val="-8"/>
                            <w:sz w:val="18"/>
                            <w:szCs w:val="18"/>
                          </w:rPr>
                          <w:t> </w:t>
                        </w:r>
                        <w:r>
                          <w:rPr>
                            <w:rFonts w:ascii="宋体" w:hAnsi="宋体" w:cs="宋体" w:eastAsia="宋体" w:hint="default"/>
                            <w:sz w:val="18"/>
                            <w:szCs w:val="18"/>
                          </w:rPr>
                          <w:t>万元置换预先已投入募集资金投资项目的自筹资金。目前，相关资金已完成置换。</w:t>
                        </w:r>
                      </w:p>
                    </w:tc>
                  </w:tr>
                  <w:tr>
                    <w:trPr>
                      <w:trHeight w:val="569"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18" w:type="dxa"/>
                        <w:tcBorders>
                          <w:top w:val="single" w:sz="4" w:space="0" w:color="000000"/>
                          <w:left w:val="single" w:sz="4" w:space="0" w:color="000000"/>
                          <w:bottom w:val="nil" w:sz="6" w:space="0" w:color="auto"/>
                          <w:right w:val="single" w:sz="4" w:space="0" w:color="000000"/>
                        </w:tcBorders>
                      </w:tcPr>
                      <w:p>
                        <w:pP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3118" w:type="dxa"/>
                        <w:tcBorders>
                          <w:top w:val="nil" w:sz="6" w:space="0" w:color="auto"/>
                          <w:left w:val="single" w:sz="4" w:space="0" w:color="000000"/>
                          <w:bottom w:val="nil" w:sz="6" w:space="0" w:color="auto"/>
                          <w:right w:val="single" w:sz="4" w:space="0" w:color="000000"/>
                        </w:tcBorders>
                      </w:tcPr>
                      <w:p>
                        <w:pPr/>
                      </w:p>
                    </w:tc>
                    <w:tc>
                      <w:tcPr>
                        <w:tcW w:w="109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公司募投项目</w:t>
                        </w:r>
                        <w:r>
                          <w:rPr>
                            <w:rFonts w:ascii="Arial" w:hAnsi="Arial" w:cs="Arial" w:eastAsia="Arial" w:hint="default"/>
                            <w:sz w:val="18"/>
                            <w:szCs w:val="18"/>
                          </w:rPr>
                          <w:t>“</w:t>
                        </w:r>
                        <w:r>
                          <w:rPr>
                            <w:rFonts w:ascii="宋体" w:hAnsi="宋体" w:cs="宋体" w:eastAsia="宋体" w:hint="default"/>
                            <w:sz w:val="18"/>
                            <w:szCs w:val="18"/>
                          </w:rPr>
                          <w:t>数字法院智能管理系统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电子检务管理系统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商业智能分析应用平台</w:t>
                        </w:r>
                        <w:r>
                          <w:rPr>
                            <w:rFonts w:ascii="宋体" w:hAnsi="宋体" w:cs="宋体" w:eastAsia="宋体" w:hint="default"/>
                            <w:spacing w:val="-42"/>
                            <w:sz w:val="18"/>
                            <w:szCs w:val="18"/>
                          </w:rPr>
                          <w:t> </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华宇政务</w:t>
                        </w:r>
                      </w:p>
                    </w:tc>
                  </w:tr>
                  <w:tr>
                    <w:trPr>
                      <w:trHeight w:val="289" w:hRule="exact"/>
                    </w:trPr>
                    <w:tc>
                      <w:tcPr>
                        <w:tcW w:w="3118" w:type="dxa"/>
                        <w:tcBorders>
                          <w:top w:val="nil" w:sz="6" w:space="0" w:color="auto"/>
                          <w:left w:val="single" w:sz="4" w:space="0" w:color="000000"/>
                          <w:bottom w:val="nil" w:sz="6" w:space="0" w:color="auto"/>
                          <w:right w:val="single" w:sz="4" w:space="0" w:color="000000"/>
                        </w:tcBorders>
                      </w:tcPr>
                      <w:p>
                        <w:pPr/>
                      </w:p>
                    </w:tc>
                    <w:tc>
                      <w:tcPr>
                        <w:tcW w:w="109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应用支撑和研发平台</w:t>
                        </w:r>
                        <w:r>
                          <w:rPr>
                            <w:rFonts w:ascii="Arial" w:hAnsi="Arial" w:cs="Arial" w:eastAsia="Arial" w:hint="default"/>
                            <w:sz w:val="18"/>
                            <w:szCs w:val="18"/>
                          </w:rPr>
                          <w:t>”</w:t>
                        </w:r>
                        <w:r>
                          <w:rPr>
                            <w:rFonts w:ascii="宋体" w:hAnsi="宋体" w:cs="宋体" w:eastAsia="宋体" w:hint="default"/>
                            <w:sz w:val="18"/>
                            <w:szCs w:val="18"/>
                          </w:rPr>
                          <w:t>已按照计划时间结项，共使用募集资金</w:t>
                        </w:r>
                        <w:r>
                          <w:rPr>
                            <w:rFonts w:ascii="宋体" w:hAnsi="宋体" w:cs="宋体" w:eastAsia="宋体" w:hint="default"/>
                            <w:spacing w:val="-47"/>
                            <w:sz w:val="18"/>
                            <w:szCs w:val="18"/>
                          </w:rPr>
                          <w:t> </w:t>
                        </w:r>
                        <w:r>
                          <w:rPr>
                            <w:rFonts w:ascii="Arial" w:hAnsi="Arial" w:cs="Arial" w:eastAsia="Arial" w:hint="default"/>
                            <w:sz w:val="18"/>
                            <w:szCs w:val="18"/>
                          </w:rPr>
                          <w:t>14,499.95</w:t>
                        </w:r>
                        <w:r>
                          <w:rPr>
                            <w:rFonts w:ascii="Arial" w:hAnsi="Arial" w:cs="Arial" w:eastAsia="Arial" w:hint="default"/>
                            <w:spacing w:val="-7"/>
                            <w:sz w:val="18"/>
                            <w:szCs w:val="18"/>
                          </w:rPr>
                          <w:t> </w:t>
                        </w:r>
                        <w:r>
                          <w:rPr>
                            <w:rFonts w:ascii="宋体" w:hAnsi="宋体" w:cs="宋体" w:eastAsia="宋体" w:hint="default"/>
                            <w:sz w:val="18"/>
                            <w:szCs w:val="18"/>
                          </w:rPr>
                          <w:t>万元，募集资金专户结余资金</w:t>
                        </w:r>
                        <w:r>
                          <w:rPr>
                            <w:rFonts w:ascii="宋体" w:hAnsi="宋体" w:cs="宋体" w:eastAsia="宋体" w:hint="default"/>
                            <w:spacing w:val="-47"/>
                            <w:sz w:val="18"/>
                            <w:szCs w:val="18"/>
                          </w:rPr>
                          <w:t> </w:t>
                        </w:r>
                        <w:r>
                          <w:rPr>
                            <w:rFonts w:ascii="Arial" w:hAnsi="Arial" w:cs="Arial" w:eastAsia="Arial" w:hint="default"/>
                            <w:sz w:val="18"/>
                            <w:szCs w:val="18"/>
                          </w:rPr>
                          <w:t>5,650.97</w:t>
                        </w:r>
                        <w:r>
                          <w:rPr>
                            <w:rFonts w:ascii="Arial" w:hAnsi="Arial" w:cs="Arial" w:eastAsia="Arial" w:hint="default"/>
                            <w:spacing w:val="-7"/>
                            <w:sz w:val="18"/>
                            <w:szCs w:val="18"/>
                          </w:rPr>
                          <w:t> </w:t>
                        </w:r>
                        <w:r>
                          <w:rPr>
                            <w:rFonts w:ascii="宋体" w:hAnsi="宋体" w:cs="宋体" w:eastAsia="宋体" w:hint="default"/>
                            <w:sz w:val="18"/>
                            <w:szCs w:val="18"/>
                          </w:rPr>
                          <w:t>万元（含利息）。</w:t>
                        </w:r>
                      </w:p>
                    </w:tc>
                  </w:tr>
                  <w:tr>
                    <w:trPr>
                      <w:trHeight w:val="352" w:hRule="exact"/>
                    </w:trPr>
                    <w:tc>
                      <w:tcPr>
                        <w:tcW w:w="311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w:t>
                        </w:r>
                      </w:p>
                    </w:tc>
                    <w:tc>
                      <w:tcPr>
                        <w:tcW w:w="1092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27"/>
                          <w:jc w:val="right"/>
                          <w:rPr>
                            <w:rFonts w:ascii="宋体" w:hAnsi="宋体" w:cs="宋体" w:eastAsia="宋体" w:hint="default"/>
                            <w:sz w:val="18"/>
                            <w:szCs w:val="18"/>
                          </w:rPr>
                        </w:pPr>
                        <w:r>
                          <w:rPr>
                            <w:rFonts w:ascii="宋体" w:hAnsi="宋体" w:cs="宋体" w:eastAsia="宋体" w:hint="default"/>
                            <w:sz w:val="18"/>
                            <w:szCs w:val="18"/>
                          </w:rPr>
                          <w:t>上述项目产生结余资金，主要是设备投入、备用金较原计划减少导致。募投项目环境设备投入中，超过</w:t>
                        </w:r>
                        <w:r>
                          <w:rPr>
                            <w:rFonts w:ascii="宋体" w:hAnsi="宋体" w:cs="宋体" w:eastAsia="宋体" w:hint="default"/>
                            <w:spacing w:val="-48"/>
                            <w:sz w:val="18"/>
                            <w:szCs w:val="18"/>
                          </w:rPr>
                          <w:t> </w:t>
                        </w:r>
                        <w:r>
                          <w:rPr>
                            <w:rFonts w:ascii="Arial" w:hAnsi="Arial" w:cs="Arial" w:eastAsia="Arial" w:hint="default"/>
                            <w:sz w:val="18"/>
                            <w:szCs w:val="18"/>
                          </w:rPr>
                          <w:t>70%</w:t>
                        </w:r>
                        <w:r>
                          <w:rPr>
                            <w:rFonts w:ascii="宋体" w:hAnsi="宋体" w:cs="宋体" w:eastAsia="宋体" w:hint="default"/>
                            <w:sz w:val="18"/>
                            <w:szCs w:val="18"/>
                          </w:rPr>
                          <w:t>的投入为研发支撑环境和</w:t>
                        </w:r>
                      </w:p>
                    </w:tc>
                  </w:tr>
                  <w:tr>
                    <w:trPr>
                      <w:trHeight w:val="330" w:hRule="exact"/>
                    </w:trPr>
                    <w:tc>
                      <w:tcPr>
                        <w:tcW w:w="311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金额及原因</w:t>
                        </w:r>
                      </w:p>
                    </w:tc>
                    <w:tc>
                      <w:tcPr>
                        <w:tcW w:w="1092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交付测试环境。公司采用云计算、虚拟化等技术手段节省设备投资；国产设备厂商给予了应用开发商更多支持，减少了设备环境的投入；</w:t>
                        </w:r>
                      </w:p>
                    </w:tc>
                  </w:tr>
                  <w:tr>
                    <w:trPr>
                      <w:trHeight w:val="332" w:hRule="exact"/>
                    </w:trPr>
                    <w:tc>
                      <w:tcPr>
                        <w:tcW w:w="3118" w:type="dxa"/>
                        <w:tcBorders>
                          <w:top w:val="nil" w:sz="6" w:space="0" w:color="auto"/>
                          <w:left w:val="single" w:sz="4" w:space="0" w:color="000000"/>
                          <w:bottom w:val="nil" w:sz="6" w:space="0" w:color="auto"/>
                          <w:right w:val="single" w:sz="4" w:space="0" w:color="000000"/>
                        </w:tcBorders>
                      </w:tcPr>
                      <w:p>
                        <w:pPr/>
                      </w:p>
                    </w:tc>
                    <w:tc>
                      <w:tcPr>
                        <w:tcW w:w="10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上述募投项目在执行过程中没有出现意外、特殊情况，原预算中的预留备用金未予动用。</w:t>
                        </w:r>
                      </w:p>
                    </w:tc>
                  </w:tr>
                  <w:tr>
                    <w:trPr>
                      <w:trHeight w:val="337" w:hRule="exact"/>
                    </w:trPr>
                    <w:tc>
                      <w:tcPr>
                        <w:tcW w:w="3118" w:type="dxa"/>
                        <w:tcBorders>
                          <w:top w:val="nil" w:sz="6" w:space="0" w:color="auto"/>
                          <w:left w:val="single" w:sz="4" w:space="0" w:color="000000"/>
                          <w:bottom w:val="nil" w:sz="6" w:space="0" w:color="auto"/>
                          <w:right w:val="single" w:sz="4" w:space="0" w:color="000000"/>
                        </w:tcBorders>
                      </w:tcPr>
                      <w:p>
                        <w:pPr/>
                      </w:p>
                    </w:tc>
                    <w:tc>
                      <w:tcPr>
                        <w:tcW w:w="1092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47"/>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29</w:t>
                        </w:r>
                        <w:r>
                          <w:rPr>
                            <w:rFonts w:ascii="Arial" w:hAnsi="Arial" w:cs="Arial" w:eastAsia="Arial" w:hint="default"/>
                            <w:spacing w:val="-5"/>
                            <w:sz w:val="18"/>
                            <w:szCs w:val="18"/>
                          </w:rPr>
                          <w:t> </w:t>
                        </w:r>
                        <w:r>
                          <w:rPr>
                            <w:rFonts w:ascii="宋体" w:hAnsi="宋体" w:cs="宋体" w:eastAsia="宋体" w:hint="default"/>
                            <w:sz w:val="18"/>
                            <w:szCs w:val="18"/>
                          </w:rPr>
                          <w:t>日，公司第五届董事会第十一次会议审议通过了《关于部分募投项目结项并使用结余募集资金及利息永久补充流动资</w:t>
                        </w:r>
                      </w:p>
                    </w:tc>
                  </w:tr>
                  <w:tr>
                    <w:trPr>
                      <w:trHeight w:val="315" w:hRule="exact"/>
                    </w:trPr>
                    <w:tc>
                      <w:tcPr>
                        <w:tcW w:w="3118" w:type="dxa"/>
                        <w:tcBorders>
                          <w:top w:val="nil" w:sz="6" w:space="0" w:color="auto"/>
                          <w:left w:val="single" w:sz="4" w:space="0" w:color="000000"/>
                          <w:bottom w:val="single" w:sz="4" w:space="0" w:color="000000"/>
                          <w:right w:val="single" w:sz="4" w:space="0" w:color="000000"/>
                        </w:tcBorders>
                      </w:tcPr>
                      <w:p>
                        <w:pPr/>
                      </w:p>
                    </w:tc>
                    <w:tc>
                      <w:tcPr>
                        <w:tcW w:w="109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金的议案》，同意将公司募投项目</w:t>
                        </w:r>
                        <w:r>
                          <w:rPr>
                            <w:rFonts w:ascii="Arial" w:hAnsi="Arial" w:cs="Arial" w:eastAsia="Arial" w:hint="default"/>
                            <w:sz w:val="18"/>
                            <w:szCs w:val="18"/>
                          </w:rPr>
                          <w:t>“</w:t>
                        </w:r>
                        <w:r>
                          <w:rPr>
                            <w:rFonts w:ascii="宋体" w:hAnsi="宋体" w:cs="宋体" w:eastAsia="宋体" w:hint="default"/>
                            <w:sz w:val="18"/>
                            <w:szCs w:val="18"/>
                          </w:rPr>
                          <w:t>数字法院智能管理系统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电子检务管理系统</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的结余募集资金（含利</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spacing w:before="44"/>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84" w:footer="1011" w:top="1100" w:bottom="1200" w:left="13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99" w:firstLine="0"/>
        <w:jc w:val="right"/>
        <w:rPr>
          <w:rFonts w:ascii="宋体" w:hAnsi="宋体" w:cs="宋体" w:eastAsia="宋体" w:hint="default"/>
          <w:sz w:val="18"/>
          <w:szCs w:val="18"/>
        </w:rPr>
      </w:pPr>
      <w:r>
        <w:rPr/>
        <w:pict>
          <v:shape style="position:absolute;margin-left:71.760002pt;margin-top:-34.748276pt;width:702.6pt;height:127.9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8"/>
                    <w:gridCol w:w="10920"/>
                  </w:tblGrid>
                  <w:tr>
                    <w:trPr>
                      <w:trHeight w:val="1385" w:hRule="exact"/>
                    </w:trPr>
                    <w:tc>
                      <w:tcPr>
                        <w:tcW w:w="3118" w:type="dxa"/>
                        <w:tcBorders>
                          <w:top w:val="single" w:sz="10" w:space="0" w:color="000000"/>
                          <w:left w:val="single" w:sz="4" w:space="0" w:color="000000"/>
                          <w:bottom w:val="single" w:sz="4" w:space="0" w:color="000000"/>
                          <w:right w:val="single" w:sz="4" w:space="0" w:color="000000"/>
                        </w:tcBorders>
                      </w:tcPr>
                      <w:p>
                        <w:pPr/>
                      </w:p>
                    </w:tc>
                    <w:tc>
                      <w:tcPr>
                        <w:tcW w:w="109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息收入）</w:t>
                        </w:r>
                        <w:r>
                          <w:rPr>
                            <w:rFonts w:ascii="Arial" w:hAnsi="Arial" w:cs="Arial" w:eastAsia="Arial" w:hint="default"/>
                            <w:sz w:val="18"/>
                            <w:szCs w:val="18"/>
                          </w:rPr>
                          <w:t>3,350.65</w:t>
                        </w:r>
                        <w:r>
                          <w:rPr>
                            <w:rFonts w:ascii="Arial" w:hAnsi="Arial" w:cs="Arial" w:eastAsia="Arial" w:hint="default"/>
                            <w:spacing w:val="37"/>
                            <w:sz w:val="18"/>
                            <w:szCs w:val="18"/>
                          </w:rPr>
                          <w:t> </w:t>
                        </w:r>
                        <w:r>
                          <w:rPr>
                            <w:rFonts w:ascii="宋体" w:hAnsi="宋体" w:cs="宋体" w:eastAsia="宋体" w:hint="default"/>
                            <w:sz w:val="18"/>
                            <w:szCs w:val="18"/>
                          </w:rPr>
                          <w:t>万元永久补充流动资金，用于公司主营业务相关新产品的研发及新业务的市场拓展。</w:t>
                        </w:r>
                      </w:p>
                      <w:p>
                        <w:pPr>
                          <w:pStyle w:val="TableParagraph"/>
                          <w:spacing w:line="302" w:lineRule="auto" w:before="102"/>
                          <w:ind w:left="21" w:right="47" w:firstLine="372"/>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日，公司第五届董事会第十三次会议审议通过了《关于部分募投项目结项并将结余资金转超募资金的议案》，同意将 公司募投项目</w:t>
                        </w:r>
                        <w:r>
                          <w:rPr>
                            <w:rFonts w:ascii="Arial" w:hAnsi="Arial" w:cs="Arial" w:eastAsia="Arial" w:hint="default"/>
                            <w:sz w:val="18"/>
                            <w:szCs w:val="18"/>
                          </w:rPr>
                          <w:t>“</w:t>
                        </w:r>
                        <w:r>
                          <w:rPr>
                            <w:rFonts w:ascii="宋体" w:hAnsi="宋体" w:cs="宋体" w:eastAsia="宋体" w:hint="default"/>
                            <w:sz w:val="18"/>
                            <w:szCs w:val="18"/>
                          </w:rPr>
                          <w:t>商业智能分析应用平台</w:t>
                        </w:r>
                        <w:r>
                          <w:rPr>
                            <w:rFonts w:ascii="宋体" w:hAnsi="宋体" w:cs="宋体" w:eastAsia="宋体" w:hint="default"/>
                            <w:spacing w:val="4"/>
                            <w:sz w:val="18"/>
                            <w:szCs w:val="18"/>
                          </w:rPr>
                          <w:t> </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华宇政务应用支撑和研发平台</w:t>
                        </w:r>
                        <w:r>
                          <w:rPr>
                            <w:rFonts w:ascii="Arial" w:hAnsi="Arial" w:cs="Arial" w:eastAsia="Arial" w:hint="default"/>
                            <w:sz w:val="18"/>
                            <w:szCs w:val="18"/>
                          </w:rPr>
                          <w:t>”</w:t>
                        </w:r>
                        <w:r>
                          <w:rPr>
                            <w:rFonts w:ascii="宋体" w:hAnsi="宋体" w:cs="宋体" w:eastAsia="宋体" w:hint="default"/>
                            <w:sz w:val="18"/>
                            <w:szCs w:val="18"/>
                          </w:rPr>
                          <w:t>的结余募集资金</w:t>
                        </w:r>
                        <w:r>
                          <w:rPr>
                            <w:rFonts w:ascii="宋体" w:hAnsi="宋体" w:cs="宋体" w:eastAsia="宋体" w:hint="default"/>
                            <w:spacing w:val="-43"/>
                            <w:sz w:val="18"/>
                            <w:szCs w:val="18"/>
                          </w:rPr>
                          <w:t> </w:t>
                        </w:r>
                        <w:r>
                          <w:rPr>
                            <w:rFonts w:ascii="Arial" w:hAnsi="Arial" w:cs="Arial" w:eastAsia="Arial" w:hint="default"/>
                            <w:sz w:val="18"/>
                            <w:szCs w:val="18"/>
                          </w:rPr>
                          <w:t>2,300.32</w:t>
                        </w:r>
                        <w:r>
                          <w:rPr>
                            <w:rFonts w:ascii="Arial" w:hAnsi="Arial" w:cs="Arial" w:eastAsia="Arial" w:hint="default"/>
                            <w:spacing w:val="-3"/>
                            <w:sz w:val="18"/>
                            <w:szCs w:val="18"/>
                          </w:rPr>
                          <w:t> </w:t>
                        </w:r>
                        <w:r>
                          <w:rPr>
                            <w:rFonts w:ascii="宋体" w:hAnsi="宋体" w:cs="宋体" w:eastAsia="宋体" w:hint="default"/>
                            <w:spacing w:val="-5"/>
                            <w:sz w:val="18"/>
                            <w:szCs w:val="18"/>
                          </w:rPr>
                          <w:t>万元（含利息收入）转为超募资金管理</w:t>
                        </w:r>
                      </w:p>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目前，结余资金已全部处理完毕。</w:t>
                        </w:r>
                      </w:p>
                    </w:tc>
                  </w:tr>
                  <w:tr>
                    <w:trPr>
                      <w:trHeight w:val="40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z w:val="18"/>
                            <w:szCs w:val="18"/>
                          </w:rPr>
                          <w:t>日，本公司尚未使用的募集资金均存放于募集资金专户。</w:t>
                        </w:r>
                      </w:p>
                    </w:tc>
                  </w:tr>
                  <w:tr>
                    <w:trPr>
                      <w:trHeight w:val="756"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742"/>
                          <w:jc w:val="left"/>
                          <w:rPr>
                            <w:rFonts w:ascii="宋体" w:hAnsi="宋体" w:cs="宋体" w:eastAsia="宋体" w:hint="default"/>
                            <w:sz w:val="18"/>
                            <w:szCs w:val="18"/>
                          </w:rPr>
                        </w:pPr>
                        <w:r>
                          <w:rPr>
                            <w:rFonts w:ascii="宋体" w:hAnsi="宋体" w:cs="宋体" w:eastAsia="宋体" w:hint="default"/>
                            <w:sz w:val="18"/>
                            <w:szCs w:val="18"/>
                          </w:rPr>
                          <w:t>募集资金使用及披露中存在的 问题或其他情况</w:t>
                        </w:r>
                      </w:p>
                    </w:tc>
                    <w:tc>
                      <w:tcPr>
                        <w:tcW w:w="109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1" w:right="85" w:firstLine="360"/>
                          <w:jc w:val="left"/>
                          <w:rPr>
                            <w:rFonts w:ascii="宋体" w:hAnsi="宋体" w:cs="宋体" w:eastAsia="宋体" w:hint="default"/>
                            <w:sz w:val="18"/>
                            <w:szCs w:val="18"/>
                          </w:rPr>
                        </w:pPr>
                        <w:r>
                          <w:rPr>
                            <w:rFonts w:ascii="宋体" w:hAnsi="宋体" w:cs="宋体" w:eastAsia="宋体" w:hint="default"/>
                            <w:sz w:val="18"/>
                            <w:szCs w:val="18"/>
                          </w:rPr>
                          <w:t>本公司不存在募集资金使用的其他情况。本公司已披露的募集资金相关信息及时、真实、准确、完整披露，不存在募集资金管理违规 情况。</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84" w:footer="1011" w:top="1100" w:bottom="1200" w:left="1320" w:right="1200"/>
        </w:sect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9"/>
          <w:footerReference w:type="default" r:id="rId20"/>
          <w:pgSz w:w="11910" w:h="16840"/>
          <w:pgMar w:header="884" w:footer="0" w:top="1140" w:bottom="280" w:left="980" w:right="980"/>
        </w:sectPr>
      </w:pPr>
    </w:p>
    <w:p>
      <w:pPr>
        <w:pStyle w:val="BodyText"/>
        <w:spacing w:line="240" w:lineRule="auto" w:before="26"/>
        <w:ind w:right="-8"/>
        <w:jc w:val="left"/>
      </w:pPr>
      <w:r>
        <w:rPr>
          <w:rFonts w:ascii="Arial" w:hAnsi="Arial" w:cs="Arial" w:eastAsia="Arial" w:hint="default"/>
          <w:spacing w:val="-1"/>
        </w:rPr>
        <w:t>3.</w:t>
      </w:r>
      <w:r>
        <w:rPr>
          <w:spacing w:val="-1"/>
        </w:rPr>
        <w:t>募集资金变更项目情况</w:t>
      </w:r>
    </w:p>
    <w:p>
      <w:pPr>
        <w:spacing w:before="126"/>
        <w:ind w:left="152" w:right="-8"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2753" w:space="5836"/>
            <w:col w:w="1361"/>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1202"/>
        <w:gridCol w:w="994"/>
        <w:gridCol w:w="674"/>
        <w:gridCol w:w="958"/>
      </w:tblGrid>
      <w:tr>
        <w:trPr>
          <w:trHeight w:val="16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64" w:right="51" w:hanging="212"/>
              <w:jc w:val="left"/>
              <w:rPr>
                <w:rFonts w:ascii="宋体" w:hAnsi="宋体" w:cs="宋体" w:eastAsia="宋体" w:hint="default"/>
                <w:sz w:val="21"/>
                <w:szCs w:val="21"/>
              </w:rPr>
            </w:pPr>
            <w:r>
              <w:rPr>
                <w:rFonts w:ascii="宋体" w:hAnsi="宋体" w:cs="宋体" w:eastAsia="宋体" w:hint="default"/>
                <w:sz w:val="21"/>
                <w:szCs w:val="21"/>
              </w:rPr>
              <w:t>变更后的</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55" w:right="48"/>
              <w:jc w:val="left"/>
              <w:rPr>
                <w:rFonts w:ascii="宋体" w:hAnsi="宋体" w:cs="宋体" w:eastAsia="宋体" w:hint="default"/>
                <w:sz w:val="21"/>
                <w:szCs w:val="21"/>
              </w:rPr>
            </w:pPr>
            <w:r>
              <w:rPr>
                <w:rFonts w:ascii="宋体" w:hAnsi="宋体" w:cs="宋体" w:eastAsia="宋体" w:hint="default"/>
                <w:sz w:val="21"/>
                <w:szCs w:val="21"/>
              </w:rPr>
              <w:t>对应的原</w:t>
            </w:r>
            <w:r>
              <w:rPr>
                <w:rFonts w:ascii="宋体" w:hAnsi="宋体" w:cs="宋体" w:eastAsia="宋体" w:hint="default"/>
                <w:w w:val="100"/>
                <w:sz w:val="21"/>
                <w:szCs w:val="21"/>
              </w:rPr>
              <w:t> </w:t>
            </w:r>
            <w:r>
              <w:rPr>
                <w:rFonts w:ascii="宋体" w:hAnsi="宋体" w:cs="宋体" w:eastAsia="宋体" w:hint="default"/>
                <w:sz w:val="21"/>
                <w:szCs w:val="21"/>
              </w:rPr>
              <w:t>承诺项目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84"/>
              <w:ind w:left="52" w:right="51"/>
              <w:jc w:val="both"/>
              <w:rPr>
                <w:rFonts w:ascii="Arial" w:hAnsi="Arial" w:cs="Arial" w:eastAsia="Arial" w:hint="default"/>
                <w:sz w:val="21"/>
                <w:szCs w:val="21"/>
              </w:rPr>
            </w:pPr>
            <w:r>
              <w:rPr>
                <w:rFonts w:ascii="宋体" w:hAnsi="宋体" w:cs="宋体" w:eastAsia="宋体" w:hint="default"/>
                <w:sz w:val="21"/>
                <w:szCs w:val="21"/>
              </w:rPr>
              <w:t>变更后项</w:t>
            </w:r>
            <w:r>
              <w:rPr>
                <w:rFonts w:ascii="宋体" w:hAnsi="宋体" w:cs="宋体" w:eastAsia="宋体" w:hint="default"/>
                <w:w w:val="100"/>
                <w:sz w:val="21"/>
                <w:szCs w:val="21"/>
              </w:rPr>
              <w:t> </w:t>
            </w:r>
            <w:r>
              <w:rPr>
                <w:rFonts w:ascii="宋体" w:hAnsi="宋体" w:cs="宋体" w:eastAsia="宋体" w:hint="default"/>
                <w:sz w:val="21"/>
                <w:szCs w:val="21"/>
              </w:rPr>
              <w:t>目拟投入</w:t>
            </w:r>
            <w:r>
              <w:rPr>
                <w:rFonts w:ascii="宋体" w:hAnsi="宋体" w:cs="宋体" w:eastAsia="宋体" w:hint="default"/>
                <w:w w:val="100"/>
                <w:sz w:val="21"/>
                <w:szCs w:val="21"/>
              </w:rPr>
              <w:t> </w:t>
            </w:r>
            <w:r>
              <w:rPr>
                <w:rFonts w:ascii="宋体" w:hAnsi="宋体" w:cs="宋体" w:eastAsia="宋体" w:hint="default"/>
                <w:sz w:val="21"/>
                <w:szCs w:val="21"/>
              </w:rPr>
              <w:t>募集资金</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Arial" w:hAnsi="Arial" w:cs="Arial" w:eastAsia="Arial" w:hint="default"/>
                <w:sz w:val="21"/>
                <w:szCs w:val="21"/>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55" w:right="48"/>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实际投入</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2" w:right="50"/>
              <w:jc w:val="center"/>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实际累计</w:t>
            </w:r>
            <w:r>
              <w:rPr>
                <w:rFonts w:ascii="宋体" w:hAnsi="宋体" w:cs="宋体" w:eastAsia="宋体" w:hint="default"/>
                <w:w w:val="100"/>
                <w:sz w:val="21"/>
                <w:szCs w:val="21"/>
              </w:rPr>
              <w:t> </w:t>
            </w:r>
            <w:r>
              <w:rPr>
                <w:rFonts w:ascii="宋体" w:hAnsi="宋体" w:cs="宋体" w:eastAsia="宋体" w:hint="default"/>
                <w:sz w:val="21"/>
                <w:szCs w:val="21"/>
              </w:rPr>
              <w:t>投入金额</w:t>
            </w:r>
          </w:p>
          <w:p>
            <w:pPr>
              <w:pStyle w:val="TableParagraph"/>
              <w:spacing w:line="240" w:lineRule="auto" w:before="53"/>
              <w:ind w:right="0"/>
              <w:jc w:val="center"/>
              <w:rPr>
                <w:rFonts w:ascii="Arial" w:hAnsi="Arial" w:cs="Arial" w:eastAsia="Arial" w:hint="default"/>
                <w:sz w:val="21"/>
                <w:szCs w:val="21"/>
              </w:rPr>
            </w:pPr>
            <w:r>
              <w:rPr>
                <w:rFonts w:ascii="Arial"/>
                <w:sz w:val="21"/>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92" w:lineRule="auto"/>
              <w:ind w:left="33" w:right="29" w:firstLine="19"/>
              <w:jc w:val="both"/>
              <w:rPr>
                <w:rFonts w:ascii="Arial" w:hAnsi="Arial" w:cs="Arial" w:eastAsia="Arial"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投资进度</w:t>
            </w:r>
            <w:r>
              <w:rPr>
                <w:rFonts w:ascii="宋体" w:hAnsi="宋体" w:cs="宋体" w:eastAsia="宋体" w:hint="default"/>
                <w:w w:val="100"/>
                <w:sz w:val="21"/>
                <w:szCs w:val="21"/>
              </w:rPr>
              <w:t> </w:t>
            </w:r>
            <w:r>
              <w:rPr>
                <w:rFonts w:ascii="Arial" w:hAnsi="Arial" w:cs="Arial" w:eastAsia="Arial" w:hint="default"/>
                <w:sz w:val="21"/>
                <w:szCs w:val="21"/>
              </w:rPr>
              <w:t>(3)=(2)/(1</w:t>
            </w:r>
          </w:p>
          <w:p>
            <w:pPr>
              <w:pStyle w:val="TableParagraph"/>
              <w:spacing w:line="240" w:lineRule="auto" w:before="19"/>
              <w:ind w:left="3" w:right="0"/>
              <w:jc w:val="center"/>
              <w:rPr>
                <w:rFonts w:ascii="Arial" w:hAnsi="Arial" w:cs="Arial" w:eastAsia="Arial" w:hint="default"/>
                <w:sz w:val="21"/>
                <w:szCs w:val="21"/>
              </w:rPr>
            </w:pPr>
            <w:r>
              <w:rPr>
                <w:rFonts w:ascii="Arial"/>
                <w:w w:val="100"/>
                <w:sz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1" w:right="65"/>
              <w:jc w:val="center"/>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100"/>
                <w:sz w:val="21"/>
                <w:szCs w:val="21"/>
              </w:rPr>
              <w:t> </w:t>
            </w:r>
            <w:r>
              <w:rPr>
                <w:rFonts w:ascii="宋体" w:hAnsi="宋体" w:cs="宋体" w:eastAsia="宋体" w:hint="default"/>
                <w:sz w:val="21"/>
                <w:szCs w:val="21"/>
              </w:rPr>
              <w:t>定可使用状</w:t>
            </w:r>
            <w:r>
              <w:rPr>
                <w:rFonts w:ascii="宋体" w:hAnsi="宋体" w:cs="宋体" w:eastAsia="宋体" w:hint="default"/>
                <w:w w:val="100"/>
                <w:sz w:val="21"/>
                <w:szCs w:val="21"/>
              </w:rPr>
              <w:t> </w:t>
            </w:r>
            <w:r>
              <w:rPr>
                <w:rFonts w:ascii="宋体" w:hAnsi="宋体" w:cs="宋体" w:eastAsia="宋体" w:hint="default"/>
                <w:sz w:val="21"/>
                <w:szCs w:val="21"/>
              </w:rPr>
              <w:t>态日期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2" w:right="68"/>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22" w:right="11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2" w:right="50"/>
              <w:jc w:val="center"/>
              <w:rPr>
                <w:rFonts w:ascii="宋体" w:hAnsi="宋体" w:cs="宋体" w:eastAsia="宋体" w:hint="default"/>
                <w:sz w:val="21"/>
                <w:szCs w:val="21"/>
              </w:rPr>
            </w:pPr>
            <w:r>
              <w:rPr>
                <w:rFonts w:ascii="宋体" w:hAnsi="宋体" w:cs="宋体" w:eastAsia="宋体" w:hint="default"/>
                <w:sz w:val="21"/>
                <w:szCs w:val="21"/>
              </w:rPr>
              <w:t>变更后的</w:t>
            </w:r>
            <w:r>
              <w:rPr>
                <w:rFonts w:ascii="宋体" w:hAnsi="宋体" w:cs="宋体" w:eastAsia="宋体" w:hint="default"/>
                <w:w w:val="100"/>
                <w:sz w:val="21"/>
                <w:szCs w:val="21"/>
              </w:rPr>
              <w:t> </w:t>
            </w:r>
            <w:r>
              <w:rPr>
                <w:rFonts w:ascii="宋体" w:hAnsi="宋体" w:cs="宋体" w:eastAsia="宋体" w:hint="default"/>
                <w:sz w:val="21"/>
                <w:szCs w:val="21"/>
              </w:rPr>
              <w:t>项目可行</w:t>
            </w:r>
            <w:r>
              <w:rPr>
                <w:rFonts w:ascii="宋体" w:hAnsi="宋体" w:cs="宋体" w:eastAsia="宋体" w:hint="default"/>
                <w:w w:val="100"/>
                <w:sz w:val="21"/>
                <w:szCs w:val="21"/>
              </w:rPr>
              <w:t> </w:t>
            </w:r>
            <w:r>
              <w:rPr>
                <w:rFonts w:ascii="宋体" w:hAnsi="宋体" w:cs="宋体" w:eastAsia="宋体" w:hint="default"/>
                <w:sz w:val="21"/>
                <w:szCs w:val="21"/>
              </w:rPr>
              <w:t>性是否发</w:t>
            </w:r>
            <w:r>
              <w:rPr>
                <w:rFonts w:ascii="宋体" w:hAnsi="宋体" w:cs="宋体" w:eastAsia="宋体" w:hint="default"/>
                <w:w w:val="100"/>
                <w:sz w:val="21"/>
                <w:szCs w:val="21"/>
              </w:rPr>
              <w:t> </w:t>
            </w:r>
            <w:r>
              <w:rPr>
                <w:rFonts w:ascii="宋体" w:hAnsi="宋体" w:cs="宋体" w:eastAsia="宋体" w:hint="default"/>
                <w:sz w:val="21"/>
                <w:szCs w:val="21"/>
              </w:rPr>
              <w:t>生重大变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34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9"/>
              <w:jc w:val="both"/>
              <w:rPr>
                <w:rFonts w:ascii="宋体" w:hAnsi="宋体" w:cs="宋体" w:eastAsia="宋体" w:hint="default"/>
                <w:sz w:val="21"/>
                <w:szCs w:val="21"/>
              </w:rPr>
            </w:pPr>
            <w:r>
              <w:rPr>
                <w:rFonts w:ascii="宋体" w:hAnsi="宋体" w:cs="宋体" w:eastAsia="宋体" w:hint="default"/>
                <w:sz w:val="21"/>
                <w:szCs w:val="21"/>
              </w:rPr>
              <w:t>信息应用</w:t>
            </w:r>
            <w:r>
              <w:rPr>
                <w:rFonts w:ascii="宋体" w:hAnsi="宋体" w:cs="宋体" w:eastAsia="宋体" w:hint="default"/>
                <w:w w:val="100"/>
                <w:sz w:val="21"/>
                <w:szCs w:val="21"/>
              </w:rPr>
              <w:t> </w:t>
            </w:r>
            <w:r>
              <w:rPr>
                <w:rFonts w:ascii="宋体" w:hAnsi="宋体" w:cs="宋体" w:eastAsia="宋体" w:hint="default"/>
                <w:sz w:val="21"/>
                <w:szCs w:val="21"/>
              </w:rPr>
              <w:t>运维管理</w:t>
            </w:r>
            <w:r>
              <w:rPr>
                <w:rFonts w:ascii="宋体" w:hAnsi="宋体" w:cs="宋体" w:eastAsia="宋体" w:hint="default"/>
                <w:w w:val="100"/>
                <w:sz w:val="21"/>
                <w:szCs w:val="21"/>
              </w:rPr>
              <w:t> </w:t>
            </w:r>
            <w:r>
              <w:rPr>
                <w:rFonts w:ascii="宋体" w:hAnsi="宋体" w:cs="宋体" w:eastAsia="宋体" w:hint="default"/>
                <w:sz w:val="21"/>
                <w:szCs w:val="21"/>
              </w:rPr>
              <w:t>与服务系</w:t>
            </w:r>
            <w:r>
              <w:rPr>
                <w:rFonts w:ascii="宋体" w:hAnsi="宋体" w:cs="宋体" w:eastAsia="宋体" w:hint="default"/>
                <w:w w:val="100"/>
                <w:sz w:val="21"/>
                <w:szCs w:val="21"/>
              </w:rPr>
              <w:t> </w:t>
            </w:r>
            <w:r>
              <w:rPr>
                <w:rFonts w:ascii="宋体" w:hAnsi="宋体" w:cs="宋体" w:eastAsia="宋体" w:hint="default"/>
                <w:sz w:val="21"/>
                <w:szCs w:val="21"/>
              </w:rPr>
              <w:t>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9"/>
              <w:jc w:val="both"/>
              <w:rPr>
                <w:rFonts w:ascii="宋体" w:hAnsi="宋体" w:cs="宋体" w:eastAsia="宋体" w:hint="default"/>
                <w:sz w:val="21"/>
                <w:szCs w:val="21"/>
              </w:rPr>
            </w:pPr>
            <w:r>
              <w:rPr>
                <w:rFonts w:ascii="宋体" w:hAnsi="宋体" w:cs="宋体" w:eastAsia="宋体" w:hint="default"/>
                <w:sz w:val="21"/>
                <w:szCs w:val="21"/>
              </w:rPr>
              <w:t>信息应用</w:t>
            </w:r>
            <w:r>
              <w:rPr>
                <w:rFonts w:ascii="宋体" w:hAnsi="宋体" w:cs="宋体" w:eastAsia="宋体" w:hint="default"/>
                <w:w w:val="100"/>
                <w:sz w:val="21"/>
                <w:szCs w:val="21"/>
              </w:rPr>
              <w:t> </w:t>
            </w:r>
            <w:r>
              <w:rPr>
                <w:rFonts w:ascii="宋体" w:hAnsi="宋体" w:cs="宋体" w:eastAsia="宋体" w:hint="default"/>
                <w:sz w:val="21"/>
                <w:szCs w:val="21"/>
              </w:rPr>
              <w:t>运维管理</w:t>
            </w:r>
            <w:r>
              <w:rPr>
                <w:rFonts w:ascii="宋体" w:hAnsi="宋体" w:cs="宋体" w:eastAsia="宋体" w:hint="default"/>
                <w:w w:val="100"/>
                <w:sz w:val="21"/>
                <w:szCs w:val="21"/>
              </w:rPr>
              <w:t> </w:t>
            </w:r>
            <w:r>
              <w:rPr>
                <w:rFonts w:ascii="宋体" w:hAnsi="宋体" w:cs="宋体" w:eastAsia="宋体" w:hint="default"/>
                <w:sz w:val="21"/>
                <w:szCs w:val="21"/>
              </w:rPr>
              <w:t>与服务系</w:t>
            </w:r>
            <w:r>
              <w:rPr>
                <w:rFonts w:ascii="宋体" w:hAnsi="宋体" w:cs="宋体" w:eastAsia="宋体" w:hint="default"/>
                <w:w w:val="100"/>
                <w:sz w:val="21"/>
                <w:szCs w:val="21"/>
              </w:rPr>
              <w:t> </w:t>
            </w:r>
            <w:r>
              <w:rPr>
                <w:rFonts w:ascii="宋体" w:hAnsi="宋体" w:cs="宋体" w:eastAsia="宋体" w:hint="default"/>
                <w:sz w:val="21"/>
                <w:szCs w:val="21"/>
              </w:rPr>
              <w:t>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3,450.78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3,450.78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6" w:right="0"/>
              <w:jc w:val="center"/>
              <w:rPr>
                <w:rFonts w:ascii="Arial" w:hAnsi="Arial" w:cs="Arial" w:eastAsia="Arial" w:hint="default"/>
                <w:sz w:val="21"/>
                <w:szCs w:val="21"/>
              </w:rPr>
            </w:pPr>
            <w:r>
              <w:rPr>
                <w:rFonts w:ascii="Arial"/>
                <w:sz w:val="21"/>
              </w:rPr>
              <w:t>100.00%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Arial" w:hAnsi="Arial" w:cs="Arial" w:eastAsia="Arial" w:hint="default"/>
                <w:sz w:val="21"/>
                <w:szCs w:val="21"/>
              </w:rPr>
            </w:pPr>
            <w:r>
              <w:rPr>
                <w:rFonts w:ascii="Arial" w:hAnsi="Arial" w:cs="Arial" w:eastAsia="Arial" w:hint="default"/>
                <w:sz w:val="21"/>
                <w:szCs w:val="21"/>
              </w:rPr>
              <w:t>2013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12</w:t>
            </w:r>
            <w:r>
              <w:rPr>
                <w:rFonts w:ascii="Arial" w:hAnsi="Arial" w:cs="Arial" w:eastAsia="Arial" w:hint="default"/>
                <w:sz w:val="21"/>
                <w:szCs w:val="21"/>
              </w:rPr>
            </w:r>
          </w:p>
          <w:p>
            <w:pPr>
              <w:pStyle w:val="TableParagraph"/>
              <w:spacing w:line="240" w:lineRule="auto" w:before="2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1,094.11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3,450.78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3,450.78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1,094.11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r>
      <w:tr>
        <w:trPr>
          <w:trHeight w:val="715" w:hRule="exact"/>
        </w:trPr>
        <w:tc>
          <w:tcPr>
            <w:tcW w:w="28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4"/>
              <w:jc w:val="left"/>
              <w:rPr>
                <w:rFonts w:ascii="Arial" w:hAnsi="Arial" w:cs="Arial" w:eastAsia="Arial" w:hint="default"/>
                <w:sz w:val="21"/>
                <w:szCs w:val="21"/>
              </w:rPr>
            </w:pPr>
            <w:r>
              <w:rPr>
                <w:rFonts w:ascii="宋体" w:hAnsi="宋体" w:cs="宋体" w:eastAsia="宋体" w:hint="default"/>
                <w:spacing w:val="-2"/>
                <w:sz w:val="21"/>
                <w:szCs w:val="21"/>
              </w:rPr>
              <w:t>变更原因、决策程序及信息披</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露情况说明</w:t>
            </w:r>
            <w:r>
              <w:rPr>
                <w:rFonts w:ascii="Arial" w:hAnsi="Arial" w:cs="Arial" w:eastAsia="Arial" w:hint="default"/>
                <w:sz w:val="21"/>
                <w:szCs w:val="21"/>
              </w:rPr>
              <w:t>(</w:t>
            </w:r>
            <w:r>
              <w:rPr>
                <w:rFonts w:ascii="宋体" w:hAnsi="宋体" w:cs="宋体" w:eastAsia="宋体" w:hint="default"/>
                <w:sz w:val="21"/>
                <w:szCs w:val="21"/>
              </w:rPr>
              <w:t>分具体项目</w:t>
            </w:r>
            <w:r>
              <w:rPr>
                <w:rFonts w:ascii="Arial" w:hAnsi="Arial" w:cs="Arial" w:eastAsia="Arial" w:hint="default"/>
                <w:sz w:val="21"/>
                <w:szCs w:val="21"/>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26" w:firstLine="420"/>
              <w:jc w:val="left"/>
              <w:rPr>
                <w:rFonts w:ascii="宋体" w:hAnsi="宋体" w:cs="宋体" w:eastAsia="宋体" w:hint="default"/>
                <w:sz w:val="21"/>
                <w:szCs w:val="21"/>
              </w:rPr>
            </w:pPr>
            <w:r>
              <w:rPr>
                <w:rFonts w:ascii="宋体" w:hAnsi="宋体" w:cs="宋体" w:eastAsia="宋体" w:hint="default"/>
                <w:sz w:val="21"/>
                <w:szCs w:val="21"/>
              </w:rPr>
              <w:t>经公司 </w:t>
            </w:r>
            <w:r>
              <w:rPr>
                <w:rFonts w:ascii="Arial" w:hAnsi="Arial" w:cs="Arial" w:eastAsia="Arial" w:hint="default"/>
                <w:sz w:val="21"/>
                <w:szCs w:val="21"/>
              </w:rPr>
              <w:t>2012</w:t>
            </w:r>
            <w:r>
              <w:rPr>
                <w:rFonts w:ascii="Arial" w:hAnsi="Arial" w:cs="Arial" w:eastAsia="Arial" w:hint="default"/>
                <w:spacing w:val="42"/>
                <w:sz w:val="21"/>
                <w:szCs w:val="21"/>
              </w:rPr>
              <w:t> </w:t>
            </w:r>
            <w:r>
              <w:rPr>
                <w:rFonts w:ascii="宋体" w:hAnsi="宋体" w:cs="宋体" w:eastAsia="宋体" w:hint="default"/>
                <w:sz w:val="21"/>
                <w:szCs w:val="21"/>
              </w:rPr>
              <w:t>年第一次临时股东大会审议通过，</w:t>
            </w:r>
            <w:r>
              <w:rPr>
                <w:rFonts w:ascii="Arial" w:hAnsi="Arial" w:cs="Arial" w:eastAsia="Arial" w:hint="default"/>
                <w:sz w:val="21"/>
                <w:szCs w:val="21"/>
              </w:rPr>
              <w:t>"</w:t>
            </w:r>
            <w:r>
              <w:rPr>
                <w:rFonts w:ascii="宋体" w:hAnsi="宋体" w:cs="宋体" w:eastAsia="宋体" w:hint="default"/>
                <w:sz w:val="21"/>
                <w:szCs w:val="21"/>
              </w:rPr>
              <w:t>信息应用运维管理</w:t>
            </w:r>
            <w:r>
              <w:rPr>
                <w:rFonts w:ascii="宋体" w:hAnsi="宋体" w:cs="宋体" w:eastAsia="宋体" w:hint="default"/>
                <w:w w:val="100"/>
                <w:sz w:val="21"/>
                <w:szCs w:val="21"/>
              </w:rPr>
              <w:t> </w:t>
            </w:r>
            <w:r>
              <w:rPr>
                <w:rFonts w:ascii="宋体" w:hAnsi="宋体" w:cs="宋体" w:eastAsia="宋体" w:hint="default"/>
                <w:sz w:val="21"/>
                <w:szCs w:val="21"/>
              </w:rPr>
              <w:t>与服务系统</w:t>
            </w:r>
            <w:r>
              <w:rPr>
                <w:rFonts w:ascii="宋体" w:hAnsi="宋体" w:cs="宋体" w:eastAsia="宋体" w:hint="default"/>
                <w:spacing w:val="-1"/>
                <w:sz w:val="21"/>
                <w:szCs w:val="21"/>
              </w:rPr>
              <w:t> </w:t>
            </w:r>
            <w:r>
              <w:rPr>
                <w:rFonts w:ascii="Arial" w:hAnsi="Arial" w:cs="Arial" w:eastAsia="Arial" w:hint="default"/>
                <w:sz w:val="21"/>
                <w:szCs w:val="21"/>
              </w:rPr>
              <w:t>”</w:t>
            </w:r>
            <w:r>
              <w:rPr>
                <w:rFonts w:ascii="宋体" w:hAnsi="宋体" w:cs="宋体" w:eastAsia="宋体" w:hint="default"/>
                <w:sz w:val="21"/>
                <w:szCs w:val="21"/>
              </w:rPr>
              <w:t>项目变更由公司全资子公司华宇信息实施。</w:t>
            </w:r>
          </w:p>
        </w:tc>
      </w:tr>
      <w:tr>
        <w:trPr>
          <w:trHeight w:val="713" w:hRule="exact"/>
        </w:trPr>
        <w:tc>
          <w:tcPr>
            <w:tcW w:w="28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4"/>
              <w:jc w:val="left"/>
              <w:rPr>
                <w:rFonts w:ascii="Arial" w:hAnsi="Arial" w:cs="Arial" w:eastAsia="Arial" w:hint="default"/>
                <w:sz w:val="21"/>
                <w:szCs w:val="21"/>
              </w:rPr>
            </w:pPr>
            <w:r>
              <w:rPr>
                <w:rFonts w:ascii="宋体" w:hAnsi="宋体" w:cs="宋体" w:eastAsia="宋体" w:hint="default"/>
                <w:spacing w:val="-2"/>
                <w:sz w:val="21"/>
                <w:szCs w:val="21"/>
              </w:rPr>
              <w:t>未达到计划进度或预计收益的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情况和原因</w:t>
            </w:r>
            <w:r>
              <w:rPr>
                <w:rFonts w:ascii="Arial" w:hAnsi="Arial" w:cs="Arial" w:eastAsia="Arial" w:hint="default"/>
                <w:sz w:val="21"/>
                <w:szCs w:val="21"/>
              </w:rPr>
              <w:t>(</w:t>
            </w:r>
            <w:r>
              <w:rPr>
                <w:rFonts w:ascii="宋体" w:hAnsi="宋体" w:cs="宋体" w:eastAsia="宋体" w:hint="default"/>
                <w:sz w:val="21"/>
                <w:szCs w:val="21"/>
              </w:rPr>
              <w:t>分具体项目</w:t>
            </w:r>
            <w:r>
              <w:rPr>
                <w:rFonts w:ascii="Arial" w:hAnsi="Arial" w:cs="Arial" w:eastAsia="Arial" w:hint="default"/>
                <w:sz w:val="21"/>
                <w:szCs w:val="21"/>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6" w:hRule="exact"/>
        </w:trPr>
        <w:tc>
          <w:tcPr>
            <w:tcW w:w="28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4"/>
              <w:jc w:val="left"/>
              <w:rPr>
                <w:rFonts w:ascii="宋体" w:hAnsi="宋体" w:cs="宋体" w:eastAsia="宋体" w:hint="default"/>
                <w:sz w:val="21"/>
                <w:szCs w:val="21"/>
              </w:rPr>
            </w:pPr>
            <w:r>
              <w:rPr>
                <w:rFonts w:ascii="宋体" w:hAnsi="宋体" w:cs="宋体" w:eastAsia="宋体" w:hint="default"/>
                <w:spacing w:val="-2"/>
                <w:sz w:val="21"/>
                <w:szCs w:val="21"/>
              </w:rPr>
              <w:t>变更后的项目可行性发生重大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变化的情况说明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48"/>
        <w:ind w:right="0"/>
        <w:jc w:val="left"/>
      </w:pPr>
      <w:r>
        <w:rPr>
          <w:rFonts w:ascii="Arial" w:hAnsi="Arial" w:cs="Arial" w:eastAsia="Arial" w:hint="default"/>
        </w:rPr>
        <w:t>3</w:t>
      </w:r>
      <w:r>
        <w:rPr/>
        <w:t>）非募集资金投资的重大项目情况</w:t>
      </w:r>
    </w:p>
    <w:p>
      <w:pPr>
        <w:pStyle w:val="BodyText"/>
        <w:spacing w:line="331" w:lineRule="auto" w:before="113"/>
        <w:ind w:right="52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公司报告期无非募集资金投资的重大项目。 </w:t>
      </w:r>
      <w:r>
        <w:rPr>
          <w:rFonts w:ascii="Arial" w:hAnsi="Arial" w:cs="Arial" w:eastAsia="Arial" w:hint="default"/>
        </w:rPr>
        <w:t>4</w:t>
      </w:r>
      <w:r>
        <w:rPr/>
        <w:t>）持有其他上市公司股权情况</w:t>
      </w:r>
    </w:p>
    <w:p>
      <w:pPr>
        <w:pStyle w:val="BodyText"/>
        <w:spacing w:line="240" w:lineRule="auto" w:before="11"/>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115"/>
        <w:ind w:right="0"/>
        <w:jc w:val="left"/>
      </w:pPr>
      <w:r>
        <w:rPr>
          <w:rFonts w:ascii="Arial" w:hAnsi="Arial" w:cs="Arial" w:eastAsia="Arial" w:hint="default"/>
        </w:rPr>
        <w:t>5</w:t>
      </w:r>
      <w:r>
        <w:rPr/>
        <w:t>）持有金融企业股权情况</w:t>
      </w:r>
    </w:p>
    <w:p>
      <w:pPr>
        <w:pStyle w:val="BodyText"/>
        <w:spacing w:line="331" w:lineRule="auto" w:before="115"/>
        <w:ind w:right="6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公司报告期未持有金融企业股权。 </w:t>
      </w:r>
      <w:r>
        <w:rPr>
          <w:rFonts w:ascii="Arial" w:hAnsi="Arial" w:cs="Arial" w:eastAsia="Arial" w:hint="default"/>
        </w:rPr>
        <w:t>6</w:t>
      </w:r>
      <w:r>
        <w:rPr/>
        <w:t>）买卖其他上市公司股份的情况</w:t>
      </w:r>
    </w:p>
    <w:p>
      <w:pPr>
        <w:pStyle w:val="BodyText"/>
        <w:spacing w:line="240" w:lineRule="auto" w:before="13"/>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113"/>
        <w:ind w:right="0"/>
        <w:jc w:val="left"/>
      </w:pPr>
      <w:r>
        <w:rPr>
          <w:rFonts w:ascii="Arial" w:hAnsi="Arial" w:cs="Arial" w:eastAsia="Arial" w:hint="default"/>
        </w:rPr>
        <w:t>7</w:t>
      </w:r>
      <w:r>
        <w:rPr/>
        <w:t>）以公允价值计量的金融资产</w:t>
      </w:r>
    </w:p>
    <w:p>
      <w:pPr>
        <w:pStyle w:val="BodyText"/>
        <w:spacing w:line="240" w:lineRule="auto" w:before="115"/>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74"/>
        <w:ind w:left="0" w:right="148" w:firstLine="0"/>
        <w:jc w:val="right"/>
        <w:rPr>
          <w:rFonts w:ascii="Arial" w:hAnsi="Arial" w:cs="Arial" w:eastAsia="Arial" w:hint="default"/>
          <w:sz w:val="21"/>
          <w:szCs w:val="21"/>
        </w:rPr>
      </w:pPr>
      <w:r>
        <w:rPr>
          <w:rFonts w:ascii="Arial"/>
          <w:b/>
          <w:sz w:val="21"/>
        </w:rPr>
        <w:t>29</w:t>
      </w:r>
      <w:r>
        <w:rPr>
          <w:rFonts w:ascii="Arial"/>
          <w:sz w:val="21"/>
        </w:rPr>
      </w:r>
    </w:p>
    <w:p>
      <w:pPr>
        <w:spacing w:after="0"/>
        <w:jc w:val="right"/>
        <w:rPr>
          <w:rFonts w:ascii="Arial" w:hAnsi="Arial" w:cs="Arial" w:eastAsia="Arial" w:hint="default"/>
          <w:sz w:val="21"/>
          <w:szCs w:val="21"/>
        </w:rPr>
        <w:sectPr>
          <w:type w:val="continuous"/>
          <w:pgSz w:w="11910" w:h="16840"/>
          <w:pgMar w:top="1100" w:bottom="1200" w:left="980" w:right="980"/>
        </w:sectPr>
      </w:pPr>
    </w:p>
    <w:p>
      <w:pPr>
        <w:spacing w:before="14"/>
        <w:ind w:left="0" w:right="477" w:firstLine="0"/>
        <w:jc w:val="right"/>
        <w:rPr>
          <w:rFonts w:ascii="宋体" w:hAnsi="宋体" w:cs="宋体" w:eastAsia="宋体" w:hint="default"/>
          <w:sz w:val="21"/>
          <w:szCs w:val="21"/>
        </w:rPr>
      </w:pPr>
      <w:r>
        <w:rPr>
          <w:rFonts w:ascii="宋体" w:hAnsi="宋体" w:cs="宋体" w:eastAsia="宋体" w:hint="default"/>
          <w:b/>
          <w:bCs/>
          <w:sz w:val="21"/>
          <w:szCs w:val="21"/>
        </w:rPr>
        <w:t>北京华宇软件股份有限公司</w:t>
      </w:r>
      <w:r>
        <w:rPr>
          <w:rFonts w:ascii="宋体" w:hAnsi="宋体" w:cs="宋体" w:eastAsia="宋体" w:hint="default"/>
          <w:b/>
          <w:bCs/>
          <w:spacing w:val="-53"/>
          <w:sz w:val="21"/>
          <w:szCs w:val="21"/>
        </w:rPr>
        <w:t> </w:t>
      </w:r>
      <w:r>
        <w:rPr>
          <w:rFonts w:ascii="Arial" w:hAnsi="Arial" w:cs="Arial" w:eastAsia="Arial" w:hint="default"/>
          <w:b/>
          <w:bCs/>
          <w:sz w:val="21"/>
          <w:szCs w:val="21"/>
        </w:rPr>
        <w:t>2014</w:t>
      </w:r>
      <w:r>
        <w:rPr>
          <w:rFonts w:ascii="Arial" w:hAnsi="Arial" w:cs="Arial" w:eastAsia="Arial" w:hint="default"/>
          <w:b/>
          <w:bCs/>
          <w:spacing w:val="-8"/>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18"/>
          <w:szCs w:val="18"/>
        </w:rPr>
      </w:pPr>
    </w:p>
    <w:p>
      <w:pPr>
        <w:pStyle w:val="Heading3"/>
        <w:spacing w:line="240" w:lineRule="auto" w:before="26"/>
        <w:ind w:left="260" w:right="0"/>
        <w:jc w:val="left"/>
        <w:rPr>
          <w:b w:val="0"/>
          <w:bCs w:val="0"/>
        </w:rPr>
      </w:pPr>
      <w:r>
        <w:rPr/>
        <w:t>（</w:t>
      </w:r>
      <w:r>
        <w:rPr>
          <w:rFonts w:ascii="Arial" w:hAnsi="Arial" w:cs="Arial" w:eastAsia="Arial" w:hint="default"/>
        </w:rPr>
        <w:t>6</w:t>
      </w:r>
      <w:r>
        <w:rPr/>
        <w:t>）主要控股参股公司分析</w:t>
      </w:r>
      <w:r>
        <w:rPr>
          <w:b w:val="0"/>
          <w:bCs w:val="0"/>
        </w:rPr>
      </w:r>
    </w:p>
    <w:p>
      <w:pPr>
        <w:spacing w:line="240" w:lineRule="auto" w:before="6"/>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headerReference w:type="default" r:id="rId21"/>
          <w:footerReference w:type="default" r:id="rId22"/>
          <w:pgSz w:w="16840" w:h="11910" w:orient="landscape"/>
          <w:pgMar w:header="0" w:footer="0" w:top="800" w:bottom="280" w:left="1180" w:right="960"/>
        </w:sectPr>
      </w:pPr>
    </w:p>
    <w:p>
      <w:pPr>
        <w:spacing w:line="324" w:lineRule="auto" w:before="26"/>
        <w:ind w:left="260" w:right="0"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7"/>
          <w:sz w:val="24"/>
          <w:szCs w:val="24"/>
        </w:rPr>
        <w:t> </w:t>
      </w:r>
      <w:r>
        <w:rPr>
          <w:rFonts w:ascii="宋体" w:hAnsi="宋体" w:cs="宋体" w:eastAsia="宋体" w:hint="default"/>
          <w:sz w:val="24"/>
          <w:szCs w:val="24"/>
        </w:rPr>
        <w:t>不适用 </w:t>
      </w:r>
      <w:r>
        <w:rPr>
          <w:rFonts w:ascii="宋体" w:hAnsi="宋体" w:cs="宋体" w:eastAsia="宋体" w:hint="default"/>
          <w:b/>
          <w:bCs/>
          <w:w w:val="95"/>
          <w:sz w:val="24"/>
          <w:szCs w:val="24"/>
        </w:rPr>
        <w:t>主要子公司、参股公司情况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spacing w:before="0"/>
        <w:ind w:left="26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6840" w:h="11910" w:orient="landscape"/>
          <w:pgMar w:top="1100" w:bottom="1200" w:left="1180" w:right="960"/>
          <w:cols w:num="2" w:equalWidth="0">
            <w:col w:w="3151" w:space="9969"/>
            <w:col w:w="1580"/>
          </w:cols>
        </w:sectPr>
      </w:pPr>
    </w:p>
    <w:p>
      <w:pPr>
        <w:spacing w:line="240" w:lineRule="auto" w:before="12"/>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985"/>
        <w:gridCol w:w="852"/>
        <w:gridCol w:w="1133"/>
        <w:gridCol w:w="2410"/>
        <w:gridCol w:w="850"/>
        <w:gridCol w:w="1560"/>
        <w:gridCol w:w="1419"/>
        <w:gridCol w:w="1416"/>
        <w:gridCol w:w="1418"/>
        <w:gridCol w:w="1416"/>
      </w:tblGrid>
      <w:tr>
        <w:trPr>
          <w:trHeight w:val="7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11" w:right="206"/>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08" w:right="207"/>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0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355" w:right="355"/>
              <w:jc w:val="left"/>
              <w:rPr>
                <w:rFonts w:ascii="宋体" w:hAnsi="宋体" w:cs="宋体" w:eastAsia="宋体" w:hint="default"/>
                <w:sz w:val="21"/>
                <w:szCs w:val="21"/>
              </w:rPr>
            </w:pPr>
            <w:r>
              <w:rPr>
                <w:rFonts w:ascii="宋体" w:hAnsi="宋体" w:cs="宋体" w:eastAsia="宋体" w:hint="default"/>
                <w:sz w:val="21"/>
                <w:szCs w:val="21"/>
              </w:rPr>
              <w:t>北京华宇信息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1" w:right="46"/>
              <w:jc w:val="left"/>
              <w:rPr>
                <w:rFonts w:ascii="宋体" w:hAnsi="宋体" w:cs="宋体" w:eastAsia="宋体" w:hint="default"/>
                <w:sz w:val="21"/>
                <w:szCs w:val="21"/>
              </w:rPr>
            </w:pPr>
            <w:r>
              <w:rPr>
                <w:rFonts w:ascii="宋体" w:hAnsi="宋体" w:cs="宋体" w:eastAsia="宋体" w:hint="default"/>
                <w:sz w:val="21"/>
                <w:szCs w:val="21"/>
              </w:rPr>
              <w:t>软件与信息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0"/>
              <w:jc w:val="both"/>
              <w:rPr>
                <w:rFonts w:ascii="宋体" w:hAnsi="宋体" w:cs="宋体" w:eastAsia="宋体" w:hint="default"/>
                <w:sz w:val="21"/>
                <w:szCs w:val="21"/>
              </w:rPr>
            </w:pPr>
            <w:r>
              <w:rPr>
                <w:rFonts w:ascii="宋体" w:hAnsi="宋体" w:cs="宋体" w:eastAsia="宋体" w:hint="default"/>
                <w:spacing w:val="-2"/>
                <w:sz w:val="21"/>
                <w:szCs w:val="21"/>
              </w:rPr>
              <w:t>计算机软硬件、电子产品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技术开发、技术转让、技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术咨询、技术服务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965,427,191.28</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381,174,132.17</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805,002,500.99</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138,734,605.05</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156,532,140.12</w:t>
            </w:r>
            <w:r>
              <w:rPr>
                <w:rFonts w:ascii="Arial"/>
                <w:spacing w:val="-1"/>
                <w:sz w:val="21"/>
              </w:rPr>
            </w:r>
          </w:p>
        </w:tc>
      </w:tr>
      <w:tr>
        <w:trPr>
          <w:trHeight w:val="102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2"/>
              <w:ind w:left="146" w:right="144" w:firstLine="209"/>
              <w:jc w:val="left"/>
              <w:rPr>
                <w:rFonts w:ascii="宋体" w:hAnsi="宋体" w:cs="宋体" w:eastAsia="宋体" w:hint="default"/>
                <w:sz w:val="21"/>
                <w:szCs w:val="21"/>
              </w:rPr>
            </w:pPr>
            <w:r>
              <w:rPr>
                <w:rFonts w:ascii="宋体" w:hAnsi="宋体" w:cs="宋体" w:eastAsia="宋体" w:hint="default"/>
                <w:sz w:val="21"/>
                <w:szCs w:val="21"/>
              </w:rPr>
              <w:t>北京亿信华辰</w:t>
            </w:r>
            <w:r>
              <w:rPr>
                <w:rFonts w:ascii="宋体" w:hAnsi="宋体" w:cs="宋体" w:eastAsia="宋体" w:hint="default"/>
                <w:w w:val="100"/>
                <w:sz w:val="21"/>
                <w:szCs w:val="21"/>
              </w:rPr>
              <w:t> </w:t>
            </w:r>
            <w:r>
              <w:rPr>
                <w:rFonts w:ascii="宋体" w:hAnsi="宋体" w:cs="宋体" w:eastAsia="宋体" w:hint="default"/>
                <w:sz w:val="21"/>
                <w:szCs w:val="21"/>
              </w:rPr>
              <w:t>软件有限责任公司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1" w:right="46"/>
              <w:jc w:val="left"/>
              <w:rPr>
                <w:rFonts w:ascii="宋体" w:hAnsi="宋体" w:cs="宋体" w:eastAsia="宋体" w:hint="default"/>
                <w:sz w:val="21"/>
                <w:szCs w:val="21"/>
              </w:rPr>
            </w:pPr>
            <w:r>
              <w:rPr>
                <w:rFonts w:ascii="宋体" w:hAnsi="宋体" w:cs="宋体" w:eastAsia="宋体" w:hint="default"/>
                <w:sz w:val="21"/>
                <w:szCs w:val="21"/>
              </w:rPr>
              <w:t>软件与信息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60"/>
              <w:jc w:val="both"/>
              <w:rPr>
                <w:rFonts w:ascii="宋体" w:hAnsi="宋体" w:cs="宋体" w:eastAsia="宋体" w:hint="default"/>
                <w:sz w:val="21"/>
                <w:szCs w:val="21"/>
              </w:rPr>
            </w:pPr>
            <w:r>
              <w:rPr>
                <w:rFonts w:ascii="宋体" w:hAnsi="宋体" w:cs="宋体" w:eastAsia="宋体" w:hint="default"/>
                <w:spacing w:val="-2"/>
                <w:sz w:val="21"/>
                <w:szCs w:val="21"/>
              </w:rPr>
              <w:t>计算机软硬件、电子产品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技术开发、技术转让、技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术咨询、技术服务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1,000</w:t>
            </w:r>
            <w:r>
              <w:rPr>
                <w:rFonts w:ascii="Arial" w:hAnsi="Arial" w:cs="Arial" w:eastAsia="Arial" w:hint="default"/>
                <w:spacing w:val="-6"/>
                <w:sz w:val="21"/>
                <w:szCs w:val="21"/>
              </w:rPr>
              <w:t> </w:t>
            </w:r>
            <w:r>
              <w:rPr>
                <w:rFonts w:ascii="宋体" w:hAnsi="宋体" w:cs="宋体" w:eastAsia="宋体" w:hint="default"/>
                <w:sz w:val="21"/>
                <w:szCs w:val="21"/>
              </w:rPr>
              <w:t>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58,142,357.87</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49,779,037.77</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57,701,479.57</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w:hAnsi="Arial" w:cs="Arial" w:eastAsia="Arial" w:hint="default"/>
                <w:sz w:val="21"/>
                <w:szCs w:val="21"/>
              </w:rPr>
            </w:pPr>
            <w:r>
              <w:rPr>
                <w:rFonts w:ascii="Arial"/>
                <w:spacing w:val="-1"/>
                <w:w w:val="90"/>
                <w:sz w:val="21"/>
              </w:rPr>
              <w:t>6,590,819.82</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7,367,131.85</w:t>
            </w:r>
            <w:r>
              <w:rPr>
                <w:rFonts w:ascii="Arial"/>
                <w:spacing w:val="-1"/>
                <w:sz w:val="21"/>
              </w:rPr>
            </w:r>
          </w:p>
        </w:tc>
      </w:tr>
      <w:tr>
        <w:trPr>
          <w:trHeight w:val="10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355" w:right="355"/>
              <w:jc w:val="left"/>
              <w:rPr>
                <w:rFonts w:ascii="宋体" w:hAnsi="宋体" w:cs="宋体" w:eastAsia="宋体" w:hint="default"/>
                <w:sz w:val="21"/>
                <w:szCs w:val="21"/>
              </w:rPr>
            </w:pPr>
            <w:r>
              <w:rPr>
                <w:rFonts w:ascii="宋体" w:hAnsi="宋体" w:cs="宋体" w:eastAsia="宋体" w:hint="default"/>
                <w:sz w:val="21"/>
                <w:szCs w:val="21"/>
              </w:rPr>
              <w:t>广州华宇信息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1" w:right="46"/>
              <w:jc w:val="left"/>
              <w:rPr>
                <w:rFonts w:ascii="宋体" w:hAnsi="宋体" w:cs="宋体" w:eastAsia="宋体" w:hint="default"/>
                <w:sz w:val="21"/>
                <w:szCs w:val="21"/>
              </w:rPr>
            </w:pPr>
            <w:r>
              <w:rPr>
                <w:rFonts w:ascii="宋体" w:hAnsi="宋体" w:cs="宋体" w:eastAsia="宋体" w:hint="default"/>
                <w:sz w:val="21"/>
                <w:szCs w:val="21"/>
              </w:rPr>
              <w:t>软件与信息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0"/>
              <w:jc w:val="both"/>
              <w:rPr>
                <w:rFonts w:ascii="宋体" w:hAnsi="宋体" w:cs="宋体" w:eastAsia="宋体" w:hint="default"/>
                <w:sz w:val="21"/>
                <w:szCs w:val="21"/>
              </w:rPr>
            </w:pPr>
            <w:r>
              <w:rPr>
                <w:rFonts w:ascii="宋体" w:hAnsi="宋体" w:cs="宋体" w:eastAsia="宋体" w:hint="default"/>
                <w:spacing w:val="-2"/>
                <w:sz w:val="21"/>
                <w:szCs w:val="21"/>
              </w:rPr>
              <w:t>计算机软硬件、电子产品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技术开发、技术转让、技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术咨询、技术服务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2,000</w:t>
            </w:r>
            <w:r>
              <w:rPr>
                <w:rFonts w:ascii="Arial" w:hAnsi="Arial" w:cs="Arial" w:eastAsia="Arial" w:hint="default"/>
                <w:spacing w:val="-6"/>
                <w:sz w:val="21"/>
                <w:szCs w:val="21"/>
              </w:rPr>
              <w:t> </w:t>
            </w:r>
            <w:r>
              <w:rPr>
                <w:rFonts w:ascii="宋体" w:hAnsi="宋体" w:cs="宋体" w:eastAsia="宋体" w:hint="default"/>
                <w:sz w:val="21"/>
                <w:szCs w:val="21"/>
              </w:rPr>
              <w:t>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123,613,715.95</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85,046,194.43</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94,206,859.96</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w:hAnsi="Arial" w:cs="Arial" w:eastAsia="Arial" w:hint="default"/>
                <w:sz w:val="21"/>
                <w:szCs w:val="21"/>
              </w:rPr>
            </w:pPr>
            <w:r>
              <w:rPr>
                <w:rFonts w:ascii="Arial"/>
                <w:spacing w:val="-1"/>
                <w:w w:val="90"/>
                <w:sz w:val="21"/>
              </w:rPr>
              <w:t>7,621,354.24</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6,318,597.31</w:t>
            </w:r>
            <w:r>
              <w:rPr>
                <w:rFonts w:ascii="Arial"/>
                <w:spacing w:val="-1"/>
                <w:sz w:val="21"/>
              </w:rPr>
            </w:r>
          </w:p>
        </w:tc>
      </w:tr>
      <w:tr>
        <w:trPr>
          <w:trHeight w:val="102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2"/>
              <w:ind w:left="355" w:right="144" w:hanging="210"/>
              <w:jc w:val="left"/>
              <w:rPr>
                <w:rFonts w:ascii="宋体" w:hAnsi="宋体" w:cs="宋体" w:eastAsia="宋体" w:hint="default"/>
                <w:sz w:val="21"/>
                <w:szCs w:val="21"/>
              </w:rPr>
            </w:pPr>
            <w:r>
              <w:rPr>
                <w:rFonts w:ascii="宋体" w:hAnsi="宋体" w:cs="宋体" w:eastAsia="宋体" w:hint="default"/>
                <w:sz w:val="21"/>
                <w:szCs w:val="21"/>
              </w:rPr>
              <w:t>华宇（大连）信息</w:t>
            </w:r>
            <w:r>
              <w:rPr>
                <w:rFonts w:ascii="宋体" w:hAnsi="宋体" w:cs="宋体" w:eastAsia="宋体" w:hint="default"/>
                <w:w w:val="100"/>
                <w:sz w:val="21"/>
                <w:szCs w:val="21"/>
              </w:rPr>
              <w:t> </w:t>
            </w:r>
            <w:r>
              <w:rPr>
                <w:rFonts w:ascii="宋体" w:hAnsi="宋体" w:cs="宋体" w:eastAsia="宋体" w:hint="default"/>
                <w:sz w:val="21"/>
                <w:szCs w:val="21"/>
              </w:rPr>
              <w:t>服务有限公司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1" w:right="46"/>
              <w:jc w:val="left"/>
              <w:rPr>
                <w:rFonts w:ascii="宋体" w:hAnsi="宋体" w:cs="宋体" w:eastAsia="宋体" w:hint="default"/>
                <w:sz w:val="21"/>
                <w:szCs w:val="21"/>
              </w:rPr>
            </w:pPr>
            <w:r>
              <w:rPr>
                <w:rFonts w:ascii="宋体" w:hAnsi="宋体" w:cs="宋体" w:eastAsia="宋体" w:hint="default"/>
                <w:sz w:val="21"/>
                <w:szCs w:val="21"/>
              </w:rPr>
              <w:t>软件与信息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60"/>
              <w:jc w:val="both"/>
              <w:rPr>
                <w:rFonts w:ascii="宋体" w:hAnsi="宋体" w:cs="宋体" w:eastAsia="宋体" w:hint="default"/>
                <w:sz w:val="21"/>
                <w:szCs w:val="21"/>
              </w:rPr>
            </w:pPr>
            <w:r>
              <w:rPr>
                <w:rFonts w:ascii="宋体" w:hAnsi="宋体" w:cs="宋体" w:eastAsia="宋体" w:hint="default"/>
                <w:spacing w:val="-2"/>
                <w:sz w:val="21"/>
                <w:szCs w:val="21"/>
              </w:rPr>
              <w:t>计算机软硬件、电子产品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技术开发、技术转让、技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术咨询、技术服务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41"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125,632,311.74</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114,690,589.82</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16,136,167.69</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w:hAnsi="Arial" w:cs="Arial" w:eastAsia="Arial" w:hint="default"/>
                <w:sz w:val="21"/>
                <w:szCs w:val="21"/>
              </w:rPr>
            </w:pPr>
            <w:r>
              <w:rPr>
                <w:rFonts w:ascii="Arial"/>
                <w:spacing w:val="-1"/>
                <w:w w:val="90"/>
                <w:sz w:val="21"/>
              </w:rPr>
              <w:t>-2,249,294.81</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-1,816,660.33</w:t>
            </w:r>
            <w:r>
              <w:rPr>
                <w:rFonts w:ascii="Arial"/>
                <w:spacing w:val="-1"/>
                <w:sz w:val="21"/>
              </w:rPr>
            </w:r>
          </w:p>
        </w:tc>
      </w:tr>
      <w:tr>
        <w:trPr>
          <w:trHeight w:val="10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355" w:right="144" w:hanging="210"/>
              <w:jc w:val="left"/>
              <w:rPr>
                <w:rFonts w:ascii="宋体" w:hAnsi="宋体" w:cs="宋体" w:eastAsia="宋体" w:hint="default"/>
                <w:sz w:val="21"/>
                <w:szCs w:val="21"/>
              </w:rPr>
            </w:pPr>
            <w:r>
              <w:rPr>
                <w:rFonts w:ascii="宋体" w:hAnsi="宋体" w:cs="宋体" w:eastAsia="宋体" w:hint="default"/>
                <w:sz w:val="21"/>
                <w:szCs w:val="21"/>
              </w:rPr>
              <w:t>华宇金信（北京）</w:t>
            </w:r>
            <w:r>
              <w:rPr>
                <w:rFonts w:ascii="宋体" w:hAnsi="宋体" w:cs="宋体" w:eastAsia="宋体" w:hint="default"/>
                <w:w w:val="100"/>
                <w:sz w:val="21"/>
                <w:szCs w:val="21"/>
              </w:rPr>
              <w:t> </w:t>
            </w:r>
            <w:r>
              <w:rPr>
                <w:rFonts w:ascii="宋体" w:hAnsi="宋体" w:cs="宋体" w:eastAsia="宋体" w:hint="default"/>
                <w:sz w:val="21"/>
                <w:szCs w:val="21"/>
              </w:rPr>
              <w:t>软件有限公司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1" w:right="46"/>
              <w:jc w:val="left"/>
              <w:rPr>
                <w:rFonts w:ascii="宋体" w:hAnsi="宋体" w:cs="宋体" w:eastAsia="宋体" w:hint="default"/>
                <w:sz w:val="21"/>
                <w:szCs w:val="21"/>
              </w:rPr>
            </w:pPr>
            <w:r>
              <w:rPr>
                <w:rFonts w:ascii="宋体" w:hAnsi="宋体" w:cs="宋体" w:eastAsia="宋体" w:hint="default"/>
                <w:sz w:val="21"/>
                <w:szCs w:val="21"/>
              </w:rPr>
              <w:t>软件与信息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0"/>
              <w:jc w:val="both"/>
              <w:rPr>
                <w:rFonts w:ascii="宋体" w:hAnsi="宋体" w:cs="宋体" w:eastAsia="宋体" w:hint="default"/>
                <w:sz w:val="21"/>
                <w:szCs w:val="21"/>
              </w:rPr>
            </w:pPr>
            <w:r>
              <w:rPr>
                <w:rFonts w:ascii="宋体" w:hAnsi="宋体" w:cs="宋体" w:eastAsia="宋体" w:hint="default"/>
                <w:spacing w:val="-2"/>
                <w:sz w:val="21"/>
                <w:szCs w:val="21"/>
              </w:rPr>
              <w:t>计算机软硬件、电子产品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技术开发、技术转让、技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术咨询、技术服务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2,300</w:t>
            </w:r>
            <w:r>
              <w:rPr>
                <w:rFonts w:ascii="Arial" w:hAnsi="Arial" w:cs="Arial" w:eastAsia="Arial" w:hint="default"/>
                <w:spacing w:val="-6"/>
                <w:sz w:val="21"/>
                <w:szCs w:val="21"/>
              </w:rPr>
              <w:t> </w:t>
            </w:r>
            <w:r>
              <w:rPr>
                <w:rFonts w:ascii="宋体" w:hAnsi="宋体" w:cs="宋体" w:eastAsia="宋体" w:hint="default"/>
                <w:sz w:val="21"/>
                <w:szCs w:val="21"/>
              </w:rPr>
              <w:t>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92,636,748.84</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33,524,951.50</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68,309,493.45</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w:hAnsi="Arial" w:cs="Arial" w:eastAsia="Arial" w:hint="default"/>
                <w:sz w:val="21"/>
                <w:szCs w:val="21"/>
              </w:rPr>
            </w:pPr>
            <w:r>
              <w:rPr>
                <w:rFonts w:ascii="Arial"/>
                <w:spacing w:val="-1"/>
                <w:w w:val="90"/>
                <w:sz w:val="21"/>
              </w:rPr>
              <w:t>7,744,985.56</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6,703,038.77</w:t>
            </w:r>
            <w:r>
              <w:rPr>
                <w:rFonts w:ascii="Arial"/>
                <w:spacing w:val="-1"/>
                <w:sz w:val="21"/>
              </w:rPr>
            </w:r>
          </w:p>
        </w:tc>
      </w:tr>
      <w:tr>
        <w:trPr>
          <w:trHeight w:val="102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2"/>
              <w:ind w:left="355" w:right="355"/>
              <w:jc w:val="left"/>
              <w:rPr>
                <w:rFonts w:ascii="宋体" w:hAnsi="宋体" w:cs="宋体" w:eastAsia="宋体" w:hint="default"/>
                <w:sz w:val="21"/>
                <w:szCs w:val="21"/>
              </w:rPr>
            </w:pPr>
            <w:r>
              <w:rPr>
                <w:rFonts w:ascii="宋体" w:hAnsi="宋体" w:cs="宋体" w:eastAsia="宋体" w:hint="default"/>
                <w:sz w:val="21"/>
                <w:szCs w:val="21"/>
              </w:rPr>
              <w:t>北京华宇信码</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1" w:right="46"/>
              <w:jc w:val="left"/>
              <w:rPr>
                <w:rFonts w:ascii="宋体" w:hAnsi="宋体" w:cs="宋体" w:eastAsia="宋体" w:hint="default"/>
                <w:sz w:val="21"/>
                <w:szCs w:val="21"/>
              </w:rPr>
            </w:pPr>
            <w:r>
              <w:rPr>
                <w:rFonts w:ascii="宋体" w:hAnsi="宋体" w:cs="宋体" w:eastAsia="宋体" w:hint="default"/>
                <w:sz w:val="21"/>
                <w:szCs w:val="21"/>
              </w:rPr>
              <w:t>软件与信息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60"/>
              <w:jc w:val="both"/>
              <w:rPr>
                <w:rFonts w:ascii="宋体" w:hAnsi="宋体" w:cs="宋体" w:eastAsia="宋体" w:hint="default"/>
                <w:sz w:val="21"/>
                <w:szCs w:val="21"/>
              </w:rPr>
            </w:pPr>
            <w:r>
              <w:rPr>
                <w:rFonts w:ascii="宋体" w:hAnsi="宋体" w:cs="宋体" w:eastAsia="宋体" w:hint="default"/>
                <w:spacing w:val="-2"/>
                <w:sz w:val="21"/>
                <w:szCs w:val="21"/>
              </w:rPr>
              <w:t>计算机软硬件、电子产品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技术开发、技术转让、技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术咨询、技术服务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1,200</w:t>
            </w:r>
            <w:r>
              <w:rPr>
                <w:rFonts w:ascii="Arial" w:hAnsi="Arial" w:cs="Arial" w:eastAsia="Arial" w:hint="default"/>
                <w:spacing w:val="-6"/>
                <w:sz w:val="21"/>
                <w:szCs w:val="21"/>
              </w:rPr>
              <w:t> </w:t>
            </w:r>
            <w:r>
              <w:rPr>
                <w:rFonts w:ascii="宋体" w:hAnsi="宋体" w:cs="宋体" w:eastAsia="宋体" w:hint="default"/>
                <w:sz w:val="21"/>
                <w:szCs w:val="21"/>
              </w:rPr>
              <w:t>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7,726,920.72</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7,253,001.02</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39,308.18</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w:hAnsi="Arial" w:cs="Arial" w:eastAsia="Arial" w:hint="default"/>
                <w:sz w:val="21"/>
                <w:szCs w:val="21"/>
              </w:rPr>
            </w:pPr>
            <w:r>
              <w:rPr>
                <w:rFonts w:ascii="Arial"/>
                <w:spacing w:val="-1"/>
                <w:w w:val="90"/>
                <w:sz w:val="21"/>
              </w:rPr>
              <w:t>-4,746,998.98</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-4,746,998.98</w:t>
            </w:r>
            <w:r>
              <w:rPr>
                <w:rFonts w:ascii="Arial"/>
                <w:spacing w:val="-1"/>
                <w:sz w:val="21"/>
              </w:rPr>
            </w:r>
          </w:p>
        </w:tc>
      </w:tr>
    </w:tbl>
    <w:p>
      <w:pPr>
        <w:spacing w:line="240" w:lineRule="auto" w:before="6"/>
        <w:rPr>
          <w:rFonts w:ascii="宋体" w:hAnsi="宋体" w:cs="宋体" w:eastAsia="宋体" w:hint="default"/>
          <w:sz w:val="23"/>
          <w:szCs w:val="23"/>
        </w:rPr>
      </w:pPr>
    </w:p>
    <w:p>
      <w:pPr>
        <w:spacing w:before="74"/>
        <w:ind w:left="0" w:right="473" w:firstLine="0"/>
        <w:jc w:val="right"/>
        <w:rPr>
          <w:rFonts w:ascii="Arial" w:hAnsi="Arial" w:cs="Arial" w:eastAsia="Arial" w:hint="default"/>
          <w:sz w:val="21"/>
          <w:szCs w:val="21"/>
        </w:rPr>
      </w:pPr>
      <w:r>
        <w:rPr>
          <w:rFonts w:ascii="Arial"/>
          <w:b/>
          <w:sz w:val="21"/>
        </w:rPr>
        <w:t>30</w:t>
      </w:r>
      <w:r>
        <w:rPr>
          <w:rFonts w:ascii="Arial"/>
          <w:sz w:val="21"/>
        </w:rPr>
      </w:r>
    </w:p>
    <w:p>
      <w:pPr>
        <w:spacing w:after="0"/>
        <w:jc w:val="right"/>
        <w:rPr>
          <w:rFonts w:ascii="Arial" w:hAnsi="Arial" w:cs="Arial" w:eastAsia="Arial" w:hint="default"/>
          <w:sz w:val="21"/>
          <w:szCs w:val="21"/>
        </w:rPr>
        <w:sectPr>
          <w:type w:val="continuous"/>
          <w:pgSz w:w="16840" w:h="11910" w:orient="landscape"/>
          <w:pgMar w:top="1100" w:bottom="1200" w:left="1180" w:right="960"/>
        </w:sectPr>
      </w:pPr>
    </w:p>
    <w:p>
      <w:pPr>
        <w:spacing w:line="240" w:lineRule="auto" w:before="10"/>
        <w:rPr>
          <w:rFonts w:ascii="Arial" w:hAnsi="Arial" w:cs="Arial" w:eastAsia="Arial" w:hint="default"/>
          <w:b/>
          <w:bCs/>
          <w:sz w:val="22"/>
          <w:szCs w:val="22"/>
        </w:rPr>
      </w:pPr>
    </w:p>
    <w:p>
      <w:pPr>
        <w:pStyle w:val="BodyText"/>
        <w:spacing w:line="240" w:lineRule="auto" w:before="26"/>
        <w:ind w:right="0"/>
        <w:jc w:val="both"/>
      </w:pPr>
      <w:r>
        <w:rPr/>
        <w:t>主要子公司、参股公司情况说明</w:t>
      </w:r>
    </w:p>
    <w:p>
      <w:pPr>
        <w:pStyle w:val="BodyText"/>
        <w:spacing w:line="240" w:lineRule="auto" w:before="132"/>
        <w:ind w:right="0"/>
        <w:jc w:val="both"/>
      </w:pPr>
      <w:r>
        <w:rPr>
          <w:rFonts w:ascii="Arial" w:hAnsi="Arial" w:cs="Arial" w:eastAsia="Arial" w:hint="default"/>
        </w:rPr>
        <w:t>1</w:t>
      </w:r>
      <w:r>
        <w:rPr/>
        <w:t>）华宇信息</w:t>
      </w:r>
    </w:p>
    <w:p>
      <w:pPr>
        <w:pStyle w:val="BodyText"/>
        <w:spacing w:line="240" w:lineRule="auto" w:before="113"/>
        <w:ind w:left="633" w:right="0"/>
        <w:jc w:val="left"/>
      </w:pPr>
      <w:r>
        <w:rPr/>
        <w:t>华宇信息成立于</w:t>
      </w:r>
      <w:r>
        <w:rPr>
          <w:spacing w:val="-60"/>
        </w:rPr>
        <w:t> </w:t>
      </w:r>
      <w:r>
        <w:rPr>
          <w:rFonts w:ascii="Arial" w:hAnsi="Arial" w:cs="Arial" w:eastAsia="Arial" w:hint="default"/>
        </w:rPr>
        <w:t>2009</w:t>
      </w:r>
      <w:r>
        <w:rPr>
          <w:rFonts w:ascii="Arial" w:hAnsi="Arial" w:cs="Arial" w:eastAsia="Arial" w:hint="default"/>
          <w:spacing w:val="53"/>
        </w:rPr>
        <w:t> </w:t>
      </w:r>
      <w:r>
        <w:rPr/>
        <w:t>年</w:t>
      </w:r>
      <w:r>
        <w:rPr>
          <w:spacing w:val="-59"/>
        </w:rPr>
        <w:t> </w:t>
      </w:r>
      <w:r>
        <w:rPr>
          <w:rFonts w:ascii="Arial" w:hAnsi="Arial" w:cs="Arial" w:eastAsia="Arial" w:hint="default"/>
        </w:rPr>
        <w:t>9</w:t>
      </w:r>
      <w:r>
        <w:rPr>
          <w:rFonts w:ascii="Arial" w:hAnsi="Arial" w:cs="Arial" w:eastAsia="Arial" w:hint="default"/>
          <w:spacing w:val="55"/>
        </w:rPr>
        <w:t> </w:t>
      </w:r>
      <w:r>
        <w:rPr/>
        <w:t>月</w:t>
      </w:r>
      <w:r>
        <w:rPr>
          <w:spacing w:val="-59"/>
        </w:rPr>
        <w:t> </w:t>
      </w:r>
      <w:r>
        <w:rPr>
          <w:rFonts w:ascii="Arial" w:hAnsi="Arial" w:cs="Arial" w:eastAsia="Arial" w:hint="default"/>
        </w:rPr>
        <w:t>9</w:t>
      </w:r>
      <w:r>
        <w:rPr>
          <w:rFonts w:ascii="Arial" w:hAnsi="Arial" w:cs="Arial" w:eastAsia="Arial" w:hint="default"/>
          <w:spacing w:val="55"/>
        </w:rPr>
        <w:t> </w:t>
      </w:r>
      <w:r>
        <w:rPr>
          <w:spacing w:val="-11"/>
        </w:rPr>
        <w:t>日，注册资本</w:t>
      </w:r>
      <w:r>
        <w:rPr>
          <w:spacing w:val="-59"/>
        </w:rPr>
        <w:t> </w:t>
      </w:r>
      <w:r>
        <w:rPr>
          <w:rFonts w:ascii="Arial" w:hAnsi="Arial" w:cs="Arial" w:eastAsia="Arial" w:hint="default"/>
        </w:rPr>
        <w:t>1</w:t>
      </w:r>
      <w:r>
        <w:rPr>
          <w:rFonts w:ascii="Arial" w:hAnsi="Arial" w:cs="Arial" w:eastAsia="Arial" w:hint="default"/>
          <w:spacing w:val="-5"/>
        </w:rPr>
        <w:t> </w:t>
      </w:r>
      <w:r>
        <w:rPr>
          <w:spacing w:val="-4"/>
        </w:rPr>
        <w:t>亿元，住所为北京市海淀区中关村东路</w:t>
      </w:r>
    </w:p>
    <w:p>
      <w:pPr>
        <w:pStyle w:val="BodyText"/>
        <w:spacing w:line="304" w:lineRule="auto" w:before="74"/>
        <w:ind w:right="152"/>
        <w:jc w:val="both"/>
      </w:pPr>
      <w:r>
        <w:rPr>
          <w:rFonts w:ascii="Arial" w:hAnsi="Arial" w:cs="Arial" w:eastAsia="Arial" w:hint="default"/>
        </w:rPr>
        <w:t>1</w:t>
      </w:r>
      <w:r>
        <w:rPr>
          <w:rFonts w:ascii="Arial" w:hAnsi="Arial" w:cs="Arial" w:eastAsia="Arial" w:hint="default"/>
          <w:spacing w:val="-3"/>
        </w:rPr>
        <w:t> </w:t>
      </w:r>
      <w:r>
        <w:rPr/>
        <w:t>号院</w:t>
      </w:r>
      <w:r>
        <w:rPr>
          <w:spacing w:val="-57"/>
        </w:rPr>
        <w:t> </w:t>
      </w:r>
      <w:r>
        <w:rPr>
          <w:rFonts w:ascii="Arial" w:hAnsi="Arial" w:cs="Arial" w:eastAsia="Arial" w:hint="default"/>
        </w:rPr>
        <w:t>8</w:t>
      </w:r>
      <w:r>
        <w:rPr>
          <w:rFonts w:ascii="Arial" w:hAnsi="Arial" w:cs="Arial" w:eastAsia="Arial" w:hint="default"/>
          <w:spacing w:val="-3"/>
        </w:rPr>
        <w:t> </w:t>
      </w:r>
      <w:r>
        <w:rPr/>
        <w:t>号楼</w:t>
      </w:r>
      <w:r>
        <w:rPr>
          <w:spacing w:val="-57"/>
        </w:rPr>
        <w:t> </w:t>
      </w:r>
      <w:r>
        <w:rPr>
          <w:rFonts w:ascii="Arial" w:hAnsi="Arial" w:cs="Arial" w:eastAsia="Arial" w:hint="default"/>
        </w:rPr>
        <w:t>21</w:t>
      </w:r>
      <w:r>
        <w:rPr>
          <w:rFonts w:ascii="Arial" w:hAnsi="Arial" w:cs="Arial" w:eastAsia="Arial" w:hint="default"/>
          <w:spacing w:val="-3"/>
        </w:rPr>
        <w:t> </w:t>
      </w:r>
      <w:r>
        <w:rPr/>
        <w:t>层</w:t>
      </w:r>
      <w:r>
        <w:rPr>
          <w:spacing w:val="-57"/>
        </w:rPr>
        <w:t> </w:t>
      </w:r>
      <w:r>
        <w:rPr>
          <w:rFonts w:ascii="Arial" w:hAnsi="Arial" w:cs="Arial" w:eastAsia="Arial" w:hint="default"/>
          <w:spacing w:val="-4"/>
        </w:rPr>
        <w:t>C2301</w:t>
      </w:r>
      <w:r>
        <w:rPr>
          <w:spacing w:val="-4"/>
        </w:rPr>
        <w:t>，</w:t>
      </w:r>
      <w:r>
        <w:rPr>
          <w:rFonts w:ascii="Arial" w:hAnsi="Arial" w:cs="Arial" w:eastAsia="Arial" w:hint="default"/>
          <w:spacing w:val="-4"/>
        </w:rPr>
        <w:t>C2302</w:t>
      </w:r>
      <w:r>
        <w:rPr>
          <w:spacing w:val="-4"/>
        </w:rPr>
        <w:t>，经营范围为法律、行政法规、国务院决定禁止的，不得</w:t>
      </w:r>
      <w:r>
        <w:rPr/>
        <w:t> 经营；法律、行政法规、国务院决定规定应经许可的，经审批机关批准并经工商行政管理机 关登记注册后方可经营；法律、行政法规、国务院决定未规定许可的，自主选择经营项目开 展经营活动。公司持有华宇信息</w:t>
      </w:r>
      <w:r>
        <w:rPr>
          <w:spacing w:val="-60"/>
        </w:rPr>
        <w:t> </w:t>
      </w:r>
      <w:r>
        <w:rPr>
          <w:rFonts w:ascii="Arial" w:hAnsi="Arial" w:cs="Arial" w:eastAsia="Arial" w:hint="default"/>
        </w:rPr>
        <w:t>100%</w:t>
      </w:r>
      <w:r>
        <w:rPr/>
        <w:t>股权。</w:t>
      </w:r>
    </w:p>
    <w:p>
      <w:pPr>
        <w:pStyle w:val="BodyText"/>
        <w:spacing w:line="297" w:lineRule="auto" w:before="43"/>
        <w:ind w:right="151" w:firstLine="480"/>
        <w:jc w:val="both"/>
      </w:pPr>
      <w:r>
        <w:rPr/>
        <w:t>华宇软件上市后，将</w:t>
      </w:r>
      <w:r>
        <w:rPr>
          <w:rFonts w:ascii="Arial" w:hAnsi="Arial" w:cs="Arial" w:eastAsia="Arial" w:hint="default"/>
        </w:rPr>
        <w:t>“</w:t>
      </w:r>
      <w:r>
        <w:rPr/>
        <w:t>涉及国家秘密的计算机信息系统甲级资质</w:t>
      </w:r>
      <w:r>
        <w:rPr>
          <w:rFonts w:ascii="Arial" w:hAnsi="Arial" w:cs="Arial" w:eastAsia="Arial" w:hint="default"/>
        </w:rPr>
        <w:t>”</w:t>
      </w:r>
      <w:r>
        <w:rPr/>
        <w:t>、</w:t>
      </w:r>
      <w:r>
        <w:rPr>
          <w:rFonts w:ascii="Arial" w:hAnsi="Arial" w:cs="Arial" w:eastAsia="Arial" w:hint="default"/>
        </w:rPr>
        <w:t>“</w:t>
      </w:r>
      <w:r>
        <w:rPr/>
        <w:t>涉及国家秘密的计算 机信息系统软件开发单项资质</w:t>
      </w:r>
      <w:r>
        <w:rPr>
          <w:rFonts w:ascii="Arial" w:hAnsi="Arial" w:cs="Arial" w:eastAsia="Arial" w:hint="default"/>
        </w:rPr>
        <w:t>”</w:t>
      </w:r>
      <w:r>
        <w:rPr/>
        <w:t>、</w:t>
      </w:r>
      <w:r>
        <w:rPr>
          <w:rFonts w:ascii="Arial" w:hAnsi="Arial" w:cs="Arial" w:eastAsia="Arial" w:hint="default"/>
        </w:rPr>
        <w:t>“</w:t>
      </w:r>
      <w:r>
        <w:rPr/>
        <w:t>计算机信息系统一级资质</w:t>
      </w:r>
      <w:r>
        <w:rPr>
          <w:rFonts w:ascii="Arial" w:hAnsi="Arial" w:cs="Arial" w:eastAsia="Arial" w:hint="default"/>
        </w:rPr>
        <w:t>”</w:t>
      </w:r>
      <w:r>
        <w:rPr/>
        <w:t>以及主要业务转移至华宇信息， </w:t>
      </w:r>
      <w:r>
        <w:rPr>
          <w:spacing w:val="-1"/>
        </w:rPr>
        <w:t>由华宇信息主要负责相关业务的建设和服务</w:t>
      </w:r>
      <w:r>
        <w:rPr>
          <w:rFonts w:ascii="Arial" w:hAnsi="Arial" w:cs="Arial" w:eastAsia="Arial" w:hint="default"/>
          <w:spacing w:val="-1"/>
        </w:rPr>
        <w:t>,</w:t>
      </w:r>
      <w:r>
        <w:rPr>
          <w:spacing w:val="-1"/>
        </w:rPr>
        <w:t>华宇软件作为控股公司负责集团战略管控、投资</w:t>
      </w:r>
      <w:r>
        <w:rPr>
          <w:spacing w:val="-108"/>
        </w:rPr>
        <w:t> </w:t>
      </w:r>
      <w:r>
        <w:rPr>
          <w:spacing w:val="-108"/>
        </w:rPr>
      </w:r>
      <w:r>
        <w:rPr/>
        <w:t>并购以及集团资源整合等工作。报告期内，华宇信息各项业务开展顺利，整体运营良好。报</w:t>
      </w:r>
      <w:r>
        <w:rPr/>
        <w:t> </w:t>
      </w:r>
      <w:r>
        <w:rPr>
          <w:spacing w:val="-4"/>
        </w:rPr>
        <w:t>告期末，总资产</w:t>
      </w:r>
      <w:r>
        <w:rPr>
          <w:spacing w:val="-60"/>
        </w:rPr>
        <w:t> </w:t>
      </w:r>
      <w:r>
        <w:rPr>
          <w:rFonts w:ascii="Arial" w:hAnsi="Arial" w:cs="Arial" w:eastAsia="Arial" w:hint="default"/>
        </w:rPr>
        <w:t>96,542.72</w:t>
      </w:r>
      <w:r>
        <w:rPr>
          <w:rFonts w:ascii="Arial" w:hAnsi="Arial" w:cs="Arial" w:eastAsia="Arial" w:hint="default"/>
          <w:spacing w:val="-5"/>
        </w:rPr>
        <w:t> </w:t>
      </w:r>
      <w:r>
        <w:rPr>
          <w:spacing w:val="-5"/>
        </w:rPr>
        <w:t>万元，净资产</w:t>
      </w:r>
      <w:r>
        <w:rPr>
          <w:spacing w:val="-60"/>
        </w:rPr>
        <w:t> </w:t>
      </w:r>
      <w:r>
        <w:rPr>
          <w:rFonts w:ascii="Arial" w:hAnsi="Arial" w:cs="Arial" w:eastAsia="Arial" w:hint="default"/>
        </w:rPr>
        <w:t>38,117.41</w:t>
      </w:r>
      <w:r>
        <w:rPr>
          <w:rFonts w:ascii="Arial" w:hAnsi="Arial" w:cs="Arial" w:eastAsia="Arial" w:hint="default"/>
          <w:spacing w:val="-5"/>
        </w:rPr>
        <w:t> </w:t>
      </w:r>
      <w:r>
        <w:rPr>
          <w:spacing w:val="-5"/>
        </w:rPr>
        <w:t>万元；报告期内，实现净利润</w:t>
      </w:r>
      <w:r>
        <w:rPr>
          <w:spacing w:val="-60"/>
        </w:rPr>
        <w:t> </w:t>
      </w:r>
      <w:r>
        <w:rPr>
          <w:rFonts w:ascii="Arial" w:hAnsi="Arial" w:cs="Arial" w:eastAsia="Arial" w:hint="default"/>
        </w:rPr>
        <w:t>15,653.21</w:t>
      </w:r>
      <w:r>
        <w:rPr>
          <w:rFonts w:ascii="Arial" w:hAnsi="Arial" w:cs="Arial" w:eastAsia="Arial" w:hint="default"/>
          <w:w w:val="99"/>
        </w:rPr>
        <w:t> </w:t>
      </w:r>
      <w:r>
        <w:rPr/>
        <w:t>万元，相比上年同期增长了</w:t>
      </w:r>
      <w:r>
        <w:rPr>
          <w:spacing w:val="-65"/>
        </w:rPr>
        <w:t> </w:t>
      </w:r>
      <w:r>
        <w:rPr>
          <w:rFonts w:ascii="Arial" w:hAnsi="Arial" w:cs="Arial" w:eastAsia="Arial" w:hint="default"/>
        </w:rPr>
        <w:t>60.96%</w:t>
      </w:r>
      <w:r>
        <w:rPr/>
        <w:t>。华宇信息对公司合并报表有重要影响。</w:t>
      </w:r>
    </w:p>
    <w:p>
      <w:pPr>
        <w:pStyle w:val="BodyText"/>
        <w:spacing w:line="240" w:lineRule="auto" w:before="51"/>
        <w:ind w:left="633" w:right="0"/>
        <w:jc w:val="left"/>
      </w:pPr>
      <w:r>
        <w:rPr>
          <w:rFonts w:ascii="Arial" w:hAnsi="Arial" w:cs="Arial" w:eastAsia="Arial" w:hint="default"/>
        </w:rPr>
        <w:t>2</w:t>
      </w:r>
      <w:r>
        <w:rPr/>
        <w:t>）广州华宇</w:t>
      </w:r>
    </w:p>
    <w:p>
      <w:pPr>
        <w:pStyle w:val="BodyText"/>
        <w:spacing w:line="240" w:lineRule="auto" w:before="113"/>
        <w:ind w:left="633" w:right="0"/>
        <w:jc w:val="left"/>
      </w:pPr>
      <w:r>
        <w:rPr/>
        <w:t>广州华宇成立于 </w:t>
      </w:r>
      <w:r>
        <w:rPr>
          <w:rFonts w:ascii="Arial" w:hAnsi="Arial" w:cs="Arial" w:eastAsia="Arial" w:hint="default"/>
        </w:rPr>
        <w:t>2007 </w:t>
      </w:r>
      <w:r>
        <w:rPr/>
        <w:t>年 </w:t>
      </w:r>
      <w:r>
        <w:rPr>
          <w:rFonts w:ascii="Arial" w:hAnsi="Arial" w:cs="Arial" w:eastAsia="Arial" w:hint="default"/>
        </w:rPr>
        <w:t>9 </w:t>
      </w:r>
      <w:r>
        <w:rPr/>
        <w:t>月 </w:t>
      </w:r>
      <w:r>
        <w:rPr>
          <w:rFonts w:ascii="Arial" w:hAnsi="Arial" w:cs="Arial" w:eastAsia="Arial" w:hint="default"/>
        </w:rPr>
        <w:t>11 </w:t>
      </w:r>
      <w:r>
        <w:rPr>
          <w:spacing w:val="-11"/>
        </w:rPr>
        <w:t>日，注册资本 </w:t>
      </w:r>
      <w:r>
        <w:rPr>
          <w:rFonts w:ascii="Arial" w:hAnsi="Arial" w:cs="Arial" w:eastAsia="Arial" w:hint="default"/>
        </w:rPr>
        <w:t>2,000</w:t>
      </w:r>
      <w:r>
        <w:rPr>
          <w:rFonts w:ascii="Arial" w:hAnsi="Arial" w:cs="Arial" w:eastAsia="Arial" w:hint="default"/>
          <w:spacing w:val="56"/>
        </w:rPr>
        <w:t> </w:t>
      </w:r>
      <w:r>
        <w:rPr>
          <w:spacing w:val="-5"/>
        </w:rPr>
        <w:t>万元，住所为广州市海珠区阅江</w:t>
      </w:r>
    </w:p>
    <w:p>
      <w:pPr>
        <w:pStyle w:val="BodyText"/>
        <w:spacing w:line="302" w:lineRule="auto" w:before="74"/>
        <w:ind w:right="151"/>
        <w:jc w:val="both"/>
      </w:pPr>
      <w:r>
        <w:rPr/>
        <w:t>中路</w:t>
      </w:r>
      <w:r>
        <w:rPr>
          <w:spacing w:val="-66"/>
        </w:rPr>
        <w:t> </w:t>
      </w:r>
      <w:r>
        <w:rPr>
          <w:rFonts w:ascii="Arial" w:hAnsi="Arial" w:cs="Arial" w:eastAsia="Arial" w:hint="default"/>
        </w:rPr>
        <w:t>688</w:t>
      </w:r>
      <w:r>
        <w:rPr>
          <w:rFonts w:ascii="Arial" w:hAnsi="Arial" w:cs="Arial" w:eastAsia="Arial" w:hint="default"/>
          <w:spacing w:val="42"/>
        </w:rPr>
        <w:t> </w:t>
      </w:r>
      <w:r>
        <w:rPr/>
        <w:t>号保利国际广场北塔</w:t>
      </w:r>
      <w:r>
        <w:rPr>
          <w:spacing w:val="-66"/>
        </w:rPr>
        <w:t> </w:t>
      </w:r>
      <w:r>
        <w:rPr>
          <w:rFonts w:ascii="Arial" w:hAnsi="Arial" w:cs="Arial" w:eastAsia="Arial" w:hint="default"/>
        </w:rPr>
        <w:t>15</w:t>
      </w:r>
      <w:r>
        <w:rPr>
          <w:rFonts w:ascii="Arial" w:hAnsi="Arial" w:cs="Arial" w:eastAsia="Arial" w:hint="default"/>
          <w:spacing w:val="42"/>
        </w:rPr>
        <w:t> </w:t>
      </w:r>
      <w:r>
        <w:rPr/>
        <w:t>层，经营范围为计算机硬件及外围设备、网络技术、应用 电子技术的研究开发、技术咨询、技术服务、技术转让及销售；计算机网络工程及综合布线 工程服务；企业咨询管理。公司持有广州华宇</w:t>
      </w:r>
      <w:r>
        <w:rPr>
          <w:spacing w:val="-60"/>
        </w:rPr>
        <w:t> </w:t>
      </w:r>
      <w:r>
        <w:rPr>
          <w:rFonts w:ascii="Arial" w:hAnsi="Arial" w:cs="Arial" w:eastAsia="Arial" w:hint="default"/>
        </w:rPr>
        <w:t>100%</w:t>
      </w:r>
      <w:r>
        <w:rPr/>
        <w:t>股权。</w:t>
      </w:r>
    </w:p>
    <w:p>
      <w:pPr>
        <w:pStyle w:val="BodyText"/>
        <w:spacing w:line="309" w:lineRule="auto" w:before="45"/>
        <w:ind w:right="151" w:firstLine="480"/>
        <w:jc w:val="both"/>
      </w:pPr>
      <w:r>
        <w:rPr>
          <w:spacing w:val="-6"/>
        </w:rPr>
        <w:t>广州华宇的主营业务是面向华南区域的政府、法院、检察院等行业提供软件产品和服务。</w:t>
      </w:r>
      <w:r>
        <w:rPr/>
        <w:t> 报告期末，广州华宇总资产</w:t>
      </w:r>
      <w:r>
        <w:rPr>
          <w:spacing w:val="-69"/>
        </w:rPr>
        <w:t> </w:t>
      </w:r>
      <w:r>
        <w:rPr>
          <w:rFonts w:ascii="Arial" w:hAnsi="Arial" w:cs="Arial" w:eastAsia="Arial" w:hint="default"/>
        </w:rPr>
        <w:t>12,361.37</w:t>
      </w:r>
      <w:r>
        <w:rPr>
          <w:rFonts w:ascii="Arial" w:hAnsi="Arial" w:cs="Arial" w:eastAsia="Arial" w:hint="default"/>
          <w:spacing w:val="-15"/>
        </w:rPr>
        <w:t> </w:t>
      </w:r>
      <w:r>
        <w:rPr>
          <w:spacing w:val="-3"/>
        </w:rPr>
        <w:t>万元，净资产</w:t>
      </w:r>
      <w:r>
        <w:rPr>
          <w:spacing w:val="-70"/>
        </w:rPr>
        <w:t> </w:t>
      </w:r>
      <w:r>
        <w:rPr>
          <w:rFonts w:ascii="Arial" w:hAnsi="Arial" w:cs="Arial" w:eastAsia="Arial" w:hint="default"/>
        </w:rPr>
        <w:t>8,504.62</w:t>
      </w:r>
      <w:r>
        <w:rPr>
          <w:rFonts w:ascii="Arial" w:hAnsi="Arial" w:cs="Arial" w:eastAsia="Arial" w:hint="default"/>
          <w:spacing w:val="-15"/>
        </w:rPr>
        <w:t> </w:t>
      </w:r>
      <w:r>
        <w:rPr/>
        <w:t>万元；报告期内，实现净利润</w:t>
      </w:r>
    </w:p>
    <w:p>
      <w:pPr>
        <w:pStyle w:val="BodyText"/>
        <w:spacing w:line="328" w:lineRule="exact"/>
        <w:ind w:right="0"/>
        <w:jc w:val="both"/>
      </w:pPr>
      <w:r>
        <w:rPr>
          <w:rFonts w:ascii="Arial" w:hAnsi="Arial" w:cs="Arial" w:eastAsia="Arial" w:hint="default"/>
        </w:rPr>
        <w:t>631.86</w:t>
      </w:r>
      <w:r>
        <w:rPr>
          <w:rFonts w:ascii="Arial" w:hAnsi="Arial" w:cs="Arial" w:eastAsia="Arial" w:hint="default"/>
          <w:spacing w:val="-12"/>
        </w:rPr>
        <w:t> </w:t>
      </w:r>
      <w:r>
        <w:rPr/>
        <w:t>万元，对公司合并报表有积极影响。</w:t>
      </w:r>
    </w:p>
    <w:p>
      <w:pPr>
        <w:pStyle w:val="BodyText"/>
        <w:spacing w:line="240" w:lineRule="auto" w:before="115"/>
        <w:ind w:right="0"/>
        <w:jc w:val="both"/>
      </w:pPr>
      <w:r>
        <w:rPr>
          <w:rFonts w:ascii="Arial" w:hAnsi="Arial" w:cs="Arial" w:eastAsia="Arial" w:hint="default"/>
        </w:rPr>
        <w:t>3</w:t>
      </w:r>
      <w:r>
        <w:rPr/>
        <w:t>）亿信华辰</w:t>
      </w:r>
    </w:p>
    <w:p>
      <w:pPr>
        <w:pStyle w:val="BodyText"/>
        <w:spacing w:line="302" w:lineRule="auto" w:before="113"/>
        <w:ind w:right="151" w:firstLine="480"/>
        <w:jc w:val="both"/>
      </w:pPr>
      <w:r>
        <w:rPr/>
        <w:t>亿信华辰成立于</w:t>
      </w:r>
      <w:r>
        <w:rPr>
          <w:spacing w:val="-62"/>
        </w:rPr>
        <w:t> </w:t>
      </w:r>
      <w:r>
        <w:rPr>
          <w:rFonts w:ascii="Arial" w:hAnsi="Arial" w:cs="Arial" w:eastAsia="Arial" w:hint="default"/>
        </w:rPr>
        <w:t>2006</w:t>
      </w:r>
      <w:r>
        <w:rPr>
          <w:rFonts w:ascii="Arial" w:hAnsi="Arial" w:cs="Arial" w:eastAsia="Arial" w:hint="default"/>
          <w:spacing w:val="50"/>
        </w:rPr>
        <w:t> </w:t>
      </w:r>
      <w:r>
        <w:rPr/>
        <w:t>年</w:t>
      </w:r>
      <w:r>
        <w:rPr>
          <w:spacing w:val="-61"/>
        </w:rPr>
        <w:t> </w:t>
      </w:r>
      <w:r>
        <w:rPr>
          <w:rFonts w:ascii="Arial" w:hAnsi="Arial" w:cs="Arial" w:eastAsia="Arial" w:hint="default"/>
        </w:rPr>
        <w:t>10</w:t>
      </w:r>
      <w:r>
        <w:rPr>
          <w:rFonts w:ascii="Arial" w:hAnsi="Arial" w:cs="Arial" w:eastAsia="Arial" w:hint="default"/>
          <w:spacing w:val="52"/>
        </w:rPr>
        <w:t> </w:t>
      </w:r>
      <w:r>
        <w:rPr/>
        <w:t>月</w:t>
      </w:r>
      <w:r>
        <w:rPr>
          <w:spacing w:val="-61"/>
        </w:rPr>
        <w:t> </w:t>
      </w:r>
      <w:r>
        <w:rPr>
          <w:rFonts w:ascii="Arial" w:hAnsi="Arial" w:cs="Arial" w:eastAsia="Arial" w:hint="default"/>
        </w:rPr>
        <w:t>31</w:t>
      </w:r>
      <w:r>
        <w:rPr>
          <w:rFonts w:ascii="Arial" w:hAnsi="Arial" w:cs="Arial" w:eastAsia="Arial" w:hint="default"/>
          <w:spacing w:val="52"/>
        </w:rPr>
        <w:t> </w:t>
      </w:r>
      <w:r>
        <w:rPr/>
        <w:t>日，注册资本</w:t>
      </w:r>
      <w:r>
        <w:rPr>
          <w:spacing w:val="-61"/>
        </w:rPr>
        <w:t> </w:t>
      </w:r>
      <w:r>
        <w:rPr>
          <w:rFonts w:ascii="Arial" w:hAnsi="Arial" w:cs="Arial" w:eastAsia="Arial" w:hint="default"/>
        </w:rPr>
        <w:t>1,000</w:t>
      </w:r>
      <w:r>
        <w:rPr>
          <w:rFonts w:ascii="Arial" w:hAnsi="Arial" w:cs="Arial" w:eastAsia="Arial" w:hint="default"/>
          <w:spacing w:val="53"/>
        </w:rPr>
        <w:t> </w:t>
      </w:r>
      <w:r>
        <w:rPr/>
        <w:t>万元，住所为北京市海淀区西 小口路</w:t>
      </w:r>
      <w:r>
        <w:rPr>
          <w:spacing w:val="-71"/>
        </w:rPr>
        <w:t> </w:t>
      </w:r>
      <w:r>
        <w:rPr>
          <w:rFonts w:ascii="Arial" w:hAnsi="Arial" w:cs="Arial" w:eastAsia="Arial" w:hint="default"/>
          <w:w w:val="99"/>
        </w:rPr>
        <w:t>66</w:t>
      </w:r>
      <w:r>
        <w:rPr>
          <w:rFonts w:ascii="Arial" w:hAnsi="Arial" w:cs="Arial" w:eastAsia="Arial" w:hint="default"/>
          <w:spacing w:val="-17"/>
          <w:w w:val="99"/>
        </w:rPr>
        <w:t> </w:t>
      </w:r>
      <w:r>
        <w:rPr>
          <w:spacing w:val="-1"/>
        </w:rPr>
        <w:t>号中关村东升科技园</w:t>
      </w:r>
      <w:r>
        <w:rPr>
          <w:spacing w:val="-71"/>
        </w:rPr>
        <w:t> </w:t>
      </w:r>
      <w:r>
        <w:rPr>
          <w:rFonts w:ascii="Arial" w:hAnsi="Arial" w:cs="Arial" w:eastAsia="Arial" w:hint="default"/>
          <w:spacing w:val="-1"/>
          <w:w w:val="99"/>
        </w:rPr>
        <w:t>B-2</w:t>
      </w:r>
      <w:r>
        <w:rPr>
          <w:rFonts w:ascii="Arial" w:hAnsi="Arial" w:cs="Arial" w:eastAsia="Arial" w:hint="default"/>
          <w:spacing w:val="-17"/>
          <w:w w:val="99"/>
        </w:rPr>
        <w:t> </w:t>
      </w:r>
      <w:r>
        <w:rPr/>
        <w:t>号楼</w:t>
      </w:r>
      <w:r>
        <w:rPr>
          <w:spacing w:val="-71"/>
        </w:rPr>
        <w:t> </w:t>
      </w:r>
      <w:r>
        <w:rPr>
          <w:rFonts w:ascii="Arial" w:hAnsi="Arial" w:cs="Arial" w:eastAsia="Arial" w:hint="default"/>
          <w:w w:val="99"/>
        </w:rPr>
        <w:t>5</w:t>
      </w:r>
      <w:r>
        <w:rPr>
          <w:rFonts w:ascii="Arial" w:hAnsi="Arial" w:cs="Arial" w:eastAsia="Arial" w:hint="default"/>
          <w:spacing w:val="-17"/>
          <w:w w:val="99"/>
        </w:rPr>
        <w:t> </w:t>
      </w:r>
      <w:r>
        <w:rPr/>
        <w:t>层</w:t>
      </w:r>
      <w:r>
        <w:rPr>
          <w:spacing w:val="-74"/>
        </w:rPr>
        <w:t> </w:t>
      </w:r>
      <w:r>
        <w:rPr>
          <w:rFonts w:ascii="Arial" w:hAnsi="Arial" w:cs="Arial" w:eastAsia="Arial" w:hint="default"/>
          <w:w w:val="99"/>
        </w:rPr>
        <w:t>A502</w:t>
      </w:r>
      <w:r>
        <w:rPr>
          <w:rFonts w:ascii="Arial" w:hAnsi="Arial" w:cs="Arial" w:eastAsia="Arial" w:hint="default"/>
          <w:spacing w:val="-16"/>
          <w:w w:val="99"/>
        </w:rPr>
        <w:t> </w:t>
      </w:r>
      <w:r>
        <w:rPr>
          <w:spacing w:val="-13"/>
        </w:rPr>
        <w:t>室，法定代表人为邵学，经营范围为法律、</w:t>
      </w:r>
      <w:r>
        <w:rPr/>
        <w:t> 行政法规、国务院决定禁止的，不得经营；法律、行政法规、国务院决定规定应经许可的， 经审批机关批准并经工商行政管理机关登记注册后方可经营；法律、行政法规、国务院决定 未规定许可的，自主选择经营项目开展经营活动。公司持有亿信华辰</w:t>
      </w:r>
      <w:r>
        <w:rPr>
          <w:spacing w:val="-60"/>
        </w:rPr>
        <w:t> </w:t>
      </w:r>
      <w:r>
        <w:rPr>
          <w:rFonts w:ascii="Arial" w:hAnsi="Arial" w:cs="Arial" w:eastAsia="Arial" w:hint="default"/>
        </w:rPr>
        <w:t>80%</w:t>
      </w:r>
      <w:r>
        <w:rPr/>
        <w:t>股权。</w:t>
      </w:r>
    </w:p>
    <w:p>
      <w:pPr>
        <w:pStyle w:val="BodyText"/>
        <w:spacing w:line="302" w:lineRule="auto" w:before="45"/>
        <w:ind w:right="153" w:firstLine="480"/>
        <w:jc w:val="both"/>
      </w:pPr>
      <w:r>
        <w:rPr/>
        <w:t>亿信华辰专注于数据分析技术与平台的研发与服务，以 </w:t>
      </w:r>
      <w:r>
        <w:rPr>
          <w:rFonts w:ascii="Arial" w:hAnsi="Arial" w:cs="Arial" w:eastAsia="Arial" w:hint="default"/>
        </w:rPr>
        <w:t>BI@Report</w:t>
      </w:r>
      <w:r>
        <w:rPr/>
        <w:t>、</w:t>
      </w:r>
      <w:r>
        <w:rPr>
          <w:rFonts w:ascii="Arial" w:hAnsi="Arial" w:cs="Arial" w:eastAsia="Arial" w:hint="default"/>
        </w:rPr>
        <w:t>i@Report</w:t>
      </w:r>
      <w:r>
        <w:rPr>
          <w:rFonts w:ascii="Arial" w:hAnsi="Arial" w:cs="Arial" w:eastAsia="Arial" w:hint="default"/>
          <w:spacing w:val="-9"/>
        </w:rPr>
        <w:t> </w:t>
      </w:r>
      <w:r>
        <w:rPr/>
        <w:t>等产品 </w:t>
      </w:r>
      <w:r>
        <w:rPr>
          <w:spacing w:val="-5"/>
        </w:rPr>
        <w:t>为核心构成了一整套完整的数据分析应用综合解决方案，是国内领先的数据仓库、商业智能、</w:t>
      </w:r>
      <w:r>
        <w:rPr>
          <w:spacing w:val="-117"/>
        </w:rPr>
        <w:t> </w:t>
      </w:r>
      <w:r>
        <w:rPr>
          <w:spacing w:val="-117"/>
        </w:rPr>
      </w:r>
      <w:r>
        <w:rPr/>
        <w:t>报表统计软件产品和咨询服务提供商。报告期末，亿信华辰总资产</w:t>
      </w:r>
      <w:r>
        <w:rPr>
          <w:spacing w:val="-62"/>
        </w:rPr>
        <w:t> </w:t>
      </w:r>
      <w:r>
        <w:rPr>
          <w:rFonts w:ascii="Arial" w:hAnsi="Arial" w:cs="Arial" w:eastAsia="Arial" w:hint="default"/>
        </w:rPr>
        <w:t>5,814.24</w:t>
      </w:r>
      <w:r>
        <w:rPr>
          <w:rFonts w:ascii="Arial" w:hAnsi="Arial" w:cs="Arial" w:eastAsia="Arial" w:hint="default"/>
          <w:spacing w:val="-6"/>
        </w:rPr>
        <w:t> </w:t>
      </w:r>
      <w:r>
        <w:rPr/>
        <w:t>万元，净资产</w:t>
      </w:r>
    </w:p>
    <w:p>
      <w:pPr>
        <w:pStyle w:val="BodyText"/>
        <w:spacing w:line="295" w:lineRule="auto" w:before="4"/>
        <w:ind w:right="148"/>
        <w:jc w:val="both"/>
      </w:pPr>
      <w:r>
        <w:rPr>
          <w:rFonts w:ascii="Arial" w:hAnsi="Arial" w:cs="Arial" w:eastAsia="Arial" w:hint="default"/>
        </w:rPr>
        <w:t>4,977.90</w:t>
      </w:r>
      <w:r>
        <w:rPr>
          <w:rFonts w:ascii="Arial" w:hAnsi="Arial" w:cs="Arial" w:eastAsia="Arial" w:hint="default"/>
          <w:spacing w:val="-18"/>
        </w:rPr>
        <w:t> </w:t>
      </w:r>
      <w:r>
        <w:rPr/>
        <w:t>万元；报告期内，实现净利润</w:t>
      </w:r>
      <w:r>
        <w:rPr>
          <w:spacing w:val="-72"/>
        </w:rPr>
        <w:t> </w:t>
      </w:r>
      <w:r>
        <w:rPr>
          <w:rFonts w:ascii="Arial" w:hAnsi="Arial" w:cs="Arial" w:eastAsia="Arial" w:hint="default"/>
        </w:rPr>
        <w:t>736.71</w:t>
      </w:r>
      <w:r>
        <w:rPr>
          <w:rFonts w:ascii="Arial" w:hAnsi="Arial" w:cs="Arial" w:eastAsia="Arial" w:hint="default"/>
          <w:spacing w:val="-18"/>
        </w:rPr>
        <w:t> </w:t>
      </w:r>
      <w:r>
        <w:rPr/>
        <w:t>万元，比上年同期增长</w:t>
      </w:r>
      <w:r>
        <w:rPr>
          <w:spacing w:val="-72"/>
        </w:rPr>
        <w:t> </w:t>
      </w:r>
      <w:r>
        <w:rPr>
          <w:rFonts w:ascii="Arial" w:hAnsi="Arial" w:cs="Arial" w:eastAsia="Arial" w:hint="default"/>
        </w:rPr>
        <w:t>46.89%</w:t>
      </w:r>
      <w:r>
        <w:rPr/>
        <w:t>，对公司合并 报表有积极影响。</w:t>
      </w:r>
    </w:p>
    <w:p>
      <w:pPr>
        <w:pStyle w:val="BodyText"/>
        <w:spacing w:line="240" w:lineRule="auto" w:before="77"/>
        <w:ind w:right="0"/>
        <w:jc w:val="both"/>
      </w:pPr>
      <w:r>
        <w:rPr>
          <w:rFonts w:ascii="Arial" w:hAnsi="Arial" w:cs="Arial" w:eastAsia="Arial" w:hint="default"/>
        </w:rPr>
        <w:t>4</w:t>
      </w:r>
      <w:r>
        <w:rPr/>
        <w:t>）华宇金信</w:t>
      </w:r>
    </w:p>
    <w:p>
      <w:pPr>
        <w:spacing w:after="0" w:line="240" w:lineRule="auto"/>
        <w:jc w:val="both"/>
        <w:sectPr>
          <w:footerReference w:type="default" r:id="rId23"/>
          <w:pgSz w:w="11910" w:h="16840"/>
          <w:pgMar w:footer="1010" w:header="0" w:top="1140" w:bottom="1200" w:left="980" w:right="980"/>
          <w:pgNumType w:start="31"/>
        </w:sectPr>
      </w:pPr>
    </w:p>
    <w:p>
      <w:pPr>
        <w:spacing w:line="240" w:lineRule="auto" w:before="1"/>
        <w:rPr>
          <w:rFonts w:ascii="宋体" w:hAnsi="宋体" w:cs="宋体" w:eastAsia="宋体" w:hint="default"/>
          <w:sz w:val="20"/>
          <w:szCs w:val="20"/>
        </w:rPr>
      </w:pPr>
    </w:p>
    <w:p>
      <w:pPr>
        <w:pStyle w:val="BodyText"/>
        <w:spacing w:line="240" w:lineRule="auto" w:before="26"/>
        <w:ind w:left="633" w:right="0"/>
        <w:jc w:val="left"/>
      </w:pPr>
      <w:r>
        <w:rPr/>
        <w:t>华宇金信成立于</w:t>
      </w:r>
      <w:r>
        <w:rPr>
          <w:spacing w:val="-62"/>
        </w:rPr>
        <w:t> </w:t>
      </w:r>
      <w:r>
        <w:rPr>
          <w:rFonts w:ascii="Arial" w:hAnsi="Arial" w:cs="Arial" w:eastAsia="Arial" w:hint="default"/>
        </w:rPr>
        <w:t>2007</w:t>
      </w:r>
      <w:r>
        <w:rPr>
          <w:rFonts w:ascii="Arial" w:hAnsi="Arial" w:cs="Arial" w:eastAsia="Arial" w:hint="default"/>
          <w:spacing w:val="50"/>
        </w:rPr>
        <w:t> </w:t>
      </w:r>
      <w:r>
        <w:rPr/>
        <w:t>年</w:t>
      </w:r>
      <w:r>
        <w:rPr>
          <w:spacing w:val="-61"/>
        </w:rPr>
        <w:t> </w:t>
      </w:r>
      <w:r>
        <w:rPr>
          <w:rFonts w:ascii="Arial" w:hAnsi="Arial" w:cs="Arial" w:eastAsia="Arial" w:hint="default"/>
        </w:rPr>
        <w:t>01</w:t>
      </w:r>
      <w:r>
        <w:rPr>
          <w:rFonts w:ascii="Arial" w:hAnsi="Arial" w:cs="Arial" w:eastAsia="Arial" w:hint="default"/>
          <w:spacing w:val="52"/>
        </w:rPr>
        <w:t> </w:t>
      </w:r>
      <w:r>
        <w:rPr/>
        <w:t>年</w:t>
      </w:r>
      <w:r>
        <w:rPr>
          <w:spacing w:val="-61"/>
        </w:rPr>
        <w:t> </w:t>
      </w:r>
      <w:r>
        <w:rPr>
          <w:rFonts w:ascii="Arial" w:hAnsi="Arial" w:cs="Arial" w:eastAsia="Arial" w:hint="default"/>
        </w:rPr>
        <w:t>26</w:t>
      </w:r>
      <w:r>
        <w:rPr>
          <w:rFonts w:ascii="Arial" w:hAnsi="Arial" w:cs="Arial" w:eastAsia="Arial" w:hint="default"/>
          <w:spacing w:val="52"/>
        </w:rPr>
        <w:t> </w:t>
      </w:r>
      <w:r>
        <w:rPr/>
        <w:t>日，注册资本</w:t>
      </w:r>
      <w:r>
        <w:rPr>
          <w:spacing w:val="-61"/>
        </w:rPr>
        <w:t> </w:t>
      </w:r>
      <w:r>
        <w:rPr>
          <w:rFonts w:ascii="Arial" w:hAnsi="Arial" w:cs="Arial" w:eastAsia="Arial" w:hint="default"/>
        </w:rPr>
        <w:t>2,300</w:t>
      </w:r>
      <w:r>
        <w:rPr>
          <w:rFonts w:ascii="Arial" w:hAnsi="Arial" w:cs="Arial" w:eastAsia="Arial" w:hint="default"/>
          <w:spacing w:val="53"/>
        </w:rPr>
        <w:t> </w:t>
      </w:r>
      <w:r>
        <w:rPr/>
        <w:t>万元，住所为北京市海淀区万</w:t>
      </w:r>
    </w:p>
    <w:p>
      <w:pPr>
        <w:pStyle w:val="BodyText"/>
        <w:spacing w:line="309" w:lineRule="auto" w:before="74"/>
        <w:ind w:left="0" w:right="150"/>
        <w:jc w:val="right"/>
        <w:rPr>
          <w:rFonts w:ascii="Arial" w:hAnsi="Arial" w:cs="Arial" w:eastAsia="Arial" w:hint="default"/>
        </w:rPr>
      </w:pPr>
      <w:r>
        <w:rPr/>
        <w:t>泉河路</w:t>
      </w:r>
      <w:r>
        <w:rPr>
          <w:spacing w:val="-61"/>
        </w:rPr>
        <w:t> </w:t>
      </w:r>
      <w:r>
        <w:rPr>
          <w:rFonts w:ascii="Arial" w:hAnsi="Arial" w:cs="Arial" w:eastAsia="Arial" w:hint="default"/>
        </w:rPr>
        <w:t>68</w:t>
      </w:r>
      <w:r>
        <w:rPr>
          <w:rFonts w:ascii="Arial" w:hAnsi="Arial" w:cs="Arial" w:eastAsia="Arial" w:hint="default"/>
          <w:spacing w:val="52"/>
        </w:rPr>
        <w:t> </w:t>
      </w:r>
      <w:r>
        <w:rPr/>
        <w:t>号</w:t>
      </w:r>
      <w:r>
        <w:rPr>
          <w:spacing w:val="-61"/>
        </w:rPr>
        <w:t> </w:t>
      </w:r>
      <w:r>
        <w:rPr>
          <w:rFonts w:ascii="Arial" w:hAnsi="Arial" w:cs="Arial" w:eastAsia="Arial" w:hint="default"/>
        </w:rPr>
        <w:t>8</w:t>
      </w:r>
      <w:r>
        <w:rPr>
          <w:rFonts w:ascii="Arial" w:hAnsi="Arial" w:cs="Arial" w:eastAsia="Arial" w:hint="default"/>
          <w:spacing w:val="52"/>
        </w:rPr>
        <w:t> </w:t>
      </w:r>
      <w:r>
        <w:rPr/>
        <w:t>号楼</w:t>
      </w:r>
      <w:r>
        <w:rPr>
          <w:spacing w:val="-61"/>
        </w:rPr>
        <w:t> </w:t>
      </w:r>
      <w:r>
        <w:rPr>
          <w:rFonts w:ascii="Arial" w:hAnsi="Arial" w:cs="Arial" w:eastAsia="Arial" w:hint="default"/>
        </w:rPr>
        <w:t>18</w:t>
      </w:r>
      <w:r>
        <w:rPr>
          <w:rFonts w:ascii="Arial" w:hAnsi="Arial" w:cs="Arial" w:eastAsia="Arial" w:hint="default"/>
          <w:spacing w:val="52"/>
        </w:rPr>
        <w:t> </w:t>
      </w:r>
      <w:r>
        <w:rPr/>
        <w:t>层</w:t>
      </w:r>
      <w:r>
        <w:rPr>
          <w:spacing w:val="-61"/>
        </w:rPr>
        <w:t> </w:t>
      </w:r>
      <w:r>
        <w:rPr>
          <w:rFonts w:ascii="Arial" w:hAnsi="Arial" w:cs="Arial" w:eastAsia="Arial" w:hint="default"/>
        </w:rPr>
        <w:t>1801</w:t>
      </w:r>
      <w:r>
        <w:rPr>
          <w:rFonts w:ascii="Arial" w:hAnsi="Arial" w:cs="Arial" w:eastAsia="Arial" w:hint="default"/>
          <w:spacing w:val="53"/>
        </w:rPr>
        <w:t> </w:t>
      </w:r>
      <w:r>
        <w:rPr/>
        <w:t>单元，经营范围为计算机系统服务；计算机维修、数据处 理；基础软件服务、应用软件服务；技术开发、技术咨询、技术服务、技术推广；销售计算 机、软件及辅助设备、文化用品、机械设备、通讯设备、五金、交电、建筑材料。（未取得 </w:t>
      </w:r>
      <w:r>
        <w:rPr>
          <w:spacing w:val="-7"/>
        </w:rPr>
        <w:t>行政许可的项目除外）（其中知识产权出资为</w:t>
      </w:r>
      <w:r>
        <w:rPr/>
        <w:t> </w:t>
      </w:r>
      <w:r>
        <w:rPr>
          <w:rFonts w:ascii="Arial" w:hAnsi="Arial" w:cs="Arial" w:eastAsia="Arial" w:hint="default"/>
          <w:spacing w:val="-1"/>
          <w:w w:val="99"/>
        </w:rPr>
        <w:t>1300</w:t>
      </w:r>
      <w:r>
        <w:rPr>
          <w:rFonts w:ascii="Arial" w:hAnsi="Arial" w:cs="Arial" w:eastAsia="Arial" w:hint="default"/>
          <w:w w:val="99"/>
        </w:rPr>
        <w:t> </w:t>
      </w:r>
      <w:r>
        <w:rPr>
          <w:spacing w:val="-11"/>
        </w:rPr>
        <w:t>万元）。公司持有华宇金信</w:t>
      </w:r>
      <w:r>
        <w:rPr>
          <w:spacing w:val="-48"/>
        </w:rPr>
        <w:t> </w:t>
      </w:r>
      <w:r>
        <w:rPr>
          <w:rFonts w:ascii="Arial" w:hAnsi="Arial" w:cs="Arial" w:eastAsia="Arial" w:hint="default"/>
          <w:spacing w:val="-1"/>
          <w:w w:val="99"/>
        </w:rPr>
        <w:t>51%</w:t>
      </w:r>
      <w:r>
        <w:rPr>
          <w:spacing w:val="-1"/>
          <w:w w:val="99"/>
        </w:rPr>
        <w:t>的股权。</w:t>
      </w:r>
      <w:r>
        <w:rPr/>
        <w:t> 华宇金信专注于为政府食品安全保障和工商行政管理领域提供大型系统解决方案、系统 开发、系统集成、技术服务等业务，致力于成为食品安全保障领域全面解决方案的专家。报 </w:t>
      </w:r>
      <w:r>
        <w:rPr>
          <w:spacing w:val="-11"/>
        </w:rPr>
        <w:t>告期末，华宇金信总资产</w:t>
      </w:r>
      <w:r>
        <w:rPr>
          <w:spacing w:val="-54"/>
        </w:rPr>
        <w:t> </w:t>
      </w:r>
      <w:r>
        <w:rPr>
          <w:rFonts w:ascii="Arial" w:hAnsi="Arial" w:cs="Arial" w:eastAsia="Arial" w:hint="default"/>
          <w:spacing w:val="-1"/>
          <w:w w:val="99"/>
        </w:rPr>
        <w:t>9,263.67</w:t>
      </w:r>
      <w:r>
        <w:rPr>
          <w:rFonts w:ascii="Arial" w:hAnsi="Arial" w:cs="Arial" w:eastAsia="Arial" w:hint="default"/>
          <w:spacing w:val="1"/>
          <w:w w:val="99"/>
        </w:rPr>
        <w:t> </w:t>
      </w:r>
      <w:r>
        <w:rPr>
          <w:spacing w:val="-20"/>
        </w:rPr>
        <w:t>万元，净资产</w:t>
      </w:r>
      <w:r>
        <w:rPr>
          <w:spacing w:val="-54"/>
        </w:rPr>
        <w:t> </w:t>
      </w:r>
      <w:r>
        <w:rPr>
          <w:rFonts w:ascii="Arial" w:hAnsi="Arial" w:cs="Arial" w:eastAsia="Arial" w:hint="default"/>
          <w:spacing w:val="-1"/>
          <w:w w:val="99"/>
        </w:rPr>
        <w:t>3,352.50</w:t>
      </w:r>
      <w:r>
        <w:rPr>
          <w:rFonts w:ascii="Arial" w:hAnsi="Arial" w:cs="Arial" w:eastAsia="Arial" w:hint="default"/>
          <w:spacing w:val="1"/>
          <w:w w:val="99"/>
        </w:rPr>
        <w:t> </w:t>
      </w:r>
      <w:r>
        <w:rPr>
          <w:spacing w:val="-19"/>
        </w:rPr>
        <w:t>万元；报告期内，实现净利润</w:t>
      </w:r>
      <w:r>
        <w:rPr>
          <w:spacing w:val="-54"/>
        </w:rPr>
        <w:t> </w:t>
      </w:r>
      <w:r>
        <w:rPr>
          <w:rFonts w:ascii="Arial" w:hAnsi="Arial" w:cs="Arial" w:eastAsia="Arial" w:hint="default"/>
          <w:spacing w:val="-1"/>
          <w:w w:val="99"/>
        </w:rPr>
        <w:t>670.30</w:t>
      </w:r>
      <w:r>
        <w:rPr>
          <w:rFonts w:ascii="Arial" w:hAnsi="Arial" w:cs="Arial" w:eastAsia="Arial" w:hint="default"/>
          <w:spacing w:val="-1"/>
        </w:rPr>
      </w:r>
    </w:p>
    <w:p>
      <w:pPr>
        <w:pStyle w:val="BodyText"/>
        <w:spacing w:line="311" w:lineRule="exact"/>
        <w:ind w:right="0"/>
        <w:jc w:val="both"/>
      </w:pPr>
      <w:r>
        <w:rPr/>
        <w:t>万元，对公司合并报表有积极影响。</w:t>
      </w:r>
    </w:p>
    <w:p>
      <w:pPr>
        <w:pStyle w:val="BodyText"/>
        <w:spacing w:line="240" w:lineRule="auto" w:before="130"/>
        <w:ind w:right="0"/>
        <w:jc w:val="both"/>
      </w:pPr>
      <w:r>
        <w:rPr>
          <w:rFonts w:ascii="Arial" w:hAnsi="Arial" w:cs="Arial" w:eastAsia="Arial" w:hint="default"/>
        </w:rPr>
        <w:t>5</w:t>
      </w:r>
      <w:r>
        <w:rPr/>
        <w:t>）大连华宇</w:t>
      </w:r>
    </w:p>
    <w:p>
      <w:pPr>
        <w:pStyle w:val="BodyText"/>
        <w:spacing w:line="302" w:lineRule="auto" w:before="115"/>
        <w:ind w:right="180" w:firstLine="480"/>
        <w:jc w:val="both"/>
      </w:pPr>
      <w:r>
        <w:rPr/>
        <w:t>大连华宇成立于</w:t>
      </w:r>
      <w:r>
        <w:rPr>
          <w:spacing w:val="-62"/>
        </w:rPr>
        <w:t> </w:t>
      </w:r>
      <w:r>
        <w:rPr>
          <w:rFonts w:ascii="Arial" w:hAnsi="Arial" w:cs="Arial" w:eastAsia="Arial" w:hint="default"/>
        </w:rPr>
        <w:t>2012</w:t>
      </w:r>
      <w:r>
        <w:rPr>
          <w:rFonts w:ascii="Arial" w:hAnsi="Arial" w:cs="Arial" w:eastAsia="Arial" w:hint="default"/>
          <w:spacing w:val="50"/>
        </w:rPr>
        <w:t> </w:t>
      </w:r>
      <w:r>
        <w:rPr/>
        <w:t>年</w:t>
      </w:r>
      <w:r>
        <w:rPr>
          <w:spacing w:val="-61"/>
        </w:rPr>
        <w:t> </w:t>
      </w:r>
      <w:r>
        <w:rPr>
          <w:rFonts w:ascii="Arial" w:hAnsi="Arial" w:cs="Arial" w:eastAsia="Arial" w:hint="default"/>
        </w:rPr>
        <w:t>9</w:t>
      </w:r>
      <w:r>
        <w:rPr>
          <w:rFonts w:ascii="Arial" w:hAnsi="Arial" w:cs="Arial" w:eastAsia="Arial" w:hint="default"/>
          <w:spacing w:val="52"/>
        </w:rPr>
        <w:t> </w:t>
      </w:r>
      <w:r>
        <w:rPr/>
        <w:t>月</w:t>
      </w:r>
      <w:r>
        <w:rPr>
          <w:spacing w:val="-61"/>
        </w:rPr>
        <w:t> </w:t>
      </w:r>
      <w:r>
        <w:rPr>
          <w:rFonts w:ascii="Arial" w:hAnsi="Arial" w:cs="Arial" w:eastAsia="Arial" w:hint="default"/>
        </w:rPr>
        <w:t>19</w:t>
      </w:r>
      <w:r>
        <w:rPr>
          <w:rFonts w:ascii="Arial" w:hAnsi="Arial" w:cs="Arial" w:eastAsia="Arial" w:hint="default"/>
          <w:spacing w:val="52"/>
        </w:rPr>
        <w:t> </w:t>
      </w:r>
      <w:r>
        <w:rPr/>
        <w:t>日，注册资金</w:t>
      </w:r>
      <w:r>
        <w:rPr>
          <w:spacing w:val="-61"/>
        </w:rPr>
        <w:t> </w:t>
      </w:r>
      <w:r>
        <w:rPr>
          <w:rFonts w:ascii="Arial" w:hAnsi="Arial" w:cs="Arial" w:eastAsia="Arial" w:hint="default"/>
        </w:rPr>
        <w:t>1.2</w:t>
      </w:r>
      <w:r>
        <w:rPr>
          <w:rFonts w:ascii="Arial" w:hAnsi="Arial" w:cs="Arial" w:eastAsia="Arial" w:hint="default"/>
          <w:spacing w:val="-6"/>
        </w:rPr>
        <w:t> </w:t>
      </w:r>
      <w:r>
        <w:rPr/>
        <w:t>亿元，住所为大连市甘井子区辛寨</w:t>
      </w:r>
      <w:r>
        <w:rPr>
          <w:w w:val="100"/>
        </w:rPr>
        <w:t> </w:t>
      </w:r>
      <w:r>
        <w:rPr/>
        <w:t>子街道砬子山村，经营范围为计算机软硬件、电子产品技术开发、技术转让、技术咨询、技</w:t>
      </w:r>
      <w:r>
        <w:rPr>
          <w:w w:val="100"/>
        </w:rPr>
        <w:t> </w:t>
      </w:r>
      <w:r>
        <w:rPr/>
        <w:t>术服务，企业管理咨询，数据处理及存储服务，计算机系统集成及综合布线，计算机设备、</w:t>
      </w:r>
      <w:r>
        <w:rPr>
          <w:w w:val="100"/>
        </w:rPr>
        <w:t> </w:t>
      </w:r>
      <w:r>
        <w:rPr/>
        <w:t>电子产品、通讯设备销售及现场维修（以上均不含专项审批）。公司持有大连华宇</w:t>
      </w:r>
      <w:r>
        <w:rPr>
          <w:spacing w:val="-58"/>
        </w:rPr>
        <w:t> </w:t>
      </w:r>
      <w:r>
        <w:rPr>
          <w:rFonts w:ascii="Arial" w:hAnsi="Arial" w:cs="Arial" w:eastAsia="Arial" w:hint="default"/>
        </w:rPr>
        <w:t>100%</w:t>
      </w:r>
      <w:r>
        <w:rPr/>
        <w:t>的 股权。</w:t>
      </w:r>
    </w:p>
    <w:p>
      <w:pPr>
        <w:pStyle w:val="BodyText"/>
        <w:spacing w:line="302" w:lineRule="auto" w:before="70"/>
        <w:ind w:right="151" w:firstLine="480"/>
        <w:jc w:val="both"/>
      </w:pPr>
      <w:r>
        <w:rPr/>
        <w:t>大连华宇主要从事自有软件产品研发和软件项目开发等业务。报告期末，大连华宇总资 产</w:t>
      </w:r>
      <w:r>
        <w:rPr>
          <w:spacing w:val="-59"/>
        </w:rPr>
        <w:t> </w:t>
      </w:r>
      <w:r>
        <w:rPr>
          <w:rFonts w:ascii="Arial" w:hAnsi="Arial" w:cs="Arial" w:eastAsia="Arial" w:hint="default"/>
        </w:rPr>
        <w:t>12,563.23</w:t>
      </w:r>
      <w:r>
        <w:rPr>
          <w:rFonts w:ascii="Arial" w:hAnsi="Arial" w:cs="Arial" w:eastAsia="Arial" w:hint="default"/>
          <w:spacing w:val="-4"/>
        </w:rPr>
        <w:t> </w:t>
      </w:r>
      <w:r>
        <w:rPr>
          <w:spacing w:val="-5"/>
        </w:rPr>
        <w:t>万元，净资产</w:t>
      </w:r>
      <w:r>
        <w:rPr>
          <w:spacing w:val="-59"/>
        </w:rPr>
        <w:t> </w:t>
      </w:r>
      <w:r>
        <w:rPr>
          <w:rFonts w:ascii="Arial" w:hAnsi="Arial" w:cs="Arial" w:eastAsia="Arial" w:hint="default"/>
        </w:rPr>
        <w:t>11,469.06</w:t>
      </w:r>
      <w:r>
        <w:rPr>
          <w:rFonts w:ascii="Arial" w:hAnsi="Arial" w:cs="Arial" w:eastAsia="Arial" w:hint="default"/>
          <w:spacing w:val="-4"/>
        </w:rPr>
        <w:t> </w:t>
      </w:r>
      <w:r>
        <w:rPr>
          <w:spacing w:val="-3"/>
        </w:rPr>
        <w:t>万元；报告期内，实现净利润</w:t>
      </w:r>
      <w:r>
        <w:rPr>
          <w:rFonts w:ascii="Arial" w:hAnsi="Arial" w:cs="Arial" w:eastAsia="Arial" w:hint="default"/>
          <w:spacing w:val="-3"/>
        </w:rPr>
        <w:t>-181.67</w:t>
      </w:r>
      <w:r>
        <w:rPr>
          <w:rFonts w:ascii="Arial" w:hAnsi="Arial" w:cs="Arial" w:eastAsia="Arial" w:hint="default"/>
          <w:spacing w:val="-4"/>
        </w:rPr>
        <w:t> </w:t>
      </w:r>
      <w:r>
        <w:rPr>
          <w:spacing w:val="-4"/>
        </w:rPr>
        <w:t>万元，对公司合</w:t>
      </w:r>
      <w:r>
        <w:rPr/>
        <w:t> 并报表影响很小。</w:t>
      </w:r>
    </w:p>
    <w:p>
      <w:pPr>
        <w:pStyle w:val="BodyText"/>
        <w:spacing w:line="240" w:lineRule="auto" w:before="67"/>
        <w:ind w:right="0"/>
        <w:jc w:val="both"/>
      </w:pPr>
      <w:r>
        <w:rPr>
          <w:rFonts w:ascii="Arial" w:hAnsi="Arial" w:cs="Arial" w:eastAsia="Arial" w:hint="default"/>
        </w:rPr>
        <w:t>6)</w:t>
      </w:r>
      <w:r>
        <w:rPr/>
        <w:t>华宇信码</w:t>
      </w:r>
    </w:p>
    <w:p>
      <w:pPr>
        <w:pStyle w:val="BodyText"/>
        <w:spacing w:line="240" w:lineRule="auto" w:before="115"/>
        <w:ind w:left="633" w:right="0"/>
        <w:jc w:val="left"/>
      </w:pPr>
      <w:r>
        <w:rPr/>
        <w:t>华宇信码成立于</w:t>
      </w:r>
      <w:r>
        <w:rPr>
          <w:spacing w:val="-62"/>
        </w:rPr>
        <w:t> </w:t>
      </w:r>
      <w:r>
        <w:rPr>
          <w:rFonts w:ascii="Arial" w:hAnsi="Arial" w:cs="Arial" w:eastAsia="Arial" w:hint="default"/>
        </w:rPr>
        <w:t>2014</w:t>
      </w:r>
      <w:r>
        <w:rPr>
          <w:rFonts w:ascii="Arial" w:hAnsi="Arial" w:cs="Arial" w:eastAsia="Arial" w:hint="default"/>
          <w:spacing w:val="-9"/>
        </w:rPr>
        <w:t> </w:t>
      </w:r>
      <w:r>
        <w:rPr/>
        <w:t>年</w:t>
      </w:r>
      <w:r>
        <w:rPr>
          <w:spacing w:val="-61"/>
        </w:rPr>
        <w:t> </w:t>
      </w:r>
      <w:r>
        <w:rPr>
          <w:rFonts w:ascii="Arial" w:hAnsi="Arial" w:cs="Arial" w:eastAsia="Arial" w:hint="default"/>
        </w:rPr>
        <w:t>3</w:t>
      </w:r>
      <w:r>
        <w:rPr>
          <w:rFonts w:ascii="Arial" w:hAnsi="Arial" w:cs="Arial" w:eastAsia="Arial" w:hint="default"/>
          <w:spacing w:val="-7"/>
        </w:rPr>
        <w:t> </w:t>
      </w:r>
      <w:r>
        <w:rPr/>
        <w:t>月</w:t>
      </w:r>
      <w:r>
        <w:rPr>
          <w:spacing w:val="-61"/>
        </w:rPr>
        <w:t> </w:t>
      </w:r>
      <w:r>
        <w:rPr>
          <w:rFonts w:ascii="Arial" w:hAnsi="Arial" w:cs="Arial" w:eastAsia="Arial" w:hint="default"/>
        </w:rPr>
        <w:t>6</w:t>
      </w:r>
      <w:r>
        <w:rPr>
          <w:rFonts w:ascii="Arial" w:hAnsi="Arial" w:cs="Arial" w:eastAsia="Arial" w:hint="default"/>
          <w:spacing w:val="-7"/>
        </w:rPr>
        <w:t> </w:t>
      </w:r>
      <w:r>
        <w:rPr/>
        <w:t>日，注册资金人民币</w:t>
      </w:r>
      <w:r>
        <w:rPr>
          <w:spacing w:val="-61"/>
        </w:rPr>
        <w:t> </w:t>
      </w:r>
      <w:r>
        <w:rPr>
          <w:rFonts w:ascii="Arial" w:hAnsi="Arial" w:cs="Arial" w:eastAsia="Arial" w:hint="default"/>
        </w:rPr>
        <w:t>1,200</w:t>
      </w:r>
      <w:r>
        <w:rPr>
          <w:rFonts w:ascii="Arial" w:hAnsi="Arial" w:cs="Arial" w:eastAsia="Arial" w:hint="default"/>
          <w:spacing w:val="-7"/>
        </w:rPr>
        <w:t> </w:t>
      </w:r>
      <w:r>
        <w:rPr/>
        <w:t>万元，住所为北京市海淀区</w:t>
      </w:r>
    </w:p>
    <w:p>
      <w:pPr>
        <w:pStyle w:val="BodyText"/>
        <w:spacing w:line="302" w:lineRule="auto" w:before="74"/>
        <w:ind w:right="191"/>
        <w:jc w:val="both"/>
      </w:pPr>
      <w:r>
        <w:rPr/>
        <w:t>中关村东路</w:t>
      </w:r>
      <w:r>
        <w:rPr>
          <w:spacing w:val="-61"/>
        </w:rPr>
        <w:t> </w:t>
      </w:r>
      <w:r>
        <w:rPr>
          <w:rFonts w:ascii="Arial" w:hAnsi="Arial" w:cs="Arial" w:eastAsia="Arial" w:hint="default"/>
        </w:rPr>
        <w:t>1</w:t>
      </w:r>
      <w:r>
        <w:rPr>
          <w:rFonts w:ascii="Arial" w:hAnsi="Arial" w:cs="Arial" w:eastAsia="Arial" w:hint="default"/>
          <w:spacing w:val="-7"/>
        </w:rPr>
        <w:t> </w:t>
      </w:r>
      <w:r>
        <w:rPr/>
        <w:t>号院</w:t>
      </w:r>
      <w:r>
        <w:rPr>
          <w:spacing w:val="-61"/>
        </w:rPr>
        <w:t> </w:t>
      </w:r>
      <w:r>
        <w:rPr>
          <w:rFonts w:ascii="Arial" w:hAnsi="Arial" w:cs="Arial" w:eastAsia="Arial" w:hint="default"/>
        </w:rPr>
        <w:t>8</w:t>
      </w:r>
      <w:r>
        <w:rPr>
          <w:rFonts w:ascii="Arial" w:hAnsi="Arial" w:cs="Arial" w:eastAsia="Arial" w:hint="default"/>
          <w:spacing w:val="-7"/>
        </w:rPr>
        <w:t> </w:t>
      </w:r>
      <w:r>
        <w:rPr/>
        <w:t>号楼</w:t>
      </w:r>
      <w:r>
        <w:rPr>
          <w:spacing w:val="-61"/>
        </w:rPr>
        <w:t> </w:t>
      </w:r>
      <w:r>
        <w:rPr>
          <w:rFonts w:ascii="Arial" w:hAnsi="Arial" w:cs="Arial" w:eastAsia="Arial" w:hint="default"/>
        </w:rPr>
        <w:t>21</w:t>
      </w:r>
      <w:r>
        <w:rPr>
          <w:rFonts w:ascii="Arial" w:hAnsi="Arial" w:cs="Arial" w:eastAsia="Arial" w:hint="default"/>
          <w:spacing w:val="-7"/>
        </w:rPr>
        <w:t> </w:t>
      </w:r>
      <w:r>
        <w:rPr/>
        <w:t>层</w:t>
      </w:r>
      <w:r>
        <w:rPr>
          <w:spacing w:val="-61"/>
        </w:rPr>
        <w:t> </w:t>
      </w:r>
      <w:r>
        <w:rPr>
          <w:rFonts w:ascii="Arial" w:hAnsi="Arial" w:cs="Arial" w:eastAsia="Arial" w:hint="default"/>
        </w:rPr>
        <w:t>C2305</w:t>
      </w:r>
      <w:r>
        <w:rPr/>
        <w:t>，经营范围为信息技术、互联网服务、移动互联网服 务、企业信息服务、硬件及软件销售、资讯服务、咨询服务、展会服务、批发与零售、电子 商务。公司持有华宇信码</w:t>
      </w:r>
      <w:r>
        <w:rPr>
          <w:spacing w:val="-60"/>
        </w:rPr>
        <w:t> </w:t>
      </w:r>
      <w:r>
        <w:rPr>
          <w:rFonts w:ascii="Arial" w:hAnsi="Arial" w:cs="Arial" w:eastAsia="Arial" w:hint="default"/>
        </w:rPr>
        <w:t>51%</w:t>
      </w:r>
      <w:r>
        <w:rPr/>
        <w:t>的股权。</w:t>
      </w:r>
    </w:p>
    <w:p>
      <w:pPr>
        <w:pStyle w:val="BodyText"/>
        <w:spacing w:line="302" w:lineRule="auto" w:before="45"/>
        <w:ind w:right="147" w:firstLine="480"/>
        <w:jc w:val="left"/>
      </w:pPr>
      <w:r>
        <w:rPr/>
        <w:t>华宇信码主要为客户提供基于二维码的信息及数据服务。报告期末，华宇信码总资产 </w:t>
      </w:r>
      <w:r>
        <w:rPr>
          <w:rFonts w:ascii="Arial" w:hAnsi="Arial" w:cs="Arial" w:eastAsia="Arial" w:hint="default"/>
        </w:rPr>
        <w:t>772.69</w:t>
      </w:r>
      <w:r>
        <w:rPr>
          <w:rFonts w:ascii="Arial" w:hAnsi="Arial" w:cs="Arial" w:eastAsia="Arial" w:hint="default"/>
          <w:spacing w:val="-8"/>
        </w:rPr>
        <w:t> </w:t>
      </w:r>
      <w:r>
        <w:rPr>
          <w:spacing w:val="-4"/>
        </w:rPr>
        <w:t>万元，净资产</w:t>
      </w:r>
      <w:r>
        <w:rPr>
          <w:spacing w:val="-64"/>
        </w:rPr>
        <w:t> </w:t>
      </w:r>
      <w:r>
        <w:rPr>
          <w:rFonts w:ascii="Arial" w:hAnsi="Arial" w:cs="Arial" w:eastAsia="Arial" w:hint="default"/>
        </w:rPr>
        <w:t>725.30</w:t>
      </w:r>
      <w:r>
        <w:rPr>
          <w:rFonts w:ascii="Arial" w:hAnsi="Arial" w:cs="Arial" w:eastAsia="Arial" w:hint="default"/>
          <w:spacing w:val="-8"/>
        </w:rPr>
        <w:t> </w:t>
      </w:r>
      <w:r>
        <w:rPr>
          <w:spacing w:val="-3"/>
        </w:rPr>
        <w:t>万元；报告期内，实现净利润</w:t>
      </w:r>
      <w:r>
        <w:rPr>
          <w:rFonts w:ascii="Arial" w:hAnsi="Arial" w:cs="Arial" w:eastAsia="Arial" w:hint="default"/>
          <w:spacing w:val="-3"/>
        </w:rPr>
        <w:t>-474.70</w:t>
      </w:r>
      <w:r>
        <w:rPr>
          <w:rFonts w:ascii="Arial" w:hAnsi="Arial" w:cs="Arial" w:eastAsia="Arial" w:hint="default"/>
          <w:spacing w:val="-11"/>
        </w:rPr>
        <w:t> </w:t>
      </w:r>
      <w:r>
        <w:rPr/>
        <w:t>万元，对公司合并报表影 响较小。</w:t>
      </w:r>
    </w:p>
    <w:p>
      <w:pPr>
        <w:pStyle w:val="BodyText"/>
        <w:spacing w:line="240" w:lineRule="auto" w:before="98"/>
        <w:ind w:right="0"/>
        <w:jc w:val="both"/>
      </w:pPr>
      <w:r>
        <w:rPr/>
        <w:t>报告期内取得和处置子公司的情况</w:t>
      </w:r>
    </w:p>
    <w:p>
      <w:pPr>
        <w:pStyle w:val="BodyText"/>
        <w:spacing w:line="240" w:lineRule="auto" w:before="194"/>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560"/>
        <w:gridCol w:w="2552"/>
        <w:gridCol w:w="1844"/>
        <w:gridCol w:w="3615"/>
      </w:tblGrid>
      <w:tr>
        <w:trPr>
          <w:trHeight w:val="7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535" w:right="531"/>
              <w:jc w:val="left"/>
              <w:rPr>
                <w:rFonts w:ascii="宋体" w:hAnsi="宋体" w:cs="宋体" w:eastAsia="宋体" w:hint="default"/>
                <w:sz w:val="21"/>
                <w:szCs w:val="21"/>
              </w:rPr>
            </w:pPr>
            <w:r>
              <w:rPr>
                <w:rFonts w:ascii="宋体" w:hAnsi="宋体" w:cs="宋体" w:eastAsia="宋体" w:hint="default"/>
                <w:sz w:val="21"/>
                <w:szCs w:val="21"/>
              </w:rPr>
              <w:t>报告期内取得和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处置子公司目的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87" w:right="72" w:hanging="212"/>
              <w:jc w:val="left"/>
              <w:rPr>
                <w:rFonts w:ascii="宋体" w:hAnsi="宋体" w:cs="宋体" w:eastAsia="宋体" w:hint="default"/>
                <w:sz w:val="21"/>
                <w:szCs w:val="21"/>
              </w:rPr>
            </w:pPr>
            <w:r>
              <w:rPr>
                <w:rFonts w:ascii="宋体" w:hAnsi="宋体" w:cs="宋体" w:eastAsia="宋体" w:hint="default"/>
                <w:sz w:val="21"/>
                <w:szCs w:val="21"/>
              </w:rPr>
              <w:t>报告期内取得和处</w:t>
            </w:r>
            <w:r>
              <w:rPr>
                <w:rFonts w:ascii="宋体" w:hAnsi="宋体" w:cs="宋体" w:eastAsia="宋体" w:hint="default"/>
                <w:w w:val="100"/>
                <w:sz w:val="21"/>
                <w:szCs w:val="21"/>
              </w:rPr>
              <w:t> </w:t>
            </w:r>
            <w:r>
              <w:rPr>
                <w:rFonts w:ascii="宋体" w:hAnsi="宋体" w:cs="宋体" w:eastAsia="宋体" w:hint="default"/>
                <w:sz w:val="21"/>
                <w:szCs w:val="21"/>
              </w:rPr>
              <w:t>置子公司方式</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146" w:right="139"/>
              <w:jc w:val="left"/>
              <w:rPr>
                <w:rFonts w:ascii="宋体" w:hAnsi="宋体" w:cs="宋体" w:eastAsia="宋体" w:hint="default"/>
                <w:sz w:val="21"/>
                <w:szCs w:val="21"/>
              </w:rPr>
            </w:pPr>
            <w:r>
              <w:rPr>
                <w:rFonts w:ascii="宋体" w:hAnsi="宋体" w:cs="宋体" w:eastAsia="宋体" w:hint="default"/>
                <w:sz w:val="21"/>
                <w:szCs w:val="21"/>
              </w:rPr>
              <w:t>北京华宇信码</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拓展新的业务领域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自有货币资金</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信码总资产为</w:t>
            </w:r>
            <w:r>
              <w:rPr>
                <w:rFonts w:ascii="宋体" w:hAnsi="宋体" w:cs="宋体" w:eastAsia="宋体" w:hint="default"/>
                <w:spacing w:val="-54"/>
                <w:sz w:val="21"/>
                <w:szCs w:val="21"/>
              </w:rPr>
              <w:t> </w:t>
            </w:r>
            <w:r>
              <w:rPr>
                <w:rFonts w:ascii="Arial" w:hAnsi="Arial" w:cs="Arial" w:eastAsia="Arial" w:hint="default"/>
                <w:sz w:val="21"/>
                <w:szCs w:val="21"/>
              </w:rPr>
              <w:t>772.69</w:t>
            </w:r>
            <w:r>
              <w:rPr>
                <w:rFonts w:ascii="Arial" w:hAnsi="Arial" w:cs="Arial" w:eastAsia="Arial" w:hint="default"/>
                <w:spacing w:val="-6"/>
                <w:sz w:val="21"/>
                <w:szCs w:val="21"/>
              </w:rPr>
              <w:t> </w:t>
            </w:r>
            <w:r>
              <w:rPr>
                <w:rFonts w:ascii="宋体" w:hAnsi="宋体" w:cs="宋体" w:eastAsia="宋体" w:hint="default"/>
                <w:sz w:val="21"/>
                <w:szCs w:val="21"/>
              </w:rPr>
              <w:t>万元，处于业务</w:t>
            </w:r>
            <w:r>
              <w:rPr>
                <w:rFonts w:ascii="宋体" w:hAnsi="宋体" w:cs="宋体" w:eastAsia="宋体" w:hint="default"/>
                <w:w w:val="100"/>
                <w:sz w:val="21"/>
                <w:szCs w:val="21"/>
              </w:rPr>
              <w:t> </w:t>
            </w:r>
            <w:r>
              <w:rPr>
                <w:rFonts w:ascii="宋体" w:hAnsi="宋体" w:cs="宋体" w:eastAsia="宋体" w:hint="default"/>
                <w:spacing w:val="-2"/>
                <w:sz w:val="21"/>
                <w:szCs w:val="21"/>
              </w:rPr>
              <w:t>发展初期，资产规模较小，对整体业绩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影响很小。</w:t>
            </w:r>
          </w:p>
        </w:tc>
      </w:tr>
    </w:tbl>
    <w:p>
      <w:pPr>
        <w:spacing w:after="0" w:line="266" w:lineRule="auto"/>
        <w:jc w:val="left"/>
        <w:rPr>
          <w:rFonts w:ascii="宋体" w:hAnsi="宋体" w:cs="宋体" w:eastAsia="宋体" w:hint="default"/>
          <w:sz w:val="21"/>
          <w:szCs w:val="21"/>
        </w:rPr>
        <w:sectPr>
          <w:pgSz w:w="11910" w:h="16840"/>
          <w:pgMar w:header="0" w:footer="1010" w:top="1140" w:bottom="1200" w:left="980" w:right="980"/>
        </w:sectPr>
      </w:pPr>
    </w:p>
    <w:p>
      <w:pPr>
        <w:spacing w:line="240" w:lineRule="auto" w:before="1"/>
        <w:rPr>
          <w:rFonts w:ascii="宋体" w:hAnsi="宋体" w:cs="宋体" w:eastAsia="宋体" w:hint="default"/>
          <w:sz w:val="20"/>
          <w:szCs w:val="20"/>
        </w:rPr>
      </w:pPr>
    </w:p>
    <w:p>
      <w:pPr>
        <w:pStyle w:val="Heading3"/>
        <w:spacing w:line="240" w:lineRule="auto" w:before="26"/>
        <w:ind w:right="0"/>
        <w:jc w:val="left"/>
        <w:rPr>
          <w:b w:val="0"/>
          <w:bCs w:val="0"/>
        </w:rPr>
      </w:pPr>
      <w:r>
        <w:rPr/>
        <w:t>（</w:t>
      </w:r>
      <w:r>
        <w:rPr>
          <w:rFonts w:ascii="Arial" w:hAnsi="Arial" w:cs="Arial" w:eastAsia="Arial" w:hint="default"/>
        </w:rPr>
        <w:t>7</w:t>
      </w:r>
      <w:r>
        <w:rPr/>
        <w:t>）公司控制的特殊目的主体情况</w:t>
      </w:r>
      <w:r>
        <w:rPr>
          <w:b w:val="0"/>
          <w:bCs w:val="0"/>
        </w:rPr>
      </w:r>
    </w:p>
    <w:p>
      <w:pPr>
        <w:spacing w:line="240" w:lineRule="auto" w:before="8"/>
        <w:rPr>
          <w:rFonts w:ascii="宋体" w:hAnsi="宋体" w:cs="宋体" w:eastAsia="宋体" w:hint="default"/>
          <w:b/>
          <w:bCs/>
          <w:sz w:val="28"/>
          <w:szCs w:val="28"/>
        </w:rPr>
      </w:pPr>
    </w:p>
    <w:p>
      <w:pPr>
        <w:spacing w:line="513" w:lineRule="auto" w:before="0"/>
        <w:ind w:left="152" w:right="712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二、新年度业务发展计划</w:t>
      </w:r>
      <w:r>
        <w:rPr>
          <w:rFonts w:ascii="宋体" w:hAnsi="宋体" w:cs="宋体" w:eastAsia="宋体" w:hint="default"/>
          <w:sz w:val="24"/>
          <w:szCs w:val="24"/>
        </w:rPr>
      </w:r>
    </w:p>
    <w:p>
      <w:pPr>
        <w:pStyle w:val="BodyText"/>
        <w:spacing w:line="240" w:lineRule="auto" w:before="70"/>
        <w:ind w:left="635" w:right="0"/>
        <w:jc w:val="left"/>
      </w:pPr>
      <w:r>
        <w:rPr>
          <w:rFonts w:ascii="Arial" w:hAnsi="Arial" w:cs="Arial" w:eastAsia="Arial" w:hint="default"/>
        </w:rPr>
        <w:t>1. </w:t>
      </w:r>
      <w:r>
        <w:rPr>
          <w:rFonts w:ascii="Arial" w:hAnsi="Arial" w:cs="Arial" w:eastAsia="Arial" w:hint="default"/>
          <w:spacing w:val="22"/>
        </w:rPr>
        <w:t> </w:t>
      </w:r>
      <w:r>
        <w:rPr/>
        <w:t>巩固优势行业竞争优势</w:t>
      </w:r>
    </w:p>
    <w:p>
      <w:pPr>
        <w:pStyle w:val="BodyText"/>
        <w:spacing w:line="283" w:lineRule="auto" w:before="96"/>
        <w:ind w:right="0" w:firstLine="360"/>
        <w:jc w:val="left"/>
      </w:pPr>
      <w:r>
        <w:rPr>
          <w:rFonts w:ascii="Arial" w:hAnsi="Arial" w:cs="Arial" w:eastAsia="Arial" w:hint="default"/>
          <w:spacing w:val="2"/>
        </w:rPr>
        <w:t>2015</w:t>
      </w:r>
      <w:r>
        <w:rPr>
          <w:spacing w:val="2"/>
        </w:rPr>
        <w:t>年是依法治国的开局之年，公司将在优势行业积极开拓，深耕细作，巩固法院、检</w:t>
      </w:r>
      <w:r>
        <w:rPr/>
        <w:t> 察院行业的市场领先地位，同时大力拓展司法监狱等行业用户，提高市场占有率。</w:t>
      </w:r>
    </w:p>
    <w:p>
      <w:pPr>
        <w:pStyle w:val="BodyText"/>
        <w:spacing w:line="309" w:lineRule="auto" w:before="149"/>
        <w:ind w:left="513" w:right="0" w:firstLine="122"/>
        <w:jc w:val="left"/>
      </w:pPr>
      <w:r>
        <w:rPr>
          <w:rFonts w:ascii="Arial" w:hAnsi="Arial" w:cs="Arial" w:eastAsia="Arial" w:hint="default"/>
        </w:rPr>
        <w:t>2.</w:t>
      </w:r>
      <w:r>
        <w:rPr>
          <w:rFonts w:ascii="Arial" w:hAnsi="Arial" w:cs="Arial" w:eastAsia="Arial" w:hint="default"/>
          <w:spacing w:val="22"/>
        </w:rPr>
        <w:t> </w:t>
      </w:r>
      <w:r>
        <w:rPr/>
        <w:t>全力拓展食品安全领域，布局全国市场</w:t>
      </w:r>
      <w:r>
        <w:rPr>
          <w:w w:val="100"/>
        </w:rPr>
        <w:t> </w:t>
      </w:r>
      <w:r>
        <w:rPr>
          <w:spacing w:val="-3"/>
        </w:rPr>
        <w:t>食品安全是国家重点推动和建设的行业，随着国家食品安全顶层规划逐渐清晰，食品安全</w:t>
      </w:r>
    </w:p>
    <w:p>
      <w:pPr>
        <w:pStyle w:val="BodyText"/>
        <w:spacing w:line="297" w:lineRule="auto" w:before="7"/>
        <w:ind w:right="0"/>
        <w:jc w:val="left"/>
      </w:pPr>
      <w:r>
        <w:rPr/>
        <w:t>行业的信息化建设将迎来良好的增长机会。公司将全力推动面向各级政府、企业的城市立体</w:t>
      </w:r>
      <w:r>
        <w:rPr>
          <w:spacing w:val="-88"/>
        </w:rPr>
        <w:t> </w:t>
      </w:r>
      <w:r>
        <w:rPr>
          <w:spacing w:val="-88"/>
        </w:rPr>
      </w:r>
      <w:r>
        <w:rPr/>
        <w:t>化食品安全保障解决方案，协助政府和企业构建城市</w:t>
      </w:r>
      <w:r>
        <w:rPr>
          <w:rFonts w:ascii="Arial" w:hAnsi="Arial" w:cs="Arial" w:eastAsia="Arial" w:hint="default"/>
        </w:rPr>
        <w:t>“</w:t>
      </w:r>
      <w:r>
        <w:rPr/>
        <w:t>智慧食安</w:t>
      </w:r>
      <w:r>
        <w:rPr>
          <w:rFonts w:ascii="Arial" w:hAnsi="Arial" w:cs="Arial" w:eastAsia="Arial" w:hint="default"/>
        </w:rPr>
        <w:t>”</w:t>
      </w:r>
      <w:r>
        <w:rPr/>
        <w:t>一体化监管平台。</w:t>
      </w:r>
    </w:p>
    <w:p>
      <w:pPr>
        <w:pStyle w:val="BodyText"/>
        <w:spacing w:line="280" w:lineRule="auto" w:before="151"/>
        <w:ind w:left="513" w:right="0" w:firstLine="122"/>
        <w:jc w:val="left"/>
      </w:pPr>
      <w:r>
        <w:rPr>
          <w:rFonts w:ascii="Arial" w:hAnsi="Arial" w:cs="Arial" w:eastAsia="Arial" w:hint="default"/>
        </w:rPr>
        <w:t>3.</w:t>
      </w:r>
      <w:r>
        <w:rPr>
          <w:rFonts w:ascii="Arial" w:hAnsi="Arial" w:cs="Arial" w:eastAsia="Arial" w:hint="default"/>
          <w:spacing w:val="23"/>
        </w:rPr>
        <w:t> </w:t>
      </w:r>
      <w:r>
        <w:rPr/>
        <w:t>全力部署自主安全可控战略</w:t>
      </w:r>
      <w:r>
        <w:rPr>
          <w:w w:val="100"/>
        </w:rPr>
        <w:t> </w:t>
      </w:r>
      <w:r>
        <w:rPr>
          <w:spacing w:val="-3"/>
        </w:rPr>
        <w:t>自主安全可控是国家安全战略的重要组成部分，公司已经形成了完整的自主安全可控的应</w:t>
      </w:r>
    </w:p>
    <w:p>
      <w:pPr>
        <w:pStyle w:val="BodyText"/>
        <w:spacing w:line="297" w:lineRule="auto" w:before="36"/>
        <w:ind w:right="0"/>
        <w:jc w:val="left"/>
      </w:pPr>
      <w:r>
        <w:rPr/>
        <w:t>用方案，产品安全性能良好，团队安全服务能力出色，新年度公司将继续扩大在该领域的先</w:t>
      </w:r>
      <w:r>
        <w:rPr>
          <w:spacing w:val="-90"/>
        </w:rPr>
        <w:t> </w:t>
      </w:r>
      <w:r>
        <w:rPr>
          <w:spacing w:val="-90"/>
        </w:rPr>
      </w:r>
      <w:r>
        <w:rPr/>
        <w:t>发优势，为政府提供安全、可控、高效的应用方案，实现快速发展。</w:t>
      </w:r>
    </w:p>
    <w:p>
      <w:pPr>
        <w:pStyle w:val="BodyText"/>
        <w:spacing w:line="280" w:lineRule="auto" w:before="176"/>
        <w:ind w:left="513" w:right="0" w:firstLine="122"/>
        <w:jc w:val="left"/>
      </w:pPr>
      <w:r>
        <w:rPr>
          <w:rFonts w:ascii="Arial" w:hAnsi="Arial" w:cs="Arial" w:eastAsia="Arial" w:hint="default"/>
        </w:rPr>
        <w:t>4.</w:t>
      </w:r>
      <w:r>
        <w:rPr>
          <w:rFonts w:ascii="Arial" w:hAnsi="Arial" w:cs="Arial" w:eastAsia="Arial" w:hint="default"/>
          <w:spacing w:val="23"/>
        </w:rPr>
        <w:t> </w:t>
      </w:r>
      <w:r>
        <w:rPr/>
        <w:t>优化业务结构，提升盈利能力</w:t>
      </w:r>
      <w:r>
        <w:rPr>
          <w:w w:val="100"/>
        </w:rPr>
        <w:t> </w:t>
      </w:r>
      <w:r>
        <w:rPr>
          <w:spacing w:val="-3"/>
        </w:rPr>
        <w:t>坚持把自有产品和服务作为核心竞争力，持续提升软件与服务在收入中的占比，保持行业</w:t>
      </w:r>
    </w:p>
    <w:p>
      <w:pPr>
        <w:pStyle w:val="BodyText"/>
        <w:spacing w:line="297" w:lineRule="auto" w:before="36"/>
        <w:ind w:right="0"/>
        <w:jc w:val="left"/>
      </w:pPr>
      <w:r>
        <w:rPr/>
        <w:t>中较高的毛利水平；同时积极探索新服务模式，在多行业探索和推广运营服务，并力争将诉</w:t>
      </w:r>
      <w:r>
        <w:rPr>
          <w:spacing w:val="-87"/>
        </w:rPr>
        <w:t> </w:t>
      </w:r>
      <w:r>
        <w:rPr>
          <w:spacing w:val="-87"/>
        </w:rPr>
      </w:r>
      <w:r>
        <w:rPr/>
        <w:t>讼无忧打造为领先的中国互联网诉讼服务平台。</w:t>
      </w:r>
    </w:p>
    <w:p>
      <w:pPr>
        <w:pStyle w:val="BodyText"/>
        <w:spacing w:line="280" w:lineRule="auto" w:before="175"/>
        <w:ind w:left="513" w:right="0" w:firstLine="122"/>
        <w:jc w:val="left"/>
      </w:pPr>
      <w:r>
        <w:rPr>
          <w:rFonts w:ascii="Arial" w:hAnsi="Arial" w:cs="Arial" w:eastAsia="Arial" w:hint="default"/>
        </w:rPr>
        <w:t>5.</w:t>
      </w:r>
      <w:r>
        <w:rPr>
          <w:rFonts w:ascii="Arial" w:hAnsi="Arial" w:cs="Arial" w:eastAsia="Arial" w:hint="default"/>
          <w:spacing w:val="23"/>
        </w:rPr>
        <w:t> </w:t>
      </w:r>
      <w:r>
        <w:rPr/>
        <w:t>积极推进并购战略，战略布局新兴产业</w:t>
      </w:r>
      <w:r>
        <w:rPr>
          <w:w w:val="100"/>
        </w:rPr>
        <w:t> </w:t>
      </w:r>
      <w:r>
        <w:rPr>
          <w:spacing w:val="-3"/>
        </w:rPr>
        <w:t>公司将利用自身发展积累，把握资本市场有利机遇，围绕清晰的战略，从补强主业、加快</w:t>
      </w:r>
    </w:p>
    <w:p>
      <w:pPr>
        <w:pStyle w:val="BodyText"/>
        <w:spacing w:line="297" w:lineRule="auto" w:before="36"/>
        <w:ind w:right="0"/>
        <w:jc w:val="left"/>
      </w:pPr>
      <w:r>
        <w:rPr/>
        <w:t>市场开拓和进军目标新领域等角度，围绕电子政务和企业应用，在有效控制风险的基础上，</w:t>
      </w:r>
      <w:r>
        <w:rPr>
          <w:spacing w:val="-91"/>
        </w:rPr>
        <w:t> </w:t>
      </w:r>
      <w:r>
        <w:rPr>
          <w:spacing w:val="-91"/>
        </w:rPr>
      </w:r>
      <w:r>
        <w:rPr/>
        <w:t>开展业务布局，扩大成长空间，实现公司业务长远、稳健和持续的发展。</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r>
        <w:rPr/>
        <w:t>三、董事会、监事会对会计师事务所本报告期</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spacing w:line="240" w:lineRule="auto" w:before="8"/>
        <w:rPr>
          <w:rFonts w:ascii="宋体" w:hAnsi="宋体" w:cs="宋体" w:eastAsia="宋体" w:hint="default"/>
          <w:b/>
          <w:bCs/>
          <w:sz w:val="28"/>
          <w:szCs w:val="28"/>
        </w:rPr>
      </w:pPr>
    </w:p>
    <w:p>
      <w:pPr>
        <w:spacing w:line="511" w:lineRule="auto" w:before="0"/>
        <w:ind w:left="152" w:right="182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四、董事会关于报告期会计政策、会计估计变更或重要前期差错更正的说明</w:t>
      </w:r>
      <w:r>
        <w:rPr>
          <w:rFonts w:ascii="宋体" w:hAnsi="宋体" w:cs="宋体" w:eastAsia="宋体" w:hint="default"/>
          <w:sz w:val="24"/>
          <w:szCs w:val="24"/>
        </w:rPr>
      </w:r>
    </w:p>
    <w:p>
      <w:pPr>
        <w:pStyle w:val="BodyText"/>
        <w:spacing w:line="240" w:lineRule="auto" w:before="120"/>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0" w:footer="1010" w:top="1140" w:bottom="1200" w:left="980" w:right="980"/>
        </w:sectPr>
      </w:pPr>
    </w:p>
    <w:p>
      <w:pPr>
        <w:spacing w:line="240" w:lineRule="auto" w:before="4"/>
        <w:rPr>
          <w:rFonts w:ascii="宋体" w:hAnsi="宋体" w:cs="宋体" w:eastAsia="宋体" w:hint="default"/>
          <w:sz w:val="20"/>
          <w:szCs w:val="20"/>
        </w:rPr>
      </w:pPr>
    </w:p>
    <w:p>
      <w:pPr>
        <w:pStyle w:val="Heading3"/>
        <w:spacing w:line="240" w:lineRule="auto" w:before="26"/>
        <w:ind w:right="0"/>
        <w:jc w:val="left"/>
        <w:rPr>
          <w:b w:val="0"/>
          <w:bCs w:val="0"/>
        </w:rPr>
      </w:pPr>
      <w:r>
        <w:rPr/>
        <w:t>五、公司利润分配及分红派息情况</w:t>
      </w:r>
      <w:r>
        <w:rPr>
          <w:b w:val="0"/>
          <w:bCs w:val="0"/>
        </w:rPr>
      </w:r>
    </w:p>
    <w:p>
      <w:pPr>
        <w:spacing w:line="240" w:lineRule="auto" w:before="10"/>
        <w:rPr>
          <w:rFonts w:ascii="宋体" w:hAnsi="宋体" w:cs="宋体" w:eastAsia="宋体" w:hint="default"/>
          <w:b/>
          <w:bCs/>
          <w:sz w:val="29"/>
          <w:szCs w:val="29"/>
        </w:rPr>
      </w:pPr>
    </w:p>
    <w:p>
      <w:pPr>
        <w:pStyle w:val="BodyText"/>
        <w:spacing w:line="240" w:lineRule="auto"/>
        <w:ind w:right="0"/>
        <w:jc w:val="left"/>
      </w:pPr>
      <w:r>
        <w:rPr/>
        <w:t>报告期内利润分配政策特别是现金分红政策的制定、执行或调整情况</w:t>
      </w:r>
    </w:p>
    <w:p>
      <w:pPr>
        <w:pStyle w:val="BodyText"/>
        <w:spacing w:line="240" w:lineRule="auto" w:before="132"/>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92" w:lineRule="auto" w:before="113"/>
        <w:ind w:right="152" w:firstLine="480"/>
        <w:jc w:val="both"/>
      </w:pPr>
      <w:r>
        <w:rPr>
          <w:rFonts w:ascii="Arial" w:hAnsi="Arial" w:cs="Arial" w:eastAsia="Arial" w:hint="default"/>
        </w:rPr>
        <w:t>2014 </w:t>
      </w:r>
      <w:r>
        <w:rPr/>
        <w:t>年 </w:t>
      </w:r>
      <w:r>
        <w:rPr>
          <w:rFonts w:ascii="Arial" w:hAnsi="Arial" w:cs="Arial" w:eastAsia="Arial" w:hint="default"/>
        </w:rPr>
        <w:t>9 </w:t>
      </w:r>
      <w:r>
        <w:rPr/>
        <w:t>月 </w:t>
      </w:r>
      <w:r>
        <w:rPr>
          <w:rFonts w:ascii="Arial" w:hAnsi="Arial" w:cs="Arial" w:eastAsia="Arial" w:hint="default"/>
        </w:rPr>
        <w:t>15</w:t>
      </w:r>
      <w:r>
        <w:rPr>
          <w:rFonts w:ascii="Arial" w:hAnsi="Arial" w:cs="Arial" w:eastAsia="Arial" w:hint="default"/>
          <w:spacing w:val="22"/>
        </w:rPr>
        <w:t> </w:t>
      </w:r>
      <w:r>
        <w:rPr/>
        <w:t>日，公司第五届董事会第十四次会议审议通过了《关于修改</w:t>
      </w:r>
      <w:r>
        <w:rPr>
          <w:rFonts w:ascii="Arial" w:hAnsi="Arial" w:cs="Arial" w:eastAsia="Arial" w:hint="default"/>
        </w:rPr>
        <w:t>&lt;</w:t>
      </w:r>
      <w:r>
        <w:rPr/>
        <w:t>北京华 </w:t>
      </w:r>
      <w:r>
        <w:rPr>
          <w:spacing w:val="-3"/>
        </w:rPr>
        <w:t>宇软件股份有限公司章程</w:t>
      </w:r>
      <w:r>
        <w:rPr>
          <w:rFonts w:ascii="Arial" w:hAnsi="Arial" w:cs="Arial" w:eastAsia="Arial" w:hint="default"/>
          <w:spacing w:val="-3"/>
        </w:rPr>
        <w:t>&gt;</w:t>
      </w:r>
      <w:r>
        <w:rPr>
          <w:spacing w:val="-3"/>
        </w:rPr>
        <w:t>的议案》，同意将公司章程第一百五十五条和第一百五十六条进行</w:t>
      </w:r>
      <w:r>
        <w:rPr>
          <w:spacing w:val="-100"/>
        </w:rPr>
        <w:t> </w:t>
      </w:r>
      <w:r>
        <w:rPr>
          <w:spacing w:val="-100"/>
        </w:rPr>
      </w:r>
      <w:r>
        <w:rPr>
          <w:spacing w:val="-6"/>
        </w:rPr>
        <w:t>修改。</w:t>
      </w:r>
      <w:r>
        <w:rPr>
          <w:rFonts w:ascii="Arial" w:hAnsi="Arial" w:cs="Arial" w:eastAsia="Arial" w:hint="default"/>
          <w:spacing w:val="-6"/>
        </w:rPr>
        <w:t>2014 </w:t>
      </w:r>
      <w:r>
        <w:rPr/>
        <w:t>年 </w:t>
      </w:r>
      <w:r>
        <w:rPr>
          <w:rFonts w:ascii="Arial" w:hAnsi="Arial" w:cs="Arial" w:eastAsia="Arial" w:hint="default"/>
        </w:rPr>
        <w:t>10 </w:t>
      </w:r>
      <w:r>
        <w:rPr/>
        <w:t>月 </w:t>
      </w:r>
      <w:r>
        <w:rPr>
          <w:rFonts w:ascii="Arial" w:hAnsi="Arial" w:cs="Arial" w:eastAsia="Arial" w:hint="default"/>
        </w:rPr>
        <w:t>8 </w:t>
      </w:r>
      <w:r>
        <w:rPr>
          <w:spacing w:val="-9"/>
        </w:rPr>
        <w:t>日，公司 </w:t>
      </w:r>
      <w:r>
        <w:rPr>
          <w:rFonts w:ascii="Arial" w:hAnsi="Arial" w:cs="Arial" w:eastAsia="Arial" w:hint="default"/>
        </w:rPr>
        <w:t>2014</w:t>
      </w:r>
      <w:r>
        <w:rPr>
          <w:rFonts w:ascii="Arial" w:hAnsi="Arial" w:cs="Arial" w:eastAsia="Arial" w:hint="default"/>
          <w:spacing w:val="-3"/>
        </w:rPr>
        <w:t> </w:t>
      </w:r>
      <w:r>
        <w:rPr/>
        <w:t>年第三次临时股东大会审议通过了该议案。修改后 的内容如下：</w:t>
      </w:r>
    </w:p>
    <w:p>
      <w:pPr>
        <w:pStyle w:val="BodyText"/>
        <w:spacing w:line="309" w:lineRule="auto" w:before="80"/>
        <w:ind w:right="191" w:firstLine="480"/>
        <w:jc w:val="both"/>
      </w:pPr>
      <w:r>
        <w:rPr/>
        <w:t>第一百五十五条公司实行连续、稳定的利润分配政策，公司的利润分配应重视对投资者 的合理回报。具体规定如下：</w:t>
      </w:r>
    </w:p>
    <w:p>
      <w:pPr>
        <w:pStyle w:val="BodyText"/>
        <w:spacing w:line="309" w:lineRule="auto" w:before="62"/>
        <w:ind w:right="191" w:firstLine="480"/>
        <w:jc w:val="both"/>
      </w:pPr>
      <w:r>
        <w:rPr/>
        <w:t>（一）公司可采用现金、股票、现金与股票相结合或者法律、法规允许的其他方式分配 利润。在满足公司正常生产经营资金需求且具备现金分红条件的情况下，公司优先采取现金 方式分配利润。</w:t>
      </w:r>
    </w:p>
    <w:p>
      <w:pPr>
        <w:pStyle w:val="BodyText"/>
        <w:spacing w:line="240" w:lineRule="auto" w:before="60"/>
        <w:ind w:left="633" w:right="0"/>
        <w:jc w:val="left"/>
      </w:pPr>
      <w:r>
        <w:rPr/>
        <w:t>（二）公司利润分配不得超过累计可分配利润的范围，不得损害公司持续经营能力。</w:t>
      </w:r>
    </w:p>
    <w:p>
      <w:pPr>
        <w:pStyle w:val="BodyText"/>
        <w:spacing w:line="240" w:lineRule="auto" w:before="132"/>
        <w:ind w:left="633" w:right="0"/>
        <w:jc w:val="left"/>
      </w:pPr>
      <w:r>
        <w:rPr/>
        <w:t>（三）公司可以进行中期现金分红。</w:t>
      </w:r>
    </w:p>
    <w:p>
      <w:pPr>
        <w:pStyle w:val="BodyText"/>
        <w:spacing w:line="309" w:lineRule="auto" w:before="132"/>
        <w:ind w:right="189" w:firstLine="480"/>
        <w:jc w:val="both"/>
      </w:pPr>
      <w:r>
        <w:rPr/>
        <w:t>（四）公司现金分红的具体条件：除特殊情况外，公司在当年盈利且累计未分配利润为 正的情况下，在足额预留法定公积金后，采取现金方式分配股利，每年以现金方式分配的利 润不少于母公司可供分配利润的</w:t>
      </w:r>
      <w:r>
        <w:rPr>
          <w:spacing w:val="-60"/>
        </w:rPr>
        <w:t> </w:t>
      </w:r>
      <w:r>
        <w:rPr>
          <w:rFonts w:ascii="Arial" w:hAnsi="Arial" w:cs="Arial" w:eastAsia="Arial" w:hint="default"/>
        </w:rPr>
        <w:t>10%</w:t>
      </w:r>
      <w:r>
        <w:rPr/>
        <w:t>。</w:t>
      </w:r>
    </w:p>
    <w:p>
      <w:pPr>
        <w:pStyle w:val="BodyText"/>
        <w:spacing w:line="240" w:lineRule="auto" w:before="35"/>
        <w:ind w:right="0"/>
        <w:jc w:val="left"/>
      </w:pPr>
      <w:r>
        <w:rPr/>
        <w:t>特殊情况是指：</w:t>
      </w:r>
    </w:p>
    <w:p>
      <w:pPr>
        <w:pStyle w:val="BodyText"/>
        <w:spacing w:line="292" w:lineRule="auto" w:before="132"/>
        <w:ind w:right="152" w:firstLine="480"/>
        <w:jc w:val="both"/>
      </w:pPr>
      <w:r>
        <w:rPr>
          <w:rFonts w:ascii="Arial" w:hAnsi="Arial" w:cs="Arial" w:eastAsia="Arial" w:hint="default"/>
          <w:spacing w:val="-3"/>
        </w:rPr>
        <w:t>1</w:t>
      </w:r>
      <w:r>
        <w:rPr>
          <w:spacing w:val="-3"/>
        </w:rPr>
        <w:t>、公司未来十二个月内拟对外投资、收购资产或进行固定资产投资累计支出预计达到或</w:t>
      </w:r>
      <w:r>
        <w:rPr/>
        <w:t> 超过公司最近一期经审计净资产的</w:t>
      </w:r>
      <w:r>
        <w:rPr>
          <w:spacing w:val="-60"/>
        </w:rPr>
        <w:t> </w:t>
      </w:r>
      <w:r>
        <w:rPr>
          <w:rFonts w:ascii="Arial" w:hAnsi="Arial" w:cs="Arial" w:eastAsia="Arial" w:hint="default"/>
        </w:rPr>
        <w:t>15%</w:t>
      </w:r>
      <w:r>
        <w:rPr/>
        <w:t>；</w:t>
      </w:r>
    </w:p>
    <w:p>
      <w:pPr>
        <w:pStyle w:val="BodyText"/>
        <w:spacing w:line="240" w:lineRule="auto" w:before="56"/>
        <w:ind w:left="633" w:right="0"/>
        <w:jc w:val="left"/>
      </w:pPr>
      <w:r>
        <w:rPr>
          <w:rFonts w:ascii="Arial" w:hAnsi="Arial" w:cs="Arial" w:eastAsia="Arial" w:hint="default"/>
        </w:rPr>
        <w:t>2</w:t>
      </w:r>
      <w:r>
        <w:rPr/>
        <w:t>、公司最近一期经审计财务报告中研发支出金额超过当年实现净利润的</w:t>
      </w:r>
      <w:r>
        <w:rPr>
          <w:spacing w:val="-60"/>
        </w:rPr>
        <w:t> </w:t>
      </w:r>
      <w:r>
        <w:rPr>
          <w:rFonts w:ascii="Arial" w:hAnsi="Arial" w:cs="Arial" w:eastAsia="Arial" w:hint="default"/>
        </w:rPr>
        <w:t>40%</w:t>
      </w:r>
      <w:r>
        <w:rPr/>
        <w:t>；</w:t>
      </w:r>
    </w:p>
    <w:p>
      <w:pPr>
        <w:pStyle w:val="BodyText"/>
        <w:spacing w:line="292" w:lineRule="auto" w:before="113"/>
        <w:ind w:right="152" w:firstLine="480"/>
        <w:jc w:val="both"/>
      </w:pPr>
      <w:r>
        <w:rPr>
          <w:rFonts w:ascii="Arial" w:hAnsi="Arial" w:cs="Arial" w:eastAsia="Arial" w:hint="default"/>
          <w:spacing w:val="-3"/>
        </w:rPr>
        <w:t>3</w:t>
      </w:r>
      <w:r>
        <w:rPr>
          <w:spacing w:val="-3"/>
        </w:rPr>
        <w:t>、公司连续两年经营性现金流净额和投资性现金流净额之和低于连续两年公司净利润之</w:t>
      </w:r>
      <w:r>
        <w:rPr/>
        <w:t> 和的</w:t>
      </w:r>
      <w:r>
        <w:rPr>
          <w:spacing w:val="-61"/>
        </w:rPr>
        <w:t> </w:t>
      </w:r>
      <w:r>
        <w:rPr>
          <w:rFonts w:ascii="Arial" w:hAnsi="Arial" w:cs="Arial" w:eastAsia="Arial" w:hint="default"/>
        </w:rPr>
        <w:t>40%</w:t>
      </w:r>
      <w:r>
        <w:rPr/>
        <w:t>。</w:t>
      </w:r>
    </w:p>
    <w:p>
      <w:pPr>
        <w:pStyle w:val="BodyText"/>
        <w:spacing w:line="240" w:lineRule="auto" w:before="57"/>
        <w:ind w:left="633" w:right="0"/>
        <w:jc w:val="left"/>
      </w:pPr>
      <w:r>
        <w:rPr/>
        <w:t>（五）具体利润分配中，公司实现差异化的现金分红政策：</w:t>
      </w:r>
    </w:p>
    <w:p>
      <w:pPr>
        <w:pStyle w:val="BodyText"/>
        <w:spacing w:line="292" w:lineRule="auto" w:before="132"/>
        <w:ind w:right="152" w:firstLine="480"/>
        <w:jc w:val="both"/>
      </w:pPr>
      <w:r>
        <w:rPr>
          <w:rFonts w:ascii="Arial" w:hAnsi="Arial" w:cs="Arial" w:eastAsia="Arial" w:hint="default"/>
          <w:spacing w:val="-3"/>
        </w:rPr>
        <w:t>1</w:t>
      </w:r>
      <w:r>
        <w:rPr>
          <w:spacing w:val="-3"/>
        </w:rPr>
        <w:t>、公司发展阶段属成熟期且无重大资金支出安排的，进行利润分配时，现金分红在该次</w:t>
      </w:r>
      <w:r>
        <w:rPr/>
        <w:t> 利润分配中所占比例最低应达到</w:t>
      </w:r>
      <w:r>
        <w:rPr>
          <w:spacing w:val="-60"/>
        </w:rPr>
        <w:t> </w:t>
      </w:r>
      <w:r>
        <w:rPr>
          <w:rFonts w:ascii="Arial" w:hAnsi="Arial" w:cs="Arial" w:eastAsia="Arial" w:hint="default"/>
        </w:rPr>
        <w:t>80%</w:t>
      </w:r>
      <w:r>
        <w:rPr/>
        <w:t>；</w:t>
      </w:r>
    </w:p>
    <w:p>
      <w:pPr>
        <w:pStyle w:val="BodyText"/>
        <w:spacing w:line="292" w:lineRule="auto" w:before="54"/>
        <w:ind w:right="152" w:firstLine="480"/>
        <w:jc w:val="both"/>
      </w:pPr>
      <w:r>
        <w:rPr>
          <w:rFonts w:ascii="Arial" w:hAnsi="Arial" w:cs="Arial" w:eastAsia="Arial" w:hint="default"/>
          <w:spacing w:val="-3"/>
        </w:rPr>
        <w:t>2</w:t>
      </w:r>
      <w:r>
        <w:rPr>
          <w:spacing w:val="-3"/>
        </w:rPr>
        <w:t>、公司发展阶段属成熟期且有重大资金支出安排的，进行利润分配时，现金分红在该次</w:t>
      </w:r>
      <w:r>
        <w:rPr/>
        <w:t> 利润分配中所占比例最低应达到</w:t>
      </w:r>
      <w:r>
        <w:rPr>
          <w:spacing w:val="-60"/>
        </w:rPr>
        <w:t> </w:t>
      </w:r>
      <w:r>
        <w:rPr>
          <w:rFonts w:ascii="Arial" w:hAnsi="Arial" w:cs="Arial" w:eastAsia="Arial" w:hint="default"/>
        </w:rPr>
        <w:t>40%</w:t>
      </w:r>
      <w:r>
        <w:rPr/>
        <w:t>；</w:t>
      </w:r>
    </w:p>
    <w:p>
      <w:pPr>
        <w:pStyle w:val="BodyText"/>
        <w:spacing w:line="292" w:lineRule="auto" w:before="56"/>
        <w:ind w:right="152" w:firstLine="480"/>
        <w:jc w:val="both"/>
      </w:pPr>
      <w:r>
        <w:rPr>
          <w:rFonts w:ascii="Arial" w:hAnsi="Arial" w:cs="Arial" w:eastAsia="Arial" w:hint="default"/>
          <w:spacing w:val="-3"/>
        </w:rPr>
        <w:t>3</w:t>
      </w:r>
      <w:r>
        <w:rPr>
          <w:spacing w:val="-3"/>
        </w:rPr>
        <w:t>、公司发展阶段属成长期且有重大资金支出安排的，进行利润分配时，现金分红在该次</w:t>
      </w:r>
      <w:r>
        <w:rPr/>
        <w:t> 利润分配中所占比例最低应达到</w:t>
      </w:r>
      <w:r>
        <w:rPr>
          <w:spacing w:val="-60"/>
        </w:rPr>
        <w:t> </w:t>
      </w:r>
      <w:r>
        <w:rPr>
          <w:rFonts w:ascii="Arial" w:hAnsi="Arial" w:cs="Arial" w:eastAsia="Arial" w:hint="default"/>
        </w:rPr>
        <w:t>20%</w:t>
      </w:r>
      <w:r>
        <w:rPr/>
        <w:t>；</w:t>
      </w:r>
    </w:p>
    <w:p>
      <w:pPr>
        <w:pStyle w:val="BodyText"/>
        <w:spacing w:line="240" w:lineRule="auto" w:before="56"/>
        <w:ind w:left="633" w:right="0"/>
        <w:jc w:val="left"/>
      </w:pPr>
      <w:r>
        <w:rPr/>
        <w:t>公司发展阶段不易区分但有重大资金支出安排的，可以按照前项规定处理。</w:t>
      </w:r>
    </w:p>
    <w:p>
      <w:pPr>
        <w:pStyle w:val="BodyText"/>
        <w:spacing w:line="240" w:lineRule="auto" w:before="130"/>
        <w:ind w:left="633" w:right="0"/>
        <w:jc w:val="left"/>
      </w:pPr>
      <w:r>
        <w:rPr/>
        <w:t>（六）公司发放股票股利的具体条件：公司在经营情况良好，并且董事会认为公司股票</w:t>
      </w:r>
    </w:p>
    <w:p>
      <w:pPr>
        <w:spacing w:after="0" w:line="240" w:lineRule="auto"/>
        <w:jc w:val="left"/>
        <w:sectPr>
          <w:pgSz w:w="11910" w:h="16840"/>
          <w:pgMar w:header="0" w:footer="1010" w:top="1140" w:bottom="1200" w:left="980" w:right="980"/>
        </w:sectPr>
      </w:pPr>
    </w:p>
    <w:p>
      <w:pPr>
        <w:spacing w:line="240" w:lineRule="auto" w:before="1"/>
        <w:rPr>
          <w:rFonts w:ascii="宋体" w:hAnsi="宋体" w:cs="宋体" w:eastAsia="宋体" w:hint="default"/>
          <w:sz w:val="20"/>
          <w:szCs w:val="20"/>
        </w:rPr>
      </w:pPr>
    </w:p>
    <w:p>
      <w:pPr>
        <w:pStyle w:val="BodyText"/>
        <w:spacing w:line="309" w:lineRule="auto" w:before="26"/>
        <w:ind w:right="174"/>
        <w:jc w:val="left"/>
      </w:pPr>
      <w:r>
        <w:rPr/>
        <w:t>价格与公司股本规模不匹配、发放股票股利有利于公司全体股东整体利益时，可以在满足上 述现金分红的条件下，提出股票股利分配预案。</w:t>
      </w:r>
    </w:p>
    <w:p>
      <w:pPr>
        <w:pStyle w:val="BodyText"/>
        <w:spacing w:line="240" w:lineRule="auto" w:before="62"/>
        <w:ind w:left="633" w:right="0"/>
        <w:jc w:val="left"/>
      </w:pPr>
      <w:r>
        <w:rPr/>
        <w:t>第一百五十六条公司利润分配的决策程序和机制如下：</w:t>
      </w:r>
    </w:p>
    <w:p>
      <w:pPr>
        <w:pStyle w:val="BodyText"/>
        <w:spacing w:line="309" w:lineRule="auto" w:before="130"/>
        <w:ind w:right="153" w:firstLine="480"/>
        <w:jc w:val="both"/>
      </w:pPr>
      <w:r>
        <w:rPr/>
        <w:t>（一）公司的利润分配方案由公司管理层拟定后提交公司董事会、监事会审议。董事会 审议现金分红具体方案时，还应当认真研究并充分论证公司现金分红的时机、条件和最低比 </w:t>
      </w:r>
      <w:r>
        <w:rPr>
          <w:spacing w:val="-5"/>
        </w:rPr>
        <w:t>例、调整的条件及其决策程序要求等事宜。独立董事应对利润分配方案发表明确的独立意见。</w:t>
      </w:r>
      <w:r>
        <w:rPr>
          <w:spacing w:val="-117"/>
        </w:rPr>
        <w:t> </w:t>
      </w:r>
      <w:r>
        <w:rPr>
          <w:spacing w:val="-117"/>
        </w:rPr>
      </w:r>
      <w:r>
        <w:rPr/>
        <w:t>利润分配方案应经全体董事过半数通过后提交股东大会审议。公司因前述第一百五十五条规 定的特殊情况而不进行现金分红时，董事会就不进行现金分红的具体原因、公司留存收益的</w:t>
      </w:r>
      <w:r>
        <w:rPr/>
        <w:t> 确切用途及预计投资收益等事项进行专项说明，经独立董事发表意见后提交股东大会审议。 股东大会审议不进行现金分红的利润分配方案时，应为股东提供网络投票方式，并在公司指 定媒体上予以披露。</w:t>
      </w:r>
    </w:p>
    <w:p>
      <w:pPr>
        <w:pStyle w:val="BodyText"/>
        <w:spacing w:line="309" w:lineRule="auto" w:before="62"/>
        <w:ind w:right="191" w:firstLine="480"/>
        <w:jc w:val="both"/>
      </w:pPr>
      <w:r>
        <w:rPr/>
        <w:t>（二）监事会应对拟定的利润分配方案进行审议，并经监事会全体监事过半数以上表决 通过。未经监事会全体监事过半数以上表决通过的，董事会不得将该利润分配方案提交股东 大会审议。</w:t>
      </w:r>
    </w:p>
    <w:p>
      <w:pPr>
        <w:pStyle w:val="BodyText"/>
        <w:spacing w:line="309" w:lineRule="auto" w:before="62"/>
        <w:ind w:right="191" w:firstLine="480"/>
        <w:jc w:val="both"/>
      </w:pPr>
      <w:r>
        <w:rPr/>
        <w:t>（三）股东大会审议批准利润分配方案：股东大会审议利润分配方案时，将通过公司网 站、公众信箱或者来访接待等渠道充分听取中小股东的意见和诉求，及时答复中小股东关心 的问题，维护中小股东的决策参与权。</w:t>
      </w:r>
    </w:p>
    <w:p>
      <w:pPr>
        <w:pStyle w:val="BodyText"/>
        <w:spacing w:line="240" w:lineRule="auto" w:before="60"/>
        <w:ind w:left="633" w:right="0"/>
        <w:jc w:val="left"/>
      </w:pPr>
      <w:r>
        <w:rPr/>
        <w:t>公司利润分配方案应由股东大会以普通决议通过。</w:t>
      </w:r>
    </w:p>
    <w:p>
      <w:pPr>
        <w:spacing w:line="240" w:lineRule="auto" w:before="7"/>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7657"/>
        <w:gridCol w:w="1913"/>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3"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4"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307" w:lineRule="auto" w:before="48"/>
        <w:ind w:right="174"/>
        <w:jc w:val="left"/>
      </w:pPr>
      <w:r>
        <w:rPr/>
        <w:t>公司报告期利润分配预案及资本公积金转增股本预案与公司章程和分红管理办法等的相关规 定一致</w:t>
      </w:r>
    </w:p>
    <w:p>
      <w:pPr>
        <w:pStyle w:val="BodyText"/>
        <w:spacing w:line="331" w:lineRule="auto" w:before="65"/>
        <w:ind w:right="1134"/>
        <w:jc w:val="left"/>
      </w:pPr>
      <w:r>
        <w:rPr>
          <w:rFonts w:ascii="Arial" w:hAnsi="Arial" w:cs="Arial" w:eastAsia="Arial" w:hint="default"/>
        </w:rPr>
        <w:t>√ </w:t>
      </w:r>
      <w:r>
        <w:rPr/>
        <w:t>是 </w:t>
      </w:r>
      <w:r>
        <w:rPr>
          <w:rFonts w:ascii="Arial" w:hAnsi="Arial" w:cs="Arial" w:eastAsia="Arial" w:hint="default"/>
        </w:rPr>
        <w:t>□ </w:t>
      </w:r>
      <w:r>
        <w:rPr/>
        <w:t>否 </w:t>
      </w:r>
      <w:r>
        <w:rPr>
          <w:rFonts w:ascii="Arial" w:hAnsi="Arial" w:cs="Arial" w:eastAsia="Arial" w:hint="default"/>
        </w:rPr>
        <w:t>□</w:t>
      </w:r>
      <w:r>
        <w:rPr>
          <w:rFonts w:ascii="Arial" w:hAnsi="Arial" w:cs="Arial" w:eastAsia="Arial" w:hint="default"/>
          <w:spacing w:val="23"/>
        </w:rPr>
        <w:t> </w:t>
      </w:r>
      <w:r>
        <w:rPr/>
        <w:t>不适用 公司报告期利润分配预案及资本公积金转增股本预案符合公司章程等的相关规定。 本年度利润分配及资本公积金转增股本预案</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964"/>
        <w:gridCol w:w="4607"/>
      </w:tblGrid>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股送红股数（股）</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股派息数（元）（含税）</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Arial" w:hAnsi="Arial" w:cs="Arial" w:eastAsia="Arial" w:hint="default"/>
                <w:sz w:val="21"/>
                <w:szCs w:val="21"/>
              </w:rPr>
            </w:pPr>
            <w:r>
              <w:rPr>
                <w:rFonts w:ascii="Arial"/>
                <w:spacing w:val="-1"/>
                <w:sz w:val="21"/>
              </w:rPr>
              <w:t>1.00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股转增数（股）</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10</w:t>
            </w:r>
          </w:p>
        </w:tc>
      </w:tr>
    </w:tbl>
    <w:p>
      <w:pPr>
        <w:spacing w:after="0" w:line="240" w:lineRule="auto"/>
        <w:jc w:val="right"/>
        <w:rPr>
          <w:rFonts w:ascii="Arial" w:hAnsi="Arial" w:cs="Arial" w:eastAsia="Arial" w:hint="default"/>
          <w:sz w:val="21"/>
          <w:szCs w:val="21"/>
        </w:rPr>
        <w:sectPr>
          <w:pgSz w:w="11910" w:h="16840"/>
          <w:pgMar w:header="0"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4964"/>
        <w:gridCol w:w="4607"/>
      </w:tblGrid>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149,954,550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现金分红总额（元）（含税）</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14,995,455.00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120,141,137.73</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z w:val="21"/>
              </w:rPr>
              <w:t>100%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7"/>
              <w:jc w:val="left"/>
              <w:rPr>
                <w:rFonts w:ascii="宋体" w:hAnsi="宋体" w:cs="宋体" w:eastAsia="宋体" w:hint="default"/>
                <w:sz w:val="21"/>
                <w:szCs w:val="21"/>
              </w:rPr>
            </w:pPr>
            <w:r>
              <w:rPr>
                <w:rFonts w:ascii="宋体" w:hAnsi="宋体" w:cs="宋体" w:eastAsia="宋体" w:hint="default"/>
                <w:spacing w:val="-2"/>
                <w:sz w:val="21"/>
                <w:szCs w:val="21"/>
              </w:rPr>
              <w:t>公司发展阶段属成长期且有重大资金支出安排的，进行利润分配时，现金分红在本次利润分配中所占比</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例最低应达到</w:t>
            </w:r>
            <w:r>
              <w:rPr>
                <w:rFonts w:ascii="宋体" w:hAnsi="宋体" w:cs="宋体" w:eastAsia="宋体" w:hint="default"/>
                <w:spacing w:val="-52"/>
                <w:sz w:val="21"/>
                <w:szCs w:val="21"/>
              </w:rPr>
              <w:t> </w:t>
            </w:r>
            <w:r>
              <w:rPr>
                <w:rFonts w:ascii="Arial" w:hAnsi="Arial" w:cs="Arial" w:eastAsia="Arial" w:hint="default"/>
                <w:sz w:val="21"/>
                <w:szCs w:val="21"/>
              </w:rPr>
              <w:t>20</w:t>
            </w:r>
            <w:r>
              <w:rPr>
                <w:rFonts w:ascii="宋体" w:hAnsi="宋体" w:cs="宋体" w:eastAsia="宋体" w:hint="default"/>
                <w:sz w:val="21"/>
                <w:szCs w:val="21"/>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134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9"/>
              <w:jc w:val="left"/>
              <w:rPr>
                <w:rFonts w:ascii="宋体" w:hAnsi="宋体" w:cs="宋体" w:eastAsia="宋体" w:hint="default"/>
                <w:sz w:val="21"/>
                <w:szCs w:val="21"/>
              </w:rPr>
            </w:pPr>
            <w:r>
              <w:rPr>
                <w:rFonts w:ascii="宋体" w:hAnsi="宋体" w:cs="宋体" w:eastAsia="宋体" w:hint="default"/>
                <w:spacing w:val="-5"/>
                <w:sz w:val="21"/>
                <w:szCs w:val="21"/>
              </w:rPr>
              <w:t>本着回报股东、与股东分享公司成长的经营成果的原则，在兼顾公司发展和股东利益的前提下，根据《公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司法》及《公司章程》的相关规定，现拟定如下分配预案：以截止</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日公司总股本</w:t>
            </w:r>
          </w:p>
          <w:p>
            <w:pPr>
              <w:pStyle w:val="TableParagraph"/>
              <w:spacing w:line="282" w:lineRule="exact"/>
              <w:ind w:left="24" w:right="0"/>
              <w:jc w:val="left"/>
              <w:rPr>
                <w:rFonts w:ascii="宋体" w:hAnsi="宋体" w:cs="宋体" w:eastAsia="宋体" w:hint="default"/>
                <w:sz w:val="21"/>
                <w:szCs w:val="21"/>
              </w:rPr>
            </w:pPr>
            <w:r>
              <w:rPr>
                <w:rFonts w:ascii="Arial" w:hAnsi="Arial" w:cs="Arial" w:eastAsia="Arial" w:hint="default"/>
                <w:sz w:val="21"/>
                <w:szCs w:val="21"/>
              </w:rPr>
              <w:t>149,954,550</w:t>
            </w:r>
            <w:r>
              <w:rPr>
                <w:rFonts w:ascii="Arial" w:hAnsi="Arial" w:cs="Arial" w:eastAsia="Arial" w:hint="default"/>
                <w:spacing w:val="-2"/>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45"/>
                <w:sz w:val="21"/>
                <w:szCs w:val="21"/>
              </w:rPr>
              <w:t> </w:t>
            </w:r>
            <w:r>
              <w:rPr>
                <w:rFonts w:ascii="Arial" w:hAnsi="Arial" w:cs="Arial" w:eastAsia="Arial" w:hint="default"/>
                <w:sz w:val="21"/>
                <w:szCs w:val="21"/>
              </w:rPr>
              <w:t>10</w:t>
            </w:r>
            <w:r>
              <w:rPr>
                <w:rFonts w:ascii="Arial" w:hAnsi="Arial" w:cs="Arial" w:eastAsia="Arial" w:hint="default"/>
                <w:spacing w:val="-2"/>
                <w:sz w:val="21"/>
                <w:szCs w:val="21"/>
              </w:rPr>
              <w:t> </w:t>
            </w:r>
            <w:r>
              <w:rPr>
                <w:rFonts w:ascii="宋体" w:hAnsi="宋体" w:cs="宋体" w:eastAsia="宋体" w:hint="default"/>
                <w:sz w:val="21"/>
                <w:szCs w:val="21"/>
              </w:rPr>
              <w:t>股派发现金股利</w:t>
            </w:r>
            <w:r>
              <w:rPr>
                <w:rFonts w:ascii="宋体" w:hAnsi="宋体" w:cs="宋体" w:eastAsia="宋体" w:hint="default"/>
                <w:spacing w:val="-49"/>
                <w:sz w:val="21"/>
                <w:szCs w:val="21"/>
              </w:rPr>
              <w:t> </w:t>
            </w:r>
            <w:r>
              <w:rPr>
                <w:rFonts w:ascii="Arial" w:hAnsi="Arial" w:cs="Arial" w:eastAsia="Arial" w:hint="default"/>
                <w:sz w:val="21"/>
                <w:szCs w:val="21"/>
              </w:rPr>
              <w:t>1 </w:t>
            </w:r>
            <w:r>
              <w:rPr>
                <w:rFonts w:ascii="宋体" w:hAnsi="宋体" w:cs="宋体" w:eastAsia="宋体" w:hint="default"/>
                <w:spacing w:val="-4"/>
                <w:sz w:val="21"/>
                <w:szCs w:val="21"/>
              </w:rPr>
              <w:t>元人民币（含税），同时以资本公积金向全体</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股东每 </w:t>
            </w:r>
            <w:r>
              <w:rPr>
                <w:rFonts w:ascii="Arial" w:hAnsi="Arial" w:cs="Arial" w:eastAsia="Arial" w:hint="default"/>
                <w:sz w:val="21"/>
                <w:szCs w:val="21"/>
              </w:rPr>
              <w:t>10  </w:t>
            </w:r>
            <w:r>
              <w:rPr>
                <w:rFonts w:ascii="宋体" w:hAnsi="宋体" w:cs="宋体" w:eastAsia="宋体" w:hint="default"/>
                <w:sz w:val="21"/>
                <w:szCs w:val="21"/>
              </w:rPr>
              <w:t>股转增 </w:t>
            </w:r>
            <w:r>
              <w:rPr>
                <w:rFonts w:ascii="Arial" w:hAnsi="Arial" w:cs="Arial" w:eastAsia="Arial" w:hint="default"/>
                <w:sz w:val="21"/>
                <w:szCs w:val="21"/>
              </w:rPr>
              <w:t>10</w:t>
            </w:r>
            <w:r>
              <w:rPr>
                <w:rFonts w:ascii="Arial" w:hAnsi="Arial" w:cs="Arial" w:eastAsia="Arial" w:hint="default"/>
                <w:spacing w:val="35"/>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tc>
      </w:tr>
    </w:tbl>
    <w:p>
      <w:pPr>
        <w:spacing w:line="240" w:lineRule="auto" w:before="7"/>
        <w:rPr>
          <w:rFonts w:ascii="宋体" w:hAnsi="宋体" w:cs="宋体" w:eastAsia="宋体" w:hint="default"/>
          <w:sz w:val="28"/>
          <w:szCs w:val="28"/>
        </w:rPr>
      </w:pPr>
    </w:p>
    <w:p>
      <w:pPr>
        <w:pStyle w:val="Heading3"/>
        <w:spacing w:line="240" w:lineRule="auto" w:before="26"/>
        <w:ind w:right="99"/>
        <w:jc w:val="left"/>
        <w:rPr>
          <w:b w:val="0"/>
          <w:bCs w:val="0"/>
        </w:rPr>
      </w:pPr>
      <w:r>
        <w:rPr/>
        <w:t>公司近</w:t>
      </w:r>
      <w:r>
        <w:rPr>
          <w:spacing w:val="-61"/>
        </w:rPr>
        <w:t> </w:t>
      </w:r>
      <w:r>
        <w:rPr>
          <w:rFonts w:ascii="Arial" w:hAnsi="Arial" w:cs="Arial" w:eastAsia="Arial" w:hint="default"/>
        </w:rPr>
        <w:t>3</w:t>
      </w:r>
      <w:r>
        <w:rPr>
          <w:rFonts w:ascii="Arial" w:hAnsi="Arial" w:cs="Arial" w:eastAsia="Arial" w:hint="default"/>
          <w:spacing w:val="-11"/>
        </w:rPr>
        <w:t> </w:t>
      </w:r>
      <w:r>
        <w:rPr/>
        <w:t>年（含报告期）的利润分配方案及资本公积金转增股本方案情况</w:t>
      </w:r>
      <w:r>
        <w:rPr>
          <w:b w:val="0"/>
          <w:bCs w:val="0"/>
        </w:rPr>
      </w:r>
    </w:p>
    <w:p>
      <w:pPr>
        <w:pStyle w:val="BodyText"/>
        <w:spacing w:line="292" w:lineRule="auto" w:before="115"/>
        <w:ind w:right="228" w:firstLine="480"/>
        <w:jc w:val="both"/>
      </w:pPr>
      <w:r>
        <w:rPr>
          <w:rFonts w:ascii="Arial" w:hAnsi="Arial" w:cs="Arial" w:eastAsia="Arial" w:hint="default"/>
          <w:spacing w:val="-2"/>
        </w:rPr>
        <w:t>2013</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18</w:t>
      </w:r>
      <w:r>
        <w:rPr>
          <w:spacing w:val="-2"/>
        </w:rPr>
        <w:t>日，公司召开了</w:t>
      </w:r>
      <w:r>
        <w:rPr>
          <w:rFonts w:ascii="Arial" w:hAnsi="Arial" w:cs="Arial" w:eastAsia="Arial" w:hint="default"/>
          <w:spacing w:val="-2"/>
        </w:rPr>
        <w:t>2012</w:t>
      </w:r>
      <w:r>
        <w:rPr>
          <w:spacing w:val="-2"/>
        </w:rPr>
        <w:t>年年度股东大会，审议通过了《</w:t>
      </w:r>
      <w:r>
        <w:rPr>
          <w:rFonts w:ascii="Arial" w:hAnsi="Arial" w:cs="Arial" w:eastAsia="Arial" w:hint="default"/>
          <w:spacing w:val="-2"/>
        </w:rPr>
        <w:t>2012</w:t>
      </w:r>
      <w:r>
        <w:rPr>
          <w:spacing w:val="-2"/>
        </w:rPr>
        <w:t>年度利润分配预</w:t>
      </w:r>
      <w:r>
        <w:rPr/>
        <w:t> </w:t>
      </w:r>
      <w:r>
        <w:rPr>
          <w:spacing w:val="-3"/>
        </w:rPr>
        <w:t>案》，以截止</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日公司总股本</w:t>
      </w:r>
      <w:r>
        <w:rPr>
          <w:rFonts w:ascii="Arial" w:hAnsi="Arial" w:cs="Arial" w:eastAsia="Arial" w:hint="default"/>
          <w:spacing w:val="-3"/>
        </w:rPr>
        <w:t>14,800</w:t>
      </w:r>
      <w:r>
        <w:rPr>
          <w:spacing w:val="-3"/>
        </w:rPr>
        <w:t>万股为基数向全体股东每</w:t>
      </w:r>
      <w:r>
        <w:rPr>
          <w:rFonts w:ascii="Arial" w:hAnsi="Arial" w:cs="Arial" w:eastAsia="Arial" w:hint="default"/>
          <w:spacing w:val="-3"/>
        </w:rPr>
        <w:t>10</w:t>
      </w:r>
      <w:r>
        <w:rPr>
          <w:spacing w:val="-3"/>
        </w:rPr>
        <w:t>股派发现金股利</w:t>
      </w:r>
      <w:r>
        <w:rPr>
          <w:spacing w:val="-95"/>
        </w:rPr>
        <w:t> </w:t>
      </w:r>
      <w:r>
        <w:rPr>
          <w:rFonts w:ascii="Arial" w:hAnsi="Arial" w:cs="Arial" w:eastAsia="Arial" w:hint="default"/>
        </w:rPr>
        <w:t>2</w:t>
      </w:r>
      <w:r>
        <w:rPr/>
        <w:t>元人民币（含税）。</w:t>
      </w:r>
    </w:p>
    <w:p>
      <w:pPr>
        <w:pStyle w:val="BodyText"/>
        <w:spacing w:line="292" w:lineRule="auto" w:before="16"/>
        <w:ind w:right="99" w:firstLine="480"/>
        <w:jc w:val="left"/>
      </w:pPr>
      <w:r>
        <w:rPr>
          <w:rFonts w:ascii="Arial" w:hAnsi="Arial" w:cs="Arial" w:eastAsia="Arial" w:hint="default"/>
          <w:spacing w:val="-9"/>
          <w:w w:val="99"/>
        </w:rPr>
        <w:t>2014</w:t>
      </w:r>
      <w:r>
        <w:rPr>
          <w:spacing w:val="-9"/>
          <w:w w:val="99"/>
        </w:rPr>
        <w:t>年</w:t>
      </w:r>
      <w:r>
        <w:rPr>
          <w:rFonts w:ascii="Arial" w:hAnsi="Arial" w:cs="Arial" w:eastAsia="Arial" w:hint="default"/>
          <w:spacing w:val="-9"/>
          <w:w w:val="99"/>
        </w:rPr>
        <w:t>5</w:t>
      </w:r>
      <w:r>
        <w:rPr>
          <w:spacing w:val="-9"/>
          <w:w w:val="99"/>
        </w:rPr>
        <w:t>月</w:t>
      </w:r>
      <w:r>
        <w:rPr>
          <w:rFonts w:ascii="Arial" w:hAnsi="Arial" w:cs="Arial" w:eastAsia="Arial" w:hint="default"/>
          <w:spacing w:val="-9"/>
          <w:w w:val="99"/>
        </w:rPr>
        <w:t>9</w:t>
      </w:r>
      <w:r>
        <w:rPr>
          <w:spacing w:val="-9"/>
          <w:w w:val="99"/>
        </w:rPr>
        <w:t>日，公司召开的</w:t>
      </w:r>
      <w:r>
        <w:rPr>
          <w:rFonts w:ascii="Arial" w:hAnsi="Arial" w:cs="Arial" w:eastAsia="Arial" w:hint="default"/>
          <w:spacing w:val="-9"/>
          <w:w w:val="99"/>
        </w:rPr>
        <w:t>2013</w:t>
      </w:r>
      <w:r>
        <w:rPr>
          <w:spacing w:val="-9"/>
          <w:w w:val="99"/>
        </w:rPr>
        <w:t>年年度股东大会，审议通过了《</w:t>
      </w:r>
      <w:r>
        <w:rPr>
          <w:rFonts w:ascii="Arial" w:hAnsi="Arial" w:cs="Arial" w:eastAsia="Arial" w:hint="default"/>
          <w:spacing w:val="-9"/>
          <w:w w:val="99"/>
        </w:rPr>
        <w:t>2013</w:t>
      </w:r>
      <w:r>
        <w:rPr>
          <w:spacing w:val="-9"/>
          <w:w w:val="99"/>
        </w:rPr>
        <w:t>年利润分配预案》，</w:t>
      </w:r>
      <w:r>
        <w:rPr/>
        <w:t> 以截止</w:t>
      </w:r>
      <w:r>
        <w:rPr>
          <w:spacing w:val="1"/>
        </w:rPr>
        <w:t> </w:t>
      </w:r>
      <w:r>
        <w:rPr>
          <w:rFonts w:ascii="Arial" w:hAnsi="Arial" w:cs="Arial" w:eastAsia="Arial" w:hint="default"/>
        </w:rPr>
        <w:t>2013</w:t>
      </w:r>
      <w:r>
        <w:rPr>
          <w:rFonts w:ascii="Arial" w:hAnsi="Arial" w:cs="Arial" w:eastAsia="Arial" w:hint="default"/>
          <w:spacing w:val="55"/>
        </w:rPr>
        <w:t> </w:t>
      </w:r>
      <w:r>
        <w:rPr/>
        <w:t>年</w:t>
      </w:r>
      <w:r>
        <w:rPr>
          <w:spacing w:val="-2"/>
        </w:rPr>
        <w:t> </w:t>
      </w:r>
      <w:r>
        <w:rPr>
          <w:rFonts w:ascii="Arial" w:hAnsi="Arial" w:cs="Arial" w:eastAsia="Arial" w:hint="default"/>
        </w:rPr>
        <w:t>12</w:t>
      </w:r>
      <w:r>
        <w:rPr>
          <w:rFonts w:ascii="Arial" w:hAnsi="Arial" w:cs="Arial" w:eastAsia="Arial" w:hint="default"/>
          <w:spacing w:val="53"/>
        </w:rPr>
        <w:t> </w:t>
      </w:r>
      <w:r>
        <w:rPr/>
        <w:t>月</w:t>
      </w:r>
      <w:r>
        <w:rPr>
          <w:spacing w:val="1"/>
        </w:rPr>
        <w:t> </w:t>
      </w:r>
      <w:r>
        <w:rPr>
          <w:rFonts w:ascii="Arial" w:hAnsi="Arial" w:cs="Arial" w:eastAsia="Arial" w:hint="default"/>
        </w:rPr>
        <w:t>31</w:t>
      </w:r>
      <w:r>
        <w:rPr>
          <w:rFonts w:ascii="Arial" w:hAnsi="Arial" w:cs="Arial" w:eastAsia="Arial" w:hint="default"/>
          <w:spacing w:val="56"/>
        </w:rPr>
        <w:t> </w:t>
      </w:r>
      <w:r>
        <w:rPr/>
        <w:t>日公司总股本</w:t>
      </w:r>
      <w:r>
        <w:rPr>
          <w:spacing w:val="1"/>
        </w:rPr>
        <w:t> </w:t>
      </w:r>
      <w:r>
        <w:rPr>
          <w:rFonts w:ascii="Arial" w:hAnsi="Arial" w:cs="Arial" w:eastAsia="Arial" w:hint="default"/>
          <w:spacing w:val="-4"/>
        </w:rPr>
        <w:t>14,870.85</w:t>
      </w:r>
      <w:r>
        <w:rPr>
          <w:spacing w:val="-4"/>
        </w:rPr>
        <w:t>万股为基数，向全体股东每</w:t>
      </w:r>
      <w:r>
        <w:rPr>
          <w:rFonts w:ascii="Arial" w:hAnsi="Arial" w:cs="Arial" w:eastAsia="Arial" w:hint="default"/>
          <w:spacing w:val="-4"/>
        </w:rPr>
        <w:t>10</w:t>
      </w:r>
      <w:r>
        <w:rPr>
          <w:spacing w:val="-4"/>
        </w:rPr>
        <w:t>股派发现</w:t>
      </w:r>
      <w:r>
        <w:rPr>
          <w:spacing w:val="-118"/>
        </w:rPr>
        <w:t> </w:t>
      </w:r>
      <w:r>
        <w:rPr>
          <w:spacing w:val="-118"/>
        </w:rPr>
      </w:r>
      <w:r>
        <w:rPr/>
        <w:t>金股利</w:t>
      </w:r>
      <w:r>
        <w:rPr>
          <w:rFonts w:ascii="Arial" w:hAnsi="Arial" w:cs="Arial" w:eastAsia="Arial" w:hint="default"/>
        </w:rPr>
        <w:t>1.5</w:t>
      </w:r>
      <w:r>
        <w:rPr/>
        <w:t>元人民币（含税）。由于公司股权激励行权原因，截止</w:t>
      </w:r>
      <w:r>
        <w:rPr>
          <w:rFonts w:ascii="Arial" w:hAnsi="Arial" w:cs="Arial" w:eastAsia="Arial" w:hint="default"/>
        </w:rPr>
        <w:t>2014</w:t>
      </w:r>
      <w:r>
        <w:rPr/>
        <w:t>年</w:t>
      </w:r>
      <w:r>
        <w:rPr>
          <w:rFonts w:ascii="Arial" w:hAnsi="Arial" w:cs="Arial" w:eastAsia="Arial" w:hint="default"/>
        </w:rPr>
        <w:t>5</w:t>
      </w:r>
      <w:r>
        <w:rPr/>
        <w:t>月</w:t>
      </w:r>
      <w:r>
        <w:rPr>
          <w:rFonts w:ascii="Arial" w:hAnsi="Arial" w:cs="Arial" w:eastAsia="Arial" w:hint="default"/>
        </w:rPr>
        <w:t>27</w:t>
      </w:r>
      <w:r>
        <w:rPr/>
        <w:t>日，公司总股 本增至</w:t>
      </w:r>
      <w:r>
        <w:rPr>
          <w:spacing w:val="7"/>
        </w:rPr>
        <w:t> </w:t>
      </w:r>
      <w:r>
        <w:rPr>
          <w:rFonts w:ascii="Arial" w:hAnsi="Arial" w:cs="Arial" w:eastAsia="Arial" w:hint="default"/>
        </w:rPr>
        <w:t>14,888.73</w:t>
      </w:r>
      <w:r>
        <w:rPr/>
        <w:t>万股，按照</w:t>
      </w:r>
      <w:r>
        <w:rPr>
          <w:rFonts w:ascii="Arial" w:hAnsi="Arial" w:cs="Arial" w:eastAsia="Arial" w:hint="default"/>
        </w:rPr>
        <w:t>“</w:t>
      </w:r>
      <w:r>
        <w:rPr/>
        <w:t>现金分红总额、送红股总额、转增股本总额固定不变</w:t>
      </w:r>
      <w:r>
        <w:rPr>
          <w:rFonts w:ascii="Arial" w:hAnsi="Arial" w:cs="Arial" w:eastAsia="Arial" w:hint="default"/>
        </w:rPr>
        <w:t>”</w:t>
      </w:r>
      <w:r>
        <w:rPr/>
        <w:t>的原则， </w:t>
      </w:r>
      <w:r>
        <w:rPr>
          <w:spacing w:val="2"/>
        </w:rPr>
        <w:t>公司按最新股本计算的</w:t>
      </w:r>
      <w:r>
        <w:rPr>
          <w:rFonts w:ascii="Arial" w:hAnsi="Arial" w:cs="Arial" w:eastAsia="Arial" w:hint="default"/>
          <w:spacing w:val="2"/>
        </w:rPr>
        <w:t>2013</w:t>
      </w:r>
      <w:r>
        <w:rPr>
          <w:spacing w:val="2"/>
        </w:rPr>
        <w:t>年年度权益分派方案为：以公司现有总股本</w:t>
      </w:r>
      <w:r>
        <w:rPr>
          <w:rFonts w:ascii="Arial" w:hAnsi="Arial" w:cs="Arial" w:eastAsia="Arial" w:hint="default"/>
          <w:spacing w:val="2"/>
        </w:rPr>
        <w:t>14,888.73</w:t>
      </w:r>
      <w:r>
        <w:rPr>
          <w:spacing w:val="2"/>
        </w:rPr>
        <w:t>万股为基</w:t>
      </w:r>
      <w:r>
        <w:rPr>
          <w:spacing w:val="-112"/>
        </w:rPr>
        <w:t> </w:t>
      </w:r>
      <w:r>
        <w:rPr>
          <w:spacing w:val="-112"/>
        </w:rPr>
      </w:r>
      <w:r>
        <w:rPr/>
        <w:t>数，向全体股东每</w:t>
      </w:r>
      <w:r>
        <w:rPr>
          <w:rFonts w:ascii="Arial" w:hAnsi="Arial" w:cs="Arial" w:eastAsia="Arial" w:hint="default"/>
        </w:rPr>
        <w:t>10</w:t>
      </w:r>
      <w:r>
        <w:rPr/>
        <w:t>股派</w:t>
      </w:r>
      <w:r>
        <w:rPr>
          <w:rFonts w:ascii="Arial" w:hAnsi="Arial" w:cs="Arial" w:eastAsia="Arial" w:hint="default"/>
        </w:rPr>
        <w:t>1.498198</w:t>
      </w:r>
      <w:r>
        <w:rPr/>
        <w:t>元人民币现金（含税）。</w:t>
      </w:r>
    </w:p>
    <w:p>
      <w:pPr>
        <w:pStyle w:val="BodyText"/>
        <w:spacing w:line="295" w:lineRule="auto" w:before="15"/>
        <w:ind w:right="226" w:firstLine="480"/>
        <w:jc w:val="both"/>
      </w:pPr>
      <w:r>
        <w:rPr>
          <w:rFonts w:ascii="Arial" w:hAnsi="Arial" w:cs="Arial" w:eastAsia="Arial" w:hint="default"/>
        </w:rPr>
        <w:t>2015</w:t>
      </w:r>
      <w:r>
        <w:rPr/>
        <w:t>年</w:t>
      </w:r>
      <w:r>
        <w:rPr>
          <w:rFonts w:ascii="Arial" w:hAnsi="Arial" w:cs="Arial" w:eastAsia="Arial" w:hint="default"/>
        </w:rPr>
        <w:t>3</w:t>
      </w:r>
      <w:r>
        <w:rPr/>
        <w:t>月</w:t>
      </w:r>
      <w:r>
        <w:rPr>
          <w:rFonts w:ascii="Arial" w:hAnsi="Arial" w:cs="Arial" w:eastAsia="Arial" w:hint="default"/>
        </w:rPr>
        <w:t>24</w:t>
      </w:r>
      <w:r>
        <w:rPr/>
        <w:t>日，公司召开第五届董事会第二十三次会议，审议通过了《</w:t>
      </w:r>
      <w:r>
        <w:rPr>
          <w:rFonts w:ascii="Arial" w:hAnsi="Arial" w:cs="Arial" w:eastAsia="Arial" w:hint="default"/>
        </w:rPr>
        <w:t>2014</w:t>
      </w:r>
      <w:r>
        <w:rPr/>
        <w:t>年度利润 分配预案》，以截止</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149,954,550</w:t>
      </w:r>
      <w:r>
        <w:rPr/>
        <w:t>股为基数向全体股东每</w:t>
      </w:r>
      <w:r>
        <w:rPr>
          <w:rFonts w:ascii="Arial" w:hAnsi="Arial" w:cs="Arial" w:eastAsia="Arial" w:hint="default"/>
        </w:rPr>
        <w:t>10</w:t>
      </w:r>
      <w:r>
        <w:rPr/>
        <w:t>股派 </w:t>
      </w:r>
      <w:r>
        <w:rPr>
          <w:spacing w:val="2"/>
        </w:rPr>
        <w:t>发现金股利</w:t>
      </w:r>
      <w:r>
        <w:rPr>
          <w:rFonts w:ascii="Arial" w:hAnsi="Arial" w:cs="Arial" w:eastAsia="Arial" w:hint="default"/>
          <w:spacing w:val="2"/>
        </w:rPr>
        <w:t>1</w:t>
      </w:r>
      <w:r>
        <w:rPr>
          <w:spacing w:val="2"/>
        </w:rPr>
        <w:t>元人民币（含税），同时以资本公积金向全体股东每</w:t>
      </w:r>
      <w:r>
        <w:rPr>
          <w:rFonts w:ascii="Arial" w:hAnsi="Arial" w:cs="Arial" w:eastAsia="Arial" w:hint="default"/>
          <w:spacing w:val="2"/>
        </w:rPr>
        <w:t>10</w:t>
      </w:r>
      <w:r>
        <w:rPr>
          <w:spacing w:val="2"/>
        </w:rPr>
        <w:t>股转增</w:t>
      </w:r>
      <w:r>
        <w:rPr>
          <w:rFonts w:ascii="Arial" w:hAnsi="Arial" w:cs="Arial" w:eastAsia="Arial" w:hint="default"/>
          <w:spacing w:val="2"/>
        </w:rPr>
        <w:t>10</w:t>
      </w:r>
      <w:r>
        <w:rPr>
          <w:spacing w:val="2"/>
        </w:rPr>
        <w:t>股，该议案尚 </w:t>
      </w:r>
      <w:r>
        <w:rPr/>
        <w:t>须提交</w:t>
      </w:r>
      <w:r>
        <w:rPr>
          <w:rFonts w:ascii="Arial" w:hAnsi="Arial" w:cs="Arial" w:eastAsia="Arial" w:hint="default"/>
        </w:rPr>
        <w:t>2014</w:t>
      </w:r>
      <w:r>
        <w:rPr/>
        <w:t>年度股东大会审议。</w:t>
      </w:r>
    </w:p>
    <w:p>
      <w:pPr>
        <w:pStyle w:val="Heading3"/>
        <w:spacing w:line="240" w:lineRule="auto" w:before="53"/>
        <w:ind w:right="99"/>
        <w:jc w:val="left"/>
        <w:rPr>
          <w:b w:val="0"/>
          <w:bCs w:val="0"/>
        </w:rPr>
      </w:pPr>
      <w:r>
        <w:rPr/>
        <w:t>公司近三年现金分红情况表</w:t>
      </w:r>
      <w:r>
        <w:rPr>
          <w:b w:val="0"/>
          <w:bCs w:val="0"/>
        </w:rPr>
      </w:r>
    </w:p>
    <w:p>
      <w:pPr>
        <w:spacing w:before="109"/>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9"/>
        <w:gridCol w:w="2410"/>
        <w:gridCol w:w="2835"/>
        <w:gridCol w:w="2907"/>
      </w:tblGrid>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51" w:right="41" w:hanging="104"/>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分红年度合并报表中归属于上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市公司普通股股东的净利润</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87" w:right="79" w:hanging="106"/>
              <w:jc w:val="left"/>
              <w:rPr>
                <w:rFonts w:ascii="宋体" w:hAnsi="宋体" w:cs="宋体" w:eastAsia="宋体" w:hint="default"/>
                <w:sz w:val="21"/>
                <w:szCs w:val="21"/>
              </w:rPr>
            </w:pPr>
            <w:r>
              <w:rPr>
                <w:rFonts w:ascii="宋体" w:hAnsi="宋体" w:cs="宋体" w:eastAsia="宋体" w:hint="default"/>
                <w:spacing w:val="-2"/>
                <w:sz w:val="21"/>
                <w:szCs w:val="21"/>
              </w:rPr>
              <w:t>占合并报表中归属于上市公司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普通股股东的净利润的比率</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14,995,455.00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147,380,514.39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10.17%</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22,333,095.00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120,210,161.30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18.58%</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29,600,000.00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99,299,477.26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29.81%</w:t>
            </w:r>
          </w:p>
        </w:tc>
      </w:tr>
    </w:tbl>
    <w:p>
      <w:pPr>
        <w:pStyle w:val="BodyText"/>
        <w:spacing w:line="240" w:lineRule="auto" w:before="48"/>
        <w:ind w:right="99"/>
        <w:jc w:val="left"/>
      </w:pPr>
      <w:r>
        <w:rPr/>
        <w:t>公司报告期内盈利且母公司未分配利润为正但未提出现金红利分配预案</w:t>
      </w:r>
    </w:p>
    <w:p>
      <w:pPr>
        <w:spacing w:after="0" w:line="240" w:lineRule="auto"/>
        <w:jc w:val="left"/>
        <w:sectPr>
          <w:pgSz w:w="11910" w:h="16840"/>
          <w:pgMar w:header="0" w:footer="1010" w:top="1140" w:bottom="1200" w:left="980" w:right="900"/>
        </w:sectPr>
      </w:pPr>
    </w:p>
    <w:p>
      <w:pPr>
        <w:spacing w:line="240" w:lineRule="auto" w:before="1"/>
        <w:rPr>
          <w:rFonts w:ascii="宋体" w:hAnsi="宋体" w:cs="宋体" w:eastAsia="宋体" w:hint="default"/>
          <w:sz w:val="20"/>
          <w:szCs w:val="20"/>
        </w:rPr>
      </w:pPr>
    </w:p>
    <w:p>
      <w:pPr>
        <w:spacing w:line="513" w:lineRule="auto" w:before="26"/>
        <w:ind w:left="152" w:right="471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六、内幕信息知情人管理制度的建立和执行情况</w:t>
      </w:r>
      <w:r>
        <w:rPr>
          <w:rFonts w:ascii="宋体" w:hAnsi="宋体" w:cs="宋体" w:eastAsia="宋体" w:hint="default"/>
          <w:sz w:val="24"/>
          <w:szCs w:val="24"/>
        </w:rPr>
      </w:r>
    </w:p>
    <w:p>
      <w:pPr>
        <w:pStyle w:val="BodyText"/>
        <w:spacing w:line="309" w:lineRule="auto" w:before="115"/>
        <w:ind w:right="191" w:firstLine="480"/>
        <w:jc w:val="both"/>
      </w:pPr>
      <w:r>
        <w:rPr/>
        <w:t>为进一步规范公司内幕信息管理，加强内幕信息保密工作，维护公司信息披露的公开、 公平、公正原则，保护广大投资者的合法权益，根据《中华人民共和国公司法》、《中华人 民共和国证券法》、《上市公司信息披露管理办法》等有关法律、法规、业务规则及《公司 章程》、《信息披露管理制度》的有关规定，结合公司实际情况，公司制定了《内幕信息知 情人管理制度》、《重大事项内部报告制度《外部信息报送和使用管理制度》，并严格依照 执行。上述制度明确界定了内幕信息和内幕知情人的范围，完善了内幕信息的决策、流转程 序，健全了内幕信息的保密措施，与公司已制定并施行的《投资者关系管理制度》、《信息 披露制度》、《董事、监事和高级管理人员所持本公司股份及其变动管理制度》等内部规章 制度共同构成了较为完善的内幕信息知情人管理体系。</w:t>
      </w:r>
    </w:p>
    <w:p>
      <w:pPr>
        <w:pStyle w:val="BodyText"/>
        <w:spacing w:line="300" w:lineRule="auto" w:before="62"/>
        <w:ind w:right="145" w:firstLine="480"/>
        <w:jc w:val="left"/>
      </w:pPr>
      <w:r>
        <w:rPr/>
        <w:t>根据中国证监会《关于上市公司建立内幕信息知情人登记管理制度的规定》及北京证监 局《关于建立健全上市公司内幕信息知情人登记管理制度的通知》（京证公司发</w:t>
      </w:r>
      <w:r>
        <w:rPr>
          <w:rFonts w:ascii="Arial" w:hAnsi="Arial" w:cs="Arial" w:eastAsia="Arial" w:hint="default"/>
        </w:rPr>
        <w:t>[2011]209</w:t>
      </w:r>
      <w:r>
        <w:rPr>
          <w:rFonts w:ascii="Arial" w:hAnsi="Arial" w:cs="Arial" w:eastAsia="Arial" w:hint="default"/>
          <w:w w:val="99"/>
        </w:rPr>
        <w:t> </w:t>
      </w:r>
      <w:r>
        <w:rPr>
          <w:spacing w:val="-3"/>
        </w:rPr>
        <w:t>号）的要求，</w:t>
      </w:r>
      <w:r>
        <w:rPr>
          <w:rFonts w:ascii="Arial" w:hAnsi="Arial" w:cs="Arial" w:eastAsia="Arial" w:hint="default"/>
          <w:spacing w:val="-3"/>
        </w:rPr>
        <w:t>2012</w:t>
      </w:r>
      <w:r>
        <w:rPr>
          <w:rFonts w:ascii="Arial" w:hAnsi="Arial" w:cs="Arial" w:eastAsia="Arial" w:hint="default"/>
          <w:spacing w:val="43"/>
        </w:rPr>
        <w:t> </w:t>
      </w:r>
      <w:r>
        <w:rPr/>
        <w:t>年</w:t>
      </w:r>
      <w:r>
        <w:rPr>
          <w:spacing w:val="-68"/>
        </w:rPr>
        <w:t> </w:t>
      </w:r>
      <w:r>
        <w:rPr>
          <w:rFonts w:ascii="Arial" w:hAnsi="Arial" w:cs="Arial" w:eastAsia="Arial" w:hint="default"/>
        </w:rPr>
        <w:t>8</w:t>
      </w:r>
      <w:r>
        <w:rPr>
          <w:rFonts w:ascii="Arial" w:hAnsi="Arial" w:cs="Arial" w:eastAsia="Arial" w:hint="default"/>
          <w:spacing w:val="-12"/>
        </w:rPr>
        <w:t> </w:t>
      </w:r>
      <w:r>
        <w:rPr/>
        <w:t>月</w:t>
      </w:r>
      <w:r>
        <w:rPr>
          <w:spacing w:val="-66"/>
        </w:rPr>
        <w:t> </w:t>
      </w:r>
      <w:r>
        <w:rPr>
          <w:rFonts w:ascii="Arial" w:hAnsi="Arial" w:cs="Arial" w:eastAsia="Arial" w:hint="default"/>
        </w:rPr>
        <w:t>23</w:t>
      </w:r>
      <w:r>
        <w:rPr>
          <w:rFonts w:ascii="Arial" w:hAnsi="Arial" w:cs="Arial" w:eastAsia="Arial" w:hint="default"/>
          <w:spacing w:val="-12"/>
        </w:rPr>
        <w:t> </w:t>
      </w:r>
      <w:r>
        <w:rPr/>
        <w:t>日，公司第四届董事会第十八次会议对《内幕信息流转管理和 知情人登记制度》进行了修订。</w:t>
      </w:r>
    </w:p>
    <w:p>
      <w:pPr>
        <w:pStyle w:val="BodyText"/>
        <w:spacing w:line="309" w:lineRule="auto" w:before="70"/>
        <w:ind w:right="191" w:firstLine="480"/>
        <w:jc w:val="both"/>
      </w:pPr>
      <w:r>
        <w:rPr/>
        <w:t>报告期内，公司严格执行了上述制度，未发生内幕信息知情人买卖本公司股票及其衍生 品种的情况；公司及相关人员未发生因内幕信息知情人登记管理制度执行或涉嫌内幕交易被 监管部门采取监管措施及行政处罚的情况。</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七、报告期内接待调研、沟通、采访等活动登记表</w:t>
      </w:r>
      <w:r>
        <w:rPr>
          <w:b w:val="0"/>
          <w:bCs w:val="0"/>
        </w:rPr>
      </w:r>
    </w:p>
    <w:p>
      <w:pPr>
        <w:spacing w:line="240" w:lineRule="auto" w:before="10"/>
        <w:rPr>
          <w:rFonts w:ascii="宋体" w:hAnsi="宋体" w:cs="宋体" w:eastAsia="宋体" w:hint="default"/>
          <w:b/>
          <w:bCs/>
          <w:sz w:val="29"/>
          <w:szCs w:val="29"/>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85"/>
        <w:gridCol w:w="1985"/>
        <w:gridCol w:w="994"/>
        <w:gridCol w:w="850"/>
        <w:gridCol w:w="1843"/>
        <w:gridCol w:w="1913"/>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b/>
                <w:bCs/>
                <w:sz w:val="21"/>
                <w:szCs w:val="21"/>
              </w:rPr>
              <w:t>接待时间</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b/>
                <w:bCs/>
                <w:sz w:val="21"/>
                <w:szCs w:val="21"/>
              </w:rPr>
              <w:t>接待地点</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b/>
                <w:bCs/>
                <w:sz w:val="21"/>
                <w:szCs w:val="21"/>
              </w:rPr>
              <w:t>接待方式</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01"/>
              <w:jc w:val="left"/>
              <w:rPr>
                <w:rFonts w:ascii="宋体" w:hAnsi="宋体" w:cs="宋体" w:eastAsia="宋体" w:hint="default"/>
                <w:sz w:val="21"/>
                <w:szCs w:val="21"/>
              </w:rPr>
            </w:pPr>
            <w:r>
              <w:rPr>
                <w:rFonts w:ascii="宋体" w:hAnsi="宋体" w:cs="宋体" w:eastAsia="宋体" w:hint="default"/>
                <w:b/>
                <w:bCs/>
                <w:sz w:val="21"/>
                <w:szCs w:val="21"/>
              </w:rPr>
              <w:t>接待对</w:t>
            </w:r>
            <w:r>
              <w:rPr>
                <w:rFonts w:ascii="宋体" w:hAnsi="宋体" w:cs="宋体" w:eastAsia="宋体" w:hint="default"/>
                <w:b/>
                <w:bCs/>
                <w:w w:val="100"/>
                <w:sz w:val="21"/>
                <w:szCs w:val="21"/>
              </w:rPr>
              <w:t> </w:t>
            </w:r>
            <w:r>
              <w:rPr>
                <w:rFonts w:ascii="宋体" w:hAnsi="宋体" w:cs="宋体" w:eastAsia="宋体" w:hint="default"/>
                <w:b/>
                <w:bCs/>
                <w:sz w:val="21"/>
                <w:szCs w:val="21"/>
              </w:rPr>
              <w:t>象类型</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b/>
                <w:bCs/>
                <w:sz w:val="21"/>
                <w:szCs w:val="21"/>
              </w:rPr>
              <w:t>接待对象</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25" w:right="103" w:hanging="317"/>
              <w:jc w:val="left"/>
              <w:rPr>
                <w:rFonts w:ascii="宋体" w:hAnsi="宋体" w:cs="宋体" w:eastAsia="宋体" w:hint="default"/>
                <w:sz w:val="21"/>
                <w:szCs w:val="21"/>
              </w:rPr>
            </w:pPr>
            <w:r>
              <w:rPr>
                <w:rFonts w:ascii="宋体" w:hAnsi="宋体" w:cs="宋体" w:eastAsia="宋体" w:hint="default"/>
                <w:b/>
                <w:bCs/>
                <w:sz w:val="21"/>
                <w:szCs w:val="21"/>
              </w:rPr>
              <w:t>谈论的主要内容及</w:t>
            </w:r>
            <w:r>
              <w:rPr>
                <w:rFonts w:ascii="宋体" w:hAnsi="宋体" w:cs="宋体" w:eastAsia="宋体" w:hint="default"/>
                <w:b/>
                <w:bCs/>
                <w:spacing w:val="-103"/>
                <w:sz w:val="21"/>
                <w:szCs w:val="21"/>
              </w:rPr>
              <w:t> </w:t>
            </w:r>
            <w:r>
              <w:rPr>
                <w:rFonts w:ascii="宋体" w:hAnsi="宋体" w:cs="宋体" w:eastAsia="宋体" w:hint="default"/>
                <w:b/>
                <w:bCs/>
                <w:sz w:val="21"/>
                <w:szCs w:val="21"/>
              </w:rPr>
              <w:t>提供的资料</w:t>
            </w:r>
            <w:r>
              <w:rPr>
                <w:rFonts w:ascii="宋体" w:hAnsi="宋体" w:cs="宋体" w:eastAsia="宋体" w:hint="default"/>
                <w:sz w:val="21"/>
                <w:szCs w:val="21"/>
              </w:rPr>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24"/>
              <w:jc w:val="left"/>
              <w:rPr>
                <w:rFonts w:ascii="宋体" w:hAnsi="宋体" w:cs="宋体" w:eastAsia="宋体" w:hint="default"/>
                <w:sz w:val="21"/>
                <w:szCs w:val="21"/>
              </w:rPr>
            </w:pPr>
            <w:r>
              <w:rPr>
                <w:rFonts w:ascii="宋体" w:hAnsi="宋体" w:cs="宋体" w:eastAsia="宋体" w:hint="default"/>
                <w:sz w:val="21"/>
                <w:szCs w:val="21"/>
              </w:rPr>
              <w:t>国金通用和景顺投</w:t>
            </w:r>
            <w:r>
              <w:rPr>
                <w:rFonts w:ascii="宋体" w:hAnsi="宋体" w:cs="宋体" w:eastAsia="宋体" w:hint="default"/>
                <w:w w:val="100"/>
                <w:sz w:val="21"/>
                <w:szCs w:val="21"/>
              </w:rPr>
              <w:t> </w:t>
            </w:r>
            <w:r>
              <w:rPr>
                <w:rFonts w:ascii="宋体" w:hAnsi="宋体" w:cs="宋体" w:eastAsia="宋体" w:hint="default"/>
                <w:sz w:val="21"/>
                <w:szCs w:val="21"/>
              </w:rPr>
              <w:t>资等</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农银人寿、天安财险</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南方基金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海富通、国际通用基</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金等</w:t>
            </w:r>
            <w:r>
              <w:rPr>
                <w:rFonts w:ascii="宋体" w:hAnsi="宋体" w:cs="宋体" w:eastAsia="宋体" w:hint="default"/>
                <w:spacing w:val="-53"/>
                <w:sz w:val="21"/>
                <w:szCs w:val="21"/>
              </w:rPr>
              <w:t> </w:t>
            </w:r>
            <w:r>
              <w:rPr>
                <w:rFonts w:ascii="Arial" w:hAnsi="Arial" w:cs="Arial" w:eastAsia="Arial" w:hint="default"/>
                <w:sz w:val="21"/>
                <w:szCs w:val="21"/>
              </w:rPr>
              <w:t>23</w:t>
            </w:r>
            <w:r>
              <w:rPr>
                <w:rFonts w:ascii="Arial" w:hAnsi="Arial" w:cs="Arial" w:eastAsia="Arial" w:hint="default"/>
                <w:spacing w:val="-6"/>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信达澳银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bl>
    <w:p>
      <w:pPr>
        <w:spacing w:after="0" w:line="271" w:lineRule="auto"/>
        <w:jc w:val="left"/>
        <w:rPr>
          <w:rFonts w:ascii="宋体" w:hAnsi="宋体" w:cs="宋体" w:eastAsia="宋体" w:hint="default"/>
          <w:sz w:val="21"/>
          <w:szCs w:val="21"/>
        </w:rPr>
        <w:sectPr>
          <w:pgSz w:w="11910" w:h="16840"/>
          <w:pgMar w:header="0"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85"/>
        <w:gridCol w:w="1985"/>
        <w:gridCol w:w="994"/>
        <w:gridCol w:w="850"/>
        <w:gridCol w:w="1843"/>
        <w:gridCol w:w="1913"/>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百年人寿保险、中银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基金等</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博时基金、中邮基金</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银河基金、建信基金</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Arial" w:hAnsi="Arial" w:cs="Arial" w:eastAsia="Arial" w:hint="default"/>
                <w:sz w:val="21"/>
                <w:szCs w:val="21"/>
              </w:rPr>
              <w:t>32</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大成基金、天弘基金</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北京饭店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华夏基金、光大永明</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10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24"/>
              <w:jc w:val="both"/>
              <w:rPr>
                <w:rFonts w:ascii="宋体" w:hAnsi="宋体" w:cs="宋体" w:eastAsia="宋体" w:hint="default"/>
                <w:sz w:val="21"/>
                <w:szCs w:val="21"/>
              </w:rPr>
            </w:pPr>
            <w:r>
              <w:rPr>
                <w:rFonts w:ascii="宋体" w:hAnsi="宋体" w:cs="宋体" w:eastAsia="宋体" w:hint="default"/>
                <w:sz w:val="21"/>
                <w:szCs w:val="21"/>
              </w:rPr>
              <w:t>国泰基金和大成创</w:t>
            </w:r>
            <w:r>
              <w:rPr>
                <w:rFonts w:ascii="宋体" w:hAnsi="宋体" w:cs="宋体" w:eastAsia="宋体" w:hint="default"/>
                <w:w w:val="100"/>
                <w:sz w:val="21"/>
                <w:szCs w:val="21"/>
              </w:rPr>
              <w:t> </w:t>
            </w:r>
            <w:r>
              <w:rPr>
                <w:rFonts w:ascii="宋体" w:hAnsi="宋体" w:cs="宋体" w:eastAsia="宋体" w:hint="default"/>
                <w:sz w:val="21"/>
                <w:szCs w:val="21"/>
              </w:rPr>
              <w:t>新资本管理有限公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国泰君安、安信证券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Arial" w:hAnsi="Arial" w:cs="Arial" w:eastAsia="Arial" w:hint="default"/>
                <w:sz w:val="21"/>
                <w:szCs w:val="21"/>
              </w:rPr>
              <w:t>22</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广发证券、东方证券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广发基金、汇添富基</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金</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长江证券、招商证券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海通证券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中加基金、华夏基金</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家机构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5"/>
              <w:jc w:val="left"/>
              <w:rPr>
                <w:rFonts w:ascii="宋体" w:hAnsi="宋体" w:cs="宋体" w:eastAsia="宋体" w:hint="default"/>
                <w:sz w:val="21"/>
                <w:szCs w:val="21"/>
              </w:rPr>
            </w:pPr>
            <w:r>
              <w:rPr>
                <w:rFonts w:ascii="宋体" w:hAnsi="宋体" w:cs="宋体" w:eastAsia="宋体" w:hint="default"/>
                <w:sz w:val="21"/>
                <w:szCs w:val="21"/>
              </w:rPr>
              <w:t>北京华宇软件股份有</w:t>
            </w:r>
            <w:r>
              <w:rPr>
                <w:rFonts w:ascii="宋体" w:hAnsi="宋体" w:cs="宋体" w:eastAsia="宋体" w:hint="default"/>
                <w:w w:val="100"/>
                <w:sz w:val="21"/>
                <w:szCs w:val="21"/>
              </w:rPr>
              <w:t> </w:t>
            </w:r>
            <w:r>
              <w:rPr>
                <w:rFonts w:ascii="宋体" w:hAnsi="宋体" w:cs="宋体" w:eastAsia="宋体" w:hint="default"/>
                <w:sz w:val="21"/>
                <w:szCs w:val="21"/>
              </w:rPr>
              <w:t>限公司会议室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3"/>
                <w:w w:val="100"/>
                <w:sz w:val="21"/>
                <w:szCs w:val="21"/>
              </w:rPr>
              <w:t>广发基金、东方证券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家机构及个人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5"/>
              <w:jc w:val="left"/>
              <w:rPr>
                <w:rFonts w:ascii="宋体" w:hAnsi="宋体" w:cs="宋体" w:eastAsia="宋体" w:hint="default"/>
                <w:sz w:val="21"/>
                <w:szCs w:val="21"/>
              </w:rPr>
            </w:pPr>
            <w:r>
              <w:rPr>
                <w:rFonts w:ascii="宋体" w:hAnsi="宋体" w:cs="宋体" w:eastAsia="宋体" w:hint="default"/>
                <w:sz w:val="21"/>
                <w:szCs w:val="21"/>
              </w:rPr>
              <w:t>了解公司经营发展</w:t>
            </w:r>
            <w:r>
              <w:rPr>
                <w:rFonts w:ascii="宋体" w:hAnsi="宋体" w:cs="宋体" w:eastAsia="宋体" w:hint="default"/>
                <w:w w:val="100"/>
                <w:sz w:val="21"/>
                <w:szCs w:val="21"/>
              </w:rPr>
              <w:t> </w:t>
            </w:r>
            <w:r>
              <w:rPr>
                <w:rFonts w:ascii="宋体" w:hAnsi="宋体" w:cs="宋体" w:eastAsia="宋体" w:hint="default"/>
                <w:sz w:val="21"/>
                <w:szCs w:val="21"/>
              </w:rPr>
              <w:t>情况、未提供资料</w:t>
            </w:r>
          </w:p>
        </w:tc>
      </w:tr>
    </w:tbl>
    <w:p>
      <w:pPr>
        <w:spacing w:after="0" w:line="273" w:lineRule="auto"/>
        <w:jc w:val="left"/>
        <w:rPr>
          <w:rFonts w:ascii="宋体" w:hAnsi="宋体" w:cs="宋体" w:eastAsia="宋体" w:hint="default"/>
          <w:sz w:val="21"/>
          <w:szCs w:val="21"/>
        </w:rPr>
        <w:sectPr>
          <w:pgSz w:w="11910" w:h="16840"/>
          <w:pgMar w:header="0" w:footer="1010" w:top="114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Heading1"/>
        <w:spacing w:line="440" w:lineRule="exact"/>
        <w:ind w:left="518" w:right="518"/>
        <w:jc w:val="center"/>
        <w:rPr>
          <w:b w:val="0"/>
          <w:bCs w:val="0"/>
        </w:rPr>
      </w:pPr>
      <w:bookmarkStart w:name="_bookmark3" w:id="4"/>
      <w:bookmarkEnd w:id="4"/>
      <w:r>
        <w:rPr>
          <w:b w:val="0"/>
          <w:bCs w:val="0"/>
        </w:rPr>
      </w:r>
      <w:r>
        <w:rPr/>
        <w:t>第五节</w:t>
      </w:r>
      <w:r>
        <w:rPr>
          <w:spacing w:val="61"/>
        </w:rPr>
        <w:t> </w:t>
      </w:r>
      <w:r>
        <w:rPr/>
        <w:t>重要事项</w:t>
      </w:r>
      <w:r>
        <w:rPr>
          <w:b w:val="0"/>
          <w:bCs w:val="0"/>
        </w:rPr>
      </w:r>
    </w:p>
    <w:p>
      <w:pPr>
        <w:spacing w:line="240" w:lineRule="auto" w:before="15"/>
        <w:rPr>
          <w:rFonts w:ascii="微软雅黑" w:hAnsi="微软雅黑" w:cs="微软雅黑" w:eastAsia="微软雅黑" w:hint="default"/>
          <w:b/>
          <w:bCs/>
          <w:sz w:val="27"/>
          <w:szCs w:val="27"/>
        </w:rPr>
      </w:pPr>
    </w:p>
    <w:p>
      <w:pPr>
        <w:pStyle w:val="Heading3"/>
        <w:spacing w:line="240" w:lineRule="auto" w:before="26"/>
        <w:ind w:right="0"/>
        <w:jc w:val="left"/>
        <w:rPr>
          <w:b w:val="0"/>
          <w:bCs w:val="0"/>
        </w:rPr>
      </w:pPr>
      <w:r>
        <w:rPr/>
        <w:t>一、重大诉讼仲裁事项</w:t>
      </w:r>
      <w:r>
        <w:rPr>
          <w:b w:val="0"/>
          <w:bCs w:val="0"/>
        </w:rPr>
      </w:r>
    </w:p>
    <w:p>
      <w:pPr>
        <w:spacing w:line="240" w:lineRule="auto" w:before="12"/>
        <w:rPr>
          <w:rFonts w:ascii="宋体" w:hAnsi="宋体" w:cs="宋体" w:eastAsia="宋体" w:hint="default"/>
          <w:b/>
          <w:bCs/>
          <w:sz w:val="29"/>
          <w:szCs w:val="29"/>
        </w:rPr>
      </w:pPr>
    </w:p>
    <w:p>
      <w:pPr>
        <w:pStyle w:val="BodyText"/>
        <w:spacing w:line="321" w:lineRule="auto"/>
        <w:ind w:right="59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本年度公司无重大诉讼、仲裁事项。</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二、上市公司发生控股股东及其关联方非经营性占用资金情况</w:t>
      </w:r>
      <w:r>
        <w:rPr>
          <w:b w:val="0"/>
          <w:bCs w:val="0"/>
        </w:rPr>
      </w:r>
    </w:p>
    <w:p>
      <w:pPr>
        <w:spacing w:line="240" w:lineRule="auto" w:before="10"/>
        <w:rPr>
          <w:rFonts w:ascii="宋体" w:hAnsi="宋体" w:cs="宋体" w:eastAsia="宋体" w:hint="default"/>
          <w:b/>
          <w:bCs/>
          <w:sz w:val="29"/>
          <w:szCs w:val="29"/>
        </w:rPr>
      </w:pPr>
    </w:p>
    <w:p>
      <w:pPr>
        <w:pStyle w:val="BodyText"/>
        <w:spacing w:line="324" w:lineRule="auto"/>
        <w:ind w:right="16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公司报告期不存在上市公司发生控股股东及其关联方非经营性占用资金情况。</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三、破产重整相关事项</w:t>
      </w:r>
      <w:r>
        <w:rPr>
          <w:b w:val="0"/>
          <w:bCs w:val="0"/>
        </w:rPr>
      </w:r>
    </w:p>
    <w:p>
      <w:pPr>
        <w:spacing w:line="240" w:lineRule="auto" w:before="10"/>
        <w:rPr>
          <w:rFonts w:ascii="宋体" w:hAnsi="宋体" w:cs="宋体" w:eastAsia="宋体" w:hint="default"/>
          <w:b/>
          <w:bCs/>
          <w:sz w:val="29"/>
          <w:szCs w:val="29"/>
        </w:rPr>
      </w:pPr>
    </w:p>
    <w:p>
      <w:pPr>
        <w:pStyle w:val="BodyText"/>
        <w:spacing w:line="324" w:lineRule="auto"/>
        <w:ind w:right="56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公司报告期未发生破产重整相关事项。</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四、资产交易事项</w:t>
      </w:r>
      <w:r>
        <w:rPr>
          <w:b w:val="0"/>
          <w:bCs w:val="0"/>
        </w:rPr>
      </w:r>
    </w:p>
    <w:p>
      <w:pPr>
        <w:spacing w:line="240" w:lineRule="auto" w:before="12"/>
        <w:rPr>
          <w:rFonts w:ascii="宋体" w:hAnsi="宋体" w:cs="宋体" w:eastAsia="宋体" w:hint="default"/>
          <w:b/>
          <w:bCs/>
          <w:sz w:val="29"/>
          <w:szCs w:val="29"/>
        </w:rPr>
      </w:pPr>
    </w:p>
    <w:p>
      <w:pPr>
        <w:pStyle w:val="Heading3"/>
        <w:spacing w:line="240" w:lineRule="auto"/>
        <w:ind w:right="0"/>
        <w:jc w:val="left"/>
        <w:rPr>
          <w:b w:val="0"/>
          <w:bCs w:val="0"/>
        </w:rPr>
      </w:pPr>
      <w:r>
        <w:rPr>
          <w:rFonts w:ascii="Arial" w:hAnsi="Arial" w:cs="Arial" w:eastAsia="Arial" w:hint="default"/>
        </w:rPr>
        <w:t>1</w:t>
      </w:r>
      <w:r>
        <w:rPr/>
        <w:t>、收购资产情况</w:t>
      </w:r>
      <w:r>
        <w:rPr>
          <w:b w:val="0"/>
          <w:bCs w:val="0"/>
        </w:rPr>
      </w:r>
    </w:p>
    <w:p>
      <w:pPr>
        <w:spacing w:line="240" w:lineRule="auto" w:before="8"/>
        <w:rPr>
          <w:rFonts w:ascii="宋体" w:hAnsi="宋体" w:cs="宋体" w:eastAsia="宋体" w:hint="default"/>
          <w:b/>
          <w:bCs/>
          <w:sz w:val="28"/>
          <w:szCs w:val="28"/>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2"/>
        <w:gridCol w:w="742"/>
        <w:gridCol w:w="871"/>
        <w:gridCol w:w="1081"/>
        <w:gridCol w:w="660"/>
        <w:gridCol w:w="869"/>
        <w:gridCol w:w="1022"/>
        <w:gridCol w:w="569"/>
        <w:gridCol w:w="992"/>
        <w:gridCol w:w="852"/>
        <w:gridCol w:w="991"/>
      </w:tblGrid>
      <w:tr>
        <w:trPr>
          <w:trHeight w:val="165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5" w:right="95"/>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10"/>
                <w:sz w:val="18"/>
                <w:szCs w:val="18"/>
              </w:rPr>
              <w:t>进展情况（注</w:t>
            </w:r>
          </w:p>
          <w:p>
            <w:pPr>
              <w:pStyle w:val="TableParagraph"/>
              <w:spacing w:line="240" w:lineRule="auto" w:before="76"/>
              <w:ind w:left="3" w:right="0"/>
              <w:jc w:val="center"/>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50"/>
              <w:jc w:val="both"/>
              <w:rPr>
                <w:rFonts w:ascii="宋体" w:hAnsi="宋体" w:cs="宋体" w:eastAsia="宋体" w:hint="default"/>
                <w:sz w:val="18"/>
                <w:szCs w:val="18"/>
              </w:rPr>
            </w:pPr>
            <w:r>
              <w:rPr>
                <w:rFonts w:ascii="宋体" w:hAnsi="宋体" w:cs="宋体" w:eastAsia="宋体" w:hint="default"/>
                <w:sz w:val="18"/>
                <w:szCs w:val="18"/>
              </w:rPr>
              <w:t>对公司 经营的 影响</w:t>
            </w:r>
          </w:p>
          <w:p>
            <w:pPr>
              <w:pStyle w:val="TableParagraph"/>
              <w:spacing w:line="240" w:lineRule="auto" w:before="19"/>
              <w:ind w:left="26" w:right="0"/>
              <w:jc w:val="both"/>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9"/>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02" w:lineRule="exact" w:before="19"/>
              <w:ind w:left="8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4</w:t>
            </w:r>
            <w:r>
              <w:rPr>
                <w:rFonts w:ascii="宋体" w:hAnsi="宋体" w:cs="宋体" w:eastAsia="宋体" w:hint="default"/>
                <w:sz w:val="18"/>
                <w:szCs w:val="18"/>
              </w:rPr>
              <w:t>）</w:t>
            </w:r>
          </w:p>
          <w:p>
            <w:pPr>
              <w:pStyle w:val="TableParagraph"/>
              <w:spacing w:line="189"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57" w:right="53"/>
              <w:jc w:val="center"/>
              <w:rPr>
                <w:rFonts w:ascii="宋体" w:hAnsi="宋体" w:cs="宋体" w:eastAsia="宋体" w:hint="default"/>
                <w:sz w:val="18"/>
                <w:szCs w:val="18"/>
              </w:rPr>
            </w:pPr>
            <w:r>
              <w:rPr>
                <w:rFonts w:ascii="宋体" w:hAnsi="宋体" w:cs="宋体" w:eastAsia="宋体" w:hint="default"/>
                <w:sz w:val="18"/>
                <w:szCs w:val="18"/>
              </w:rPr>
              <w:t>该资产为上 市公司贡献 的净利润占 净利润总额 的比率</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8"/>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与交易对方 的关联关系</w:t>
            </w:r>
          </w:p>
          <w:p>
            <w:pPr>
              <w:pStyle w:val="TableParagraph"/>
              <w:spacing w:line="319" w:lineRule="auto" w:before="19"/>
              <w:ind w:left="131" w:right="39" w:hanging="92"/>
              <w:jc w:val="left"/>
              <w:rPr>
                <w:rFonts w:ascii="宋体" w:hAnsi="宋体" w:cs="宋体" w:eastAsia="宋体" w:hint="default"/>
                <w:sz w:val="18"/>
                <w:szCs w:val="18"/>
              </w:rPr>
            </w:pPr>
            <w:r>
              <w:rPr>
                <w:rFonts w:ascii="宋体" w:hAnsi="宋体" w:cs="宋体" w:eastAsia="宋体" w:hint="default"/>
                <w:sz w:val="18"/>
                <w:szCs w:val="18"/>
              </w:rPr>
              <w:t>（适用关联 交易情形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7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15" w:hRule="exact"/>
        </w:trPr>
        <w:tc>
          <w:tcPr>
            <w:tcW w:w="992" w:type="dxa"/>
            <w:tcBorders>
              <w:top w:val="single" w:sz="4" w:space="0" w:color="000000"/>
              <w:left w:val="single" w:sz="4" w:space="0" w:color="000000"/>
              <w:bottom w:val="nil" w:sz="6" w:space="0" w:color="auto"/>
              <w:right w:val="single" w:sz="4" w:space="0" w:color="000000"/>
            </w:tcBorders>
          </w:tcPr>
          <w:p>
            <w:pPr/>
          </w:p>
        </w:tc>
        <w:tc>
          <w:tcPr>
            <w:tcW w:w="742"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1081" w:type="dxa"/>
            <w:tcBorders>
              <w:top w:val="single" w:sz="4" w:space="0" w:color="000000"/>
              <w:left w:val="single" w:sz="4" w:space="0" w:color="000000"/>
              <w:bottom w:val="nil" w:sz="6" w:space="0" w:color="auto"/>
              <w:right w:val="single" w:sz="4" w:space="0" w:color="000000"/>
            </w:tcBorders>
          </w:tcPr>
          <w:p>
            <w:pPr/>
          </w:p>
        </w:tc>
        <w:tc>
          <w:tcPr>
            <w:tcW w:w="660"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89"/>
              <w:jc w:val="center"/>
              <w:rPr>
                <w:rFonts w:ascii="宋体" w:hAnsi="宋体" w:cs="宋体" w:eastAsia="宋体" w:hint="default"/>
                <w:sz w:val="18"/>
                <w:szCs w:val="18"/>
              </w:rPr>
            </w:pPr>
            <w:r>
              <w:rPr>
                <w:rFonts w:ascii="宋体" w:hAnsi="宋体" w:cs="宋体" w:eastAsia="宋体" w:hint="default"/>
                <w:sz w:val="18"/>
                <w:szCs w:val="18"/>
              </w:rPr>
              <w:t>自本期初</w:t>
            </w:r>
          </w:p>
        </w:tc>
        <w:tc>
          <w:tcPr>
            <w:tcW w:w="1022"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981"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51"/>
              <w:ind w:left="24" w:right="57"/>
              <w:jc w:val="both"/>
              <w:rPr>
                <w:rFonts w:ascii="宋体" w:hAnsi="宋体" w:cs="宋体" w:eastAsia="宋体" w:hint="default"/>
                <w:sz w:val="18"/>
                <w:szCs w:val="18"/>
              </w:rPr>
            </w:pPr>
            <w:r>
              <w:rPr>
                <w:rFonts w:ascii="宋体" w:hAnsi="宋体" w:cs="宋体" w:eastAsia="宋体" w:hint="default"/>
                <w:sz w:val="18"/>
                <w:szCs w:val="18"/>
              </w:rPr>
              <w:t>上海浦东中 软科技发展 有限公司</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3" w:right="0"/>
              <w:jc w:val="left"/>
              <w:rPr>
                <w:rFonts w:ascii="Arial" w:hAnsi="Arial" w:cs="Arial" w:eastAsia="Arial" w:hint="default"/>
                <w:sz w:val="18"/>
                <w:szCs w:val="18"/>
              </w:rPr>
            </w:pPr>
            <w:r>
              <w:rPr>
                <w:rFonts w:ascii="Arial"/>
                <w:sz w:val="18"/>
              </w:rPr>
              <w:t>90.185</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股权</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Arial" w:hAnsi="Arial" w:cs="Arial" w:eastAsia="Arial" w:hint="default"/>
                <w:sz w:val="18"/>
                <w:szCs w:val="18"/>
              </w:rPr>
            </w:pPr>
            <w:r>
              <w:rPr>
                <w:rFonts w:ascii="Arial"/>
                <w:sz w:val="18"/>
              </w:rPr>
              <w:t>13,527.75</w:t>
            </w:r>
          </w:p>
        </w:tc>
        <w:tc>
          <w:tcPr>
            <w:tcW w:w="1081" w:type="dxa"/>
            <w:tcBorders>
              <w:top w:val="nil" w:sz="6" w:space="0" w:color="auto"/>
              <w:left w:val="single" w:sz="4" w:space="0" w:color="000000"/>
              <w:bottom w:val="nil" w:sz="6" w:space="0" w:color="auto"/>
              <w:right w:val="single" w:sz="4" w:space="0" w:color="000000"/>
            </w:tcBorders>
          </w:tcPr>
          <w:p>
            <w:pPr>
              <w:pStyle w:val="TableParagraph"/>
              <w:spacing w:line="316" w:lineRule="auto" w:before="51"/>
              <w:ind w:left="23" w:right="146"/>
              <w:jc w:val="both"/>
              <w:rPr>
                <w:rFonts w:ascii="宋体" w:hAnsi="宋体" w:cs="宋体" w:eastAsia="宋体" w:hint="default"/>
                <w:sz w:val="18"/>
                <w:szCs w:val="18"/>
              </w:rPr>
            </w:pPr>
            <w:r>
              <w:rPr>
                <w:rFonts w:ascii="宋体" w:hAnsi="宋体" w:cs="宋体" w:eastAsia="宋体" w:hint="default"/>
                <w:sz w:val="18"/>
                <w:szCs w:val="18"/>
              </w:rPr>
              <w:t>已完成资产 过户及股份 发行上市。</w:t>
            </w:r>
          </w:p>
        </w:tc>
        <w:tc>
          <w:tcPr>
            <w:tcW w:w="6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3"/>
              <w:jc w:val="both"/>
              <w:rPr>
                <w:rFonts w:ascii="宋体" w:hAnsi="宋体" w:cs="宋体" w:eastAsia="宋体" w:hint="default"/>
                <w:sz w:val="18"/>
                <w:szCs w:val="18"/>
              </w:rPr>
            </w:pPr>
            <w:r>
              <w:rPr>
                <w:rFonts w:ascii="宋体" w:hAnsi="宋体" w:cs="宋体" w:eastAsia="宋体" w:hint="default"/>
                <w:sz w:val="18"/>
                <w:szCs w:val="18"/>
              </w:rPr>
              <w:t>至报告期 末未为上 市公司贡</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18</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Arial" w:hAnsi="Arial" w:cs="Arial" w:eastAsia="Arial" w:hint="default"/>
                <w:sz w:val="18"/>
                <w:szCs w:val="18"/>
              </w:rPr>
            </w:pPr>
            <w:r>
              <w:rPr>
                <w:rFonts w:ascii="Arial"/>
                <w:sz w:val="18"/>
              </w:rPr>
              <w:t>www.cninfo</w:t>
            </w:r>
          </w:p>
          <w:p>
            <w:pPr>
              <w:pStyle w:val="TableParagraph"/>
              <w:spacing w:line="240" w:lineRule="auto" w:before="105"/>
              <w:ind w:left="24" w:right="0"/>
              <w:jc w:val="left"/>
              <w:rPr>
                <w:rFonts w:ascii="Arial" w:hAnsi="Arial" w:cs="Arial" w:eastAsia="Arial" w:hint="default"/>
                <w:sz w:val="18"/>
                <w:szCs w:val="18"/>
              </w:rPr>
            </w:pPr>
            <w:r>
              <w:rPr>
                <w:rFonts w:ascii="Arial"/>
                <w:sz w:val="18"/>
              </w:rPr>
              <w:t>.com.cn</w:t>
            </w:r>
          </w:p>
        </w:tc>
      </w:tr>
      <w:tr>
        <w:trPr>
          <w:trHeight w:val="353" w:hRule="exact"/>
        </w:trPr>
        <w:tc>
          <w:tcPr>
            <w:tcW w:w="992"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1081" w:type="dxa"/>
            <w:tcBorders>
              <w:top w:val="nil" w:sz="6" w:space="0" w:color="auto"/>
              <w:left w:val="single" w:sz="4" w:space="0" w:color="000000"/>
              <w:bottom w:val="single" w:sz="4" w:space="0" w:color="000000"/>
              <w:right w:val="single" w:sz="4" w:space="0" w:color="000000"/>
            </w:tcBorders>
          </w:tcPr>
          <w:p>
            <w:pPr/>
          </w:p>
        </w:tc>
        <w:tc>
          <w:tcPr>
            <w:tcW w:w="660"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89"/>
              <w:jc w:val="center"/>
              <w:rPr>
                <w:rFonts w:ascii="宋体" w:hAnsi="宋体" w:cs="宋体" w:eastAsia="宋体" w:hint="default"/>
                <w:sz w:val="18"/>
                <w:szCs w:val="18"/>
              </w:rPr>
            </w:pPr>
            <w:r>
              <w:rPr>
                <w:rFonts w:ascii="宋体" w:hAnsi="宋体" w:cs="宋体" w:eastAsia="宋体" w:hint="default"/>
                <w:sz w:val="18"/>
                <w:szCs w:val="18"/>
              </w:rPr>
              <w:t>献净利润</w:t>
            </w:r>
          </w:p>
        </w:tc>
        <w:tc>
          <w:tcPr>
            <w:tcW w:w="1022"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pStyle w:val="BodyText"/>
        <w:spacing w:line="316" w:lineRule="auto" w:before="48"/>
        <w:ind w:right="0"/>
        <w:jc w:val="left"/>
      </w:pPr>
      <w:r>
        <w:rPr/>
        <w:t>收购资产情况说明 </w:t>
      </w:r>
      <w:r>
        <w:rPr>
          <w:spacing w:val="-1"/>
        </w:rPr>
        <w:t>截至</w:t>
      </w:r>
      <w:r>
        <w:rPr>
          <w:rFonts w:ascii="Arial" w:hAnsi="Arial" w:cs="Arial" w:eastAsia="Arial" w:hint="default"/>
          <w:spacing w:val="-1"/>
        </w:rPr>
        <w:t>2015</w:t>
      </w:r>
      <w:r>
        <w:rPr>
          <w:spacing w:val="-1"/>
        </w:rPr>
        <w:t>年</w:t>
      </w:r>
      <w:r>
        <w:rPr>
          <w:rFonts w:ascii="Arial" w:hAnsi="Arial" w:cs="Arial" w:eastAsia="Arial" w:hint="default"/>
          <w:spacing w:val="-1"/>
        </w:rPr>
        <w:t>3</w:t>
      </w:r>
      <w:r>
        <w:rPr>
          <w:spacing w:val="-1"/>
        </w:rPr>
        <w:t>月</w:t>
      </w:r>
      <w:r>
        <w:rPr>
          <w:rFonts w:ascii="Arial" w:hAnsi="Arial" w:cs="Arial" w:eastAsia="Arial" w:hint="default"/>
          <w:spacing w:val="-1"/>
        </w:rPr>
        <w:t>23</w:t>
      </w:r>
      <w:r>
        <w:rPr>
          <w:spacing w:val="-1"/>
        </w:rPr>
        <w:t>日，公司已取得浦东中软</w:t>
      </w:r>
      <w:r>
        <w:rPr>
          <w:rFonts w:ascii="Arial" w:hAnsi="Arial" w:cs="Arial" w:eastAsia="Arial" w:hint="default"/>
          <w:spacing w:val="-1"/>
        </w:rPr>
        <w:t>90.185%</w:t>
      </w:r>
      <w:r>
        <w:rPr>
          <w:spacing w:val="-1"/>
        </w:rPr>
        <w:t>股权，新增股份</w:t>
      </w:r>
      <w:r>
        <w:rPr>
          <w:rFonts w:ascii="Arial" w:hAnsi="Arial" w:cs="Arial" w:eastAsia="Arial" w:hint="default"/>
          <w:spacing w:val="-1"/>
        </w:rPr>
        <w:t>1,814,831</w:t>
      </w:r>
      <w:r>
        <w:rPr>
          <w:spacing w:val="-1"/>
        </w:rPr>
        <w:t>股已完成发行</w:t>
      </w:r>
      <w:r>
        <w:rPr>
          <w:spacing w:val="-113"/>
        </w:rPr>
        <w:t> </w:t>
      </w:r>
      <w:r>
        <w:rPr>
          <w:spacing w:val="-113"/>
        </w:rPr>
      </w:r>
      <w:r>
        <w:rPr/>
        <w:t>上市。</w:t>
      </w:r>
    </w:p>
    <w:p>
      <w:pPr>
        <w:spacing w:after="0" w:line="316" w:lineRule="auto"/>
        <w:jc w:val="left"/>
        <w:sectPr>
          <w:pgSz w:w="11910" w:h="16840"/>
          <w:pgMar w:header="0" w:footer="1010" w:top="1140" w:bottom="1200" w:left="980" w:right="980"/>
        </w:sectPr>
      </w:pPr>
    </w:p>
    <w:p>
      <w:pPr>
        <w:spacing w:line="240" w:lineRule="auto" w:before="1"/>
        <w:rPr>
          <w:rFonts w:ascii="宋体" w:hAnsi="宋体" w:cs="宋体" w:eastAsia="宋体" w:hint="default"/>
          <w:sz w:val="20"/>
          <w:szCs w:val="20"/>
        </w:rPr>
      </w:pPr>
    </w:p>
    <w:p>
      <w:pPr>
        <w:pStyle w:val="Heading3"/>
        <w:spacing w:line="240" w:lineRule="auto" w:before="26"/>
        <w:ind w:right="99"/>
        <w:jc w:val="left"/>
        <w:rPr>
          <w:b w:val="0"/>
          <w:bCs w:val="0"/>
        </w:rPr>
      </w:pPr>
      <w:r>
        <w:rPr>
          <w:rFonts w:ascii="Arial" w:hAnsi="Arial" w:cs="Arial" w:eastAsia="Arial" w:hint="default"/>
        </w:rPr>
        <w:t>2</w:t>
      </w:r>
      <w:r>
        <w:rPr/>
        <w:t>、出售资产情况</w:t>
      </w:r>
      <w:r>
        <w:rPr>
          <w:b w:val="0"/>
          <w:bCs w:val="0"/>
        </w:rPr>
      </w:r>
    </w:p>
    <w:p>
      <w:pPr>
        <w:spacing w:line="240" w:lineRule="auto" w:before="8"/>
        <w:rPr>
          <w:rFonts w:ascii="宋体" w:hAnsi="宋体" w:cs="宋体" w:eastAsia="宋体" w:hint="default"/>
          <w:b/>
          <w:bCs/>
          <w:sz w:val="28"/>
          <w:szCs w:val="28"/>
        </w:rPr>
      </w:pPr>
    </w:p>
    <w:p>
      <w:pPr>
        <w:pStyle w:val="BodyText"/>
        <w:spacing w:line="324" w:lineRule="auto"/>
        <w:ind w:right="72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公司报告期未出售资产。</w:t>
      </w:r>
    </w:p>
    <w:p>
      <w:pPr>
        <w:spacing w:line="240" w:lineRule="auto" w:before="7"/>
        <w:rPr>
          <w:rFonts w:ascii="宋体" w:hAnsi="宋体" w:cs="宋体" w:eastAsia="宋体" w:hint="default"/>
          <w:sz w:val="23"/>
          <w:szCs w:val="23"/>
        </w:rPr>
      </w:pPr>
    </w:p>
    <w:p>
      <w:pPr>
        <w:pStyle w:val="Heading3"/>
        <w:spacing w:line="240" w:lineRule="auto"/>
        <w:ind w:right="99"/>
        <w:jc w:val="left"/>
        <w:rPr>
          <w:b w:val="0"/>
          <w:bCs w:val="0"/>
        </w:rPr>
      </w:pPr>
      <w:r>
        <w:rPr>
          <w:rFonts w:ascii="Arial" w:hAnsi="Arial" w:cs="Arial" w:eastAsia="Arial" w:hint="default"/>
        </w:rPr>
        <w:t>3</w:t>
      </w:r>
      <w:r>
        <w:rPr/>
        <w:t>、企业合并情况</w:t>
      </w:r>
      <w:r>
        <w:rPr>
          <w:b w:val="0"/>
          <w:bCs w:val="0"/>
        </w:rPr>
      </w:r>
    </w:p>
    <w:p>
      <w:pPr>
        <w:spacing w:line="240" w:lineRule="auto" w:before="8"/>
        <w:rPr>
          <w:rFonts w:ascii="宋体" w:hAnsi="宋体" w:cs="宋体" w:eastAsia="宋体" w:hint="default"/>
          <w:b/>
          <w:bCs/>
          <w:sz w:val="28"/>
          <w:szCs w:val="28"/>
        </w:rPr>
      </w:pPr>
    </w:p>
    <w:p>
      <w:pPr>
        <w:pStyle w:val="BodyText"/>
        <w:spacing w:line="321" w:lineRule="auto"/>
        <w:ind w:right="62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公司报告期未发生企业合并情况。</w:t>
      </w:r>
    </w:p>
    <w:p>
      <w:pPr>
        <w:spacing w:line="240" w:lineRule="auto" w:before="12"/>
        <w:rPr>
          <w:rFonts w:ascii="宋体" w:hAnsi="宋体" w:cs="宋体" w:eastAsia="宋体" w:hint="default"/>
          <w:sz w:val="23"/>
          <w:szCs w:val="23"/>
        </w:rPr>
      </w:pPr>
    </w:p>
    <w:p>
      <w:pPr>
        <w:pStyle w:val="Heading3"/>
        <w:spacing w:line="292" w:lineRule="auto"/>
        <w:ind w:right="99"/>
        <w:jc w:val="left"/>
        <w:rPr>
          <w:b w:val="0"/>
          <w:bCs w:val="0"/>
        </w:rPr>
      </w:pPr>
      <w:r>
        <w:rPr>
          <w:rFonts w:ascii="Arial" w:hAnsi="Arial" w:cs="Arial" w:eastAsia="Arial" w:hint="default"/>
          <w:spacing w:val="3"/>
          <w:w w:val="95"/>
        </w:rPr>
        <w:t>4</w:t>
      </w:r>
      <w:r>
        <w:rPr>
          <w:spacing w:val="3"/>
          <w:w w:val="95"/>
        </w:rPr>
        <w:t>、自资产重组报告书或收购出售资产公告刊登后，该事项的进展情况及对报告期经营成果</w:t>
      </w:r>
      <w:r>
        <w:rPr>
          <w:spacing w:val="91"/>
          <w:w w:val="95"/>
        </w:rPr>
        <w:t> </w:t>
      </w:r>
      <w:r>
        <w:rPr>
          <w:spacing w:val="91"/>
          <w:w w:val="95"/>
        </w:rPr>
      </w:r>
      <w:r>
        <w:rPr/>
        <w:t>与财务状况的影响</w:t>
      </w:r>
      <w:r>
        <w:rPr>
          <w:b w:val="0"/>
          <w:bCs w:val="0"/>
        </w:rPr>
      </w:r>
    </w:p>
    <w:p>
      <w:pPr>
        <w:spacing w:line="240" w:lineRule="auto" w:before="12"/>
        <w:rPr>
          <w:rFonts w:ascii="宋体" w:hAnsi="宋体" w:cs="宋体" w:eastAsia="宋体" w:hint="default"/>
          <w:b/>
          <w:bCs/>
          <w:sz w:val="25"/>
          <w:szCs w:val="25"/>
        </w:rPr>
      </w:pPr>
    </w:p>
    <w:p>
      <w:pPr>
        <w:spacing w:line="513" w:lineRule="auto" w:before="0"/>
        <w:ind w:left="152" w:right="5758"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五、公司股权激励的实施情况及其影响</w:t>
      </w:r>
      <w:r>
        <w:rPr>
          <w:rFonts w:ascii="宋体" w:hAnsi="宋体" w:cs="宋体" w:eastAsia="宋体" w:hint="default"/>
          <w:sz w:val="24"/>
          <w:szCs w:val="24"/>
        </w:rPr>
      </w:r>
    </w:p>
    <w:p>
      <w:pPr>
        <w:pStyle w:val="BodyText"/>
        <w:spacing w:line="240" w:lineRule="auto" w:before="115"/>
        <w:ind w:right="9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115"/>
        <w:ind w:left="633" w:right="99"/>
        <w:jc w:val="left"/>
      </w:pPr>
      <w:r>
        <w:rPr>
          <w:rFonts w:ascii="Arial" w:hAnsi="Arial" w:cs="Arial" w:eastAsia="Arial" w:hint="default"/>
        </w:rPr>
        <w:t>2014</w:t>
      </w:r>
      <w:r>
        <w:rPr>
          <w:rFonts w:ascii="Arial" w:hAnsi="Arial" w:cs="Arial" w:eastAsia="Arial" w:hint="default"/>
          <w:spacing w:val="-7"/>
        </w:rPr>
        <w:t> </w:t>
      </w:r>
      <w:r>
        <w:rPr/>
        <w:t>年</w:t>
      </w:r>
      <w:r>
        <w:rPr>
          <w:spacing w:val="-61"/>
        </w:rPr>
        <w:t> </w:t>
      </w:r>
      <w:r>
        <w:rPr>
          <w:rFonts w:ascii="Arial" w:hAnsi="Arial" w:cs="Arial" w:eastAsia="Arial" w:hint="default"/>
        </w:rPr>
        <w:t>6</w:t>
      </w:r>
      <w:r>
        <w:rPr>
          <w:rFonts w:ascii="Arial" w:hAnsi="Arial" w:cs="Arial" w:eastAsia="Arial" w:hint="default"/>
          <w:spacing w:val="-7"/>
        </w:rPr>
        <w:t> </w:t>
      </w:r>
      <w:r>
        <w:rPr/>
        <w:t>月</w:t>
      </w:r>
      <w:r>
        <w:rPr>
          <w:spacing w:val="-61"/>
        </w:rPr>
        <w:t> </w:t>
      </w:r>
      <w:r>
        <w:rPr>
          <w:rFonts w:ascii="Arial" w:hAnsi="Arial" w:cs="Arial" w:eastAsia="Arial" w:hint="default"/>
        </w:rPr>
        <w:t>13</w:t>
      </w:r>
      <w:r>
        <w:rPr>
          <w:rFonts w:ascii="Arial" w:hAnsi="Arial" w:cs="Arial" w:eastAsia="Arial" w:hint="default"/>
          <w:spacing w:val="-7"/>
        </w:rPr>
        <w:t> </w:t>
      </w:r>
      <w:r>
        <w:rPr/>
        <w:t>日，公司召开第五届董事会第九次会议，审议通过《关于调整股票期权</w:t>
      </w:r>
    </w:p>
    <w:p>
      <w:pPr>
        <w:pStyle w:val="BodyText"/>
        <w:spacing w:line="240" w:lineRule="auto" w:before="74"/>
        <w:ind w:right="99"/>
        <w:jc w:val="left"/>
      </w:pPr>
      <w:r>
        <w:rPr/>
        <w:t>激励计划行权价格的议案》。同意根据公司 </w:t>
      </w:r>
      <w:r>
        <w:rPr>
          <w:rFonts w:ascii="Arial" w:hAnsi="Arial" w:cs="Arial" w:eastAsia="Arial" w:hint="default"/>
        </w:rPr>
        <w:t>2013</w:t>
      </w:r>
      <w:r>
        <w:rPr>
          <w:rFonts w:ascii="Arial" w:hAnsi="Arial" w:cs="Arial" w:eastAsia="Arial" w:hint="default"/>
          <w:spacing w:val="35"/>
        </w:rPr>
        <w:t> </w:t>
      </w:r>
      <w:r>
        <w:rPr/>
        <w:t>年年度利润分配方案调整股票期权行权价</w:t>
      </w:r>
    </w:p>
    <w:p>
      <w:pPr>
        <w:pStyle w:val="BodyText"/>
        <w:spacing w:line="240" w:lineRule="auto" w:before="74"/>
        <w:ind w:right="99"/>
        <w:jc w:val="left"/>
      </w:pPr>
      <w:r>
        <w:rPr/>
        <w:t>格，首次授予期权调整后的行权价格为</w:t>
      </w:r>
      <w:r>
        <w:rPr>
          <w:spacing w:val="-60"/>
        </w:rPr>
        <w:t> </w:t>
      </w:r>
      <w:r>
        <w:rPr>
          <w:rFonts w:ascii="Arial" w:hAnsi="Arial" w:cs="Arial" w:eastAsia="Arial" w:hint="default"/>
        </w:rPr>
        <w:t>16.37</w:t>
      </w:r>
      <w:r>
        <w:rPr>
          <w:rFonts w:ascii="Arial" w:hAnsi="Arial" w:cs="Arial" w:eastAsia="Arial" w:hint="default"/>
          <w:spacing w:val="-9"/>
        </w:rPr>
        <w:t> </w:t>
      </w:r>
      <w:r>
        <w:rPr/>
        <w:t>元，预留期权调整后的行权价格为</w:t>
      </w:r>
      <w:r>
        <w:rPr>
          <w:spacing w:val="-60"/>
        </w:rPr>
        <w:t> </w:t>
      </w:r>
      <w:r>
        <w:rPr>
          <w:rFonts w:ascii="Arial" w:hAnsi="Arial" w:cs="Arial" w:eastAsia="Arial" w:hint="default"/>
        </w:rPr>
        <w:t>19.92</w:t>
      </w:r>
      <w:r>
        <w:rPr>
          <w:rFonts w:ascii="Arial" w:hAnsi="Arial" w:cs="Arial" w:eastAsia="Arial" w:hint="default"/>
          <w:spacing w:val="-7"/>
        </w:rPr>
        <w:t> </w:t>
      </w:r>
      <w:r>
        <w:rPr/>
        <w:t>元。</w:t>
      </w:r>
    </w:p>
    <w:p>
      <w:pPr>
        <w:pStyle w:val="BodyText"/>
        <w:spacing w:line="350" w:lineRule="auto" w:before="146"/>
        <w:ind w:right="96" w:firstLine="554"/>
        <w:jc w:val="left"/>
      </w:pPr>
      <w:r>
        <w:rPr>
          <w:rFonts w:ascii="Arial" w:hAnsi="Arial" w:cs="Arial" w:eastAsia="Arial" w:hint="default"/>
        </w:rPr>
        <w:t>2014 </w:t>
      </w:r>
      <w:r>
        <w:rPr/>
        <w:t>年</w:t>
      </w:r>
      <w:r>
        <w:rPr>
          <w:spacing w:val="-54"/>
        </w:rPr>
        <w:t> </w:t>
      </w:r>
      <w:r>
        <w:rPr>
          <w:rFonts w:ascii="Arial" w:hAnsi="Arial" w:cs="Arial" w:eastAsia="Arial" w:hint="default"/>
        </w:rPr>
        <w:t>10</w:t>
      </w:r>
      <w:r>
        <w:rPr>
          <w:rFonts w:ascii="Arial" w:hAnsi="Arial" w:cs="Arial" w:eastAsia="Arial" w:hint="default"/>
          <w:spacing w:val="-2"/>
        </w:rPr>
        <w:t> </w:t>
      </w:r>
      <w:r>
        <w:rPr/>
        <w:t>月</w:t>
      </w:r>
      <w:r>
        <w:rPr>
          <w:spacing w:val="-54"/>
        </w:rPr>
        <w:t> </w:t>
      </w:r>
      <w:r>
        <w:rPr>
          <w:rFonts w:ascii="Arial" w:hAnsi="Arial" w:cs="Arial" w:eastAsia="Arial" w:hint="default"/>
        </w:rPr>
        <w:t>16 </w:t>
      </w:r>
      <w:r>
        <w:rPr/>
        <w:t>日，公司召开第五届董事会第十五次会议，审议通过《关于股票期权 激励计划所涉激励对象、期权数量调整并对部分已授予股票期权进行注销的议案》及《关于</w:t>
      </w:r>
      <w:r>
        <w:rPr>
          <w:spacing w:val="-91"/>
        </w:rPr>
        <w:t> </w:t>
      </w:r>
      <w:r>
        <w:rPr>
          <w:spacing w:val="-91"/>
        </w:rPr>
      </w:r>
      <w:r>
        <w:rPr>
          <w:spacing w:val="-2"/>
        </w:rPr>
        <w:t>股票期权激励计划首次授予期权第二个行权期及预留期权第一个行权期可行权的议案》议案，</w:t>
      </w:r>
      <w:r>
        <w:rPr/>
        <w:t> 其中：</w:t>
      </w:r>
    </w:p>
    <w:p>
      <w:pPr>
        <w:pStyle w:val="BodyText"/>
        <w:spacing w:line="240" w:lineRule="auto" w:before="82"/>
        <w:ind w:left="707" w:right="99"/>
        <w:jc w:val="left"/>
      </w:pPr>
      <w:r>
        <w:rPr/>
        <w:t>（</w:t>
      </w:r>
      <w:r>
        <w:rPr>
          <w:rFonts w:ascii="Arial" w:hAnsi="Arial" w:cs="Arial" w:eastAsia="Arial" w:hint="default"/>
        </w:rPr>
        <w:t>1</w:t>
      </w:r>
      <w:r>
        <w:rPr/>
        <w:t>）经本次调整后，股票期权激励计划首次授予部分激励对象为 </w:t>
      </w:r>
      <w:r>
        <w:rPr>
          <w:rFonts w:ascii="Arial" w:hAnsi="Arial" w:cs="Arial" w:eastAsia="Arial" w:hint="default"/>
        </w:rPr>
        <w:t>193</w:t>
      </w:r>
      <w:r>
        <w:rPr>
          <w:rFonts w:ascii="Arial" w:hAnsi="Arial" w:cs="Arial" w:eastAsia="Arial" w:hint="default"/>
          <w:spacing w:val="-37"/>
        </w:rPr>
        <w:t> </w:t>
      </w:r>
      <w:r>
        <w:rPr/>
        <w:t>人，首次授予期</w:t>
      </w:r>
    </w:p>
    <w:p>
      <w:pPr>
        <w:pStyle w:val="BodyText"/>
        <w:spacing w:line="362" w:lineRule="auto" w:before="137"/>
        <w:ind w:left="0" w:right="229"/>
        <w:jc w:val="right"/>
      </w:pPr>
      <w:r>
        <w:rPr/>
        <w:t>权总数为</w:t>
      </w:r>
      <w:r>
        <w:rPr>
          <w:spacing w:val="-67"/>
        </w:rPr>
        <w:t> </w:t>
      </w:r>
      <w:r>
        <w:rPr>
          <w:rFonts w:ascii="Arial" w:hAnsi="Arial" w:cs="Arial" w:eastAsia="Arial" w:hint="default"/>
          <w:w w:val="99"/>
        </w:rPr>
        <w:t>505</w:t>
      </w:r>
      <w:r>
        <w:rPr>
          <w:rFonts w:ascii="Arial" w:hAnsi="Arial" w:cs="Arial" w:eastAsia="Arial" w:hint="default"/>
          <w:spacing w:val="-13"/>
          <w:w w:val="99"/>
        </w:rPr>
        <w:t> </w:t>
      </w:r>
      <w:r>
        <w:rPr>
          <w:spacing w:val="-7"/>
        </w:rPr>
        <w:t>万份；股票期权激励计划预留部分激励对象为</w:t>
      </w:r>
      <w:r>
        <w:rPr>
          <w:spacing w:val="-66"/>
        </w:rPr>
        <w:t> </w:t>
      </w:r>
      <w:r>
        <w:rPr>
          <w:rFonts w:ascii="Arial" w:hAnsi="Arial" w:cs="Arial" w:eastAsia="Arial" w:hint="default"/>
          <w:w w:val="99"/>
        </w:rPr>
        <w:t>41</w:t>
      </w:r>
      <w:r>
        <w:rPr>
          <w:rFonts w:ascii="Arial" w:hAnsi="Arial" w:cs="Arial" w:eastAsia="Arial" w:hint="default"/>
          <w:spacing w:val="-13"/>
          <w:w w:val="99"/>
        </w:rPr>
        <w:t> </w:t>
      </w:r>
      <w:r>
        <w:rPr>
          <w:spacing w:val="-14"/>
        </w:rPr>
        <w:t>人，预留期权总数为</w:t>
      </w:r>
      <w:r>
        <w:rPr>
          <w:spacing w:val="-66"/>
        </w:rPr>
        <w:t> </w:t>
      </w:r>
      <w:r>
        <w:rPr>
          <w:rFonts w:ascii="Arial" w:hAnsi="Arial" w:cs="Arial" w:eastAsia="Arial" w:hint="default"/>
          <w:w w:val="99"/>
        </w:rPr>
        <w:t>52</w:t>
      </w:r>
      <w:r>
        <w:rPr>
          <w:rFonts w:ascii="Arial" w:hAnsi="Arial" w:cs="Arial" w:eastAsia="Arial" w:hint="default"/>
          <w:spacing w:val="-13"/>
          <w:w w:val="99"/>
        </w:rPr>
        <w:t> </w:t>
      </w:r>
      <w:r>
        <w:rPr>
          <w:spacing w:val="-1"/>
        </w:rPr>
        <w:t>万份。</w:t>
      </w:r>
      <w:r>
        <w:rPr/>
        <w:t> </w:t>
      </w:r>
      <w:r>
        <w:rPr>
          <w:spacing w:val="-1"/>
        </w:rPr>
        <w:t>根据《股票期权激励计划》及相关规定，董事会同意注销股票期权激励计划首次授予部</w:t>
      </w:r>
      <w:r>
        <w:rPr/>
        <w:t> 分（期权代码</w:t>
      </w:r>
      <w:r>
        <w:rPr>
          <w:spacing w:val="-69"/>
        </w:rPr>
        <w:t> </w:t>
      </w:r>
      <w:r>
        <w:rPr>
          <w:rFonts w:ascii="Arial" w:hAnsi="Arial" w:cs="Arial" w:eastAsia="Arial" w:hint="default"/>
        </w:rPr>
        <w:t>036049</w:t>
      </w:r>
      <w:r>
        <w:rPr/>
        <w:t>）股票期权共计</w:t>
      </w:r>
      <w:r>
        <w:rPr>
          <w:spacing w:val="-18"/>
        </w:rPr>
        <w:t> </w:t>
      </w:r>
      <w:r>
        <w:rPr>
          <w:rFonts w:ascii="Arial" w:hAnsi="Arial" w:cs="Arial" w:eastAsia="Arial" w:hint="default"/>
        </w:rPr>
        <w:t>33.8</w:t>
      </w:r>
      <w:r>
        <w:rPr>
          <w:rFonts w:ascii="Arial" w:hAnsi="Arial" w:cs="Arial" w:eastAsia="Arial" w:hint="default"/>
          <w:spacing w:val="-17"/>
        </w:rPr>
        <w:t> </w:t>
      </w:r>
      <w:r>
        <w:rPr/>
        <w:t>万份；同意注销股票期权激励计划预留部分（期</w:t>
      </w:r>
    </w:p>
    <w:p>
      <w:pPr>
        <w:pStyle w:val="BodyText"/>
        <w:spacing w:line="240" w:lineRule="auto"/>
        <w:ind w:right="99"/>
        <w:jc w:val="left"/>
      </w:pPr>
      <w:r>
        <w:rPr/>
        <w:t>权代码</w:t>
      </w:r>
      <w:r>
        <w:rPr>
          <w:spacing w:val="-62"/>
        </w:rPr>
        <w:t> </w:t>
      </w:r>
      <w:r>
        <w:rPr>
          <w:rFonts w:ascii="Arial" w:hAnsi="Arial" w:cs="Arial" w:eastAsia="Arial" w:hint="default"/>
        </w:rPr>
        <w:t>036094</w:t>
      </w:r>
      <w:r>
        <w:rPr/>
        <w:t>）股票期权共计</w:t>
      </w:r>
      <w:r>
        <w:rPr>
          <w:spacing w:val="-62"/>
        </w:rPr>
        <w:t> </w:t>
      </w:r>
      <w:r>
        <w:rPr>
          <w:rFonts w:ascii="Arial" w:hAnsi="Arial" w:cs="Arial" w:eastAsia="Arial" w:hint="default"/>
        </w:rPr>
        <w:t>8</w:t>
      </w:r>
      <w:r>
        <w:rPr>
          <w:rFonts w:ascii="Arial" w:hAnsi="Arial" w:cs="Arial" w:eastAsia="Arial" w:hint="default"/>
          <w:spacing w:val="-8"/>
        </w:rPr>
        <w:t> </w:t>
      </w:r>
      <w:r>
        <w:rPr/>
        <w:t>万份。</w:t>
      </w:r>
    </w:p>
    <w:p>
      <w:pPr>
        <w:pStyle w:val="BodyText"/>
        <w:spacing w:line="338" w:lineRule="auto" w:before="177"/>
        <w:ind w:right="222" w:firstLine="554"/>
        <w:jc w:val="left"/>
      </w:pPr>
      <w:r>
        <w:rPr/>
        <w:t>（</w:t>
      </w:r>
      <w:r>
        <w:rPr>
          <w:rFonts w:ascii="Arial" w:hAnsi="Arial" w:cs="Arial" w:eastAsia="Arial" w:hint="default"/>
        </w:rPr>
        <w:t>2</w:t>
      </w:r>
      <w:r>
        <w:rPr/>
        <w:t>）公司股票期权激励计划首次授予期权第二个行权期、预留期权第一个行权期已满 足行权条件。首次授予期权的</w:t>
      </w:r>
      <w:r>
        <w:rPr>
          <w:spacing w:val="-62"/>
        </w:rPr>
        <w:t> </w:t>
      </w:r>
      <w:r>
        <w:rPr>
          <w:rFonts w:ascii="Arial" w:hAnsi="Arial" w:cs="Arial" w:eastAsia="Arial" w:hint="default"/>
        </w:rPr>
        <w:t>193</w:t>
      </w:r>
      <w:r>
        <w:rPr>
          <w:rFonts w:ascii="Arial" w:hAnsi="Arial" w:cs="Arial" w:eastAsia="Arial" w:hint="default"/>
          <w:spacing w:val="-9"/>
        </w:rPr>
        <w:t> </w:t>
      </w:r>
      <w:r>
        <w:rPr/>
        <w:t>名激励对象第二个行权期可行权</w:t>
      </w:r>
      <w:r>
        <w:rPr>
          <w:spacing w:val="-63"/>
        </w:rPr>
        <w:t> </w:t>
      </w:r>
      <w:r>
        <w:rPr>
          <w:rFonts w:ascii="Arial" w:hAnsi="Arial" w:cs="Arial" w:eastAsia="Arial" w:hint="default"/>
        </w:rPr>
        <w:t>151.5</w:t>
      </w:r>
      <w:r>
        <w:rPr>
          <w:rFonts w:ascii="Arial" w:hAnsi="Arial" w:cs="Arial" w:eastAsia="Arial" w:hint="default"/>
          <w:spacing w:val="-8"/>
        </w:rPr>
        <w:t> </w:t>
      </w:r>
      <w:r>
        <w:rPr/>
        <w:t>万份股票期权；预</w:t>
      </w:r>
    </w:p>
    <w:p>
      <w:pPr>
        <w:pStyle w:val="BodyText"/>
        <w:spacing w:line="240" w:lineRule="auto" w:before="27"/>
        <w:ind w:right="99"/>
        <w:jc w:val="left"/>
      </w:pPr>
      <w:r>
        <w:rPr/>
        <w:t>留期权的</w:t>
      </w:r>
      <w:r>
        <w:rPr>
          <w:spacing w:val="-62"/>
        </w:rPr>
        <w:t> </w:t>
      </w:r>
      <w:r>
        <w:rPr>
          <w:rFonts w:ascii="Arial" w:hAnsi="Arial" w:cs="Arial" w:eastAsia="Arial" w:hint="default"/>
        </w:rPr>
        <w:t>41</w:t>
      </w:r>
      <w:r>
        <w:rPr>
          <w:rFonts w:ascii="Arial" w:hAnsi="Arial" w:cs="Arial" w:eastAsia="Arial" w:hint="default"/>
          <w:spacing w:val="-8"/>
        </w:rPr>
        <w:t> </w:t>
      </w:r>
      <w:r>
        <w:rPr/>
        <w:t>名激励对象第一个行权期可行权</w:t>
      </w:r>
      <w:r>
        <w:rPr>
          <w:spacing w:val="-62"/>
        </w:rPr>
        <w:t> </w:t>
      </w:r>
      <w:r>
        <w:rPr>
          <w:rFonts w:ascii="Arial" w:hAnsi="Arial" w:cs="Arial" w:eastAsia="Arial" w:hint="default"/>
        </w:rPr>
        <w:t>10.4</w:t>
      </w:r>
      <w:r>
        <w:rPr>
          <w:rFonts w:ascii="Arial" w:hAnsi="Arial" w:cs="Arial" w:eastAsia="Arial" w:hint="default"/>
          <w:spacing w:val="-7"/>
        </w:rPr>
        <w:t> </w:t>
      </w:r>
      <w:r>
        <w:rPr/>
        <w:t>万份股票期权。</w:t>
      </w:r>
    </w:p>
    <w:p>
      <w:pPr>
        <w:spacing w:after="0" w:line="240" w:lineRule="auto"/>
        <w:jc w:val="left"/>
        <w:sectPr>
          <w:footerReference w:type="default" r:id="rId24"/>
          <w:pgSz w:w="11910" w:h="16840"/>
          <w:pgMar w:footer="1010" w:header="0" w:top="1140" w:bottom="1200" w:left="980" w:right="900"/>
        </w:sectPr>
      </w:pPr>
    </w:p>
    <w:p>
      <w:pPr>
        <w:spacing w:line="240" w:lineRule="auto" w:before="1"/>
        <w:rPr>
          <w:rFonts w:ascii="宋体" w:hAnsi="宋体" w:cs="宋体" w:eastAsia="宋体" w:hint="default"/>
          <w:sz w:val="20"/>
          <w:szCs w:val="20"/>
        </w:rPr>
      </w:pPr>
    </w:p>
    <w:p>
      <w:pPr>
        <w:pStyle w:val="BodyText"/>
        <w:spacing w:line="302" w:lineRule="auto" w:before="26"/>
        <w:ind w:right="232" w:firstLine="480"/>
        <w:jc w:val="both"/>
      </w:pPr>
      <w:r>
        <w:rPr>
          <w:rFonts w:ascii="Arial" w:hAnsi="Arial" w:cs="Arial" w:eastAsia="Arial" w:hint="default"/>
        </w:rPr>
        <w:t>2014 </w:t>
      </w:r>
      <w:r>
        <w:rPr/>
        <w:t>年 </w:t>
      </w:r>
      <w:r>
        <w:rPr>
          <w:rFonts w:ascii="Arial" w:hAnsi="Arial" w:cs="Arial" w:eastAsia="Arial" w:hint="default"/>
        </w:rPr>
        <w:t>10 </w:t>
      </w:r>
      <w:r>
        <w:rPr/>
        <w:t>月 </w:t>
      </w:r>
      <w:r>
        <w:rPr>
          <w:rFonts w:ascii="Arial" w:hAnsi="Arial" w:cs="Arial" w:eastAsia="Arial" w:hint="default"/>
        </w:rPr>
        <w:t>16</w:t>
      </w:r>
      <w:r>
        <w:rPr>
          <w:rFonts w:ascii="Arial" w:hAnsi="Arial" w:cs="Arial" w:eastAsia="Arial" w:hint="default"/>
          <w:spacing w:val="-39"/>
        </w:rPr>
        <w:t> </w:t>
      </w:r>
      <w:r>
        <w:rPr/>
        <w:t>日，第五届董事会第十五次会议审议通过了《关于公司股票期权激励 计划首次授予期权第二个行权期及预留期权第一个行权期可行权的议案》。根据《上市公司</w:t>
      </w:r>
      <w:r>
        <w:rPr>
          <w:spacing w:val="-91"/>
        </w:rPr>
        <w:t> </w:t>
      </w:r>
      <w:r>
        <w:rPr>
          <w:spacing w:val="-91"/>
        </w:rPr>
      </w:r>
      <w:r>
        <w:rPr>
          <w:spacing w:val="2"/>
        </w:rPr>
        <w:t>股权激励管理办法</w:t>
      </w:r>
      <w:r>
        <w:rPr>
          <w:rFonts w:ascii="Arial" w:hAnsi="Arial" w:cs="Arial" w:eastAsia="Arial" w:hint="default"/>
          <w:spacing w:val="2"/>
        </w:rPr>
        <w:t>(</w:t>
      </w:r>
      <w:r>
        <w:rPr>
          <w:spacing w:val="2"/>
        </w:rPr>
        <w:t>试行</w:t>
      </w:r>
      <w:r>
        <w:rPr>
          <w:rFonts w:ascii="Arial" w:hAnsi="Arial" w:cs="Arial" w:eastAsia="Arial" w:hint="default"/>
          <w:spacing w:val="2"/>
        </w:rPr>
        <w:t>)</w:t>
      </w:r>
      <w:r>
        <w:rPr>
          <w:spacing w:val="2"/>
        </w:rPr>
        <w:t>》、《股权激励备忘录》及公司《股票期权激励计划（草案）》、</w:t>
      </w:r>
    </w:p>
    <w:p>
      <w:pPr>
        <w:pStyle w:val="BodyText"/>
        <w:spacing w:line="304" w:lineRule="auto" w:before="4"/>
        <w:ind w:right="231"/>
        <w:jc w:val="both"/>
      </w:pPr>
      <w:r>
        <w:rPr>
          <w:spacing w:val="6"/>
        </w:rPr>
        <w:t>《股票期权激励计划实施考核办法》的有关规定以及董事会薪酬与考核委员会对激励对象</w:t>
      </w:r>
      <w:r>
        <w:rPr>
          <w:spacing w:val="-84"/>
        </w:rPr>
        <w:t> </w:t>
      </w:r>
      <w:r>
        <w:rPr>
          <w:spacing w:val="-84"/>
        </w:rPr>
      </w:r>
      <w:r>
        <w:rPr>
          <w:rFonts w:ascii="Arial" w:hAnsi="Arial" w:cs="Arial" w:eastAsia="Arial" w:hint="default"/>
        </w:rPr>
        <w:t>2013</w:t>
      </w:r>
      <w:r>
        <w:rPr>
          <w:rFonts w:ascii="Arial" w:hAnsi="Arial" w:cs="Arial" w:eastAsia="Arial" w:hint="default"/>
          <w:spacing w:val="62"/>
        </w:rPr>
        <w:t> </w:t>
      </w:r>
      <w:r>
        <w:rPr>
          <w:spacing w:val="2"/>
        </w:rPr>
        <w:t>年度业绩考核情况的核实，股票期权激励计划首次授予股票期权第二个行权期及预留</w:t>
      </w:r>
      <w:r>
        <w:rPr/>
        <w:t> 期权第一个行权期行权条件已经满足，同意以定向发行公司股票的方式给予首次授予股票期</w:t>
      </w:r>
      <w:r>
        <w:rPr>
          <w:spacing w:val="-91"/>
        </w:rPr>
        <w:t> </w:t>
      </w:r>
      <w:r>
        <w:rPr>
          <w:spacing w:val="-91"/>
        </w:rPr>
      </w:r>
      <w:r>
        <w:rPr/>
        <w:t>权的 </w:t>
      </w:r>
      <w:r>
        <w:rPr>
          <w:rFonts w:ascii="Arial" w:hAnsi="Arial" w:cs="Arial" w:eastAsia="Arial" w:hint="default"/>
        </w:rPr>
        <w:t>193  </w:t>
      </w:r>
      <w:r>
        <w:rPr/>
        <w:t>名激励对象（调整后）在第二个行权期内可行权股票期权共 </w:t>
      </w:r>
      <w:r>
        <w:rPr>
          <w:rFonts w:ascii="Arial" w:hAnsi="Arial" w:cs="Arial" w:eastAsia="Arial" w:hint="default"/>
        </w:rPr>
        <w:t>151.5</w:t>
      </w:r>
      <w:r>
        <w:rPr>
          <w:rFonts w:ascii="Arial" w:hAnsi="Arial" w:cs="Arial" w:eastAsia="Arial" w:hint="default"/>
          <w:spacing w:val="31"/>
        </w:rPr>
        <w:t> </w:t>
      </w:r>
      <w:r>
        <w:rPr/>
        <w:t>万份，行权价</w:t>
      </w:r>
    </w:p>
    <w:p>
      <w:pPr>
        <w:pStyle w:val="BodyText"/>
        <w:spacing w:line="240" w:lineRule="auto" w:before="2"/>
        <w:ind w:right="0"/>
        <w:jc w:val="both"/>
      </w:pPr>
      <w:r>
        <w:rPr/>
        <w:t>格为 </w:t>
      </w:r>
      <w:r>
        <w:rPr>
          <w:rFonts w:ascii="Arial" w:hAnsi="Arial" w:cs="Arial" w:eastAsia="Arial" w:hint="default"/>
        </w:rPr>
        <w:t>16.37  </w:t>
      </w:r>
      <w:r>
        <w:rPr/>
        <w:t>元；同意以定向发行公司股票的方式给予预留期权的 </w:t>
      </w:r>
      <w:r>
        <w:rPr>
          <w:rFonts w:ascii="Arial" w:hAnsi="Arial" w:cs="Arial" w:eastAsia="Arial" w:hint="default"/>
        </w:rPr>
        <w:t>41</w:t>
      </w:r>
      <w:r>
        <w:rPr>
          <w:rFonts w:ascii="Arial" w:hAnsi="Arial" w:cs="Arial" w:eastAsia="Arial" w:hint="default"/>
          <w:spacing w:val="47"/>
        </w:rPr>
        <w:t> </w:t>
      </w:r>
      <w:r>
        <w:rPr/>
        <w:t>名激励对象（调整后）</w:t>
      </w:r>
    </w:p>
    <w:p>
      <w:pPr>
        <w:pStyle w:val="BodyText"/>
        <w:spacing w:line="292" w:lineRule="auto" w:before="75"/>
        <w:ind w:right="231"/>
        <w:jc w:val="both"/>
      </w:pPr>
      <w:r>
        <w:rPr/>
        <w:t>在第一个行权期内可行权股票期权共计 </w:t>
      </w:r>
      <w:r>
        <w:rPr>
          <w:rFonts w:ascii="Arial" w:hAnsi="Arial" w:cs="Arial" w:eastAsia="Arial" w:hint="default"/>
        </w:rPr>
        <w:t>10.4 </w:t>
      </w:r>
      <w:r>
        <w:rPr/>
        <w:t>万份，行权价格为 </w:t>
      </w:r>
      <w:r>
        <w:rPr>
          <w:rFonts w:ascii="Arial" w:hAnsi="Arial" w:cs="Arial" w:eastAsia="Arial" w:hint="default"/>
        </w:rPr>
        <w:t>19.92</w:t>
      </w:r>
      <w:r>
        <w:rPr>
          <w:rFonts w:ascii="Arial" w:hAnsi="Arial" w:cs="Arial" w:eastAsia="Arial" w:hint="default"/>
          <w:spacing w:val="-33"/>
        </w:rPr>
        <w:t> </w:t>
      </w:r>
      <w:r>
        <w:rPr/>
        <w:t>元。股票期权激励计 划首次授予期权第二个行权期及预留期权第一个行权期拟采用自主行权模式。</w:t>
      </w:r>
    </w:p>
    <w:p>
      <w:pPr>
        <w:spacing w:line="240" w:lineRule="auto" w:before="4"/>
        <w:rPr>
          <w:rFonts w:ascii="宋体" w:hAnsi="宋体" w:cs="宋体" w:eastAsia="宋体" w:hint="default"/>
          <w:sz w:val="29"/>
          <w:szCs w:val="29"/>
        </w:rPr>
      </w:pPr>
    </w:p>
    <w:tbl>
      <w:tblPr>
        <w:tblW w:w="0" w:type="auto"/>
        <w:jc w:val="left"/>
        <w:tblInd w:w="143" w:type="dxa"/>
        <w:tblLayout w:type="fixed"/>
        <w:tblCellMar>
          <w:top w:w="0" w:type="dxa"/>
          <w:left w:w="0" w:type="dxa"/>
          <w:bottom w:w="0" w:type="dxa"/>
          <w:right w:w="0" w:type="dxa"/>
        </w:tblCellMar>
        <w:tblLook w:val="01E0"/>
      </w:tblPr>
      <w:tblGrid>
        <w:gridCol w:w="7513"/>
        <w:gridCol w:w="1136"/>
        <w:gridCol w:w="991"/>
      </w:tblGrid>
      <w:tr>
        <w:trPr>
          <w:trHeight w:val="662" w:hRule="exact"/>
        </w:trPr>
        <w:tc>
          <w:tcPr>
            <w:tcW w:w="75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b/>
                <w:bCs/>
                <w:sz w:val="21"/>
                <w:szCs w:val="21"/>
              </w:rPr>
              <w:t>临时公告名称</w:t>
            </w:r>
            <w:r>
              <w:rPr>
                <w:rFonts w:ascii="宋体" w:hAnsi="宋体" w:cs="宋体" w:eastAsia="宋体" w:hint="default"/>
                <w:sz w:val="21"/>
                <w:szCs w:val="21"/>
              </w:rPr>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36" w:right="134"/>
              <w:jc w:val="left"/>
              <w:rPr>
                <w:rFonts w:ascii="宋体" w:hAnsi="宋体" w:cs="宋体" w:eastAsia="宋体" w:hint="default"/>
                <w:sz w:val="21"/>
                <w:szCs w:val="21"/>
              </w:rPr>
            </w:pPr>
            <w:r>
              <w:rPr>
                <w:rFonts w:ascii="宋体" w:hAnsi="宋体" w:cs="宋体" w:eastAsia="宋体" w:hint="default"/>
                <w:b/>
                <w:bCs/>
                <w:sz w:val="21"/>
                <w:szCs w:val="21"/>
              </w:rPr>
              <w:t>临时公告</w:t>
            </w:r>
            <w:r>
              <w:rPr>
                <w:rFonts w:ascii="宋体" w:hAnsi="宋体" w:cs="宋体" w:eastAsia="宋体" w:hint="default"/>
                <w:b/>
                <w:bCs/>
                <w:w w:val="100"/>
                <w:sz w:val="21"/>
                <w:szCs w:val="21"/>
              </w:rPr>
              <w:t> </w:t>
            </w:r>
            <w:r>
              <w:rPr>
                <w:rFonts w:ascii="宋体" w:hAnsi="宋体" w:cs="宋体" w:eastAsia="宋体" w:hint="default"/>
                <w:b/>
                <w:bCs/>
                <w:sz w:val="21"/>
                <w:szCs w:val="21"/>
              </w:rPr>
              <w:t>披露日期</w:t>
            </w:r>
            <w:r>
              <w:rPr>
                <w:rFonts w:ascii="宋体" w:hAnsi="宋体" w:cs="宋体" w:eastAsia="宋体" w:hint="default"/>
                <w:sz w:val="21"/>
                <w:szCs w:val="21"/>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67" w:right="59"/>
              <w:jc w:val="left"/>
              <w:rPr>
                <w:rFonts w:ascii="宋体" w:hAnsi="宋体" w:cs="宋体" w:eastAsia="宋体" w:hint="default"/>
                <w:sz w:val="21"/>
                <w:szCs w:val="21"/>
              </w:rPr>
            </w:pPr>
            <w:r>
              <w:rPr>
                <w:rFonts w:ascii="宋体" w:hAnsi="宋体" w:cs="宋体" w:eastAsia="宋体" w:hint="default"/>
                <w:b/>
                <w:bCs/>
                <w:sz w:val="21"/>
                <w:szCs w:val="21"/>
              </w:rPr>
              <w:t>临时公告</w:t>
            </w:r>
            <w:r>
              <w:rPr>
                <w:rFonts w:ascii="宋体" w:hAnsi="宋体" w:cs="宋体" w:eastAsia="宋体" w:hint="default"/>
                <w:b/>
                <w:bCs/>
                <w:w w:val="100"/>
                <w:sz w:val="21"/>
                <w:szCs w:val="21"/>
              </w:rPr>
              <w:t> </w:t>
            </w:r>
            <w:r>
              <w:rPr>
                <w:rFonts w:ascii="宋体" w:hAnsi="宋体" w:cs="宋体" w:eastAsia="宋体" w:hint="default"/>
                <w:b/>
                <w:bCs/>
                <w:sz w:val="21"/>
                <w:szCs w:val="21"/>
              </w:rPr>
              <w:t>披露索引</w:t>
            </w:r>
            <w:r>
              <w:rPr>
                <w:rFonts w:ascii="宋体" w:hAnsi="宋体" w:cs="宋体" w:eastAsia="宋体" w:hint="default"/>
                <w:sz w:val="21"/>
                <w:szCs w:val="21"/>
              </w:rPr>
            </w:r>
          </w:p>
        </w:tc>
      </w:tr>
      <w:tr>
        <w:trPr>
          <w:trHeight w:val="1289" w:hRule="exact"/>
        </w:trPr>
        <w:tc>
          <w:tcPr>
            <w:tcW w:w="751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 w:right="-7"/>
              <w:jc w:val="both"/>
              <w:rPr>
                <w:rFonts w:ascii="宋体" w:hAnsi="宋体" w:cs="宋体" w:eastAsia="宋体" w:hint="default"/>
                <w:sz w:val="21"/>
                <w:szCs w:val="21"/>
              </w:rPr>
            </w:pPr>
            <w:r>
              <w:rPr>
                <w:rFonts w:ascii="宋体" w:hAnsi="宋体" w:cs="宋体" w:eastAsia="宋体" w:hint="default"/>
                <w:spacing w:val="2"/>
                <w:sz w:val="21"/>
                <w:szCs w:val="21"/>
              </w:rPr>
              <w:t>《北京市伟拓律师事务所关于公司股票期权激励计划之行权价格调整的法律意见</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书》、《关于调整股票期权激励计划行权价格的公告》、《第五届董事会第九次会</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议决议公告》、《第五届监事会第八次会议决议公告》、《独立董事对相关事项的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独立意见》</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1" w:right="0"/>
              <w:jc w:val="left"/>
              <w:rPr>
                <w:rFonts w:ascii="宋体" w:hAnsi="宋体" w:cs="宋体" w:eastAsia="宋体" w:hint="default"/>
                <w:sz w:val="21"/>
                <w:szCs w:val="21"/>
              </w:rPr>
            </w:pPr>
            <w:r>
              <w:rPr>
                <w:rFonts w:ascii="Arial" w:hAnsi="Arial" w:cs="Arial" w:eastAsia="Arial" w:hint="default"/>
                <w:sz w:val="21"/>
                <w:szCs w:val="21"/>
              </w:rPr>
              <w:t>2014</w:t>
            </w:r>
            <w:r>
              <w:rPr>
                <w:rFonts w:ascii="宋体" w:hAnsi="宋体" w:cs="宋体" w:eastAsia="宋体" w:hint="default"/>
                <w:sz w:val="21"/>
                <w:szCs w:val="21"/>
              </w:rPr>
              <w:t>年</w:t>
            </w:r>
          </w:p>
          <w:p>
            <w:pPr>
              <w:pStyle w:val="TableParagraph"/>
              <w:spacing w:line="240" w:lineRule="auto" w:before="22"/>
              <w:ind w:left="172" w:right="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月</w:t>
            </w:r>
            <w:r>
              <w:rPr>
                <w:rFonts w:ascii="Arial" w:hAnsi="Arial" w:cs="Arial" w:eastAsia="Arial" w:hint="default"/>
                <w:sz w:val="21"/>
                <w:szCs w:val="21"/>
              </w:rPr>
              <w:t>14</w:t>
            </w:r>
            <w:r>
              <w:rPr>
                <w:rFonts w:ascii="宋体" w:hAnsi="宋体" w:cs="宋体" w:eastAsia="宋体" w:hint="default"/>
                <w:sz w:val="21"/>
                <w:szCs w:val="21"/>
              </w:rPr>
              <w:t>日</w:t>
            </w:r>
          </w:p>
        </w:tc>
        <w:tc>
          <w:tcPr>
            <w:tcW w:w="99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09" w:lineRule="auto" w:before="140"/>
              <w:ind w:left="62" w:right="1" w:hanging="53"/>
              <w:jc w:val="left"/>
              <w:rPr>
                <w:rFonts w:ascii="Arial" w:hAnsi="Arial" w:cs="Arial" w:eastAsia="Arial" w:hint="default"/>
                <w:sz w:val="21"/>
                <w:szCs w:val="21"/>
              </w:rPr>
            </w:pPr>
            <w:r>
              <w:rPr>
                <w:rFonts w:ascii="Arial"/>
                <w:sz w:val="21"/>
              </w:rPr>
              <w:t>www.cninf</w:t>
            </w:r>
            <w:r>
              <w:rPr>
                <w:rFonts w:ascii="Arial"/>
                <w:w w:val="100"/>
                <w:sz w:val="21"/>
              </w:rPr>
              <w:t> </w:t>
            </w:r>
            <w:r>
              <w:rPr>
                <w:rFonts w:ascii="Arial"/>
                <w:sz w:val="21"/>
              </w:rPr>
              <w:t>o.com.cn</w:t>
            </w:r>
          </w:p>
        </w:tc>
      </w:tr>
      <w:tr>
        <w:trPr>
          <w:trHeight w:val="3161" w:hRule="exact"/>
        </w:trPr>
        <w:tc>
          <w:tcPr>
            <w:tcW w:w="7513" w:type="dxa"/>
            <w:tcBorders>
              <w:top w:val="single" w:sz="8" w:space="0" w:color="000000"/>
              <w:left w:val="single" w:sz="8" w:space="0" w:color="000000"/>
              <w:bottom w:val="single" w:sz="8" w:space="0" w:color="000000"/>
              <w:right w:val="single" w:sz="8" w:space="0" w:color="000000"/>
            </w:tcBorders>
          </w:tcPr>
          <w:p>
            <w:pPr>
              <w:pStyle w:val="TableParagraph"/>
              <w:spacing w:line="268" w:lineRule="auto"/>
              <w:ind w:left="2" w:right="-8"/>
              <w:jc w:val="both"/>
              <w:rPr>
                <w:rFonts w:ascii="宋体" w:hAnsi="宋体" w:cs="宋体" w:eastAsia="宋体" w:hint="default"/>
                <w:sz w:val="21"/>
                <w:szCs w:val="21"/>
              </w:rPr>
            </w:pPr>
            <w:r>
              <w:rPr>
                <w:rFonts w:ascii="宋体" w:hAnsi="宋体" w:cs="宋体" w:eastAsia="宋体" w:hint="default"/>
                <w:spacing w:val="2"/>
                <w:sz w:val="21"/>
                <w:szCs w:val="21"/>
              </w:rPr>
              <w:t>《北京市伟拓律师事务所关于公司股票期权激励计划首次授予期权第二个行权期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及预留期权第一个行权期的行权事项的法律意见书》、《北京市伟拓律师事务所关</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于公司股票期权激励计划所涉激励对象、期权数量调整并对部分已授予股票期权进</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行注销的法律意见书》、《第五届董事会第十五次会议决议公告》、《第五届监事</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会第十三次会议决议公告》、《独立董事关于股票期权激励计划相关事项的独立意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见》、《股票期权激励计划首次授予对象名单（</w:t>
            </w:r>
            <w:r>
              <w:rPr>
                <w:rFonts w:ascii="Arial" w:hAnsi="Arial" w:cs="Arial" w:eastAsia="Arial" w:hint="default"/>
                <w:sz w:val="21"/>
                <w:szCs w:val="21"/>
              </w:rPr>
              <w:t>2014</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月调整）》、《股票期</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权激励计划预留期权对象名单（</w:t>
            </w:r>
            <w:r>
              <w:rPr>
                <w:rFonts w:ascii="Arial" w:hAnsi="Arial" w:cs="Arial" w:eastAsia="Arial" w:hint="default"/>
                <w:sz w:val="21"/>
                <w:szCs w:val="21"/>
              </w:rPr>
              <w:t>2014</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月调整）》、《关于公司股票期权激励</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计划首次授予期权第二个行权期及预留期权第一个行权期可行权的公告》、《关于</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股票期权激励计划所涉激励对象、期权数量调整并对部分已授予股票期权进行注销</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的公告》</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 w:right="0"/>
              <w:jc w:val="center"/>
              <w:rPr>
                <w:rFonts w:ascii="宋体" w:hAnsi="宋体" w:cs="宋体" w:eastAsia="宋体" w:hint="default"/>
                <w:sz w:val="21"/>
                <w:szCs w:val="21"/>
              </w:rPr>
            </w:pPr>
            <w:r>
              <w:rPr>
                <w:rFonts w:ascii="Arial" w:hAnsi="Arial" w:cs="Arial" w:eastAsia="Arial" w:hint="default"/>
                <w:sz w:val="21"/>
                <w:szCs w:val="21"/>
              </w:rPr>
              <w:t>2014</w:t>
            </w:r>
            <w:r>
              <w:rPr>
                <w:rFonts w:ascii="宋体" w:hAnsi="宋体" w:cs="宋体" w:eastAsia="宋体" w:hint="default"/>
                <w:sz w:val="21"/>
                <w:szCs w:val="21"/>
              </w:rPr>
              <w:t>年</w:t>
            </w:r>
          </w:p>
          <w:p>
            <w:pPr>
              <w:pStyle w:val="TableParagraph"/>
              <w:spacing w:line="240" w:lineRule="auto" w:before="22"/>
              <w:ind w:left="4" w:right="0"/>
              <w:jc w:val="center"/>
              <w:rPr>
                <w:rFonts w:ascii="宋体" w:hAnsi="宋体" w:cs="宋体" w:eastAsia="宋体" w:hint="default"/>
                <w:sz w:val="21"/>
                <w:szCs w:val="21"/>
              </w:rPr>
            </w:pP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20</w:t>
            </w:r>
            <w:r>
              <w:rPr>
                <w:rFonts w:ascii="宋体" w:hAnsi="宋体" w:cs="宋体" w:eastAsia="宋体" w:hint="default"/>
                <w:sz w:val="21"/>
                <w:szCs w:val="21"/>
              </w:rPr>
              <w:t>日</w:t>
            </w:r>
          </w:p>
        </w:tc>
        <w:tc>
          <w:tcPr>
            <w:tcW w:w="991" w:type="dxa"/>
            <w:vMerge/>
            <w:tcBorders>
              <w:left w:val="single" w:sz="8" w:space="0" w:color="000000"/>
              <w:right w:val="single" w:sz="8" w:space="0" w:color="000000"/>
            </w:tcBorders>
          </w:tcPr>
          <w:p>
            <w:pPr/>
          </w:p>
        </w:tc>
      </w:tr>
      <w:tr>
        <w:trPr>
          <w:trHeight w:val="663" w:hRule="exact"/>
        </w:trPr>
        <w:tc>
          <w:tcPr>
            <w:tcW w:w="75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2" w:right="0"/>
              <w:jc w:val="left"/>
              <w:rPr>
                <w:rFonts w:ascii="宋体" w:hAnsi="宋体" w:cs="宋体" w:eastAsia="宋体" w:hint="default"/>
                <w:sz w:val="21"/>
                <w:szCs w:val="21"/>
              </w:rPr>
            </w:pPr>
            <w:r>
              <w:rPr>
                <w:rFonts w:ascii="宋体" w:hAnsi="宋体" w:cs="宋体" w:eastAsia="宋体" w:hint="default"/>
                <w:sz w:val="21"/>
                <w:szCs w:val="21"/>
              </w:rPr>
              <w:t>《关于部分已授予股票期权注销完成的公告》</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5" w:right="0"/>
              <w:jc w:val="center"/>
              <w:rPr>
                <w:rFonts w:ascii="宋体" w:hAnsi="宋体" w:cs="宋体" w:eastAsia="宋体" w:hint="default"/>
                <w:sz w:val="21"/>
                <w:szCs w:val="21"/>
              </w:rPr>
            </w:pPr>
            <w:r>
              <w:rPr>
                <w:rFonts w:ascii="Arial" w:hAnsi="Arial" w:cs="Arial" w:eastAsia="Arial" w:hint="default"/>
                <w:sz w:val="21"/>
                <w:szCs w:val="21"/>
              </w:rPr>
              <w:t>2014</w:t>
            </w:r>
            <w:r>
              <w:rPr>
                <w:rFonts w:ascii="宋体" w:hAnsi="宋体" w:cs="宋体" w:eastAsia="宋体" w:hint="default"/>
                <w:sz w:val="21"/>
                <w:szCs w:val="21"/>
              </w:rPr>
              <w:t>年</w:t>
            </w:r>
          </w:p>
          <w:p>
            <w:pPr>
              <w:pStyle w:val="TableParagraph"/>
              <w:spacing w:line="240" w:lineRule="auto" w:before="23"/>
              <w:ind w:left="4" w:right="0"/>
              <w:jc w:val="center"/>
              <w:rPr>
                <w:rFonts w:ascii="宋体" w:hAnsi="宋体" w:cs="宋体" w:eastAsia="宋体" w:hint="default"/>
                <w:sz w:val="21"/>
                <w:szCs w:val="21"/>
              </w:rPr>
            </w:pP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24</w:t>
            </w:r>
            <w:r>
              <w:rPr>
                <w:rFonts w:ascii="宋体" w:hAnsi="宋体" w:cs="宋体" w:eastAsia="宋体" w:hint="default"/>
                <w:sz w:val="21"/>
                <w:szCs w:val="21"/>
              </w:rPr>
              <w:t>日</w:t>
            </w:r>
          </w:p>
        </w:tc>
        <w:tc>
          <w:tcPr>
            <w:tcW w:w="991" w:type="dxa"/>
            <w:vMerge/>
            <w:tcBorders>
              <w:left w:val="single" w:sz="8" w:space="0" w:color="000000"/>
              <w:right w:val="single" w:sz="8" w:space="0" w:color="000000"/>
            </w:tcBorders>
          </w:tcPr>
          <w:p>
            <w:pPr/>
          </w:p>
        </w:tc>
      </w:tr>
      <w:tr>
        <w:trPr>
          <w:trHeight w:val="977" w:hRule="exact"/>
        </w:trPr>
        <w:tc>
          <w:tcPr>
            <w:tcW w:w="751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 w:right="-7"/>
              <w:jc w:val="both"/>
              <w:rPr>
                <w:rFonts w:ascii="宋体" w:hAnsi="宋体" w:cs="宋体" w:eastAsia="宋体" w:hint="default"/>
                <w:sz w:val="21"/>
                <w:szCs w:val="21"/>
              </w:rPr>
            </w:pPr>
            <w:r>
              <w:rPr>
                <w:rFonts w:ascii="宋体" w:hAnsi="宋体" w:cs="宋体" w:eastAsia="宋体" w:hint="default"/>
                <w:spacing w:val="2"/>
                <w:sz w:val="21"/>
                <w:szCs w:val="21"/>
              </w:rPr>
              <w:t>《关于股票期权激励计划首次授予期权第二个行权期采用自主行权模式的提示性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公告》、《关于股票期权激励计划预留期权第一个行权期采用自主行权模式的提示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性公告》</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Arial" w:hAnsi="Arial" w:cs="Arial" w:eastAsia="Arial" w:hint="default"/>
                <w:sz w:val="21"/>
                <w:szCs w:val="21"/>
              </w:rPr>
              <w:t>2014</w:t>
            </w:r>
            <w:r>
              <w:rPr>
                <w:rFonts w:ascii="宋体" w:hAnsi="宋体" w:cs="宋体" w:eastAsia="宋体" w:hint="default"/>
                <w:sz w:val="21"/>
                <w:szCs w:val="21"/>
              </w:rPr>
              <w:t>年</w:t>
            </w:r>
          </w:p>
          <w:p>
            <w:pPr>
              <w:pStyle w:val="TableParagraph"/>
              <w:spacing w:line="240" w:lineRule="auto" w:before="22"/>
              <w:ind w:left="4" w:right="0"/>
              <w:jc w:val="center"/>
              <w:rPr>
                <w:rFonts w:ascii="宋体" w:hAnsi="宋体" w:cs="宋体" w:eastAsia="宋体" w:hint="default"/>
                <w:sz w:val="21"/>
                <w:szCs w:val="21"/>
              </w:rPr>
            </w:pP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30</w:t>
            </w:r>
            <w:r>
              <w:rPr>
                <w:rFonts w:ascii="宋体" w:hAnsi="宋体" w:cs="宋体" w:eastAsia="宋体" w:hint="default"/>
                <w:sz w:val="21"/>
                <w:szCs w:val="21"/>
              </w:rPr>
              <w:t>日</w:t>
            </w:r>
          </w:p>
        </w:tc>
        <w:tc>
          <w:tcPr>
            <w:tcW w:w="991" w:type="dxa"/>
            <w:vMerge/>
            <w:tcBorders>
              <w:left w:val="single" w:sz="8" w:space="0" w:color="000000"/>
              <w:bottom w:val="single" w:sz="8" w:space="0" w:color="000000"/>
              <w:right w:val="single" w:sz="8" w:space="0" w:color="000000"/>
            </w:tcBorders>
          </w:tcPr>
          <w:p>
            <w:pPr/>
          </w:p>
        </w:tc>
      </w:tr>
    </w:tbl>
    <w:p>
      <w:pPr>
        <w:spacing w:line="240" w:lineRule="auto" w:before="7"/>
        <w:rPr>
          <w:rFonts w:ascii="宋体" w:hAnsi="宋体" w:cs="宋体" w:eastAsia="宋体" w:hint="default"/>
          <w:sz w:val="21"/>
          <w:szCs w:val="21"/>
        </w:rPr>
      </w:pPr>
    </w:p>
    <w:p>
      <w:pPr>
        <w:pStyle w:val="Heading3"/>
        <w:spacing w:line="240" w:lineRule="auto" w:before="26"/>
        <w:ind w:right="99"/>
        <w:jc w:val="left"/>
        <w:rPr>
          <w:b w:val="0"/>
          <w:bCs w:val="0"/>
        </w:rPr>
      </w:pPr>
      <w:r>
        <w:rPr/>
        <w:t>六、重大关联交易</w:t>
      </w:r>
      <w:r>
        <w:rPr>
          <w:b w:val="0"/>
          <w:bCs w:val="0"/>
        </w:rPr>
      </w:r>
    </w:p>
    <w:p>
      <w:pPr>
        <w:spacing w:line="240" w:lineRule="auto" w:before="12"/>
        <w:rPr>
          <w:rFonts w:ascii="宋体" w:hAnsi="宋体" w:cs="宋体" w:eastAsia="宋体" w:hint="default"/>
          <w:b/>
          <w:bCs/>
          <w:sz w:val="29"/>
          <w:szCs w:val="29"/>
        </w:rPr>
      </w:pPr>
    </w:p>
    <w:p>
      <w:pPr>
        <w:pStyle w:val="Heading3"/>
        <w:spacing w:line="240" w:lineRule="auto"/>
        <w:ind w:right="99"/>
        <w:jc w:val="left"/>
        <w:rPr>
          <w:b w:val="0"/>
          <w:bCs w:val="0"/>
        </w:rPr>
      </w:pPr>
      <w:r>
        <w:rPr>
          <w:rFonts w:ascii="Arial" w:hAnsi="Arial" w:cs="Arial" w:eastAsia="Arial" w:hint="default"/>
        </w:rPr>
        <w:t>1</w:t>
      </w:r>
      <w:r>
        <w:rPr/>
        <w:t>、与日常经营相关的关联交易</w:t>
      </w:r>
      <w:r>
        <w:rPr>
          <w:b w:val="0"/>
          <w:bCs w:val="0"/>
        </w:rPr>
      </w:r>
    </w:p>
    <w:p>
      <w:pPr>
        <w:spacing w:line="240" w:lineRule="auto" w:before="8"/>
        <w:rPr>
          <w:rFonts w:ascii="宋体" w:hAnsi="宋体" w:cs="宋体" w:eastAsia="宋体" w:hint="default"/>
          <w:b/>
          <w:bCs/>
          <w:sz w:val="28"/>
          <w:szCs w:val="28"/>
        </w:rPr>
      </w:pPr>
    </w:p>
    <w:p>
      <w:pPr>
        <w:pStyle w:val="BodyText"/>
        <w:spacing w:line="324" w:lineRule="auto"/>
        <w:ind w:right="48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公司报告期未发生与日常经营相关的关联交易。</w:t>
      </w:r>
    </w:p>
    <w:p>
      <w:pPr>
        <w:spacing w:after="0" w:line="324" w:lineRule="auto"/>
        <w:jc w:val="left"/>
        <w:sectPr>
          <w:footerReference w:type="default" r:id="rId25"/>
          <w:pgSz w:w="11910" w:h="16840"/>
          <w:pgMar w:footer="1010" w:header="0" w:top="1140" w:bottom="1200" w:left="980" w:right="900"/>
          <w:pgNumType w:start="41"/>
        </w:sectPr>
      </w:pPr>
    </w:p>
    <w:p>
      <w:pPr>
        <w:spacing w:line="240" w:lineRule="auto" w:before="4"/>
        <w:rPr>
          <w:rFonts w:ascii="宋体" w:hAnsi="宋体" w:cs="宋体" w:eastAsia="宋体" w:hint="default"/>
          <w:sz w:val="20"/>
          <w:szCs w:val="20"/>
        </w:rPr>
      </w:pPr>
    </w:p>
    <w:p>
      <w:pPr>
        <w:pStyle w:val="Heading3"/>
        <w:spacing w:line="240" w:lineRule="auto" w:before="26"/>
        <w:ind w:right="0"/>
        <w:jc w:val="left"/>
        <w:rPr>
          <w:b w:val="0"/>
          <w:bCs w:val="0"/>
        </w:rPr>
      </w:pPr>
      <w:r>
        <w:rPr>
          <w:rFonts w:ascii="Arial" w:hAnsi="Arial" w:cs="Arial" w:eastAsia="Arial" w:hint="default"/>
        </w:rPr>
        <w:t>2</w:t>
      </w:r>
      <w:r>
        <w:rPr/>
        <w:t>、资产收购、出售发生的关联交易</w:t>
      </w:r>
      <w:r>
        <w:rPr>
          <w:b w:val="0"/>
          <w:bCs w:val="0"/>
        </w:rPr>
      </w:r>
    </w:p>
    <w:p>
      <w:pPr>
        <w:spacing w:line="240" w:lineRule="auto" w:before="6"/>
        <w:rPr>
          <w:rFonts w:ascii="宋体" w:hAnsi="宋体" w:cs="宋体" w:eastAsia="宋体" w:hint="default"/>
          <w:b/>
          <w:bCs/>
          <w:sz w:val="28"/>
          <w:szCs w:val="28"/>
        </w:rPr>
      </w:pPr>
    </w:p>
    <w:p>
      <w:pPr>
        <w:pStyle w:val="BodyText"/>
        <w:spacing w:line="324" w:lineRule="auto"/>
        <w:ind w:right="47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公司报告期未发生资产收购、出售的关联交易。</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3</w:t>
      </w:r>
      <w:r>
        <w:rPr/>
        <w:t>、共同对外投资的重大关联交易</w:t>
      </w:r>
      <w:r>
        <w:rPr>
          <w:b w:val="0"/>
          <w:bCs w:val="0"/>
        </w:rPr>
      </w:r>
    </w:p>
    <w:p>
      <w:pPr>
        <w:spacing w:line="240" w:lineRule="auto" w:before="8"/>
        <w:rPr>
          <w:rFonts w:ascii="宋体" w:hAnsi="宋体" w:cs="宋体" w:eastAsia="宋体" w:hint="default"/>
          <w:b/>
          <w:bCs/>
          <w:sz w:val="28"/>
          <w:szCs w:val="28"/>
        </w:rPr>
      </w:pPr>
    </w:p>
    <w:p>
      <w:pPr>
        <w:pStyle w:val="BodyText"/>
        <w:spacing w:line="321" w:lineRule="auto"/>
        <w:ind w:right="44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公司报告期未发生共同对外投资的重大关联交易。</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4</w:t>
      </w:r>
      <w:r>
        <w:rPr/>
        <w:t>、关联债权债务往来</w:t>
      </w:r>
      <w:r>
        <w:rPr>
          <w:b w:val="0"/>
          <w:bCs w:val="0"/>
        </w:rPr>
      </w:r>
    </w:p>
    <w:p>
      <w:pPr>
        <w:spacing w:line="240" w:lineRule="auto" w:before="6"/>
        <w:rPr>
          <w:rFonts w:ascii="宋体" w:hAnsi="宋体" w:cs="宋体" w:eastAsia="宋体" w:hint="default"/>
          <w:b/>
          <w:bCs/>
          <w:sz w:val="28"/>
          <w:szCs w:val="28"/>
        </w:rPr>
      </w:pPr>
    </w:p>
    <w:p>
      <w:pPr>
        <w:pStyle w:val="BodyText"/>
        <w:spacing w:line="324" w:lineRule="auto"/>
        <w:ind w:right="56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公司报告期不存在关联债权债务往来。</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5</w:t>
      </w:r>
      <w:r>
        <w:rPr/>
        <w:t>、其他重大关联交易</w:t>
      </w:r>
      <w:r>
        <w:rPr>
          <w:b w:val="0"/>
          <w:bCs w:val="0"/>
        </w:rPr>
      </w:r>
    </w:p>
    <w:p>
      <w:pPr>
        <w:spacing w:line="240" w:lineRule="auto" w:before="6"/>
        <w:rPr>
          <w:rFonts w:ascii="宋体" w:hAnsi="宋体" w:cs="宋体" w:eastAsia="宋体" w:hint="default"/>
          <w:b/>
          <w:bCs/>
          <w:sz w:val="28"/>
          <w:szCs w:val="28"/>
        </w:rPr>
      </w:pPr>
    </w:p>
    <w:p>
      <w:pPr>
        <w:pStyle w:val="BodyText"/>
        <w:spacing w:line="324" w:lineRule="auto"/>
        <w:ind w:right="6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公司报告期无其他重大关联交易。</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9"/>
          <w:szCs w:val="29"/>
        </w:rPr>
      </w:pPr>
    </w:p>
    <w:p>
      <w:pPr>
        <w:pStyle w:val="Heading3"/>
        <w:spacing w:line="240" w:lineRule="auto"/>
        <w:ind w:right="0"/>
        <w:jc w:val="left"/>
        <w:rPr>
          <w:b w:val="0"/>
          <w:bCs w:val="0"/>
        </w:rPr>
      </w:pPr>
      <w:r>
        <w:rPr>
          <w:rFonts w:ascii="Arial" w:hAnsi="Arial" w:cs="Arial" w:eastAsia="Arial" w:hint="default"/>
        </w:rPr>
        <w:t>1</w:t>
      </w:r>
      <w:r>
        <w:rPr/>
        <w:t>、托管、承包、租赁事项情况</w:t>
      </w:r>
      <w:r>
        <w:rPr>
          <w:b w:val="0"/>
          <w:bCs w:val="0"/>
        </w:rPr>
      </w:r>
    </w:p>
    <w:p>
      <w:pPr>
        <w:spacing w:line="240" w:lineRule="auto" w:before="8"/>
        <w:rPr>
          <w:rFonts w:ascii="宋体" w:hAnsi="宋体" w:cs="宋体" w:eastAsia="宋体" w:hint="default"/>
          <w:b/>
          <w:bCs/>
          <w:sz w:val="28"/>
          <w:szCs w:val="28"/>
        </w:rPr>
      </w:pPr>
    </w:p>
    <w:p>
      <w:pPr>
        <w:pStyle w:val="Heading3"/>
        <w:spacing w:line="240" w:lineRule="auto"/>
        <w:ind w:right="0"/>
        <w:jc w:val="left"/>
        <w:rPr>
          <w:b w:val="0"/>
          <w:bCs w:val="0"/>
        </w:rPr>
      </w:pPr>
      <w:r>
        <w:rPr/>
        <w:t>（</w:t>
      </w:r>
      <w:r>
        <w:rPr>
          <w:rFonts w:ascii="Arial" w:hAnsi="Arial" w:cs="Arial" w:eastAsia="Arial" w:hint="default"/>
        </w:rPr>
        <w:t>1</w:t>
      </w:r>
      <w:r>
        <w:rPr/>
        <w:t>）托管情况</w:t>
      </w:r>
      <w:r>
        <w:rPr>
          <w:b w:val="0"/>
          <w:bCs w:val="0"/>
        </w:rPr>
      </w:r>
    </w:p>
    <w:p>
      <w:pPr>
        <w:spacing w:line="240" w:lineRule="auto" w:before="8"/>
        <w:rPr>
          <w:rFonts w:ascii="宋体" w:hAnsi="宋体" w:cs="宋体" w:eastAsia="宋体" w:hint="default"/>
          <w:b/>
          <w:bCs/>
          <w:sz w:val="28"/>
          <w:szCs w:val="28"/>
        </w:rPr>
      </w:pPr>
    </w:p>
    <w:p>
      <w:pPr>
        <w:pStyle w:val="BodyText"/>
        <w:spacing w:line="321" w:lineRule="auto"/>
        <w:ind w:right="66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公司报告期不存在托管情况。</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r>
        <w:rPr/>
        <w:t>（</w:t>
      </w:r>
      <w:r>
        <w:rPr>
          <w:rFonts w:ascii="Arial" w:hAnsi="Arial" w:cs="Arial" w:eastAsia="Arial" w:hint="default"/>
        </w:rPr>
        <w:t>2</w:t>
      </w:r>
      <w:r>
        <w:rPr/>
        <w:t>）承包情况</w:t>
      </w:r>
      <w:r>
        <w:rPr>
          <w:b w:val="0"/>
          <w:bCs w:val="0"/>
        </w:rPr>
      </w:r>
    </w:p>
    <w:p>
      <w:pPr>
        <w:spacing w:line="240" w:lineRule="auto" w:before="6"/>
        <w:rPr>
          <w:rFonts w:ascii="宋体" w:hAnsi="宋体" w:cs="宋体" w:eastAsia="宋体" w:hint="default"/>
          <w:b/>
          <w:bCs/>
          <w:sz w:val="28"/>
          <w:szCs w:val="28"/>
        </w:rPr>
      </w:pPr>
    </w:p>
    <w:p>
      <w:pPr>
        <w:pStyle w:val="BodyText"/>
        <w:spacing w:line="324" w:lineRule="auto"/>
        <w:ind w:right="66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公司报告期不存在承包情况。</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w:t>
      </w:r>
      <w:r>
        <w:rPr>
          <w:rFonts w:ascii="Arial" w:hAnsi="Arial" w:cs="Arial" w:eastAsia="Arial" w:hint="default"/>
        </w:rPr>
        <w:t>3</w:t>
      </w:r>
      <w:r>
        <w:rPr/>
        <w:t>）租赁情况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0" w:footer="1010" w:top="1140" w:bottom="1200" w:left="980" w:right="980"/>
        </w:sectPr>
      </w:pPr>
    </w:p>
    <w:p>
      <w:pPr>
        <w:spacing w:line="240" w:lineRule="auto" w:before="1"/>
        <w:rPr>
          <w:rFonts w:ascii="宋体" w:hAnsi="宋体" w:cs="宋体" w:eastAsia="宋体" w:hint="default"/>
          <w:sz w:val="20"/>
          <w:szCs w:val="20"/>
        </w:rPr>
      </w:pPr>
    </w:p>
    <w:p>
      <w:pPr>
        <w:pStyle w:val="BodyText"/>
        <w:spacing w:line="240" w:lineRule="auto" w:before="26"/>
        <w:ind w:right="0"/>
        <w:jc w:val="left"/>
      </w:pPr>
      <w:r>
        <w:rPr/>
        <w:t>公司报告期不存在租赁情况。</w:t>
      </w:r>
    </w:p>
    <w:p>
      <w:pPr>
        <w:spacing w:line="240" w:lineRule="auto" w:before="1"/>
        <w:rPr>
          <w:rFonts w:ascii="宋体" w:hAnsi="宋体" w:cs="宋体" w:eastAsia="宋体" w:hint="default"/>
          <w:sz w:val="30"/>
          <w:szCs w:val="30"/>
        </w:rPr>
      </w:pPr>
    </w:p>
    <w:p>
      <w:pPr>
        <w:pStyle w:val="Heading3"/>
        <w:spacing w:line="240" w:lineRule="auto"/>
        <w:ind w:right="0"/>
        <w:jc w:val="left"/>
        <w:rPr>
          <w:b w:val="0"/>
          <w:bCs w:val="0"/>
        </w:rPr>
      </w:pPr>
      <w:r>
        <w:rPr>
          <w:rFonts w:ascii="Arial" w:hAnsi="Arial" w:cs="Arial" w:eastAsia="Arial" w:hint="default"/>
        </w:rPr>
        <w:t>2</w:t>
      </w:r>
      <w:r>
        <w:rPr/>
        <w:t>、担保情况</w:t>
      </w:r>
      <w:r>
        <w:rPr>
          <w:b w:val="0"/>
          <w:bCs w:val="0"/>
        </w:rPr>
      </w:r>
    </w:p>
    <w:p>
      <w:pPr>
        <w:spacing w:line="240" w:lineRule="auto" w:before="6"/>
        <w:rPr>
          <w:rFonts w:ascii="宋体" w:hAnsi="宋体" w:cs="宋体" w:eastAsia="宋体" w:hint="default"/>
          <w:b/>
          <w:bCs/>
          <w:sz w:val="28"/>
          <w:szCs w:val="28"/>
        </w:rPr>
      </w:pPr>
    </w:p>
    <w:p>
      <w:pPr>
        <w:pStyle w:val="BodyText"/>
        <w:spacing w:line="324" w:lineRule="auto"/>
        <w:ind w:right="65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公司报告期不存在担保情况。</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3</w:t>
      </w:r>
      <w:r>
        <w:rPr/>
        <w:t>、委托理财、衍生品投资和委托贷款情况</w:t>
      </w:r>
      <w:r>
        <w:rPr>
          <w:b w:val="0"/>
          <w:bCs w:val="0"/>
        </w:rPr>
      </w:r>
    </w:p>
    <w:p>
      <w:pPr>
        <w:spacing w:line="240" w:lineRule="auto" w:before="9"/>
        <w:rPr>
          <w:rFonts w:ascii="宋体" w:hAnsi="宋体" w:cs="宋体" w:eastAsia="宋体" w:hint="default"/>
          <w:b/>
          <w:bCs/>
          <w:sz w:val="28"/>
          <w:szCs w:val="28"/>
        </w:rPr>
      </w:pPr>
    </w:p>
    <w:p>
      <w:pPr>
        <w:pStyle w:val="Heading3"/>
        <w:spacing w:line="240" w:lineRule="auto"/>
        <w:ind w:right="0"/>
        <w:jc w:val="left"/>
        <w:rPr>
          <w:b w:val="0"/>
          <w:bCs w:val="0"/>
        </w:rPr>
      </w:pPr>
      <w:r>
        <w:rPr/>
        <w:t>（</w:t>
      </w:r>
      <w:r>
        <w:rPr>
          <w:rFonts w:ascii="Arial" w:hAnsi="Arial" w:cs="Arial" w:eastAsia="Arial" w:hint="default"/>
        </w:rPr>
        <w:t>1</w:t>
      </w:r>
      <w:r>
        <w:rPr/>
        <w:t>）委托理财情况</w:t>
      </w:r>
      <w:r>
        <w:rPr>
          <w:b w:val="0"/>
          <w:bCs w:val="0"/>
        </w:rPr>
      </w:r>
    </w:p>
    <w:p>
      <w:pPr>
        <w:spacing w:line="240" w:lineRule="auto" w:before="8"/>
        <w:rPr>
          <w:rFonts w:ascii="宋体" w:hAnsi="宋体" w:cs="宋体" w:eastAsia="宋体" w:hint="default"/>
          <w:b/>
          <w:bCs/>
          <w:sz w:val="28"/>
          <w:szCs w:val="28"/>
        </w:rPr>
      </w:pPr>
    </w:p>
    <w:p>
      <w:pPr>
        <w:pStyle w:val="BodyText"/>
        <w:spacing w:line="321" w:lineRule="auto"/>
        <w:ind w:right="66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公司报告期不存在委托理财。</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r>
        <w:rPr/>
        <w:t>（</w:t>
      </w:r>
      <w:r>
        <w:rPr>
          <w:rFonts w:ascii="Arial" w:hAnsi="Arial" w:cs="Arial" w:eastAsia="Arial" w:hint="default"/>
        </w:rPr>
        <w:t>2</w:t>
      </w:r>
      <w:r>
        <w:rPr/>
        <w:t>）衍生品投资情况</w:t>
      </w:r>
      <w:r>
        <w:rPr>
          <w:b w:val="0"/>
          <w:bCs w:val="0"/>
        </w:rPr>
      </w:r>
    </w:p>
    <w:p>
      <w:pPr>
        <w:spacing w:line="240" w:lineRule="auto" w:before="6"/>
        <w:rPr>
          <w:rFonts w:ascii="宋体" w:hAnsi="宋体" w:cs="宋体" w:eastAsia="宋体" w:hint="default"/>
          <w:b/>
          <w:bCs/>
          <w:sz w:val="28"/>
          <w:szCs w:val="28"/>
        </w:rPr>
      </w:pPr>
    </w:p>
    <w:p>
      <w:pPr>
        <w:pStyle w:val="BodyText"/>
        <w:spacing w:line="324" w:lineRule="auto"/>
        <w:ind w:right="64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公司报告期不存在衍生品投资。</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w:t>
      </w:r>
      <w:r>
        <w:rPr>
          <w:rFonts w:ascii="Arial" w:hAnsi="Arial" w:cs="Arial" w:eastAsia="Arial" w:hint="default"/>
        </w:rPr>
        <w:t>3</w:t>
      </w:r>
      <w:r>
        <w:rPr/>
        <w:t>）委托贷款情况</w:t>
      </w:r>
      <w:r>
        <w:rPr>
          <w:b w:val="0"/>
          <w:bCs w:val="0"/>
        </w:rPr>
      </w:r>
    </w:p>
    <w:p>
      <w:pPr>
        <w:spacing w:line="240" w:lineRule="auto" w:before="6"/>
        <w:rPr>
          <w:rFonts w:ascii="宋体" w:hAnsi="宋体" w:cs="宋体" w:eastAsia="宋体" w:hint="default"/>
          <w:b/>
          <w:bCs/>
          <w:sz w:val="28"/>
          <w:szCs w:val="28"/>
        </w:rPr>
      </w:pPr>
    </w:p>
    <w:p>
      <w:pPr>
        <w:pStyle w:val="BodyText"/>
        <w:spacing w:line="324" w:lineRule="auto"/>
        <w:ind w:right="66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公司报告期不存在委托贷款。</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4</w:t>
      </w:r>
      <w:r>
        <w:rPr/>
        <w:t>、其他重大合同</w:t>
      </w:r>
      <w:r>
        <w:rPr>
          <w:b w:val="0"/>
          <w:bCs w:val="0"/>
        </w:rPr>
      </w:r>
    </w:p>
    <w:p>
      <w:pPr>
        <w:spacing w:line="240" w:lineRule="auto" w:before="8"/>
        <w:rPr>
          <w:rFonts w:ascii="宋体" w:hAnsi="宋体" w:cs="宋体" w:eastAsia="宋体" w:hint="default"/>
          <w:b/>
          <w:bCs/>
          <w:sz w:val="28"/>
          <w:szCs w:val="28"/>
        </w:rPr>
      </w:pPr>
    </w:p>
    <w:p>
      <w:pPr>
        <w:pStyle w:val="BodyText"/>
        <w:spacing w:line="321" w:lineRule="auto"/>
        <w:ind w:right="6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公司报告期不存在其他重大合同。</w:t>
      </w:r>
    </w:p>
    <w:p>
      <w:pPr>
        <w:spacing w:after="0" w:line="321" w:lineRule="auto"/>
        <w:jc w:val="left"/>
        <w:sectPr>
          <w:pgSz w:w="11910" w:h="16840"/>
          <w:pgMar w:header="0" w:footer="1010" w:top="1140" w:bottom="1200" w:left="980" w:right="980"/>
        </w:sectPr>
      </w:pPr>
    </w:p>
    <w:p>
      <w:pPr>
        <w:spacing w:line="240" w:lineRule="auto" w:before="1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4"/>
          <w:szCs w:val="14"/>
        </w:rPr>
      </w:pPr>
    </w:p>
    <w:p>
      <w:pPr>
        <w:pStyle w:val="Heading3"/>
        <w:spacing w:line="240" w:lineRule="auto" w:before="26"/>
        <w:ind w:left="140"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5"/>
          <w:sz w:val="21"/>
          <w:szCs w:val="21"/>
        </w:rPr>
        <w:t> </w:t>
      </w:r>
      <w:r>
        <w:rPr>
          <w:rFonts w:ascii="Arial" w:hAnsi="Arial" w:cs="Arial" w:eastAsia="Arial"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702"/>
        <w:gridCol w:w="708"/>
        <w:gridCol w:w="8366"/>
        <w:gridCol w:w="1133"/>
        <w:gridCol w:w="1419"/>
        <w:gridCol w:w="1418"/>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5" w:right="0"/>
              <w:jc w:val="left"/>
              <w:rPr>
                <w:rFonts w:ascii="宋体" w:hAnsi="宋体" w:cs="宋体" w:eastAsia="宋体" w:hint="default"/>
                <w:sz w:val="21"/>
                <w:szCs w:val="21"/>
              </w:rPr>
            </w:pPr>
            <w:r>
              <w:rPr>
                <w:rFonts w:ascii="宋体" w:hAnsi="宋体" w:cs="宋体" w:eastAsia="宋体" w:hint="default"/>
                <w:sz w:val="21"/>
                <w:szCs w:val="21"/>
              </w:rPr>
              <w:t>承诺来源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8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359" w:hRule="exact"/>
        </w:trPr>
        <w:tc>
          <w:tcPr>
            <w:tcW w:w="170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4"/>
                <w:sz w:val="21"/>
                <w:szCs w:val="21"/>
              </w:rPr>
              <w:t>公司承诺本次激励对象行权资金以自筹方式解决，公司不提供任何形式的财务资助，也不为</w:t>
            </w:r>
          </w:p>
        </w:tc>
        <w:tc>
          <w:tcPr>
            <w:tcW w:w="1133"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其获得任何形式的财务资助提供任何形式的担保或承诺；公司持股</w:t>
            </w:r>
            <w:r>
              <w:rPr>
                <w:rFonts w:ascii="宋体" w:hAnsi="宋体" w:cs="宋体" w:eastAsia="宋体" w:hint="default"/>
                <w:spacing w:val="-2"/>
                <w:sz w:val="21"/>
                <w:szCs w:val="21"/>
              </w:rPr>
              <w:t> </w:t>
            </w:r>
            <w:r>
              <w:rPr>
                <w:rFonts w:ascii="Arial" w:hAnsi="Arial" w:cs="Arial" w:eastAsia="Arial" w:hint="default"/>
                <w:sz w:val="21"/>
                <w:szCs w:val="21"/>
              </w:rPr>
              <w:t>5%</w:t>
            </w:r>
            <w:r>
              <w:rPr>
                <w:rFonts w:ascii="宋体" w:hAnsi="宋体" w:cs="宋体" w:eastAsia="宋体" w:hint="default"/>
                <w:sz w:val="21"/>
                <w:szCs w:val="21"/>
              </w:rPr>
              <w:t>以上的主要股东或实</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4" w:right="0"/>
              <w:jc w:val="left"/>
              <w:rPr>
                <w:rFonts w:ascii="Arial" w:hAnsi="Arial" w:cs="Arial" w:eastAsia="Arial"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9</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截止报告期</w:t>
            </w:r>
          </w:p>
        </w:tc>
      </w:tr>
      <w:tr>
        <w:trPr>
          <w:trHeight w:val="931"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股权激励承诺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际控制人及其配偶与直系近亲属未参与本次激励计划；公司承诺本次股权激励计划（草案</w:t>
            </w:r>
          </w:p>
          <w:p>
            <w:pPr>
              <w:pStyle w:val="TableParagraph"/>
              <w:spacing w:line="259" w:lineRule="auto" w:before="37"/>
              <w:ind w:left="23" w:right="17"/>
              <w:jc w:val="left"/>
              <w:rPr>
                <w:rFonts w:ascii="宋体" w:hAnsi="宋体" w:cs="宋体" w:eastAsia="宋体" w:hint="default"/>
                <w:sz w:val="21"/>
                <w:szCs w:val="21"/>
              </w:rPr>
            </w:pPr>
            <w:r>
              <w:rPr>
                <w:rFonts w:ascii="宋体" w:hAnsi="宋体" w:cs="宋体" w:eastAsia="宋体" w:hint="default"/>
                <w:sz w:val="21"/>
                <w:szCs w:val="21"/>
              </w:rPr>
              <w:t>披露前</w:t>
            </w:r>
            <w:r>
              <w:rPr>
                <w:rFonts w:ascii="宋体" w:hAnsi="宋体" w:cs="宋体" w:eastAsia="宋体" w:hint="default"/>
                <w:spacing w:val="-60"/>
                <w:sz w:val="21"/>
                <w:szCs w:val="21"/>
              </w:rPr>
              <w:t> </w:t>
            </w:r>
            <w:r>
              <w:rPr>
                <w:rFonts w:ascii="Arial" w:hAnsi="Arial" w:cs="Arial" w:eastAsia="Arial" w:hint="default"/>
                <w:sz w:val="21"/>
                <w:szCs w:val="21"/>
              </w:rPr>
              <w:t>30</w:t>
            </w:r>
            <w:r>
              <w:rPr>
                <w:rFonts w:ascii="Arial" w:hAnsi="Arial" w:cs="Arial" w:eastAsia="Arial" w:hint="default"/>
                <w:spacing w:val="-15"/>
                <w:sz w:val="21"/>
                <w:szCs w:val="21"/>
              </w:rPr>
              <w:t> </w:t>
            </w:r>
            <w:r>
              <w:rPr>
                <w:rFonts w:ascii="宋体" w:hAnsi="宋体" w:cs="宋体" w:eastAsia="宋体" w:hint="default"/>
                <w:sz w:val="21"/>
                <w:szCs w:val="21"/>
              </w:rPr>
              <w:t>日内，未发生《上市公司信息披露管理办法》第三十条规定的重大事项，亦不存</w:t>
            </w:r>
            <w:r>
              <w:rPr>
                <w:rFonts w:ascii="宋体" w:hAnsi="宋体" w:cs="宋体" w:eastAsia="宋体" w:hint="default"/>
                <w:w w:val="100"/>
                <w:sz w:val="21"/>
                <w:szCs w:val="21"/>
              </w:rPr>
              <w:t> </w:t>
            </w:r>
            <w:r>
              <w:rPr>
                <w:rFonts w:ascii="宋体" w:hAnsi="宋体" w:cs="宋体" w:eastAsia="宋体" w:hint="default"/>
                <w:spacing w:val="-4"/>
                <w:sz w:val="21"/>
                <w:szCs w:val="21"/>
              </w:rPr>
              <w:t>在增发新股、资产注入、发行可转债等重大事项未实施完毕的情形；公司承诺自披露股权激</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30" w:lineRule="exact"/>
              <w:ind w:left="21" w:right="0"/>
              <w:jc w:val="left"/>
              <w:rPr>
                <w:rFonts w:ascii="Arial" w:hAnsi="Arial" w:cs="Arial" w:eastAsia="Arial" w:hint="default"/>
                <w:sz w:val="21"/>
                <w:szCs w:val="21"/>
              </w:rPr>
            </w:pPr>
            <w:r>
              <w:rPr>
                <w:rFonts w:ascii="Arial" w:hAnsi="Arial" w:cs="Arial" w:eastAsia="Arial" w:hint="default"/>
                <w:sz w:val="21"/>
                <w:szCs w:val="21"/>
              </w:rPr>
              <w:t>2012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05</w:t>
            </w:r>
            <w:r>
              <w:rPr>
                <w:rFonts w:ascii="Arial" w:hAnsi="Arial" w:cs="Arial" w:eastAsia="Arial" w:hint="default"/>
                <w:sz w:val="21"/>
                <w:szCs w:val="21"/>
              </w:rPr>
            </w:r>
          </w:p>
          <w:p>
            <w:pPr>
              <w:pStyle w:val="TableParagraph"/>
              <w:spacing w:line="240" w:lineRule="auto" w:before="22"/>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日至本次股权</w:t>
            </w:r>
          </w:p>
          <w:p>
            <w:pPr>
              <w:pStyle w:val="TableParagraph"/>
              <w:spacing w:line="273" w:lineRule="auto" w:before="37"/>
              <w:ind w:left="24" w:right="120"/>
              <w:jc w:val="left"/>
              <w:rPr>
                <w:rFonts w:ascii="宋体" w:hAnsi="宋体" w:cs="宋体" w:eastAsia="宋体" w:hint="default"/>
                <w:sz w:val="21"/>
                <w:szCs w:val="21"/>
              </w:rPr>
            </w:pPr>
            <w:r>
              <w:rPr>
                <w:rFonts w:ascii="宋体" w:hAnsi="宋体" w:cs="宋体" w:eastAsia="宋体" w:hint="default"/>
                <w:sz w:val="21"/>
                <w:szCs w:val="21"/>
              </w:rPr>
              <w:t>激励计划终止</w:t>
            </w:r>
            <w:r>
              <w:rPr>
                <w:rFonts w:ascii="宋体" w:hAnsi="宋体" w:cs="宋体" w:eastAsia="宋体" w:hint="default"/>
                <w:w w:val="100"/>
                <w:sz w:val="21"/>
                <w:szCs w:val="21"/>
              </w:rPr>
              <w:t> </w:t>
            </w:r>
            <w:r>
              <w:rPr>
                <w:rFonts w:ascii="宋体" w:hAnsi="宋体" w:cs="宋体" w:eastAsia="宋体" w:hint="default"/>
                <w:sz w:val="21"/>
                <w:szCs w:val="21"/>
              </w:rPr>
              <w:t>或有效期结</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末，公司遵守</w:t>
            </w:r>
          </w:p>
          <w:p>
            <w:pPr>
              <w:pStyle w:val="TableParagraph"/>
              <w:spacing w:line="273" w:lineRule="auto" w:before="37"/>
              <w:ind w:left="23" w:right="120"/>
              <w:jc w:val="left"/>
              <w:rPr>
                <w:rFonts w:ascii="宋体" w:hAnsi="宋体" w:cs="宋体" w:eastAsia="宋体" w:hint="default"/>
                <w:sz w:val="21"/>
                <w:szCs w:val="21"/>
              </w:rPr>
            </w:pPr>
            <w:r>
              <w:rPr>
                <w:rFonts w:ascii="宋体" w:hAnsi="宋体" w:cs="宋体" w:eastAsia="宋体" w:hint="default"/>
                <w:sz w:val="21"/>
                <w:szCs w:val="21"/>
              </w:rPr>
              <w:t>以上承诺，未</w:t>
            </w:r>
            <w:r>
              <w:rPr>
                <w:rFonts w:ascii="宋体" w:hAnsi="宋体" w:cs="宋体" w:eastAsia="宋体" w:hint="default"/>
                <w:w w:val="100"/>
                <w:sz w:val="21"/>
                <w:szCs w:val="21"/>
              </w:rPr>
              <w:t> </w:t>
            </w:r>
            <w:r>
              <w:rPr>
                <w:rFonts w:ascii="宋体" w:hAnsi="宋体" w:cs="宋体" w:eastAsia="宋体" w:hint="default"/>
                <w:sz w:val="21"/>
                <w:szCs w:val="21"/>
              </w:rPr>
              <w:t>有违反上述承</w:t>
            </w: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宋体" w:hAnsi="宋体" w:cs="宋体" w:eastAsia="宋体" w:hint="default"/>
                <w:sz w:val="21"/>
                <w:szCs w:val="21"/>
              </w:rPr>
              <w:t>励计划至股权激励计划经股东大会审议通过后</w:t>
            </w:r>
            <w:r>
              <w:rPr>
                <w:rFonts w:ascii="宋体" w:hAnsi="宋体" w:cs="宋体" w:eastAsia="宋体" w:hint="default"/>
                <w:spacing w:val="-55"/>
                <w:sz w:val="21"/>
                <w:szCs w:val="21"/>
              </w:rPr>
              <w:t> </w:t>
            </w:r>
            <w:r>
              <w:rPr>
                <w:rFonts w:ascii="Arial" w:hAnsi="Arial" w:cs="Arial" w:eastAsia="Arial" w:hint="default"/>
                <w:sz w:val="21"/>
                <w:szCs w:val="21"/>
              </w:rPr>
              <w:t>30</w:t>
            </w:r>
            <w:r>
              <w:rPr>
                <w:rFonts w:ascii="Arial" w:hAnsi="Arial" w:cs="Arial" w:eastAsia="Arial" w:hint="default"/>
                <w:spacing w:val="-10"/>
                <w:sz w:val="21"/>
                <w:szCs w:val="21"/>
              </w:rPr>
              <w:t> </w:t>
            </w:r>
            <w:r>
              <w:rPr>
                <w:rFonts w:ascii="宋体" w:hAnsi="宋体" w:cs="宋体" w:eastAsia="宋体" w:hint="default"/>
                <w:sz w:val="21"/>
                <w:szCs w:val="21"/>
              </w:rPr>
              <w:t>日内，公司不进行增发新股、资产注入、</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束。</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诺的情况。</w:t>
            </w:r>
          </w:p>
        </w:tc>
      </w:tr>
      <w:tr>
        <w:trPr>
          <w:trHeight w:val="352" w:hRule="exact"/>
        </w:trPr>
        <w:tc>
          <w:tcPr>
            <w:tcW w:w="170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36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发行可转债等重大事项。</w:t>
            </w:r>
          </w:p>
        </w:tc>
        <w:tc>
          <w:tcPr>
            <w:tcW w:w="1133"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收购报告书或权</w:t>
            </w:r>
          </w:p>
        </w:tc>
        <w:tc>
          <w:tcPr>
            <w:tcW w:w="708" w:type="dxa"/>
            <w:vMerge w:val="restart"/>
            <w:tcBorders>
              <w:top w:val="single" w:sz="4" w:space="0" w:color="000000"/>
              <w:left w:val="single" w:sz="4" w:space="0" w:color="000000"/>
              <w:right w:val="single" w:sz="4" w:space="0" w:color="000000"/>
            </w:tcBorders>
          </w:tcPr>
          <w:p>
            <w:pPr/>
          </w:p>
        </w:tc>
        <w:tc>
          <w:tcPr>
            <w:tcW w:w="8366"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益变动报告书中</w:t>
            </w:r>
          </w:p>
        </w:tc>
        <w:tc>
          <w:tcPr>
            <w:tcW w:w="708" w:type="dxa"/>
            <w:vMerge/>
            <w:tcBorders>
              <w:left w:val="single" w:sz="4" w:space="0" w:color="000000"/>
              <w:right w:val="single" w:sz="4" w:space="0" w:color="000000"/>
            </w:tcBorders>
          </w:tcPr>
          <w:p>
            <w:pPr/>
          </w:p>
        </w:tc>
        <w:tc>
          <w:tcPr>
            <w:tcW w:w="836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54" w:hRule="exact"/>
        </w:trPr>
        <w:tc>
          <w:tcPr>
            <w:tcW w:w="1702"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所作承诺</w:t>
            </w:r>
          </w:p>
        </w:tc>
        <w:tc>
          <w:tcPr>
            <w:tcW w:w="708" w:type="dxa"/>
            <w:vMerge/>
            <w:tcBorders>
              <w:left w:val="single" w:sz="4" w:space="0" w:color="000000"/>
              <w:bottom w:val="single" w:sz="4" w:space="0" w:color="000000"/>
              <w:right w:val="single" w:sz="4" w:space="0" w:color="000000"/>
            </w:tcBorders>
          </w:tcPr>
          <w:p>
            <w:pPr/>
          </w:p>
        </w:tc>
        <w:tc>
          <w:tcPr>
            <w:tcW w:w="836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399" w:hRule="exact"/>
        </w:trPr>
        <w:tc>
          <w:tcPr>
            <w:tcW w:w="170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马勤、</w:t>
            </w:r>
          </w:p>
        </w:tc>
        <w:tc>
          <w:tcPr>
            <w:tcW w:w="8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、业绩承诺</w:t>
            </w:r>
          </w:p>
        </w:tc>
        <w:tc>
          <w:tcPr>
            <w:tcW w:w="1133"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折哲</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根据公司与马勤、折哲民、诸越海、黄承芬、杨金萍、王德胜、郑凯、严峰、侯玉成、忻孝</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业绩承诺有效</w:t>
            </w: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宋体" w:hAnsi="宋体" w:cs="宋体" w:eastAsia="宋体" w:hint="default"/>
                <w:sz w:val="21"/>
                <w:szCs w:val="21"/>
              </w:rPr>
            </w:pPr>
            <w:r>
              <w:rPr>
                <w:rFonts w:ascii="宋体" w:hAnsi="宋体" w:cs="宋体" w:eastAsia="宋体" w:hint="default"/>
                <w:sz w:val="21"/>
                <w:szCs w:val="21"/>
              </w:rPr>
              <w:t>民、诸</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23" w:right="0"/>
              <w:jc w:val="left"/>
              <w:rPr>
                <w:rFonts w:ascii="Arial" w:hAnsi="Arial" w:cs="Arial" w:eastAsia="Arial" w:hint="default"/>
                <w:sz w:val="21"/>
                <w:szCs w:val="21"/>
              </w:rPr>
            </w:pPr>
            <w:r>
              <w:rPr>
                <w:rFonts w:ascii="宋体" w:hAnsi="宋体" w:cs="宋体" w:eastAsia="宋体" w:hint="default"/>
                <w:sz w:val="21"/>
                <w:szCs w:val="21"/>
              </w:rPr>
              <w:t>委、胡鸿轲共</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位交易对方于</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15</w:t>
            </w:r>
            <w:r>
              <w:rPr>
                <w:rFonts w:ascii="Arial" w:hAnsi="Arial" w:cs="Arial" w:eastAsia="Arial" w:hint="default"/>
                <w:spacing w:val="-8"/>
                <w:sz w:val="21"/>
                <w:szCs w:val="21"/>
              </w:rPr>
              <w:t> </w:t>
            </w:r>
            <w:r>
              <w:rPr>
                <w:rFonts w:ascii="宋体" w:hAnsi="宋体" w:cs="宋体" w:eastAsia="宋体" w:hint="default"/>
                <w:sz w:val="21"/>
                <w:szCs w:val="21"/>
              </w:rPr>
              <w:t>日签署的《盈利补偿协议》及</w:t>
            </w:r>
            <w:r>
              <w:rPr>
                <w:rFonts w:ascii="宋体" w:hAnsi="宋体" w:cs="宋体" w:eastAsia="宋体" w:hint="default"/>
                <w:spacing w:val="-56"/>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pacing w:val="-3"/>
                <w:sz w:val="21"/>
                <w:szCs w:val="21"/>
              </w:rPr>
              <w:t>11</w:t>
            </w:r>
            <w:r>
              <w:rPr>
                <w:rFonts w:ascii="Arial" w:hAnsi="Arial" w:cs="Arial" w:eastAsia="Arial" w:hint="default"/>
                <w:sz w:val="21"/>
                <w:szCs w:val="21"/>
              </w:rPr>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Arial" w:hAnsi="Arial" w:cs="Arial" w:eastAsia="Arial" w:hint="default"/>
                <w:sz w:val="21"/>
                <w:szCs w:val="21"/>
              </w:rPr>
            </w:pPr>
            <w:r>
              <w:rPr>
                <w:rFonts w:ascii="宋体" w:hAnsi="宋体" w:cs="宋体" w:eastAsia="宋体" w:hint="default"/>
                <w:sz w:val="21"/>
                <w:szCs w:val="21"/>
              </w:rPr>
              <w:t>期：</w:t>
            </w:r>
            <w:r>
              <w:rPr>
                <w:rFonts w:ascii="Arial" w:hAnsi="Arial" w:cs="Arial" w:eastAsia="Arial" w:hint="default"/>
                <w:sz w:val="21"/>
                <w:szCs w:val="21"/>
              </w:rPr>
              <w:t>2014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z w:val="21"/>
                <w:szCs w:val="21"/>
              </w:rPr>
              <w:t>9</w:t>
            </w: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宋体" w:hAnsi="宋体" w:cs="宋体" w:eastAsia="宋体" w:hint="default"/>
                <w:sz w:val="21"/>
                <w:szCs w:val="21"/>
              </w:rPr>
            </w:pPr>
            <w:r>
              <w:rPr>
                <w:rFonts w:ascii="宋体" w:hAnsi="宋体" w:cs="宋体" w:eastAsia="宋体" w:hint="default"/>
                <w:sz w:val="21"/>
                <w:szCs w:val="21"/>
              </w:rPr>
              <w:t>越海、</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pacing w:val="-6"/>
                <w:sz w:val="21"/>
                <w:szCs w:val="21"/>
              </w:rPr>
              <w:t>日签署的《盈利补偿协议之补充协议》，马勤等</w:t>
            </w:r>
            <w:r>
              <w:rPr>
                <w:rFonts w:ascii="宋体" w:hAnsi="宋体" w:cs="宋体" w:eastAsia="宋体" w:hint="default"/>
                <w:spacing w:val="-47"/>
                <w:sz w:val="21"/>
                <w:szCs w:val="21"/>
              </w:rPr>
              <w:t> </w:t>
            </w:r>
            <w:r>
              <w:rPr>
                <w:rFonts w:ascii="Arial" w:hAnsi="Arial" w:cs="Arial" w:eastAsia="Arial" w:hint="default"/>
                <w:sz w:val="21"/>
                <w:szCs w:val="21"/>
              </w:rPr>
              <w:t>11</w:t>
            </w:r>
            <w:r>
              <w:rPr>
                <w:rFonts w:ascii="Arial" w:hAnsi="Arial" w:cs="Arial" w:eastAsia="Arial" w:hint="default"/>
                <w:spacing w:val="-2"/>
                <w:sz w:val="21"/>
                <w:szCs w:val="21"/>
              </w:rPr>
              <w:t> </w:t>
            </w:r>
            <w:r>
              <w:rPr>
                <w:rFonts w:ascii="宋体" w:hAnsi="宋体" w:cs="宋体" w:eastAsia="宋体" w:hint="default"/>
                <w:sz w:val="21"/>
                <w:szCs w:val="21"/>
              </w:rPr>
              <w:t>位交易对方承诺浦东中软</w:t>
            </w:r>
            <w:r>
              <w:rPr>
                <w:rFonts w:ascii="宋体" w:hAnsi="宋体" w:cs="宋体" w:eastAsia="宋体" w:hint="default"/>
                <w:spacing w:val="-46"/>
                <w:sz w:val="21"/>
                <w:szCs w:val="21"/>
              </w:rPr>
              <w:t> </w:t>
            </w:r>
            <w:r>
              <w:rPr>
                <w:rFonts w:ascii="Arial" w:hAnsi="Arial" w:cs="Arial" w:eastAsia="Arial" w:hint="default"/>
                <w:sz w:val="21"/>
                <w:szCs w:val="21"/>
              </w:rPr>
              <w:t>2014 </w:t>
            </w:r>
            <w:r>
              <w:rPr>
                <w:rFonts w:ascii="宋体" w:hAnsi="宋体" w:cs="宋体" w:eastAsia="宋体" w:hint="default"/>
                <w:sz w:val="21"/>
                <w:szCs w:val="21"/>
              </w:rPr>
              <w:t>年</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15</w:t>
            </w:r>
            <w:r>
              <w:rPr>
                <w:rFonts w:ascii="Arial" w:hAnsi="Arial" w:cs="Arial" w:eastAsia="Arial" w:hint="default"/>
                <w:spacing w:val="-6"/>
                <w:sz w:val="21"/>
                <w:szCs w:val="21"/>
              </w:rPr>
              <w:t> </w:t>
            </w:r>
            <w:r>
              <w:rPr>
                <w:rFonts w:ascii="宋体" w:hAnsi="宋体" w:cs="宋体" w:eastAsia="宋体" w:hint="default"/>
                <w:sz w:val="21"/>
                <w:szCs w:val="21"/>
              </w:rPr>
              <w:t>日至</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截止报告期</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宋体" w:hAnsi="宋体" w:cs="宋体" w:eastAsia="宋体" w:hint="default"/>
                <w:sz w:val="21"/>
                <w:szCs w:val="21"/>
              </w:rPr>
            </w:pPr>
            <w:r>
              <w:rPr>
                <w:rFonts w:ascii="宋体" w:hAnsi="宋体" w:cs="宋体" w:eastAsia="宋体" w:hint="default"/>
                <w:sz w:val="21"/>
                <w:szCs w:val="21"/>
              </w:rPr>
              <w:t>黄承</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度、</w:t>
            </w:r>
            <w:r>
              <w:rPr>
                <w:rFonts w:ascii="Arial" w:hAnsi="Arial" w:cs="Arial" w:eastAsia="Arial" w:hint="default"/>
                <w:sz w:val="21"/>
                <w:szCs w:val="21"/>
              </w:rPr>
              <w:t>2015</w:t>
            </w:r>
            <w:r>
              <w:rPr>
                <w:rFonts w:ascii="Arial" w:hAnsi="Arial" w:cs="Arial" w:eastAsia="Arial" w:hint="default"/>
                <w:spacing w:val="-9"/>
                <w:sz w:val="21"/>
                <w:szCs w:val="21"/>
              </w:rPr>
              <w:t> </w:t>
            </w:r>
            <w:r>
              <w:rPr>
                <w:rFonts w:ascii="宋体" w:hAnsi="宋体" w:cs="宋体" w:eastAsia="宋体" w:hint="default"/>
                <w:sz w:val="21"/>
                <w:szCs w:val="21"/>
              </w:rPr>
              <w:t>年度和</w:t>
            </w:r>
            <w:r>
              <w:rPr>
                <w:rFonts w:ascii="宋体" w:hAnsi="宋体" w:cs="宋体" w:eastAsia="宋体" w:hint="default"/>
                <w:spacing w:val="-53"/>
                <w:sz w:val="21"/>
                <w:szCs w:val="21"/>
              </w:rPr>
              <w:t> </w:t>
            </w:r>
            <w:r>
              <w:rPr>
                <w:rFonts w:ascii="Arial" w:hAnsi="Arial" w:cs="Arial" w:eastAsia="Arial" w:hint="default"/>
                <w:sz w:val="21"/>
                <w:szCs w:val="21"/>
              </w:rPr>
              <w:t>2016</w:t>
            </w:r>
            <w:r>
              <w:rPr>
                <w:rFonts w:ascii="Arial" w:hAnsi="Arial" w:cs="Arial" w:eastAsia="Arial" w:hint="default"/>
                <w:spacing w:val="-9"/>
                <w:sz w:val="21"/>
                <w:szCs w:val="21"/>
              </w:rPr>
              <w:t> </w:t>
            </w:r>
            <w:r>
              <w:rPr>
                <w:rFonts w:ascii="宋体" w:hAnsi="宋体" w:cs="宋体" w:eastAsia="宋体" w:hint="default"/>
                <w:sz w:val="21"/>
                <w:szCs w:val="21"/>
              </w:rPr>
              <w:t>年度实现的扣除非经常性损益后归属于母公司所有者的净利润分别</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末，上述人员</w:t>
            </w:r>
          </w:p>
        </w:tc>
      </w:tr>
      <w:tr>
        <w:trPr>
          <w:trHeight w:val="323"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资产重组时所作</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宋体" w:hAnsi="宋体" w:cs="宋体" w:eastAsia="宋体" w:hint="default"/>
                <w:sz w:val="21"/>
                <w:szCs w:val="21"/>
              </w:rPr>
            </w:pPr>
            <w:r>
              <w:rPr>
                <w:rFonts w:ascii="宋体" w:hAnsi="宋体" w:cs="宋体" w:eastAsia="宋体" w:hint="default"/>
                <w:sz w:val="21"/>
                <w:szCs w:val="21"/>
              </w:rPr>
              <w:t>芬、杨</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23" w:right="-32"/>
              <w:jc w:val="left"/>
              <w:rPr>
                <w:rFonts w:ascii="宋体" w:hAnsi="宋体" w:cs="宋体" w:eastAsia="宋体" w:hint="default"/>
                <w:sz w:val="21"/>
                <w:szCs w:val="21"/>
              </w:rPr>
            </w:pPr>
            <w:r>
              <w:rPr>
                <w:rFonts w:ascii="宋体" w:hAnsi="宋体" w:cs="宋体" w:eastAsia="宋体" w:hint="default"/>
                <w:sz w:val="21"/>
                <w:szCs w:val="21"/>
              </w:rPr>
              <w:t>不低于</w:t>
            </w:r>
            <w:r>
              <w:rPr>
                <w:rFonts w:ascii="宋体" w:hAnsi="宋体" w:cs="宋体" w:eastAsia="宋体" w:hint="default"/>
                <w:spacing w:val="-47"/>
                <w:sz w:val="21"/>
                <w:szCs w:val="21"/>
              </w:rPr>
              <w:t> </w:t>
            </w:r>
            <w:r>
              <w:rPr>
                <w:rFonts w:ascii="Arial" w:hAnsi="Arial" w:cs="Arial" w:eastAsia="Arial" w:hint="default"/>
                <w:sz w:val="21"/>
                <w:szCs w:val="21"/>
              </w:rPr>
              <w:t>2,002.98</w:t>
            </w:r>
            <w:r>
              <w:rPr>
                <w:rFonts w:ascii="Arial" w:hAnsi="Arial" w:cs="Arial" w:eastAsia="Arial" w:hint="default"/>
                <w:spacing w:val="-2"/>
                <w:sz w:val="21"/>
                <w:szCs w:val="21"/>
              </w:rPr>
              <w:t> </w:t>
            </w:r>
            <w:r>
              <w:rPr>
                <w:rFonts w:ascii="宋体" w:hAnsi="宋体" w:cs="宋体" w:eastAsia="宋体" w:hint="default"/>
                <w:spacing w:val="-6"/>
                <w:sz w:val="21"/>
                <w:szCs w:val="21"/>
              </w:rPr>
              <w:t>万元、</w:t>
            </w:r>
            <w:r>
              <w:rPr>
                <w:rFonts w:ascii="Arial" w:hAnsi="Arial" w:cs="Arial" w:eastAsia="Arial" w:hint="default"/>
                <w:spacing w:val="-6"/>
                <w:sz w:val="21"/>
                <w:szCs w:val="21"/>
              </w:rPr>
              <w:t>2,208.39</w:t>
            </w:r>
            <w:r>
              <w:rPr>
                <w:rFonts w:ascii="Arial" w:hAnsi="Arial" w:cs="Arial" w:eastAsia="Arial" w:hint="default"/>
                <w:spacing w:val="-2"/>
                <w:sz w:val="21"/>
                <w:szCs w:val="21"/>
              </w:rPr>
              <w:t> </w:t>
            </w:r>
            <w:r>
              <w:rPr>
                <w:rFonts w:ascii="宋体" w:hAnsi="宋体" w:cs="宋体" w:eastAsia="宋体" w:hint="default"/>
                <w:sz w:val="21"/>
                <w:szCs w:val="21"/>
              </w:rPr>
              <w:t>万元和</w:t>
            </w:r>
            <w:r>
              <w:rPr>
                <w:rFonts w:ascii="宋体" w:hAnsi="宋体" w:cs="宋体" w:eastAsia="宋体" w:hint="default"/>
                <w:spacing w:val="-47"/>
                <w:sz w:val="21"/>
                <w:szCs w:val="21"/>
              </w:rPr>
              <w:t> </w:t>
            </w:r>
            <w:r>
              <w:rPr>
                <w:rFonts w:ascii="Arial" w:hAnsi="Arial" w:cs="Arial" w:eastAsia="Arial" w:hint="default"/>
                <w:sz w:val="21"/>
                <w:szCs w:val="21"/>
              </w:rPr>
              <w:t>2,429.74</w:t>
            </w:r>
            <w:r>
              <w:rPr>
                <w:rFonts w:ascii="Arial" w:hAnsi="Arial" w:cs="Arial" w:eastAsia="Arial" w:hint="default"/>
                <w:spacing w:val="-2"/>
                <w:sz w:val="21"/>
                <w:szCs w:val="21"/>
              </w:rPr>
              <w:t> </w:t>
            </w:r>
            <w:r>
              <w:rPr>
                <w:rFonts w:ascii="宋体" w:hAnsi="宋体" w:cs="宋体" w:eastAsia="宋体" w:hint="default"/>
                <w:spacing w:val="-10"/>
                <w:sz w:val="21"/>
                <w:szCs w:val="21"/>
              </w:rPr>
              <w:t>万元。马勤等</w:t>
            </w:r>
            <w:r>
              <w:rPr>
                <w:rFonts w:ascii="宋体" w:hAnsi="宋体" w:cs="宋体" w:eastAsia="宋体" w:hint="default"/>
                <w:spacing w:val="-47"/>
                <w:sz w:val="21"/>
                <w:szCs w:val="21"/>
              </w:rPr>
              <w:t> </w:t>
            </w:r>
            <w:r>
              <w:rPr>
                <w:rFonts w:ascii="Arial" w:hAnsi="Arial" w:cs="Arial" w:eastAsia="Arial" w:hint="default"/>
                <w:sz w:val="21"/>
                <w:szCs w:val="21"/>
              </w:rPr>
              <w:t>11 </w:t>
            </w:r>
            <w:r>
              <w:rPr>
                <w:rFonts w:ascii="宋体" w:hAnsi="宋体" w:cs="宋体" w:eastAsia="宋体" w:hint="default"/>
                <w:spacing w:val="-7"/>
                <w:sz w:val="21"/>
                <w:szCs w:val="21"/>
              </w:rPr>
              <w:t>位交易对方向公司承诺，</w:t>
            </w:r>
            <w:r>
              <w:rPr>
                <w:rFonts w:ascii="宋体" w:hAnsi="宋体" w:cs="宋体" w:eastAsia="宋体" w:hint="default"/>
                <w:sz w:val="21"/>
                <w:szCs w:val="21"/>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21" w:right="0"/>
              <w:jc w:val="left"/>
              <w:rPr>
                <w:rFonts w:ascii="Arial" w:hAnsi="Arial" w:cs="Arial" w:eastAsia="Arial" w:hint="default"/>
                <w:sz w:val="21"/>
                <w:szCs w:val="21"/>
              </w:rPr>
            </w:pPr>
            <w:r>
              <w:rPr>
                <w:rFonts w:ascii="Arial" w:hAnsi="Arial" w:cs="Arial" w:eastAsia="Arial" w:hint="default"/>
                <w:sz w:val="21"/>
                <w:szCs w:val="21"/>
              </w:rPr>
              <w:t>2014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9</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遵守以上承</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1" w:right="0"/>
              <w:jc w:val="left"/>
              <w:rPr>
                <w:rFonts w:ascii="宋体" w:hAnsi="宋体" w:cs="宋体" w:eastAsia="宋体" w:hint="default"/>
                <w:sz w:val="21"/>
                <w:szCs w:val="21"/>
              </w:rPr>
            </w:pPr>
            <w:r>
              <w:rPr>
                <w:rFonts w:ascii="宋体" w:hAnsi="宋体" w:cs="宋体" w:eastAsia="宋体" w:hint="default"/>
                <w:sz w:val="21"/>
                <w:szCs w:val="21"/>
              </w:rPr>
              <w:t>金萍、</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3" w:right="-32"/>
              <w:jc w:val="left"/>
              <w:rPr>
                <w:rFonts w:ascii="宋体" w:hAnsi="宋体" w:cs="宋体" w:eastAsia="宋体" w:hint="default"/>
                <w:sz w:val="21"/>
                <w:szCs w:val="21"/>
              </w:rPr>
            </w:pPr>
            <w:r>
              <w:rPr>
                <w:rFonts w:ascii="宋体" w:hAnsi="宋体" w:cs="宋体" w:eastAsia="宋体" w:hint="default"/>
                <w:spacing w:val="-3"/>
                <w:sz w:val="21"/>
                <w:szCs w:val="21"/>
              </w:rPr>
              <w:t>在浦东中软利润补偿年度内，每一会计年度的实际净利润应不低于相应年度的承诺净利润；</w:t>
            </w:r>
            <w:r>
              <w:rPr>
                <w:rFonts w:ascii="宋体" w:hAnsi="宋体" w:cs="宋体" w:eastAsia="宋体" w:hint="default"/>
                <w:sz w:val="21"/>
                <w:szCs w:val="21"/>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避免同业竞争</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z w:val="21"/>
                <w:szCs w:val="21"/>
              </w:rPr>
              <w:t>诺，未有违反</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1" w:right="0"/>
              <w:jc w:val="left"/>
              <w:rPr>
                <w:rFonts w:ascii="宋体" w:hAnsi="宋体" w:cs="宋体" w:eastAsia="宋体" w:hint="default"/>
                <w:sz w:val="21"/>
                <w:szCs w:val="21"/>
              </w:rPr>
            </w:pPr>
            <w:r>
              <w:rPr>
                <w:rFonts w:ascii="宋体" w:hAnsi="宋体" w:cs="宋体" w:eastAsia="宋体" w:hint="default"/>
                <w:sz w:val="21"/>
                <w:szCs w:val="21"/>
              </w:rPr>
              <w:t>王德</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3" w:right="0"/>
              <w:jc w:val="left"/>
              <w:rPr>
                <w:rFonts w:ascii="Arial" w:hAnsi="Arial" w:cs="Arial" w:eastAsia="Arial" w:hint="default"/>
                <w:sz w:val="21"/>
                <w:szCs w:val="21"/>
              </w:rPr>
            </w:pPr>
            <w:r>
              <w:rPr>
                <w:rFonts w:ascii="宋体" w:hAnsi="宋体" w:cs="宋体" w:eastAsia="宋体" w:hint="default"/>
                <w:spacing w:val="-2"/>
                <w:sz w:val="21"/>
                <w:szCs w:val="21"/>
              </w:rPr>
              <w:t>在每个利润补偿年度，如果浦东中软的实际净利润低于该年度的承诺净利润，由马勤等</w:t>
            </w:r>
            <w:r>
              <w:rPr>
                <w:rFonts w:ascii="宋体" w:hAnsi="宋体" w:cs="宋体" w:eastAsia="宋体" w:hint="default"/>
                <w:spacing w:val="20"/>
                <w:sz w:val="21"/>
                <w:szCs w:val="21"/>
              </w:rPr>
              <w:t> </w:t>
            </w:r>
            <w:r>
              <w:rPr>
                <w:rFonts w:ascii="Arial" w:hAnsi="Arial" w:cs="Arial" w:eastAsia="Arial" w:hint="default"/>
                <w:sz w:val="21"/>
                <w:szCs w:val="21"/>
              </w:rPr>
              <w:t>11</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承诺及规范和</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上述承诺的情</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1" w:right="0"/>
              <w:jc w:val="left"/>
              <w:rPr>
                <w:rFonts w:ascii="宋体" w:hAnsi="宋体" w:cs="宋体" w:eastAsia="宋体" w:hint="default"/>
                <w:sz w:val="21"/>
                <w:szCs w:val="21"/>
              </w:rPr>
            </w:pPr>
            <w:r>
              <w:rPr>
                <w:rFonts w:ascii="宋体" w:hAnsi="宋体" w:cs="宋体" w:eastAsia="宋体" w:hint="default"/>
                <w:sz w:val="21"/>
                <w:szCs w:val="21"/>
              </w:rPr>
              <w:t>胜、郑</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名交易对方以股份方式向上市公司补偿，如果以上</w:t>
            </w:r>
            <w:r>
              <w:rPr>
                <w:rFonts w:ascii="宋体" w:hAnsi="宋体" w:cs="宋体" w:eastAsia="宋体" w:hint="default"/>
                <w:spacing w:val="-64"/>
                <w:sz w:val="21"/>
                <w:szCs w:val="21"/>
              </w:rPr>
              <w:t> </w:t>
            </w:r>
            <w:r>
              <w:rPr>
                <w:rFonts w:ascii="Arial" w:hAnsi="Arial" w:cs="Arial" w:eastAsia="Arial" w:hint="default"/>
                <w:sz w:val="21"/>
                <w:szCs w:val="21"/>
              </w:rPr>
              <w:t>11</w:t>
            </w:r>
            <w:r>
              <w:rPr>
                <w:rFonts w:ascii="Arial" w:hAnsi="Arial" w:cs="Arial" w:eastAsia="Arial" w:hint="default"/>
                <w:spacing w:val="-15"/>
                <w:sz w:val="21"/>
                <w:szCs w:val="21"/>
              </w:rPr>
              <w:t> </w:t>
            </w:r>
            <w:r>
              <w:rPr>
                <w:rFonts w:ascii="宋体" w:hAnsi="宋体" w:cs="宋体" w:eastAsia="宋体" w:hint="default"/>
                <w:sz w:val="21"/>
                <w:szCs w:val="21"/>
              </w:rPr>
              <w:t>位自然人股东所持股份不足补偿，则</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减少关联交易</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z w:val="21"/>
                <w:szCs w:val="21"/>
              </w:rPr>
              <w:t>况。</w:t>
            </w:r>
          </w:p>
        </w:tc>
      </w:tr>
      <w:tr>
        <w:trPr>
          <w:trHeight w:val="322" w:hRule="exact"/>
        </w:trPr>
        <w:tc>
          <w:tcPr>
            <w:tcW w:w="170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1" w:right="0"/>
              <w:jc w:val="left"/>
              <w:rPr>
                <w:rFonts w:ascii="宋体" w:hAnsi="宋体" w:cs="宋体" w:eastAsia="宋体" w:hint="default"/>
                <w:sz w:val="21"/>
                <w:szCs w:val="21"/>
              </w:rPr>
            </w:pPr>
            <w:r>
              <w:rPr>
                <w:rFonts w:ascii="宋体" w:hAnsi="宋体" w:cs="宋体" w:eastAsia="宋体" w:hint="default"/>
                <w:sz w:val="21"/>
                <w:szCs w:val="21"/>
              </w:rPr>
              <w:t>凯、严</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z w:val="21"/>
                <w:szCs w:val="21"/>
              </w:rPr>
              <w:t>其应以现金方式补偿。</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承诺有效期：</w:t>
            </w:r>
          </w:p>
        </w:tc>
        <w:tc>
          <w:tcPr>
            <w:tcW w:w="1418"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702"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峰、侯</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9"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、关于避免同业竞争的承诺：</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418" w:type="dxa"/>
            <w:tcBorders>
              <w:top w:val="nil" w:sz="6" w:space="0" w:color="auto"/>
              <w:left w:val="single" w:sz="4" w:space="0" w:color="000000"/>
              <w:bottom w:val="nil" w:sz="6" w:space="0" w:color="auto"/>
              <w:right w:val="single" w:sz="4" w:space="0" w:color="000000"/>
            </w:tcBorders>
          </w:tcPr>
          <w:p>
            <w:pPr/>
          </w:p>
        </w:tc>
      </w:tr>
      <w:tr>
        <w:trPr>
          <w:trHeight w:val="361" w:hRule="exact"/>
        </w:trPr>
        <w:tc>
          <w:tcPr>
            <w:tcW w:w="170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7" w:lineRule="exact"/>
              <w:ind w:left="21" w:right="0"/>
              <w:jc w:val="left"/>
              <w:rPr>
                <w:rFonts w:ascii="宋体" w:hAnsi="宋体" w:cs="宋体" w:eastAsia="宋体" w:hint="default"/>
                <w:sz w:val="21"/>
                <w:szCs w:val="21"/>
              </w:rPr>
            </w:pPr>
            <w:r>
              <w:rPr>
                <w:rFonts w:ascii="宋体" w:hAnsi="宋体" w:cs="宋体" w:eastAsia="宋体" w:hint="default"/>
                <w:sz w:val="21"/>
                <w:szCs w:val="21"/>
              </w:rPr>
              <w:t>玉成、</w:t>
            </w:r>
          </w:p>
        </w:tc>
        <w:tc>
          <w:tcPr>
            <w:tcW w:w="8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21"/>
                <w:szCs w:val="21"/>
              </w:rPr>
            </w:pPr>
            <w:r>
              <w:rPr>
                <w:rFonts w:ascii="宋体" w:hAnsi="宋体" w:cs="宋体" w:eastAsia="宋体" w:hint="default"/>
                <w:spacing w:val="-4"/>
                <w:sz w:val="21"/>
                <w:szCs w:val="21"/>
              </w:rPr>
              <w:t>为了避免与华宇软件及标的资产之间产生同业竞争，维护华宇软件及其股东的合法权益，保</w:t>
            </w:r>
          </w:p>
        </w:tc>
        <w:tc>
          <w:tcPr>
            <w:tcW w:w="1133"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6"/>
          <w:footerReference w:type="default" r:id="rId27"/>
          <w:pgSz w:w="16840" w:h="11910" w:orient="landscape"/>
          <w:pgMar w:header="884" w:footer="1011" w:top="1100" w:bottom="1200" w:left="1300" w:right="540"/>
          <w:pgNumType w:start="44"/>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702"/>
        <w:gridCol w:w="708"/>
        <w:gridCol w:w="8366"/>
        <w:gridCol w:w="1133"/>
        <w:gridCol w:w="1419"/>
        <w:gridCol w:w="1418"/>
      </w:tblGrid>
      <w:tr>
        <w:trPr>
          <w:trHeight w:val="330" w:hRule="exact"/>
        </w:trPr>
        <w:tc>
          <w:tcPr>
            <w:tcW w:w="1702" w:type="dxa"/>
            <w:vMerge w:val="restart"/>
            <w:tcBorders>
              <w:top w:val="single" w:sz="10" w:space="0" w:color="000000"/>
              <w:left w:val="single" w:sz="4" w:space="0" w:color="000000"/>
              <w:right w:val="single" w:sz="4" w:space="0" w:color="000000"/>
            </w:tcBorders>
          </w:tcPr>
          <w:p>
            <w:pPr/>
          </w:p>
        </w:tc>
        <w:tc>
          <w:tcPr>
            <w:tcW w:w="708" w:type="dxa"/>
            <w:tcBorders>
              <w:top w:val="single" w:sz="10" w:space="0" w:color="000000"/>
              <w:left w:val="single" w:sz="4" w:space="0" w:color="000000"/>
              <w:bottom w:val="nil" w:sz="6" w:space="0" w:color="auto"/>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宋体" w:hAnsi="宋体" w:cs="宋体" w:eastAsia="宋体" w:hint="default"/>
                <w:sz w:val="21"/>
                <w:szCs w:val="21"/>
              </w:rPr>
              <w:t>忻孝</w:t>
            </w:r>
          </w:p>
        </w:tc>
        <w:tc>
          <w:tcPr>
            <w:tcW w:w="8366" w:type="dxa"/>
            <w:tcBorders>
              <w:top w:val="single" w:sz="10" w:space="0" w:color="000000"/>
              <w:left w:val="single" w:sz="4" w:space="0" w:color="000000"/>
              <w:bottom w:val="nil" w:sz="6" w:space="0" w:color="auto"/>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证华宇软件及标的资产的长期稳定发展，马勤、折哲民、诸越海、严峰、黄承芬、侯玉成</w:t>
            </w:r>
          </w:p>
        </w:tc>
        <w:tc>
          <w:tcPr>
            <w:tcW w:w="1133" w:type="dxa"/>
            <w:vMerge w:val="restart"/>
            <w:tcBorders>
              <w:top w:val="single" w:sz="10" w:space="0" w:color="000000"/>
              <w:left w:val="single" w:sz="4" w:space="0" w:color="000000"/>
              <w:right w:val="single" w:sz="4" w:space="0" w:color="000000"/>
            </w:tcBorders>
          </w:tcPr>
          <w:p>
            <w:pPr>
              <w:pStyle w:val="TableParagraph"/>
              <w:spacing w:line="268"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19" w:type="dxa"/>
            <w:vMerge w:val="restart"/>
            <w:tcBorders>
              <w:top w:val="single" w:sz="10" w:space="0" w:color="000000"/>
              <w:left w:val="single" w:sz="4" w:space="0" w:color="000000"/>
              <w:right w:val="single" w:sz="4" w:space="0" w:color="000000"/>
            </w:tcBorders>
          </w:tcPr>
          <w:p>
            <w:pPr/>
          </w:p>
        </w:tc>
        <w:tc>
          <w:tcPr>
            <w:tcW w:w="1418" w:type="dxa"/>
            <w:vMerge w:val="restart"/>
            <w:tcBorders>
              <w:top w:val="single" w:sz="10" w:space="0" w:color="000000"/>
              <w:left w:val="single" w:sz="4" w:space="0" w:color="000000"/>
              <w:right w:val="single" w:sz="4" w:space="0" w:color="000000"/>
            </w:tcBorders>
          </w:tcPr>
          <w:p>
            <w:pPr/>
          </w:p>
        </w:tc>
      </w:tr>
      <w:tr>
        <w:trPr>
          <w:trHeight w:val="317"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委、胡</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宋体" w:hAnsi="宋体" w:cs="宋体" w:eastAsia="宋体" w:hint="default"/>
                <w:sz w:val="21"/>
                <w:szCs w:val="21"/>
              </w:rPr>
              <w:t>郑凯、王德胜、胡鸿轲、杨金萍、忻孝委共</w:t>
            </w:r>
            <w:r>
              <w:rPr>
                <w:rFonts w:ascii="宋体" w:hAnsi="宋体" w:cs="宋体" w:eastAsia="宋体" w:hint="default"/>
                <w:spacing w:val="-62"/>
                <w:sz w:val="21"/>
                <w:szCs w:val="21"/>
              </w:rPr>
              <w:t> </w:t>
            </w:r>
            <w:r>
              <w:rPr>
                <w:rFonts w:ascii="Arial" w:hAnsi="Arial" w:cs="Arial" w:eastAsia="Arial" w:hint="default"/>
                <w:sz w:val="21"/>
                <w:szCs w:val="21"/>
              </w:rPr>
              <w:t>11</w:t>
            </w:r>
            <w:r>
              <w:rPr>
                <w:rFonts w:ascii="Arial" w:hAnsi="Arial" w:cs="Arial" w:eastAsia="Arial" w:hint="default"/>
                <w:spacing w:val="-15"/>
                <w:sz w:val="21"/>
                <w:szCs w:val="21"/>
              </w:rPr>
              <w:t> </w:t>
            </w:r>
            <w:r>
              <w:rPr>
                <w:rFonts w:ascii="宋体" w:hAnsi="宋体" w:cs="宋体" w:eastAsia="宋体" w:hint="default"/>
                <w:sz w:val="21"/>
                <w:szCs w:val="21"/>
              </w:rPr>
              <w:t>名交易对方签署了《关于避免同业竞争的承</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07"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鸿轲</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诺函》，承诺如下：承诺人目前没有通过直接或间接控制的经营实体或以自然人名义从事与</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华宇软件相同或相似的业务。本次交易完成后，承诺人将不会通过直接或间接控制的经营实</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体或</w:t>
            </w:r>
            <w:r>
              <w:rPr>
                <w:rFonts w:ascii="宋体" w:hAnsi="宋体" w:cs="宋体" w:eastAsia="宋体" w:hint="default"/>
                <w:spacing w:val="-3"/>
                <w:w w:val="100"/>
                <w:sz w:val="21"/>
                <w:szCs w:val="21"/>
              </w:rPr>
              <w:t>以</w:t>
            </w:r>
            <w:r>
              <w:rPr>
                <w:rFonts w:ascii="宋体" w:hAnsi="宋体" w:cs="宋体" w:eastAsia="宋体" w:hint="default"/>
                <w:w w:val="100"/>
                <w:sz w:val="21"/>
                <w:szCs w:val="21"/>
              </w:rPr>
              <w:t>自</w:t>
            </w:r>
            <w:r>
              <w:rPr>
                <w:rFonts w:ascii="宋体" w:hAnsi="宋体" w:cs="宋体" w:eastAsia="宋体" w:hint="default"/>
                <w:spacing w:val="-3"/>
                <w:w w:val="100"/>
                <w:sz w:val="21"/>
                <w:szCs w:val="21"/>
              </w:rPr>
              <w:t>然</w:t>
            </w:r>
            <w:r>
              <w:rPr>
                <w:rFonts w:ascii="宋体" w:hAnsi="宋体" w:cs="宋体" w:eastAsia="宋体" w:hint="default"/>
                <w:w w:val="100"/>
                <w:sz w:val="21"/>
                <w:szCs w:val="21"/>
              </w:rPr>
              <w:t>人</w:t>
            </w:r>
            <w:r>
              <w:rPr>
                <w:rFonts w:ascii="宋体" w:hAnsi="宋体" w:cs="宋体" w:eastAsia="宋体" w:hint="default"/>
                <w:spacing w:val="-3"/>
                <w:w w:val="100"/>
                <w:sz w:val="21"/>
                <w:szCs w:val="21"/>
              </w:rPr>
              <w:t>名</w:t>
            </w:r>
            <w:r>
              <w:rPr>
                <w:rFonts w:ascii="宋体" w:hAnsi="宋体" w:cs="宋体" w:eastAsia="宋体" w:hint="default"/>
                <w:w w:val="100"/>
                <w:sz w:val="21"/>
                <w:szCs w:val="21"/>
              </w:rPr>
              <w:t>义</w:t>
            </w:r>
            <w:r>
              <w:rPr>
                <w:rFonts w:ascii="宋体" w:hAnsi="宋体" w:cs="宋体" w:eastAsia="宋体" w:hint="default"/>
                <w:spacing w:val="-3"/>
                <w:w w:val="100"/>
                <w:sz w:val="21"/>
                <w:szCs w:val="21"/>
              </w:rPr>
              <w:t>从</w:t>
            </w:r>
            <w:r>
              <w:rPr>
                <w:rFonts w:ascii="宋体" w:hAnsi="宋体" w:cs="宋体" w:eastAsia="宋体" w:hint="default"/>
                <w:w w:val="100"/>
                <w:sz w:val="21"/>
                <w:szCs w:val="21"/>
              </w:rPr>
              <w:t>事</w:t>
            </w:r>
            <w:r>
              <w:rPr>
                <w:rFonts w:ascii="宋体" w:hAnsi="宋体" w:cs="宋体" w:eastAsia="宋体" w:hint="default"/>
                <w:spacing w:val="-3"/>
                <w:w w:val="100"/>
                <w:sz w:val="21"/>
                <w:szCs w:val="21"/>
              </w:rPr>
              <w:t>与</w:t>
            </w:r>
            <w:r>
              <w:rPr>
                <w:rFonts w:ascii="宋体" w:hAnsi="宋体" w:cs="宋体" w:eastAsia="宋体" w:hint="default"/>
                <w:w w:val="100"/>
                <w:sz w:val="21"/>
                <w:szCs w:val="21"/>
              </w:rPr>
              <w:t>华宇</w:t>
            </w:r>
            <w:r>
              <w:rPr>
                <w:rFonts w:ascii="宋体" w:hAnsi="宋体" w:cs="宋体" w:eastAsia="宋体" w:hint="default"/>
                <w:spacing w:val="-3"/>
                <w:w w:val="100"/>
                <w:sz w:val="21"/>
                <w:szCs w:val="21"/>
              </w:rPr>
              <w:t>软</w:t>
            </w:r>
            <w:r>
              <w:rPr>
                <w:rFonts w:ascii="宋体" w:hAnsi="宋体" w:cs="宋体" w:eastAsia="宋体" w:hint="default"/>
                <w:spacing w:val="-1"/>
                <w:w w:val="100"/>
                <w:sz w:val="21"/>
                <w:szCs w:val="21"/>
              </w:rPr>
              <w:t>件</w:t>
            </w:r>
            <w:r>
              <w:rPr>
                <w:rFonts w:ascii="宋体" w:hAnsi="宋体" w:cs="宋体" w:eastAsia="宋体" w:hint="default"/>
                <w:spacing w:val="-3"/>
                <w:w w:val="100"/>
                <w:sz w:val="21"/>
                <w:szCs w:val="21"/>
              </w:rPr>
              <w:t>及</w:t>
            </w:r>
            <w:r>
              <w:rPr>
                <w:rFonts w:ascii="宋体" w:hAnsi="宋体" w:cs="宋体" w:eastAsia="宋体" w:hint="default"/>
                <w:w w:val="100"/>
                <w:sz w:val="21"/>
                <w:szCs w:val="21"/>
              </w:rPr>
              <w:t>其</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相</w:t>
            </w:r>
            <w:r>
              <w:rPr>
                <w:rFonts w:ascii="宋体" w:hAnsi="宋体" w:cs="宋体" w:eastAsia="宋体" w:hint="default"/>
                <w:w w:val="100"/>
                <w:sz w:val="21"/>
                <w:szCs w:val="21"/>
              </w:rPr>
              <w:t>同或</w:t>
            </w:r>
            <w:r>
              <w:rPr>
                <w:rFonts w:ascii="宋体" w:hAnsi="宋体" w:cs="宋体" w:eastAsia="宋体" w:hint="default"/>
                <w:spacing w:val="-3"/>
                <w:w w:val="100"/>
                <w:sz w:val="21"/>
                <w:szCs w:val="21"/>
              </w:rPr>
              <w:t>相</w:t>
            </w:r>
            <w:r>
              <w:rPr>
                <w:rFonts w:ascii="宋体" w:hAnsi="宋体" w:cs="宋体" w:eastAsia="宋体" w:hint="default"/>
                <w:w w:val="100"/>
                <w:sz w:val="21"/>
                <w:szCs w:val="21"/>
              </w:rPr>
              <w:t>似</w:t>
            </w:r>
            <w:r>
              <w:rPr>
                <w:rFonts w:ascii="宋体" w:hAnsi="宋体" w:cs="宋体" w:eastAsia="宋体" w:hint="default"/>
                <w:spacing w:val="-3"/>
                <w:w w:val="100"/>
                <w:sz w:val="21"/>
                <w:szCs w:val="21"/>
              </w:rPr>
              <w:t>的</w:t>
            </w:r>
            <w:r>
              <w:rPr>
                <w:rFonts w:ascii="宋体" w:hAnsi="宋体" w:cs="宋体" w:eastAsia="宋体" w:hint="default"/>
                <w:w w:val="100"/>
                <w:sz w:val="21"/>
                <w:szCs w:val="21"/>
              </w:rPr>
              <w:t>业</w:t>
            </w:r>
            <w:r>
              <w:rPr>
                <w:rFonts w:ascii="宋体" w:hAnsi="宋体" w:cs="宋体" w:eastAsia="宋体" w:hint="default"/>
                <w:spacing w:val="-3"/>
                <w:w w:val="100"/>
                <w:sz w:val="21"/>
                <w:szCs w:val="21"/>
              </w:rPr>
              <w:t>务</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承</w:t>
            </w:r>
            <w:r>
              <w:rPr>
                <w:rFonts w:ascii="宋体" w:hAnsi="宋体" w:cs="宋体" w:eastAsia="宋体" w:hint="default"/>
                <w:spacing w:val="-3"/>
                <w:w w:val="100"/>
                <w:sz w:val="21"/>
                <w:szCs w:val="21"/>
              </w:rPr>
              <w:t>诺人</w:t>
            </w:r>
            <w:r>
              <w:rPr>
                <w:rFonts w:ascii="宋体" w:hAnsi="宋体" w:cs="宋体" w:eastAsia="宋体" w:hint="default"/>
                <w:w w:val="100"/>
                <w:sz w:val="21"/>
                <w:szCs w:val="21"/>
              </w:rPr>
              <w:t>或承</w:t>
            </w:r>
            <w:r>
              <w:rPr>
                <w:rFonts w:ascii="宋体" w:hAnsi="宋体" w:cs="宋体" w:eastAsia="宋体" w:hint="default"/>
                <w:spacing w:val="-3"/>
                <w:w w:val="100"/>
                <w:sz w:val="21"/>
                <w:szCs w:val="21"/>
              </w:rPr>
              <w:t>诺</w:t>
            </w:r>
            <w:r>
              <w:rPr>
                <w:rFonts w:ascii="宋体" w:hAnsi="宋体" w:cs="宋体" w:eastAsia="宋体" w:hint="default"/>
                <w:w w:val="100"/>
                <w:sz w:val="21"/>
                <w:szCs w:val="21"/>
              </w:rPr>
              <w:t>人</w:t>
            </w:r>
            <w:r>
              <w:rPr>
                <w:rFonts w:ascii="宋体" w:hAnsi="宋体" w:cs="宋体" w:eastAsia="宋体" w:hint="default"/>
                <w:spacing w:val="-3"/>
                <w:w w:val="100"/>
                <w:sz w:val="21"/>
                <w:szCs w:val="21"/>
              </w:rPr>
              <w:t>直</w:t>
            </w:r>
            <w:r>
              <w:rPr>
                <w:rFonts w:ascii="宋体" w:hAnsi="宋体" w:cs="宋体" w:eastAsia="宋体" w:hint="default"/>
                <w:w w:val="100"/>
                <w:sz w:val="21"/>
                <w:szCs w:val="21"/>
              </w:rPr>
              <w:t>接</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或间接控制的经营实体现有或未来的经营活动可能与华宇软件及其控股公司发生同业竞争</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或与</w:t>
            </w:r>
            <w:r>
              <w:rPr>
                <w:rFonts w:ascii="宋体" w:hAnsi="宋体" w:cs="宋体" w:eastAsia="宋体" w:hint="default"/>
                <w:spacing w:val="-3"/>
                <w:w w:val="100"/>
                <w:sz w:val="21"/>
                <w:szCs w:val="21"/>
              </w:rPr>
              <w:t>华</w:t>
            </w:r>
            <w:r>
              <w:rPr>
                <w:rFonts w:ascii="宋体" w:hAnsi="宋体" w:cs="宋体" w:eastAsia="宋体" w:hint="default"/>
                <w:w w:val="100"/>
                <w:sz w:val="21"/>
                <w:szCs w:val="21"/>
              </w:rPr>
              <w:t>宇</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及</w:t>
            </w:r>
            <w:r>
              <w:rPr>
                <w:rFonts w:ascii="宋体" w:hAnsi="宋体" w:cs="宋体" w:eastAsia="宋体" w:hint="default"/>
                <w:w w:val="100"/>
                <w:sz w:val="21"/>
                <w:szCs w:val="21"/>
              </w:rPr>
              <w:t>其</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司发</w:t>
            </w:r>
            <w:r>
              <w:rPr>
                <w:rFonts w:ascii="宋体" w:hAnsi="宋体" w:cs="宋体" w:eastAsia="宋体" w:hint="default"/>
                <w:spacing w:val="-3"/>
                <w:w w:val="100"/>
                <w:sz w:val="21"/>
                <w:szCs w:val="21"/>
              </w:rPr>
              <w:t>生</w:t>
            </w:r>
            <w:r>
              <w:rPr>
                <w:rFonts w:ascii="宋体" w:hAnsi="宋体" w:cs="宋体" w:eastAsia="宋体" w:hint="default"/>
                <w:w w:val="100"/>
                <w:sz w:val="21"/>
                <w:szCs w:val="21"/>
              </w:rPr>
              <w:t>利</w:t>
            </w:r>
            <w:r>
              <w:rPr>
                <w:rFonts w:ascii="宋体" w:hAnsi="宋体" w:cs="宋体" w:eastAsia="宋体" w:hint="default"/>
                <w:spacing w:val="-3"/>
                <w:w w:val="100"/>
                <w:sz w:val="21"/>
                <w:szCs w:val="21"/>
              </w:rPr>
              <w:t>益</w:t>
            </w:r>
            <w:r>
              <w:rPr>
                <w:rFonts w:ascii="宋体" w:hAnsi="宋体" w:cs="宋体" w:eastAsia="宋体" w:hint="default"/>
                <w:w w:val="100"/>
                <w:sz w:val="21"/>
                <w:szCs w:val="21"/>
              </w:rPr>
              <w:t>冲</w:t>
            </w:r>
            <w:r>
              <w:rPr>
                <w:rFonts w:ascii="宋体" w:hAnsi="宋体" w:cs="宋体" w:eastAsia="宋体" w:hint="default"/>
                <w:spacing w:val="-3"/>
                <w:w w:val="100"/>
                <w:sz w:val="21"/>
                <w:szCs w:val="21"/>
              </w:rPr>
              <w:t>突</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人将</w:t>
            </w:r>
            <w:r>
              <w:rPr>
                <w:rFonts w:ascii="宋体" w:hAnsi="宋体" w:cs="宋体" w:eastAsia="宋体" w:hint="default"/>
                <w:w w:val="100"/>
                <w:sz w:val="21"/>
                <w:szCs w:val="21"/>
              </w:rPr>
              <w:t>放弃</w:t>
            </w:r>
            <w:r>
              <w:rPr>
                <w:rFonts w:ascii="宋体" w:hAnsi="宋体" w:cs="宋体" w:eastAsia="宋体" w:hint="default"/>
                <w:spacing w:val="-3"/>
                <w:w w:val="100"/>
                <w:sz w:val="21"/>
                <w:szCs w:val="21"/>
              </w:rPr>
              <w:t>或</w:t>
            </w:r>
            <w:r>
              <w:rPr>
                <w:rFonts w:ascii="宋体" w:hAnsi="宋体" w:cs="宋体" w:eastAsia="宋体" w:hint="default"/>
                <w:w w:val="100"/>
                <w:sz w:val="21"/>
                <w:szCs w:val="21"/>
              </w:rPr>
              <w:t>将</w:t>
            </w:r>
            <w:r>
              <w:rPr>
                <w:rFonts w:ascii="宋体" w:hAnsi="宋体" w:cs="宋体" w:eastAsia="宋体" w:hint="default"/>
                <w:spacing w:val="-3"/>
                <w:w w:val="100"/>
                <w:sz w:val="21"/>
                <w:szCs w:val="21"/>
              </w:rPr>
              <w:t>促</w:t>
            </w:r>
            <w:r>
              <w:rPr>
                <w:rFonts w:ascii="宋体" w:hAnsi="宋体" w:cs="宋体" w:eastAsia="宋体" w:hint="default"/>
                <w:w w:val="100"/>
                <w:sz w:val="21"/>
                <w:szCs w:val="21"/>
              </w:rPr>
              <w:t>使</w:t>
            </w:r>
            <w:r>
              <w:rPr>
                <w:rFonts w:ascii="宋体" w:hAnsi="宋体" w:cs="宋体" w:eastAsia="宋体" w:hint="default"/>
                <w:spacing w:val="-3"/>
                <w:w w:val="100"/>
                <w:sz w:val="21"/>
                <w:szCs w:val="21"/>
              </w:rPr>
              <w:t>直</w:t>
            </w:r>
            <w:r>
              <w:rPr>
                <w:rFonts w:ascii="宋体" w:hAnsi="宋体" w:cs="宋体" w:eastAsia="宋体" w:hint="default"/>
                <w:w w:val="100"/>
                <w:sz w:val="21"/>
                <w:szCs w:val="21"/>
              </w:rPr>
              <w:t>接</w:t>
            </w:r>
            <w:r>
              <w:rPr>
                <w:rFonts w:ascii="宋体" w:hAnsi="宋体" w:cs="宋体" w:eastAsia="宋体" w:hint="default"/>
                <w:spacing w:val="-3"/>
                <w:w w:val="100"/>
                <w:sz w:val="21"/>
                <w:szCs w:val="21"/>
              </w:rPr>
              <w:t>或</w:t>
            </w:r>
            <w:r>
              <w:rPr>
                <w:rFonts w:ascii="宋体" w:hAnsi="宋体" w:cs="宋体" w:eastAsia="宋体" w:hint="default"/>
                <w:w w:val="100"/>
                <w:sz w:val="21"/>
                <w:szCs w:val="21"/>
              </w:rPr>
              <w:t>间</w:t>
            </w:r>
            <w:r>
              <w:rPr>
                <w:rFonts w:ascii="宋体" w:hAnsi="宋体" w:cs="宋体" w:eastAsia="宋体" w:hint="default"/>
                <w:spacing w:val="-3"/>
                <w:w w:val="100"/>
                <w:sz w:val="21"/>
                <w:szCs w:val="21"/>
              </w:rPr>
              <w:t>接</w:t>
            </w:r>
            <w:r>
              <w:rPr>
                <w:rFonts w:ascii="宋体" w:hAnsi="宋体" w:cs="宋体" w:eastAsia="宋体" w:hint="default"/>
                <w:w w:val="100"/>
                <w:sz w:val="21"/>
                <w:szCs w:val="21"/>
              </w:rPr>
              <w:t>控制</w:t>
            </w:r>
            <w:r>
              <w:rPr>
                <w:rFonts w:ascii="宋体" w:hAnsi="宋体" w:cs="宋体" w:eastAsia="宋体" w:hint="default"/>
                <w:spacing w:val="-3"/>
                <w:w w:val="100"/>
                <w:sz w:val="21"/>
                <w:szCs w:val="21"/>
              </w:rPr>
              <w:t>的</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实</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体无条件放弃可能发生同业竞争的业务，或将直接或间接控制的经营实体以公平、公允的市</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3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场价格在适当时机全部注入上市公司及其控股公司或对外转让。</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57"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、关于规范和减少关联交易的承诺：</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27"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63"/>
              <w:jc w:val="right"/>
              <w:rPr>
                <w:rFonts w:ascii="宋体" w:hAnsi="宋体" w:cs="宋体" w:eastAsia="宋体" w:hint="default"/>
                <w:sz w:val="21"/>
                <w:szCs w:val="21"/>
              </w:rPr>
            </w:pPr>
            <w:r>
              <w:rPr>
                <w:rFonts w:ascii="宋体" w:hAnsi="宋体" w:cs="宋体" w:eastAsia="宋体" w:hint="default"/>
                <w:spacing w:val="-2"/>
                <w:sz w:val="21"/>
                <w:szCs w:val="21"/>
              </w:rPr>
              <w:t>据《股票上市规则》规定，本次交易完成后，马勤、折哲民、诸越海、严峰、黄承芬、</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17"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宋体" w:hAnsi="宋体" w:cs="宋体" w:eastAsia="宋体" w:hint="default"/>
                <w:sz w:val="21"/>
                <w:szCs w:val="21"/>
              </w:rPr>
              <w:t>侯玉成、郑凯、王德胜、胡鸿轲、杨金萍、忻孝委共</w:t>
            </w:r>
            <w:r>
              <w:rPr>
                <w:rFonts w:ascii="宋体" w:hAnsi="宋体" w:cs="宋体" w:eastAsia="宋体" w:hint="default"/>
                <w:spacing w:val="-62"/>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名自然人股东与华宇软件间不构成</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07"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关联方。根据《股票上市规则》的相关规定，本次交易完成后，为规范将来可能存在的关联</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17"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宋体" w:hAnsi="宋体" w:cs="宋体" w:eastAsia="宋体" w:hint="default"/>
                <w:sz w:val="21"/>
                <w:szCs w:val="21"/>
              </w:rPr>
              <w:t>交易，马勤等</w:t>
            </w:r>
            <w:r>
              <w:rPr>
                <w:rFonts w:ascii="宋体" w:hAnsi="宋体" w:cs="宋体" w:eastAsia="宋体" w:hint="default"/>
                <w:spacing w:val="-64"/>
                <w:sz w:val="21"/>
                <w:szCs w:val="21"/>
              </w:rPr>
              <w:t> </w:t>
            </w:r>
            <w:r>
              <w:rPr>
                <w:rFonts w:ascii="Arial" w:hAnsi="Arial" w:cs="Arial" w:eastAsia="Arial" w:hint="default"/>
                <w:sz w:val="21"/>
                <w:szCs w:val="21"/>
              </w:rPr>
              <w:t>11</w:t>
            </w:r>
            <w:r>
              <w:rPr>
                <w:rFonts w:ascii="Arial" w:hAnsi="Arial" w:cs="Arial" w:eastAsia="Arial" w:hint="default"/>
                <w:spacing w:val="-17"/>
                <w:sz w:val="21"/>
                <w:szCs w:val="21"/>
              </w:rPr>
              <w:t> </w:t>
            </w:r>
            <w:r>
              <w:rPr>
                <w:rFonts w:ascii="宋体" w:hAnsi="宋体" w:cs="宋体" w:eastAsia="宋体" w:hint="default"/>
                <w:sz w:val="21"/>
                <w:szCs w:val="21"/>
              </w:rPr>
              <w:t>位自然人股东出具了《关于规范和减少关联交易的承诺函》，承诺内容如</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27"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下：</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38"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Arial" w:hAnsi="Arial" w:cs="Arial" w:eastAsia="Arial" w:hint="default"/>
                <w:spacing w:val="-2"/>
                <w:sz w:val="21"/>
                <w:szCs w:val="21"/>
              </w:rPr>
              <w:t>1</w:t>
            </w:r>
            <w:r>
              <w:rPr>
                <w:rFonts w:ascii="宋体" w:hAnsi="宋体" w:cs="宋体" w:eastAsia="宋体" w:hint="default"/>
                <w:spacing w:val="-2"/>
                <w:sz w:val="21"/>
                <w:szCs w:val="21"/>
              </w:rPr>
              <w:t>）承诺人及承诺人直接或间接控制的经营实体与重组后的华宇软件及其控股企业之间将规</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07"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范并尽可能减少关联交易。对于无法避免或者有合理原因而发生的关联交易，承诺人承诺将</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遵循市场化的公正、公平、公开的原则进行，并按照有关法律法规、规范性文件和华宇软件</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章程</w:t>
            </w:r>
            <w:r>
              <w:rPr>
                <w:rFonts w:ascii="宋体" w:hAnsi="宋体" w:cs="宋体" w:eastAsia="宋体" w:hint="default"/>
                <w:spacing w:val="-3"/>
                <w:w w:val="100"/>
                <w:sz w:val="21"/>
                <w:szCs w:val="21"/>
              </w:rPr>
              <w:t>等</w:t>
            </w:r>
            <w:r>
              <w:rPr>
                <w:rFonts w:ascii="宋体" w:hAnsi="宋体" w:cs="宋体" w:eastAsia="宋体" w:hint="default"/>
                <w:w w:val="100"/>
                <w:sz w:val="21"/>
                <w:szCs w:val="21"/>
              </w:rPr>
              <w:t>有</w:t>
            </w:r>
            <w:r>
              <w:rPr>
                <w:rFonts w:ascii="宋体" w:hAnsi="宋体" w:cs="宋体" w:eastAsia="宋体" w:hint="default"/>
                <w:spacing w:val="-3"/>
                <w:w w:val="100"/>
                <w:sz w:val="21"/>
                <w:szCs w:val="21"/>
              </w:rPr>
              <w:t>关</w:t>
            </w:r>
            <w:r>
              <w:rPr>
                <w:rFonts w:ascii="宋体" w:hAnsi="宋体" w:cs="宋体" w:eastAsia="宋体" w:hint="default"/>
                <w:w w:val="100"/>
                <w:sz w:val="21"/>
                <w:szCs w:val="21"/>
              </w:rPr>
              <w:t>规</w:t>
            </w:r>
            <w:r>
              <w:rPr>
                <w:rFonts w:ascii="宋体" w:hAnsi="宋体" w:cs="宋体" w:eastAsia="宋体" w:hint="default"/>
                <w:spacing w:val="-3"/>
                <w:w w:val="100"/>
                <w:sz w:val="21"/>
                <w:szCs w:val="21"/>
              </w:rPr>
              <w:t>定</w:t>
            </w:r>
            <w:r>
              <w:rPr>
                <w:rFonts w:ascii="宋体" w:hAnsi="宋体" w:cs="宋体" w:eastAsia="宋体" w:hint="default"/>
                <w:w w:val="100"/>
                <w:sz w:val="21"/>
                <w:szCs w:val="21"/>
              </w:rPr>
              <w:t>依</w:t>
            </w:r>
            <w:r>
              <w:rPr>
                <w:rFonts w:ascii="宋体" w:hAnsi="宋体" w:cs="宋体" w:eastAsia="宋体" w:hint="default"/>
                <w:spacing w:val="-3"/>
                <w:w w:val="100"/>
                <w:sz w:val="21"/>
                <w:szCs w:val="21"/>
              </w:rPr>
              <w:t>法</w:t>
            </w:r>
            <w:r>
              <w:rPr>
                <w:rFonts w:ascii="宋体" w:hAnsi="宋体" w:cs="宋体" w:eastAsia="宋体" w:hint="default"/>
                <w:w w:val="100"/>
                <w:sz w:val="21"/>
                <w:szCs w:val="21"/>
              </w:rPr>
              <w:t>签</w:t>
            </w:r>
            <w:r>
              <w:rPr>
                <w:rFonts w:ascii="宋体" w:hAnsi="宋体" w:cs="宋体" w:eastAsia="宋体" w:hint="default"/>
                <w:spacing w:val="-3"/>
                <w:w w:val="100"/>
                <w:sz w:val="21"/>
                <w:szCs w:val="21"/>
              </w:rPr>
              <w:t>订</w:t>
            </w: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履</w:t>
            </w:r>
            <w:r>
              <w:rPr>
                <w:rFonts w:ascii="宋体" w:hAnsi="宋体" w:cs="宋体" w:eastAsia="宋体" w:hint="default"/>
                <w:w w:val="100"/>
                <w:sz w:val="21"/>
                <w:szCs w:val="21"/>
              </w:rPr>
              <w:t>行</w:t>
            </w:r>
            <w:r>
              <w:rPr>
                <w:rFonts w:ascii="宋体" w:hAnsi="宋体" w:cs="宋体" w:eastAsia="宋体" w:hint="default"/>
                <w:spacing w:val="-3"/>
                <w:w w:val="100"/>
                <w:sz w:val="21"/>
                <w:szCs w:val="21"/>
              </w:rPr>
              <w:t>合</w:t>
            </w:r>
            <w:r>
              <w:rPr>
                <w:rFonts w:ascii="宋体" w:hAnsi="宋体" w:cs="宋体" w:eastAsia="宋体" w:hint="default"/>
                <w:w w:val="100"/>
                <w:sz w:val="21"/>
                <w:szCs w:val="21"/>
              </w:rPr>
              <w:t>法</w:t>
            </w:r>
            <w:r>
              <w:rPr>
                <w:rFonts w:ascii="宋体" w:hAnsi="宋体" w:cs="宋体" w:eastAsia="宋体" w:hint="default"/>
                <w:spacing w:val="-3"/>
                <w:w w:val="100"/>
                <w:sz w:val="21"/>
                <w:szCs w:val="21"/>
              </w:rPr>
              <w:t>程</w:t>
            </w:r>
            <w:r>
              <w:rPr>
                <w:rFonts w:ascii="宋体" w:hAnsi="宋体" w:cs="宋体" w:eastAsia="宋体" w:hint="default"/>
                <w:w w:val="100"/>
                <w:sz w:val="21"/>
                <w:szCs w:val="21"/>
              </w:rPr>
              <w:t>序</w:t>
            </w:r>
            <w:r>
              <w:rPr>
                <w:rFonts w:ascii="宋体" w:hAnsi="宋体" w:cs="宋体" w:eastAsia="宋体" w:hint="default"/>
                <w:spacing w:val="-101"/>
                <w:w w:val="100"/>
                <w:sz w:val="21"/>
                <w:szCs w:val="21"/>
              </w:rPr>
              <w:t>，</w:t>
            </w:r>
            <w:r>
              <w:rPr>
                <w:rFonts w:ascii="宋体" w:hAnsi="宋体" w:cs="宋体" w:eastAsia="宋体" w:hint="default"/>
                <w:w w:val="100"/>
                <w:sz w:val="21"/>
                <w:szCs w:val="21"/>
              </w:rPr>
              <w:t>依</w:t>
            </w:r>
            <w:r>
              <w:rPr>
                <w:rFonts w:ascii="宋体" w:hAnsi="宋体" w:cs="宋体" w:eastAsia="宋体" w:hint="default"/>
                <w:spacing w:val="-3"/>
                <w:w w:val="100"/>
                <w:sz w:val="21"/>
                <w:szCs w:val="21"/>
              </w:rPr>
              <w:t>法</w:t>
            </w:r>
            <w:r>
              <w:rPr>
                <w:rFonts w:ascii="宋体" w:hAnsi="宋体" w:cs="宋体" w:eastAsia="宋体" w:hint="default"/>
                <w:w w:val="100"/>
                <w:sz w:val="21"/>
                <w:szCs w:val="21"/>
              </w:rPr>
              <w:t>履行</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义</w:t>
            </w:r>
            <w:r>
              <w:rPr>
                <w:rFonts w:ascii="宋体" w:hAnsi="宋体" w:cs="宋体" w:eastAsia="宋体" w:hint="default"/>
                <w:w w:val="100"/>
                <w:sz w:val="21"/>
                <w:szCs w:val="21"/>
              </w:rPr>
              <w:t>务</w:t>
            </w:r>
            <w:r>
              <w:rPr>
                <w:rFonts w:ascii="宋体" w:hAnsi="宋体" w:cs="宋体" w:eastAsia="宋体" w:hint="default"/>
                <w:spacing w:val="-3"/>
                <w:w w:val="100"/>
                <w:sz w:val="21"/>
                <w:szCs w:val="21"/>
              </w:rPr>
              <w:t>和</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有关</w:t>
            </w:r>
            <w:r>
              <w:rPr>
                <w:rFonts w:ascii="宋体" w:hAnsi="宋体" w:cs="宋体" w:eastAsia="宋体" w:hint="default"/>
                <w:spacing w:val="-3"/>
                <w:w w:val="100"/>
                <w:sz w:val="21"/>
                <w:szCs w:val="21"/>
              </w:rPr>
              <w:t>报</w:t>
            </w:r>
            <w:r>
              <w:rPr>
                <w:rFonts w:ascii="宋体" w:hAnsi="宋体" w:cs="宋体" w:eastAsia="宋体" w:hint="default"/>
                <w:w w:val="100"/>
                <w:sz w:val="21"/>
                <w:szCs w:val="21"/>
              </w:rPr>
              <w:t>批</w:t>
            </w:r>
            <w:r>
              <w:rPr>
                <w:rFonts w:ascii="宋体" w:hAnsi="宋体" w:cs="宋体" w:eastAsia="宋体" w:hint="default"/>
                <w:spacing w:val="-3"/>
                <w:w w:val="100"/>
                <w:sz w:val="21"/>
                <w:szCs w:val="21"/>
              </w:rPr>
              <w:t>程</w:t>
            </w:r>
            <w:r>
              <w:rPr>
                <w:rFonts w:ascii="宋体" w:hAnsi="宋体" w:cs="宋体" w:eastAsia="宋体" w:hint="default"/>
                <w:w w:val="100"/>
                <w:sz w:val="21"/>
                <w:szCs w:val="21"/>
              </w:rPr>
              <w:t>序</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31"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保证不通过关联交易损害华宇软件及其他股东的合法权益。</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36"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Arial" w:hAnsi="Arial" w:cs="Arial" w:eastAsia="Arial" w:hint="default"/>
                <w:spacing w:val="-3"/>
                <w:sz w:val="21"/>
                <w:szCs w:val="21"/>
              </w:rPr>
              <w:t>2</w:t>
            </w:r>
            <w:r>
              <w:rPr>
                <w:rFonts w:ascii="宋体" w:hAnsi="宋体" w:cs="宋体" w:eastAsia="宋体" w:hint="default"/>
                <w:spacing w:val="-3"/>
                <w:sz w:val="21"/>
                <w:szCs w:val="21"/>
              </w:rPr>
              <w:t>）本次交易完成后承诺人将继续严格按照有关法律法规、规范性文件以及华宇软件章程的</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07"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有关规定行使股东权利；在华宇软件股东大会对有关涉及承诺人的关联交易进行表决时，履</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3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行回避表决的义务。</w:t>
            </w:r>
          </w:p>
        </w:tc>
        <w:tc>
          <w:tcPr>
            <w:tcW w:w="1133"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378" w:hRule="exact"/>
        </w:trPr>
        <w:tc>
          <w:tcPr>
            <w:tcW w:w="1702"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）承诺人承诺杜绝一切非法占用华宇软件的资金、资产的行为。</w:t>
            </w:r>
          </w:p>
        </w:tc>
        <w:tc>
          <w:tcPr>
            <w:tcW w:w="113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354" w:hRule="exact"/>
        </w:trPr>
        <w:tc>
          <w:tcPr>
            <w:tcW w:w="1702"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Arial" w:hAnsi="Arial" w:cs="Arial" w:eastAsia="Arial" w:hint="default"/>
                <w:spacing w:val="-2"/>
                <w:sz w:val="21"/>
                <w:szCs w:val="21"/>
              </w:rPr>
              <w:t>1.</w:t>
            </w:r>
            <w:r>
              <w:rPr>
                <w:rFonts w:ascii="宋体" w:hAnsi="宋体" w:cs="宋体" w:eastAsia="宋体" w:hint="default"/>
                <w:spacing w:val="-2"/>
                <w:sz w:val="21"/>
                <w:szCs w:val="21"/>
              </w:rPr>
              <w:t>避免同业竞争承诺公司控股股东及实际控制人邵学、发行前持股</w:t>
            </w:r>
            <w:r>
              <w:rPr>
                <w:rFonts w:ascii="宋体" w:hAnsi="宋体" w:cs="宋体" w:eastAsia="宋体" w:hint="default"/>
                <w:spacing w:val="20"/>
                <w:sz w:val="21"/>
                <w:szCs w:val="21"/>
              </w:rPr>
              <w:t> </w:t>
            </w:r>
            <w:r>
              <w:rPr>
                <w:rFonts w:ascii="Arial" w:hAnsi="Arial" w:cs="Arial" w:eastAsia="Arial" w:hint="default"/>
                <w:spacing w:val="-2"/>
                <w:sz w:val="21"/>
                <w:szCs w:val="21"/>
              </w:rPr>
              <w:t>5%</w:t>
            </w:r>
            <w:r>
              <w:rPr>
                <w:rFonts w:ascii="宋体" w:hAnsi="宋体" w:cs="宋体" w:eastAsia="宋体" w:hint="default"/>
                <w:spacing w:val="-2"/>
                <w:sz w:val="21"/>
                <w:szCs w:val="21"/>
              </w:rPr>
              <w:t>的股东孟庆有、刘文</w:t>
            </w:r>
          </w:p>
        </w:tc>
        <w:tc>
          <w:tcPr>
            <w:tcW w:w="1133"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截止报告期</w:t>
            </w:r>
          </w:p>
        </w:tc>
      </w:tr>
      <w:tr>
        <w:trPr>
          <w:trHeight w:val="946"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z w:val="21"/>
                <w:szCs w:val="21"/>
              </w:rPr>
              <w:t>首次公开发行或</w:t>
            </w:r>
          </w:p>
          <w:p>
            <w:pPr>
              <w:pStyle w:val="TableParagraph"/>
              <w:spacing w:line="273" w:lineRule="auto" w:before="34"/>
              <w:ind w:left="23" w:right="192"/>
              <w:jc w:val="left"/>
              <w:rPr>
                <w:rFonts w:ascii="宋体" w:hAnsi="宋体" w:cs="宋体" w:eastAsia="宋体" w:hint="default"/>
                <w:sz w:val="21"/>
                <w:szCs w:val="21"/>
              </w:rPr>
            </w:pPr>
            <w:r>
              <w:rPr>
                <w:rFonts w:ascii="宋体" w:hAnsi="宋体" w:cs="宋体" w:eastAsia="宋体" w:hint="default"/>
                <w:sz w:val="21"/>
                <w:szCs w:val="21"/>
              </w:rPr>
              <w:t>再融资时所作承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1" w:right="41"/>
              <w:jc w:val="both"/>
              <w:rPr>
                <w:rFonts w:ascii="Arial" w:hAnsi="Arial" w:cs="Arial" w:eastAsia="Arial" w:hint="default"/>
                <w:sz w:val="21"/>
                <w:szCs w:val="21"/>
              </w:rPr>
            </w:pPr>
            <w:r>
              <w:rPr>
                <w:rFonts w:ascii="宋体" w:hAnsi="宋体" w:cs="宋体" w:eastAsia="宋体" w:hint="default"/>
                <w:sz w:val="21"/>
                <w:szCs w:val="21"/>
              </w:rPr>
              <w:t>内，公</w:t>
            </w:r>
            <w:r>
              <w:rPr>
                <w:rFonts w:ascii="宋体" w:hAnsi="宋体" w:cs="宋体" w:eastAsia="宋体" w:hint="default"/>
                <w:spacing w:val="-102"/>
                <w:sz w:val="21"/>
                <w:szCs w:val="21"/>
              </w:rPr>
              <w:t> </w:t>
            </w:r>
            <w:r>
              <w:rPr>
                <w:rFonts w:ascii="宋体" w:hAnsi="宋体" w:cs="宋体" w:eastAsia="宋体" w:hint="default"/>
                <w:sz w:val="21"/>
                <w:szCs w:val="21"/>
              </w:rPr>
              <w:t>司或持</w:t>
            </w:r>
            <w:r>
              <w:rPr>
                <w:rFonts w:ascii="宋体" w:hAnsi="宋体" w:cs="宋体" w:eastAsia="宋体" w:hint="default"/>
                <w:spacing w:val="-102"/>
                <w:sz w:val="21"/>
                <w:szCs w:val="21"/>
              </w:rPr>
              <w:t> </w:t>
            </w:r>
            <w:r>
              <w:rPr>
                <w:rFonts w:ascii="宋体" w:hAnsi="宋体" w:cs="宋体" w:eastAsia="宋体" w:hint="default"/>
                <w:sz w:val="21"/>
                <w:szCs w:val="21"/>
              </w:rPr>
              <w:t>有</w:t>
            </w:r>
            <w:r>
              <w:rPr>
                <w:rFonts w:ascii="宋体" w:hAnsi="宋体" w:cs="宋体" w:eastAsia="宋体" w:hint="default"/>
                <w:spacing w:val="-51"/>
                <w:sz w:val="21"/>
                <w:szCs w:val="21"/>
              </w:rPr>
              <w:t> </w:t>
            </w:r>
            <w:r>
              <w:rPr>
                <w:rFonts w:ascii="Arial" w:hAnsi="Arial" w:cs="Arial" w:eastAsia="Arial" w:hint="default"/>
                <w:sz w:val="21"/>
                <w:szCs w:val="21"/>
              </w:rPr>
              <w:t>5%</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4"/>
                <w:sz w:val="21"/>
                <w:szCs w:val="21"/>
              </w:rPr>
              <w:t>惠、任涛承诺：本人不存在直接或间接从事与公司相同、相似或在商业上构成任何竞争的业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务及活动的情形，并未拥有从事与公司可能产生同业竞争企业的任何股份、股权或在任何竞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争企业有任何权益；本人将不会以任何方式直接或间接从事或参与任何与公司相同、相似或</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1" w:right="0"/>
              <w:jc w:val="left"/>
              <w:rPr>
                <w:rFonts w:ascii="Arial" w:hAnsi="Arial" w:cs="Arial" w:eastAsia="Arial" w:hint="default"/>
                <w:sz w:val="21"/>
                <w:szCs w:val="21"/>
              </w:rPr>
            </w:pPr>
            <w:r>
              <w:rPr>
                <w:rFonts w:ascii="Arial" w:hAnsi="Arial" w:cs="Arial" w:eastAsia="Arial" w:hint="default"/>
                <w:sz w:val="21"/>
                <w:szCs w:val="21"/>
              </w:rPr>
              <w:t>2011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10</w:t>
            </w:r>
            <w:r>
              <w:rPr>
                <w:rFonts w:ascii="Arial" w:hAnsi="Arial" w:cs="Arial" w:eastAsia="Arial" w:hint="default"/>
                <w:sz w:val="21"/>
                <w:szCs w:val="21"/>
              </w:rPr>
            </w:r>
          </w:p>
          <w:p>
            <w:pPr>
              <w:pStyle w:val="TableParagraph"/>
              <w:spacing w:line="240" w:lineRule="auto" w:before="19"/>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以上承诺效期</w:t>
            </w:r>
          </w:p>
          <w:p>
            <w:pPr>
              <w:pStyle w:val="TableParagraph"/>
              <w:spacing w:line="273" w:lineRule="auto" w:before="34"/>
              <w:ind w:left="24" w:right="120"/>
              <w:jc w:val="left"/>
              <w:rPr>
                <w:rFonts w:ascii="宋体" w:hAnsi="宋体" w:cs="宋体" w:eastAsia="宋体" w:hint="default"/>
                <w:sz w:val="21"/>
                <w:szCs w:val="21"/>
              </w:rPr>
            </w:pPr>
            <w:r>
              <w:rPr>
                <w:rFonts w:ascii="宋体" w:hAnsi="宋体" w:cs="宋体" w:eastAsia="宋体" w:hint="default"/>
                <w:sz w:val="21"/>
                <w:szCs w:val="21"/>
              </w:rPr>
              <w:t>为持有华宇软</w:t>
            </w:r>
            <w:r>
              <w:rPr>
                <w:rFonts w:ascii="宋体" w:hAnsi="宋体" w:cs="宋体" w:eastAsia="宋体" w:hint="default"/>
                <w:w w:val="100"/>
                <w:sz w:val="21"/>
                <w:szCs w:val="21"/>
              </w:rPr>
              <w:t> </w:t>
            </w:r>
            <w:r>
              <w:rPr>
                <w:rFonts w:ascii="宋体" w:hAnsi="宋体" w:cs="宋体" w:eastAsia="宋体" w:hint="default"/>
                <w:sz w:val="21"/>
                <w:szCs w:val="21"/>
              </w:rPr>
              <w:t>件股票期间。</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120"/>
              <w:jc w:val="both"/>
              <w:rPr>
                <w:rFonts w:ascii="宋体" w:hAnsi="宋体" w:cs="宋体" w:eastAsia="宋体" w:hint="default"/>
                <w:sz w:val="21"/>
                <w:szCs w:val="21"/>
              </w:rPr>
            </w:pPr>
            <w:r>
              <w:rPr>
                <w:rFonts w:ascii="宋体" w:hAnsi="宋体" w:cs="宋体" w:eastAsia="宋体" w:hint="default"/>
                <w:sz w:val="21"/>
                <w:szCs w:val="21"/>
              </w:rPr>
              <w:t>末，上述人员</w:t>
            </w:r>
            <w:r>
              <w:rPr>
                <w:rFonts w:ascii="宋体" w:hAnsi="宋体" w:cs="宋体" w:eastAsia="宋体" w:hint="default"/>
                <w:w w:val="100"/>
                <w:sz w:val="21"/>
                <w:szCs w:val="21"/>
              </w:rPr>
              <w:t> </w:t>
            </w:r>
            <w:r>
              <w:rPr>
                <w:rFonts w:ascii="宋体" w:hAnsi="宋体" w:cs="宋体" w:eastAsia="宋体" w:hint="default"/>
                <w:sz w:val="21"/>
                <w:szCs w:val="21"/>
              </w:rPr>
              <w:t>均遵守以上承</w:t>
            </w:r>
            <w:r>
              <w:rPr>
                <w:rFonts w:ascii="宋体" w:hAnsi="宋体" w:cs="宋体" w:eastAsia="宋体" w:hint="default"/>
                <w:w w:val="100"/>
                <w:sz w:val="21"/>
                <w:szCs w:val="21"/>
              </w:rPr>
              <w:t> </w:t>
            </w:r>
            <w:r>
              <w:rPr>
                <w:rFonts w:ascii="宋体" w:hAnsi="宋体" w:cs="宋体" w:eastAsia="宋体" w:hint="default"/>
                <w:sz w:val="21"/>
                <w:szCs w:val="21"/>
              </w:rPr>
              <w:t>诺，未有违反</w:t>
            </w:r>
          </w:p>
        </w:tc>
      </w:tr>
      <w:tr>
        <w:trPr>
          <w:trHeight w:val="311" w:hRule="exact"/>
        </w:trPr>
        <w:tc>
          <w:tcPr>
            <w:tcW w:w="170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以上股</w:t>
            </w:r>
          </w:p>
        </w:tc>
        <w:tc>
          <w:tcPr>
            <w:tcW w:w="836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在商业上构成任何竞争的业务及活动，或拥有与公司存在竞争关系的任何经济实体的权益</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19"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上述承诺的情</w:t>
            </w:r>
          </w:p>
        </w:tc>
      </w:tr>
    </w:tbl>
    <w:p>
      <w:pPr>
        <w:spacing w:after="0" w:line="256" w:lineRule="exact"/>
        <w:jc w:val="left"/>
        <w:rPr>
          <w:rFonts w:ascii="宋体" w:hAnsi="宋体" w:cs="宋体" w:eastAsia="宋体" w:hint="default"/>
          <w:sz w:val="21"/>
          <w:szCs w:val="21"/>
        </w:rPr>
        <w:sectPr>
          <w:pgSz w:w="16840" w:h="11910" w:orient="landscape"/>
          <w:pgMar w:header="884" w:footer="1011" w:top="1100" w:bottom="1200" w:left="1320" w:right="540"/>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702"/>
        <w:gridCol w:w="708"/>
        <w:gridCol w:w="8366"/>
        <w:gridCol w:w="1133"/>
        <w:gridCol w:w="1419"/>
        <w:gridCol w:w="1418"/>
      </w:tblGrid>
      <w:tr>
        <w:trPr>
          <w:trHeight w:val="330" w:hRule="exact"/>
        </w:trPr>
        <w:tc>
          <w:tcPr>
            <w:tcW w:w="1702" w:type="dxa"/>
            <w:vMerge w:val="restart"/>
            <w:tcBorders>
              <w:top w:val="single" w:sz="10" w:space="0" w:color="000000"/>
              <w:left w:val="single" w:sz="4" w:space="0" w:color="000000"/>
              <w:right w:val="single" w:sz="4" w:space="0" w:color="000000"/>
            </w:tcBorders>
          </w:tcPr>
          <w:p>
            <w:pPr/>
          </w:p>
        </w:tc>
        <w:tc>
          <w:tcPr>
            <w:tcW w:w="708" w:type="dxa"/>
            <w:tcBorders>
              <w:top w:val="single" w:sz="10" w:space="0" w:color="000000"/>
              <w:left w:val="single" w:sz="4" w:space="0" w:color="000000"/>
              <w:bottom w:val="nil" w:sz="6" w:space="0" w:color="auto"/>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宋体" w:hAnsi="宋体" w:cs="宋体" w:eastAsia="宋体" w:hint="default"/>
                <w:sz w:val="21"/>
                <w:szCs w:val="21"/>
              </w:rPr>
              <w:t>东、董</w:t>
            </w:r>
          </w:p>
        </w:tc>
        <w:tc>
          <w:tcPr>
            <w:tcW w:w="8366" w:type="dxa"/>
            <w:tcBorders>
              <w:top w:val="single" w:sz="10" w:space="0" w:color="000000"/>
              <w:left w:val="single" w:sz="4" w:space="0" w:color="000000"/>
              <w:bottom w:val="nil" w:sz="6" w:space="0" w:color="auto"/>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或以</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任</w:t>
            </w:r>
            <w:r>
              <w:rPr>
                <w:rFonts w:ascii="宋体" w:hAnsi="宋体" w:cs="宋体" w:eastAsia="宋体" w:hint="default"/>
                <w:w w:val="100"/>
                <w:sz w:val="21"/>
                <w:szCs w:val="21"/>
              </w:rPr>
              <w:t>何</w:t>
            </w:r>
            <w:r>
              <w:rPr>
                <w:rFonts w:ascii="宋体" w:hAnsi="宋体" w:cs="宋体" w:eastAsia="宋体" w:hint="default"/>
                <w:spacing w:val="-3"/>
                <w:w w:val="100"/>
                <w:sz w:val="21"/>
                <w:szCs w:val="21"/>
              </w:rPr>
              <w:t>形</w:t>
            </w:r>
            <w:r>
              <w:rPr>
                <w:rFonts w:ascii="宋体" w:hAnsi="宋体" w:cs="宋体" w:eastAsia="宋体" w:hint="default"/>
                <w:w w:val="100"/>
                <w:sz w:val="21"/>
                <w:szCs w:val="21"/>
              </w:rPr>
              <w:t>式</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该</w:t>
            </w:r>
            <w:r>
              <w:rPr>
                <w:rFonts w:ascii="宋体" w:hAnsi="宋体" w:cs="宋体" w:eastAsia="宋体" w:hint="default"/>
                <w:w w:val="100"/>
                <w:sz w:val="21"/>
                <w:szCs w:val="21"/>
              </w:rPr>
              <w:t>经济</w:t>
            </w:r>
            <w:r>
              <w:rPr>
                <w:rFonts w:ascii="宋体" w:hAnsi="宋体" w:cs="宋体" w:eastAsia="宋体" w:hint="default"/>
                <w:spacing w:val="-3"/>
                <w:w w:val="100"/>
                <w:sz w:val="21"/>
                <w:szCs w:val="21"/>
              </w:rPr>
              <w:t>实</w:t>
            </w:r>
            <w:r>
              <w:rPr>
                <w:rFonts w:ascii="宋体" w:hAnsi="宋体" w:cs="宋体" w:eastAsia="宋体" w:hint="default"/>
                <w:w w:val="100"/>
                <w:sz w:val="21"/>
                <w:szCs w:val="21"/>
              </w:rPr>
              <w:t>体</w:t>
            </w:r>
            <w:r>
              <w:rPr>
                <w:rFonts w:ascii="宋体" w:hAnsi="宋体" w:cs="宋体" w:eastAsia="宋体" w:hint="default"/>
                <w:spacing w:val="-3"/>
                <w:w w:val="100"/>
                <w:sz w:val="21"/>
                <w:szCs w:val="21"/>
              </w:rPr>
              <w:t>的</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权</w:t>
            </w:r>
            <w:r>
              <w:rPr>
                <w:rFonts w:ascii="宋体" w:hAnsi="宋体" w:cs="宋体" w:eastAsia="宋体" w:hint="default"/>
                <w:spacing w:val="-97"/>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在该</w:t>
            </w:r>
            <w:r>
              <w:rPr>
                <w:rFonts w:ascii="宋体" w:hAnsi="宋体" w:cs="宋体" w:eastAsia="宋体" w:hint="default"/>
                <w:w w:val="100"/>
                <w:sz w:val="21"/>
                <w:szCs w:val="21"/>
              </w:rPr>
              <w:t>经济</w:t>
            </w:r>
            <w:r>
              <w:rPr>
                <w:rFonts w:ascii="宋体" w:hAnsi="宋体" w:cs="宋体" w:eastAsia="宋体" w:hint="default"/>
                <w:spacing w:val="-3"/>
                <w:w w:val="100"/>
                <w:sz w:val="21"/>
                <w:szCs w:val="21"/>
              </w:rPr>
              <w:t>实</w:t>
            </w:r>
            <w:r>
              <w:rPr>
                <w:rFonts w:ascii="宋体" w:hAnsi="宋体" w:cs="宋体" w:eastAsia="宋体" w:hint="default"/>
                <w:w w:val="100"/>
                <w:sz w:val="21"/>
                <w:szCs w:val="21"/>
              </w:rPr>
              <w:t>体</w:t>
            </w:r>
            <w:r>
              <w:rPr>
                <w:rFonts w:ascii="宋体" w:hAnsi="宋体" w:cs="宋体" w:eastAsia="宋体" w:hint="default"/>
                <w:spacing w:val="-3"/>
                <w:w w:val="100"/>
                <w:sz w:val="21"/>
                <w:szCs w:val="21"/>
              </w:rPr>
              <w:t>中</w:t>
            </w:r>
            <w:r>
              <w:rPr>
                <w:rFonts w:ascii="宋体" w:hAnsi="宋体" w:cs="宋体" w:eastAsia="宋体" w:hint="default"/>
                <w:w w:val="100"/>
                <w:sz w:val="21"/>
                <w:szCs w:val="21"/>
              </w:rPr>
              <w:t>担</w:t>
            </w:r>
            <w:r>
              <w:rPr>
                <w:rFonts w:ascii="宋体" w:hAnsi="宋体" w:cs="宋体" w:eastAsia="宋体" w:hint="default"/>
                <w:spacing w:val="-3"/>
                <w:w w:val="100"/>
                <w:sz w:val="21"/>
                <w:szCs w:val="21"/>
              </w:rPr>
              <w:t>任</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人员</w:t>
            </w:r>
            <w:r>
              <w:rPr>
                <w:rFonts w:ascii="宋体" w:hAnsi="宋体" w:cs="宋体" w:eastAsia="宋体" w:hint="default"/>
                <w:spacing w:val="-3"/>
                <w:w w:val="100"/>
                <w:sz w:val="21"/>
                <w:szCs w:val="21"/>
              </w:rPr>
              <w:t>或</w:t>
            </w:r>
            <w:r>
              <w:rPr>
                <w:rFonts w:ascii="宋体" w:hAnsi="宋体" w:cs="宋体" w:eastAsia="宋体" w:hint="default"/>
                <w:w w:val="100"/>
                <w:sz w:val="21"/>
                <w:szCs w:val="21"/>
              </w:rPr>
              <w:t>核</w:t>
            </w:r>
            <w:r>
              <w:rPr>
                <w:rFonts w:ascii="宋体" w:hAnsi="宋体" w:cs="宋体" w:eastAsia="宋体" w:hint="default"/>
                <w:spacing w:val="-3"/>
                <w:w w:val="100"/>
                <w:sz w:val="21"/>
                <w:szCs w:val="21"/>
              </w:rPr>
              <w:t>心</w:t>
            </w:r>
            <w:r>
              <w:rPr>
                <w:rFonts w:ascii="宋体" w:hAnsi="宋体" w:cs="宋体" w:eastAsia="宋体" w:hint="default"/>
                <w:w w:val="100"/>
                <w:sz w:val="21"/>
                <w:szCs w:val="21"/>
              </w:rPr>
              <w:t>技</w:t>
            </w:r>
          </w:p>
        </w:tc>
        <w:tc>
          <w:tcPr>
            <w:tcW w:w="1133" w:type="dxa"/>
            <w:tcBorders>
              <w:top w:val="single" w:sz="10" w:space="0" w:color="000000"/>
              <w:left w:val="single" w:sz="4" w:space="0" w:color="000000"/>
              <w:bottom w:val="nil" w:sz="6" w:space="0" w:color="auto"/>
              <w:right w:val="single" w:sz="4" w:space="0" w:color="000000"/>
            </w:tcBorders>
          </w:tcPr>
          <w:p>
            <w:pPr/>
          </w:p>
        </w:tc>
        <w:tc>
          <w:tcPr>
            <w:tcW w:w="1419" w:type="dxa"/>
            <w:vMerge w:val="restart"/>
            <w:tcBorders>
              <w:top w:val="single" w:sz="10" w:space="0" w:color="000000"/>
              <w:left w:val="single" w:sz="4" w:space="0" w:color="000000"/>
              <w:right w:val="single" w:sz="4" w:space="0" w:color="000000"/>
            </w:tcBorders>
          </w:tcPr>
          <w:p>
            <w:pPr/>
          </w:p>
        </w:tc>
        <w:tc>
          <w:tcPr>
            <w:tcW w:w="1418" w:type="dxa"/>
            <w:tcBorders>
              <w:top w:val="single" w:sz="10" w:space="0" w:color="000000"/>
              <w:left w:val="single" w:sz="4" w:space="0" w:color="000000"/>
              <w:bottom w:val="nil" w:sz="6" w:space="0" w:color="auto"/>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况。</w:t>
            </w: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监高、</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术人员；本人将促使本人除公司外的其他控股企业不直接或间接从事、参与或进行与公司的</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董监高</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生产经营相竞争的任何经营活动。</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直系亲</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Arial" w:hAnsi="Arial" w:cs="Arial" w:eastAsia="Arial" w:hint="default"/>
                <w:spacing w:val="-3"/>
                <w:sz w:val="21"/>
                <w:szCs w:val="21"/>
              </w:rPr>
              <w:t>2.</w:t>
            </w:r>
            <w:r>
              <w:rPr>
                <w:rFonts w:ascii="宋体" w:hAnsi="宋体" w:cs="宋体" w:eastAsia="宋体" w:hint="default"/>
                <w:spacing w:val="-3"/>
                <w:sz w:val="21"/>
                <w:szCs w:val="21"/>
              </w:rPr>
              <w:t>股份锁定承诺股东邵学作为公司控股股东及实际控制人、董事长兼总经理，股东吕宾、赵</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26"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属</w:t>
            </w: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4"/>
                <w:sz w:val="21"/>
                <w:szCs w:val="21"/>
              </w:rPr>
              <w:t>晓明、任涛、王静、王川、冯显扬、黄福林、朱相宇、闻连茹、余晴燕作为公司的董事、监</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事、高级管理人员，承诺：自公司股票上市之日起三十六个月内，不转让或者委托他人管理</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其本</w:t>
            </w:r>
            <w:r>
              <w:rPr>
                <w:rFonts w:ascii="宋体" w:hAnsi="宋体" w:cs="宋体" w:eastAsia="宋体" w:hint="default"/>
                <w:spacing w:val="-3"/>
                <w:w w:val="100"/>
                <w:sz w:val="21"/>
                <w:szCs w:val="21"/>
              </w:rPr>
              <w:t>次</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之</w:t>
            </w:r>
            <w:r>
              <w:rPr>
                <w:rFonts w:ascii="宋体" w:hAnsi="宋体" w:cs="宋体" w:eastAsia="宋体" w:hint="default"/>
                <w:spacing w:val="-3"/>
                <w:w w:val="100"/>
                <w:sz w:val="21"/>
                <w:szCs w:val="21"/>
              </w:rPr>
              <w:t>前</w:t>
            </w:r>
            <w:r>
              <w:rPr>
                <w:rFonts w:ascii="宋体" w:hAnsi="宋体" w:cs="宋体" w:eastAsia="宋体" w:hint="default"/>
                <w:w w:val="100"/>
                <w:sz w:val="21"/>
                <w:szCs w:val="21"/>
              </w:rPr>
              <w:t>直</w:t>
            </w:r>
            <w:r>
              <w:rPr>
                <w:rFonts w:ascii="宋体" w:hAnsi="宋体" w:cs="宋体" w:eastAsia="宋体" w:hint="default"/>
                <w:spacing w:val="-3"/>
                <w:w w:val="100"/>
                <w:sz w:val="21"/>
                <w:szCs w:val="21"/>
              </w:rPr>
              <w:t>接</w:t>
            </w:r>
            <w:r>
              <w:rPr>
                <w:rFonts w:ascii="宋体" w:hAnsi="宋体" w:cs="宋体" w:eastAsia="宋体" w:hint="default"/>
                <w:w w:val="100"/>
                <w:sz w:val="21"/>
                <w:szCs w:val="21"/>
              </w:rPr>
              <w:t>或</w:t>
            </w:r>
            <w:r>
              <w:rPr>
                <w:rFonts w:ascii="宋体" w:hAnsi="宋体" w:cs="宋体" w:eastAsia="宋体" w:hint="default"/>
                <w:spacing w:val="-3"/>
                <w:w w:val="100"/>
                <w:sz w:val="21"/>
                <w:szCs w:val="21"/>
              </w:rPr>
              <w:t>间</w:t>
            </w:r>
            <w:r>
              <w:rPr>
                <w:rFonts w:ascii="宋体" w:hAnsi="宋体" w:cs="宋体" w:eastAsia="宋体" w:hint="default"/>
                <w:w w:val="100"/>
                <w:sz w:val="21"/>
                <w:szCs w:val="21"/>
              </w:rPr>
              <w:t>接持</w:t>
            </w:r>
            <w:r>
              <w:rPr>
                <w:rFonts w:ascii="宋体" w:hAnsi="宋体" w:cs="宋体" w:eastAsia="宋体" w:hint="default"/>
                <w:spacing w:val="-3"/>
                <w:w w:val="100"/>
                <w:sz w:val="21"/>
                <w:szCs w:val="21"/>
              </w:rPr>
              <w:t>有</w:t>
            </w:r>
            <w:r>
              <w:rPr>
                <w:rFonts w:ascii="宋体" w:hAnsi="宋体" w:cs="宋体" w:eastAsia="宋体" w:hint="default"/>
                <w:w w:val="100"/>
                <w:sz w:val="21"/>
                <w:szCs w:val="21"/>
              </w:rPr>
              <w:t>的</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股份</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也</w:t>
            </w:r>
            <w:r>
              <w:rPr>
                <w:rFonts w:ascii="宋体" w:hAnsi="宋体" w:cs="宋体" w:eastAsia="宋体" w:hint="default"/>
                <w:w w:val="100"/>
                <w:sz w:val="21"/>
                <w:szCs w:val="21"/>
              </w:rPr>
              <w:t>不</w:t>
            </w:r>
            <w:r>
              <w:rPr>
                <w:rFonts w:ascii="宋体" w:hAnsi="宋体" w:cs="宋体" w:eastAsia="宋体" w:hint="default"/>
                <w:spacing w:val="-3"/>
                <w:w w:val="100"/>
                <w:sz w:val="21"/>
                <w:szCs w:val="21"/>
              </w:rPr>
              <w:t>由</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回</w:t>
            </w:r>
            <w:r>
              <w:rPr>
                <w:rFonts w:ascii="宋体" w:hAnsi="宋体" w:cs="宋体" w:eastAsia="宋体" w:hint="default"/>
                <w:w w:val="100"/>
                <w:sz w:val="21"/>
                <w:szCs w:val="21"/>
              </w:rPr>
              <w:t>购</w:t>
            </w:r>
            <w:r>
              <w:rPr>
                <w:rFonts w:ascii="宋体" w:hAnsi="宋体" w:cs="宋体" w:eastAsia="宋体" w:hint="default"/>
                <w:spacing w:val="-3"/>
                <w:w w:val="100"/>
                <w:sz w:val="21"/>
                <w:szCs w:val="21"/>
              </w:rPr>
              <w:t>此</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spacing w:val="-101"/>
                <w:w w:val="100"/>
                <w:sz w:val="21"/>
                <w:szCs w:val="21"/>
              </w:rPr>
              <w:t>。</w:t>
            </w:r>
            <w:r>
              <w:rPr>
                <w:rFonts w:ascii="宋体" w:hAnsi="宋体" w:cs="宋体" w:eastAsia="宋体" w:hint="default"/>
                <w:w w:val="100"/>
                <w:sz w:val="21"/>
                <w:szCs w:val="21"/>
              </w:rPr>
              <w:t>前</w:t>
            </w:r>
            <w:r>
              <w:rPr>
                <w:rFonts w:ascii="宋体" w:hAnsi="宋体" w:cs="宋体" w:eastAsia="宋体" w:hint="default"/>
                <w:spacing w:val="-3"/>
                <w:w w:val="100"/>
                <w:sz w:val="21"/>
                <w:szCs w:val="21"/>
              </w:rPr>
              <w:t>述</w:t>
            </w:r>
            <w:r>
              <w:rPr>
                <w:rFonts w:ascii="宋体" w:hAnsi="宋体" w:cs="宋体" w:eastAsia="宋体" w:hint="default"/>
                <w:w w:val="100"/>
                <w:sz w:val="21"/>
                <w:szCs w:val="21"/>
              </w:rPr>
              <w:t>承诺</w:t>
            </w:r>
            <w:r>
              <w:rPr>
                <w:rFonts w:ascii="宋体" w:hAnsi="宋体" w:cs="宋体" w:eastAsia="宋体" w:hint="default"/>
                <w:spacing w:val="-3"/>
                <w:w w:val="100"/>
                <w:sz w:val="21"/>
                <w:szCs w:val="21"/>
              </w:rPr>
              <w:t>期</w:t>
            </w:r>
            <w:r>
              <w:rPr>
                <w:rFonts w:ascii="宋体" w:hAnsi="宋体" w:cs="宋体" w:eastAsia="宋体" w:hint="default"/>
                <w:w w:val="100"/>
                <w:sz w:val="21"/>
                <w:szCs w:val="21"/>
              </w:rPr>
              <w:t>满后</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在其</w:t>
            </w:r>
            <w:r>
              <w:rPr>
                <w:rFonts w:ascii="宋体" w:hAnsi="宋体" w:cs="宋体" w:eastAsia="宋体" w:hint="default"/>
                <w:spacing w:val="-3"/>
                <w:w w:val="100"/>
                <w:sz w:val="21"/>
                <w:szCs w:val="21"/>
              </w:rPr>
              <w:t>任</w:t>
            </w:r>
            <w:r>
              <w:rPr>
                <w:rFonts w:ascii="宋体" w:hAnsi="宋体" w:cs="宋体" w:eastAsia="宋体" w:hint="default"/>
                <w:w w:val="100"/>
                <w:sz w:val="21"/>
                <w:szCs w:val="21"/>
              </w:rPr>
              <w:t>职</w:t>
            </w:r>
            <w:r>
              <w:rPr>
                <w:rFonts w:ascii="宋体" w:hAnsi="宋体" w:cs="宋体" w:eastAsia="宋体" w:hint="default"/>
                <w:spacing w:val="-3"/>
                <w:w w:val="100"/>
                <w:sz w:val="21"/>
                <w:szCs w:val="21"/>
              </w:rPr>
              <w:t>期</w:t>
            </w:r>
            <w:r>
              <w:rPr>
                <w:rFonts w:ascii="宋体" w:hAnsi="宋体" w:cs="宋体" w:eastAsia="宋体" w:hint="default"/>
                <w:w w:val="100"/>
                <w:sz w:val="21"/>
                <w:szCs w:val="21"/>
              </w:rPr>
              <w:t>间</w:t>
            </w:r>
            <w:r>
              <w:rPr>
                <w:rFonts w:ascii="宋体" w:hAnsi="宋体" w:cs="宋体" w:eastAsia="宋体" w:hint="default"/>
                <w:spacing w:val="-3"/>
                <w:w w:val="100"/>
                <w:sz w:val="21"/>
                <w:szCs w:val="21"/>
              </w:rPr>
              <w:t>每</w:t>
            </w:r>
            <w:r>
              <w:rPr>
                <w:rFonts w:ascii="宋体" w:hAnsi="宋体" w:cs="宋体" w:eastAsia="宋体" w:hint="default"/>
                <w:w w:val="100"/>
                <w:sz w:val="21"/>
                <w:szCs w:val="21"/>
              </w:rPr>
              <w:t>年</w:t>
            </w:r>
            <w:r>
              <w:rPr>
                <w:rFonts w:ascii="宋体" w:hAnsi="宋体" w:cs="宋体" w:eastAsia="宋体" w:hint="default"/>
                <w:spacing w:val="-3"/>
                <w:w w:val="100"/>
                <w:sz w:val="21"/>
                <w:szCs w:val="21"/>
              </w:rPr>
              <w:t>转</w:t>
            </w:r>
            <w:r>
              <w:rPr>
                <w:rFonts w:ascii="宋体" w:hAnsi="宋体" w:cs="宋体" w:eastAsia="宋体" w:hint="default"/>
                <w:w w:val="100"/>
                <w:sz w:val="21"/>
                <w:szCs w:val="21"/>
              </w:rPr>
              <w:t>让</w:t>
            </w:r>
            <w:r>
              <w:rPr>
                <w:rFonts w:ascii="宋体" w:hAnsi="宋体" w:cs="宋体" w:eastAsia="宋体" w:hint="default"/>
                <w:spacing w:val="-3"/>
                <w:w w:val="100"/>
                <w:sz w:val="21"/>
                <w:szCs w:val="21"/>
              </w:rPr>
              <w:t>的</w:t>
            </w:r>
            <w:r>
              <w:rPr>
                <w:rFonts w:ascii="宋体" w:hAnsi="宋体" w:cs="宋体" w:eastAsia="宋体" w:hint="default"/>
                <w:w w:val="100"/>
                <w:sz w:val="21"/>
                <w:szCs w:val="21"/>
              </w:rPr>
              <w:t>股份</w:t>
            </w:r>
            <w:r>
              <w:rPr>
                <w:rFonts w:ascii="宋体" w:hAnsi="宋体" w:cs="宋体" w:eastAsia="宋体" w:hint="default"/>
                <w:spacing w:val="-3"/>
                <w:w w:val="100"/>
                <w:sz w:val="21"/>
                <w:szCs w:val="21"/>
              </w:rPr>
              <w:t>不</w:t>
            </w:r>
            <w:r>
              <w:rPr>
                <w:rFonts w:ascii="宋体" w:hAnsi="宋体" w:cs="宋体" w:eastAsia="宋体" w:hint="default"/>
                <w:w w:val="100"/>
                <w:sz w:val="21"/>
                <w:szCs w:val="21"/>
              </w:rPr>
              <w:t>超</w:t>
            </w:r>
            <w:r>
              <w:rPr>
                <w:rFonts w:ascii="宋体" w:hAnsi="宋体" w:cs="宋体" w:eastAsia="宋体" w:hint="default"/>
                <w:spacing w:val="-3"/>
                <w:w w:val="100"/>
                <w:sz w:val="21"/>
                <w:szCs w:val="21"/>
              </w:rPr>
              <w:t>过</w:t>
            </w:r>
            <w:r>
              <w:rPr>
                <w:rFonts w:ascii="宋体" w:hAnsi="宋体" w:cs="宋体" w:eastAsia="宋体" w:hint="default"/>
                <w:w w:val="100"/>
                <w:sz w:val="21"/>
                <w:szCs w:val="21"/>
              </w:rPr>
              <w:t>其</w:t>
            </w:r>
            <w:r>
              <w:rPr>
                <w:rFonts w:ascii="宋体" w:hAnsi="宋体" w:cs="宋体" w:eastAsia="宋体" w:hint="default"/>
                <w:spacing w:val="-3"/>
                <w:w w:val="100"/>
                <w:sz w:val="21"/>
                <w:szCs w:val="21"/>
              </w:rPr>
              <w:t>所</w:t>
            </w:r>
            <w:r>
              <w:rPr>
                <w:rFonts w:ascii="宋体" w:hAnsi="宋体" w:cs="宋体" w:eastAsia="宋体" w:hint="default"/>
                <w:w w:val="100"/>
                <w:sz w:val="21"/>
                <w:szCs w:val="21"/>
              </w:rPr>
              <w:t>持</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份总</w:t>
            </w:r>
            <w:r>
              <w:rPr>
                <w:rFonts w:ascii="宋体" w:hAnsi="宋体" w:cs="宋体" w:eastAsia="宋体" w:hint="default"/>
                <w:spacing w:val="-3"/>
                <w:w w:val="100"/>
                <w:sz w:val="21"/>
                <w:szCs w:val="21"/>
              </w:rPr>
              <w:t>数</w:t>
            </w:r>
            <w:r>
              <w:rPr>
                <w:rFonts w:ascii="宋体" w:hAnsi="宋体" w:cs="宋体" w:eastAsia="宋体" w:hint="default"/>
                <w:w w:val="100"/>
                <w:sz w:val="21"/>
                <w:szCs w:val="21"/>
              </w:rPr>
              <w:t>的</w:t>
            </w:r>
            <w:r>
              <w:rPr>
                <w:rFonts w:ascii="宋体" w:hAnsi="宋体" w:cs="宋体" w:eastAsia="宋体" w:hint="default"/>
                <w:spacing w:val="-3"/>
                <w:w w:val="100"/>
                <w:sz w:val="21"/>
                <w:szCs w:val="21"/>
              </w:rPr>
              <w:t>百</w:t>
            </w:r>
            <w:r>
              <w:rPr>
                <w:rFonts w:ascii="宋体" w:hAnsi="宋体" w:cs="宋体" w:eastAsia="宋体" w:hint="default"/>
                <w:w w:val="100"/>
                <w:sz w:val="21"/>
                <w:szCs w:val="21"/>
              </w:rPr>
              <w:t>分</w:t>
            </w:r>
            <w:r>
              <w:rPr>
                <w:rFonts w:ascii="宋体" w:hAnsi="宋体" w:cs="宋体" w:eastAsia="宋体" w:hint="default"/>
                <w:spacing w:val="-3"/>
                <w:w w:val="100"/>
                <w:sz w:val="21"/>
                <w:szCs w:val="21"/>
              </w:rPr>
              <w:t>之</w:t>
            </w:r>
            <w:r>
              <w:rPr>
                <w:rFonts w:ascii="宋体" w:hAnsi="宋体" w:cs="宋体" w:eastAsia="宋体" w:hint="default"/>
                <w:w w:val="100"/>
                <w:sz w:val="21"/>
                <w:szCs w:val="21"/>
              </w:rPr>
              <w:t>二</w:t>
            </w:r>
            <w:r>
              <w:rPr>
                <w:rFonts w:ascii="宋体" w:hAnsi="宋体" w:cs="宋体" w:eastAsia="宋体" w:hint="default"/>
                <w:spacing w:val="-3"/>
                <w:w w:val="100"/>
                <w:sz w:val="21"/>
                <w:szCs w:val="21"/>
              </w:rPr>
              <w:t>十</w:t>
            </w:r>
            <w:r>
              <w:rPr>
                <w:rFonts w:ascii="宋体" w:hAnsi="宋体" w:cs="宋体" w:eastAsia="宋体" w:hint="default"/>
                <w:w w:val="100"/>
                <w:sz w:val="21"/>
                <w:szCs w:val="21"/>
              </w:rPr>
              <w:t>五</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离</w:t>
            </w:r>
            <w:r>
              <w:rPr>
                <w:rFonts w:ascii="宋体" w:hAnsi="宋体" w:cs="宋体" w:eastAsia="宋体" w:hint="default"/>
                <w:w w:val="100"/>
                <w:sz w:val="21"/>
                <w:szCs w:val="21"/>
              </w:rPr>
              <w:t>职后</w:t>
            </w:r>
            <w:r>
              <w:rPr>
                <w:rFonts w:ascii="宋体" w:hAnsi="宋体" w:cs="宋体" w:eastAsia="宋体" w:hint="default"/>
                <w:spacing w:val="-3"/>
                <w:w w:val="100"/>
                <w:sz w:val="21"/>
                <w:szCs w:val="21"/>
              </w:rPr>
              <w:t>半</w:t>
            </w:r>
            <w:r>
              <w:rPr>
                <w:rFonts w:ascii="宋体" w:hAnsi="宋体" w:cs="宋体" w:eastAsia="宋体" w:hint="default"/>
                <w:w w:val="100"/>
                <w:sz w:val="21"/>
                <w:szCs w:val="21"/>
              </w:rPr>
              <w:t>年</w:t>
            </w:r>
            <w:r>
              <w:rPr>
                <w:rFonts w:ascii="宋体" w:hAnsi="宋体" w:cs="宋体" w:eastAsia="宋体" w:hint="default"/>
                <w:spacing w:val="-3"/>
                <w:w w:val="100"/>
                <w:sz w:val="21"/>
                <w:szCs w:val="21"/>
              </w:rPr>
              <w:t>内</w:t>
            </w:r>
            <w:r>
              <w:rPr>
                <w:rFonts w:ascii="宋体" w:hAnsi="宋体" w:cs="宋体" w:eastAsia="宋体" w:hint="default"/>
                <w:w w:val="100"/>
                <w:sz w:val="21"/>
                <w:szCs w:val="21"/>
              </w:rPr>
              <w:t>不</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转让</w:t>
            </w:r>
            <w:r>
              <w:rPr>
                <w:rFonts w:ascii="宋体" w:hAnsi="宋体" w:cs="宋体" w:eastAsia="宋体" w:hint="default"/>
                <w:spacing w:val="-3"/>
                <w:w w:val="100"/>
                <w:sz w:val="21"/>
                <w:szCs w:val="21"/>
              </w:rPr>
              <w:t>其</w:t>
            </w:r>
            <w:r>
              <w:rPr>
                <w:rFonts w:ascii="宋体" w:hAnsi="宋体" w:cs="宋体" w:eastAsia="宋体" w:hint="default"/>
                <w:w w:val="100"/>
                <w:sz w:val="21"/>
                <w:szCs w:val="21"/>
              </w:rPr>
              <w:t>所</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spacing w:val="-97"/>
                <w:w w:val="100"/>
                <w:sz w:val="21"/>
                <w:szCs w:val="21"/>
              </w:rPr>
              <w:t>；</w:t>
            </w:r>
            <w:r>
              <w:rPr>
                <w:rFonts w:ascii="宋体" w:hAnsi="宋体" w:cs="宋体" w:eastAsia="宋体" w:hint="default"/>
                <w:w w:val="100"/>
                <w:sz w:val="21"/>
                <w:szCs w:val="21"/>
              </w:rPr>
              <w:t>在申</w:t>
            </w:r>
            <w:r>
              <w:rPr>
                <w:rFonts w:ascii="宋体" w:hAnsi="宋体" w:cs="宋体" w:eastAsia="宋体" w:hint="default"/>
                <w:spacing w:val="-3"/>
                <w:w w:val="100"/>
                <w:sz w:val="21"/>
                <w:szCs w:val="21"/>
              </w:rPr>
              <w:t>报</w:t>
            </w:r>
            <w:r>
              <w:rPr>
                <w:rFonts w:ascii="宋体" w:hAnsi="宋体" w:cs="宋体" w:eastAsia="宋体" w:hint="default"/>
                <w:w w:val="100"/>
                <w:sz w:val="21"/>
                <w:szCs w:val="21"/>
              </w:rPr>
              <w:t>离</w:t>
            </w:r>
            <w:r>
              <w:rPr>
                <w:rFonts w:ascii="宋体" w:hAnsi="宋体" w:cs="宋体" w:eastAsia="宋体" w:hint="default"/>
                <w:spacing w:val="-3"/>
                <w:w w:val="100"/>
                <w:sz w:val="21"/>
                <w:szCs w:val="21"/>
              </w:rPr>
              <w:t>任</w:t>
            </w:r>
            <w:r>
              <w:rPr>
                <w:rFonts w:ascii="宋体" w:hAnsi="宋体" w:cs="宋体" w:eastAsia="宋体" w:hint="default"/>
                <w:w w:val="100"/>
                <w:sz w:val="21"/>
                <w:szCs w:val="21"/>
              </w:rPr>
              <w:t>六</w:t>
            </w:r>
            <w:r>
              <w:rPr>
                <w:rFonts w:ascii="宋体" w:hAnsi="宋体" w:cs="宋体" w:eastAsia="宋体" w:hint="default"/>
                <w:spacing w:val="-3"/>
                <w:w w:val="100"/>
                <w:sz w:val="21"/>
                <w:szCs w:val="21"/>
              </w:rPr>
              <w:t>个</w:t>
            </w:r>
            <w:r>
              <w:rPr>
                <w:rFonts w:ascii="宋体" w:hAnsi="宋体" w:cs="宋体" w:eastAsia="宋体" w:hint="default"/>
                <w:w w:val="100"/>
                <w:sz w:val="21"/>
                <w:szCs w:val="21"/>
              </w:rPr>
              <w:t>月</w:t>
            </w:r>
            <w:r>
              <w:rPr>
                <w:rFonts w:ascii="宋体" w:hAnsi="宋体" w:cs="宋体" w:eastAsia="宋体" w:hint="default"/>
                <w:spacing w:val="-3"/>
                <w:w w:val="100"/>
                <w:sz w:val="21"/>
                <w:szCs w:val="21"/>
              </w:rPr>
              <w:t>后</w:t>
            </w:r>
            <w:r>
              <w:rPr>
                <w:rFonts w:ascii="宋体" w:hAnsi="宋体" w:cs="宋体" w:eastAsia="宋体" w:hint="default"/>
                <w:w w:val="100"/>
                <w:sz w:val="21"/>
                <w:szCs w:val="21"/>
              </w:rPr>
              <w:t>的</w:t>
            </w:r>
            <w:r>
              <w:rPr>
                <w:rFonts w:ascii="宋体" w:hAnsi="宋体" w:cs="宋体" w:eastAsia="宋体" w:hint="default"/>
                <w:spacing w:val="-3"/>
                <w:w w:val="100"/>
                <w:sz w:val="21"/>
                <w:szCs w:val="21"/>
              </w:rPr>
              <w:t>十</w:t>
            </w:r>
            <w:r>
              <w:rPr>
                <w:rFonts w:ascii="宋体" w:hAnsi="宋体" w:cs="宋体" w:eastAsia="宋体" w:hint="default"/>
                <w:w w:val="100"/>
                <w:sz w:val="21"/>
                <w:szCs w:val="21"/>
              </w:rPr>
              <w:t>二个</w:t>
            </w:r>
            <w:r>
              <w:rPr>
                <w:rFonts w:ascii="宋体" w:hAnsi="宋体" w:cs="宋体" w:eastAsia="宋体" w:hint="default"/>
                <w:spacing w:val="-3"/>
                <w:w w:val="100"/>
                <w:sz w:val="21"/>
                <w:szCs w:val="21"/>
              </w:rPr>
              <w:t>月</w:t>
            </w:r>
            <w:r>
              <w:rPr>
                <w:rFonts w:ascii="宋体" w:hAnsi="宋体" w:cs="宋体" w:eastAsia="宋体" w:hint="default"/>
                <w:w w:val="100"/>
                <w:sz w:val="21"/>
                <w:szCs w:val="21"/>
              </w:rPr>
              <w:t>内</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所</w:t>
            </w:r>
            <w:r>
              <w:rPr>
                <w:rFonts w:ascii="宋体" w:hAnsi="宋体" w:cs="宋体" w:eastAsia="宋体" w:hint="default"/>
                <w:w w:val="100"/>
                <w:sz w:val="21"/>
                <w:szCs w:val="21"/>
              </w:rPr>
              <w:t>挂牌</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出</w:t>
            </w:r>
            <w:r>
              <w:rPr>
                <w:rFonts w:ascii="宋体" w:hAnsi="宋体" w:cs="宋体" w:eastAsia="宋体" w:hint="default"/>
                <w:w w:val="100"/>
                <w:sz w:val="21"/>
                <w:szCs w:val="21"/>
              </w:rPr>
              <w:t>售</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公司股票数量占其持有公司股票总数的比例不超过百分之五十。股东王秀花、王凯、黄天菊</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分别作为吕宾、王静、黄福林的直系亲属，承诺：自发行人股票上市之日起三十六个月内</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不转</w:t>
            </w:r>
            <w:r>
              <w:rPr>
                <w:rFonts w:ascii="宋体" w:hAnsi="宋体" w:cs="宋体" w:eastAsia="宋体" w:hint="default"/>
                <w:spacing w:val="-3"/>
                <w:w w:val="100"/>
                <w:sz w:val="21"/>
                <w:szCs w:val="21"/>
              </w:rPr>
              <w:t>让</w:t>
            </w:r>
            <w:r>
              <w:rPr>
                <w:rFonts w:ascii="宋体" w:hAnsi="宋体" w:cs="宋体" w:eastAsia="宋体" w:hint="default"/>
                <w:w w:val="100"/>
                <w:sz w:val="21"/>
                <w:szCs w:val="21"/>
              </w:rPr>
              <w:t>或</w:t>
            </w:r>
            <w:r>
              <w:rPr>
                <w:rFonts w:ascii="宋体" w:hAnsi="宋体" w:cs="宋体" w:eastAsia="宋体" w:hint="default"/>
                <w:spacing w:val="-3"/>
                <w:w w:val="100"/>
                <w:sz w:val="21"/>
                <w:szCs w:val="21"/>
              </w:rPr>
              <w:t>者</w:t>
            </w:r>
            <w:r>
              <w:rPr>
                <w:rFonts w:ascii="宋体" w:hAnsi="宋体" w:cs="宋体" w:eastAsia="宋体" w:hint="default"/>
                <w:w w:val="100"/>
                <w:sz w:val="21"/>
                <w:szCs w:val="21"/>
              </w:rPr>
              <w:t>委</w:t>
            </w:r>
            <w:r>
              <w:rPr>
                <w:rFonts w:ascii="宋体" w:hAnsi="宋体" w:cs="宋体" w:eastAsia="宋体" w:hint="default"/>
                <w:spacing w:val="-3"/>
                <w:w w:val="100"/>
                <w:sz w:val="21"/>
                <w:szCs w:val="21"/>
              </w:rPr>
              <w:t>托</w:t>
            </w:r>
            <w:r>
              <w:rPr>
                <w:rFonts w:ascii="宋体" w:hAnsi="宋体" w:cs="宋体" w:eastAsia="宋体" w:hint="default"/>
                <w:w w:val="100"/>
                <w:sz w:val="21"/>
                <w:szCs w:val="21"/>
              </w:rPr>
              <w:t>他</w:t>
            </w:r>
            <w:r>
              <w:rPr>
                <w:rFonts w:ascii="宋体" w:hAnsi="宋体" w:cs="宋体" w:eastAsia="宋体" w:hint="default"/>
                <w:spacing w:val="-3"/>
                <w:w w:val="100"/>
                <w:sz w:val="21"/>
                <w:szCs w:val="21"/>
              </w:rPr>
              <w:t>人</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其本</w:t>
            </w:r>
            <w:r>
              <w:rPr>
                <w:rFonts w:ascii="宋体" w:hAnsi="宋体" w:cs="宋体" w:eastAsia="宋体" w:hint="default"/>
                <w:spacing w:val="-3"/>
                <w:w w:val="100"/>
                <w:sz w:val="21"/>
                <w:szCs w:val="21"/>
              </w:rPr>
              <w:t>次</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之</w:t>
            </w:r>
            <w:r>
              <w:rPr>
                <w:rFonts w:ascii="宋体" w:hAnsi="宋体" w:cs="宋体" w:eastAsia="宋体" w:hint="default"/>
                <w:spacing w:val="-3"/>
                <w:w w:val="100"/>
                <w:sz w:val="21"/>
                <w:szCs w:val="21"/>
              </w:rPr>
              <w:t>前</w:t>
            </w:r>
            <w:r>
              <w:rPr>
                <w:rFonts w:ascii="宋体" w:hAnsi="宋体" w:cs="宋体" w:eastAsia="宋体" w:hint="default"/>
                <w:w w:val="100"/>
                <w:sz w:val="21"/>
                <w:szCs w:val="21"/>
              </w:rPr>
              <w:t>直</w:t>
            </w:r>
            <w:r>
              <w:rPr>
                <w:rFonts w:ascii="宋体" w:hAnsi="宋体" w:cs="宋体" w:eastAsia="宋体" w:hint="default"/>
                <w:spacing w:val="-3"/>
                <w:w w:val="100"/>
                <w:sz w:val="21"/>
                <w:szCs w:val="21"/>
              </w:rPr>
              <w:t>接</w:t>
            </w:r>
            <w:r>
              <w:rPr>
                <w:rFonts w:ascii="宋体" w:hAnsi="宋体" w:cs="宋体" w:eastAsia="宋体" w:hint="default"/>
                <w:w w:val="100"/>
                <w:sz w:val="21"/>
                <w:szCs w:val="21"/>
              </w:rPr>
              <w:t>或</w:t>
            </w:r>
            <w:r>
              <w:rPr>
                <w:rFonts w:ascii="宋体" w:hAnsi="宋体" w:cs="宋体" w:eastAsia="宋体" w:hint="default"/>
                <w:spacing w:val="-3"/>
                <w:w w:val="100"/>
                <w:sz w:val="21"/>
                <w:szCs w:val="21"/>
              </w:rPr>
              <w:t>间</w:t>
            </w:r>
            <w:r>
              <w:rPr>
                <w:rFonts w:ascii="宋体" w:hAnsi="宋体" w:cs="宋体" w:eastAsia="宋体" w:hint="default"/>
                <w:w w:val="100"/>
                <w:sz w:val="21"/>
                <w:szCs w:val="21"/>
              </w:rPr>
              <w:t>接持</w:t>
            </w:r>
            <w:r>
              <w:rPr>
                <w:rFonts w:ascii="宋体" w:hAnsi="宋体" w:cs="宋体" w:eastAsia="宋体" w:hint="default"/>
                <w:spacing w:val="-3"/>
                <w:w w:val="100"/>
                <w:sz w:val="21"/>
                <w:szCs w:val="21"/>
              </w:rPr>
              <w:t>有</w:t>
            </w:r>
            <w:r>
              <w:rPr>
                <w:rFonts w:ascii="宋体" w:hAnsi="宋体" w:cs="宋体" w:eastAsia="宋体" w:hint="default"/>
                <w:w w:val="100"/>
                <w:sz w:val="21"/>
                <w:szCs w:val="21"/>
              </w:rPr>
              <w:t>的</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97"/>
                <w:w w:val="100"/>
                <w:sz w:val="21"/>
                <w:szCs w:val="21"/>
              </w:rPr>
              <w:t>，</w:t>
            </w:r>
            <w:r>
              <w:rPr>
                <w:rFonts w:ascii="宋体" w:hAnsi="宋体" w:cs="宋体" w:eastAsia="宋体" w:hint="default"/>
                <w:w w:val="100"/>
                <w:sz w:val="21"/>
                <w:szCs w:val="21"/>
              </w:rPr>
              <w:t>也</w:t>
            </w:r>
            <w:r>
              <w:rPr>
                <w:rFonts w:ascii="宋体" w:hAnsi="宋体" w:cs="宋体" w:eastAsia="宋体" w:hint="default"/>
                <w:spacing w:val="-3"/>
                <w:w w:val="100"/>
                <w:sz w:val="21"/>
                <w:szCs w:val="21"/>
              </w:rPr>
              <w:t>不由</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回</w:t>
            </w:r>
            <w:r>
              <w:rPr>
                <w:rFonts w:ascii="宋体" w:hAnsi="宋体" w:cs="宋体" w:eastAsia="宋体" w:hint="default"/>
                <w:w w:val="100"/>
                <w:sz w:val="21"/>
                <w:szCs w:val="21"/>
              </w:rPr>
              <w:t>购</w:t>
            </w:r>
            <w:r>
              <w:rPr>
                <w:rFonts w:ascii="宋体" w:hAnsi="宋体" w:cs="宋体" w:eastAsia="宋体" w:hint="default"/>
                <w:spacing w:val="-3"/>
                <w:w w:val="100"/>
                <w:sz w:val="21"/>
                <w:szCs w:val="21"/>
              </w:rPr>
              <w:t>此</w:t>
            </w:r>
            <w:r>
              <w:rPr>
                <w:rFonts w:ascii="宋体" w:hAnsi="宋体" w:cs="宋体" w:eastAsia="宋体" w:hint="default"/>
                <w:w w:val="100"/>
                <w:sz w:val="21"/>
                <w:szCs w:val="21"/>
              </w:rPr>
              <w:t>部</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分股份。前述承诺期满后，在各自亲属任职期间每年转让的股份不超过其所持公司股份总数</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的百分之二十五；在各自亲属离职后半年内不转让其所持有的公司股份；在各自亲属申报离</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任六个月后的十二个月内通过证券交易所挂牌交易出售公司股票数量占其持有公司股票总</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数的比例不超过百分之五十。其他股东承诺：自公司股票上市之日起十二个月内，不转让或</w:t>
            </w:r>
          </w:p>
        </w:tc>
        <w:tc>
          <w:tcPr>
            <w:tcW w:w="1133"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2"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366"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者委托他人管理本次发行之前持有的公司股份，也不由公司回购此部分股份。</w:t>
            </w:r>
          </w:p>
        </w:tc>
        <w:tc>
          <w:tcPr>
            <w:tcW w:w="1133" w:type="dxa"/>
            <w:tcBorders>
              <w:top w:val="nil" w:sz="6" w:space="0" w:color="auto"/>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2"/>
              <w:jc w:val="left"/>
              <w:rPr>
                <w:rFonts w:ascii="宋体" w:hAnsi="宋体" w:cs="宋体" w:eastAsia="宋体" w:hint="default"/>
                <w:sz w:val="21"/>
                <w:szCs w:val="21"/>
              </w:rPr>
            </w:pPr>
            <w:r>
              <w:rPr>
                <w:rFonts w:ascii="宋体" w:hAnsi="宋体" w:cs="宋体" w:eastAsia="宋体" w:hint="default"/>
                <w:sz w:val="21"/>
                <w:szCs w:val="21"/>
              </w:rPr>
              <w:t>其他对公司中小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股东所作承诺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83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2"/>
              <w:jc w:val="left"/>
              <w:rPr>
                <w:rFonts w:ascii="宋体" w:hAnsi="宋体" w:cs="宋体" w:eastAsia="宋体" w:hint="default"/>
                <w:sz w:val="21"/>
                <w:szCs w:val="21"/>
              </w:rPr>
            </w:pPr>
            <w:r>
              <w:rPr>
                <w:rFonts w:ascii="宋体" w:hAnsi="宋体" w:cs="宋体" w:eastAsia="宋体" w:hint="default"/>
                <w:sz w:val="21"/>
                <w:szCs w:val="21"/>
              </w:rPr>
              <w:t>承诺是否及时履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w:t>
            </w:r>
          </w:p>
        </w:tc>
        <w:tc>
          <w:tcPr>
            <w:tcW w:w="130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59"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未完成履行的具</w:t>
            </w:r>
          </w:p>
        </w:tc>
        <w:tc>
          <w:tcPr>
            <w:tcW w:w="13044" w:type="dxa"/>
            <w:gridSpan w:val="5"/>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体原因及下一步</w:t>
            </w:r>
          </w:p>
        </w:tc>
        <w:tc>
          <w:tcPr>
            <w:tcW w:w="13044" w:type="dxa"/>
            <w:gridSpan w:val="5"/>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57" w:hRule="exact"/>
        </w:trPr>
        <w:tc>
          <w:tcPr>
            <w:tcW w:w="1702"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计划（如有）</w:t>
            </w:r>
          </w:p>
        </w:tc>
        <w:tc>
          <w:tcPr>
            <w:tcW w:w="13044" w:type="dxa"/>
            <w:gridSpan w:val="5"/>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84" w:footer="1011" w:top="1100" w:bottom="1200" w:left="1320" w:right="540"/>
        </w:sectPr>
      </w:pPr>
    </w:p>
    <w:p>
      <w:pPr>
        <w:spacing w:line="240" w:lineRule="auto" w:before="10"/>
        <w:rPr>
          <w:rFonts w:ascii="Times New Roman" w:hAnsi="Times New Roman" w:cs="Times New Roman" w:eastAsia="Times New Roman" w:hint="default"/>
          <w:sz w:val="22"/>
          <w:szCs w:val="22"/>
        </w:rPr>
      </w:pPr>
    </w:p>
    <w:p>
      <w:pPr>
        <w:pStyle w:val="BodyText"/>
        <w:spacing w:line="292" w:lineRule="auto" w:before="26"/>
        <w:ind w:right="0"/>
        <w:jc w:val="left"/>
      </w:pPr>
      <w:r>
        <w:rPr>
          <w:rFonts w:ascii="Arial" w:hAnsi="Arial" w:cs="Arial" w:eastAsia="Arial" w:hint="default"/>
          <w:spacing w:val="-3"/>
        </w:rPr>
        <w:t>2</w:t>
      </w:r>
      <w:r>
        <w:rPr>
          <w:spacing w:val="-3"/>
        </w:rPr>
        <w:t>、公司资产或项目存在盈利预测，且报告期仍处在盈利预测期间，公司就资产或项目达到原</w:t>
      </w:r>
      <w:r>
        <w:rPr>
          <w:spacing w:val="-95"/>
        </w:rPr>
        <w:t> </w:t>
      </w:r>
      <w:r>
        <w:rPr>
          <w:spacing w:val="-95"/>
        </w:rPr>
      </w:r>
      <w:r>
        <w:rPr/>
        <w:t>盈利预测及其原因做出说明</w:t>
      </w:r>
    </w:p>
    <w:p>
      <w:pPr>
        <w:pStyle w:val="BodyText"/>
        <w:spacing w:line="240" w:lineRule="auto" w:before="79"/>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5"/>
        <w:gridCol w:w="1214"/>
        <w:gridCol w:w="1213"/>
        <w:gridCol w:w="1214"/>
        <w:gridCol w:w="1212"/>
        <w:gridCol w:w="1212"/>
        <w:gridCol w:w="1217"/>
        <w:gridCol w:w="1075"/>
      </w:tblGrid>
      <w:tr>
        <w:trPr>
          <w:trHeight w:val="1066" w:hRule="exact"/>
        </w:trPr>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76" w:right="72"/>
              <w:jc w:val="center"/>
              <w:rPr>
                <w:rFonts w:ascii="宋体" w:hAnsi="宋体" w:cs="宋体" w:eastAsia="宋体" w:hint="default"/>
                <w:sz w:val="21"/>
                <w:szCs w:val="21"/>
              </w:rPr>
            </w:pPr>
            <w:r>
              <w:rPr>
                <w:rFonts w:ascii="宋体" w:hAnsi="宋体" w:cs="宋体" w:eastAsia="宋体" w:hint="default"/>
                <w:sz w:val="21"/>
                <w:szCs w:val="21"/>
              </w:rPr>
              <w:t>盈利预测资</w:t>
            </w:r>
            <w:r>
              <w:rPr>
                <w:rFonts w:ascii="宋体" w:hAnsi="宋体" w:cs="宋体" w:eastAsia="宋体" w:hint="default"/>
                <w:w w:val="100"/>
                <w:sz w:val="21"/>
                <w:szCs w:val="21"/>
              </w:rPr>
              <w:t> </w:t>
            </w:r>
            <w:r>
              <w:rPr>
                <w:rFonts w:ascii="宋体" w:hAnsi="宋体" w:cs="宋体" w:eastAsia="宋体" w:hint="default"/>
                <w:sz w:val="21"/>
                <w:szCs w:val="21"/>
              </w:rPr>
              <w:t>产或项目名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07" w:lineRule="auto"/>
              <w:ind w:left="391" w:right="177" w:hanging="209"/>
              <w:jc w:val="left"/>
              <w:rPr>
                <w:rFonts w:ascii="宋体" w:hAnsi="宋体" w:cs="宋体" w:eastAsia="宋体" w:hint="default"/>
                <w:sz w:val="21"/>
                <w:szCs w:val="21"/>
              </w:rPr>
            </w:pPr>
            <w:r>
              <w:rPr>
                <w:rFonts w:ascii="宋体" w:hAnsi="宋体" w:cs="宋体" w:eastAsia="宋体" w:hint="default"/>
                <w:sz w:val="21"/>
                <w:szCs w:val="21"/>
              </w:rPr>
              <w:t>预测起始</w:t>
            </w:r>
            <w:r>
              <w:rPr>
                <w:rFonts w:ascii="宋体" w:hAnsi="宋体" w:cs="宋体" w:eastAsia="宋体" w:hint="default"/>
                <w:w w:val="100"/>
                <w:sz w:val="21"/>
                <w:szCs w:val="21"/>
              </w:rPr>
              <w:t> </w:t>
            </w:r>
            <w:r>
              <w:rPr>
                <w:rFonts w:ascii="宋体" w:hAnsi="宋体" w:cs="宋体" w:eastAsia="宋体" w:hint="default"/>
                <w:sz w:val="21"/>
                <w:szCs w:val="21"/>
              </w:rPr>
              <w:t>时间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07" w:lineRule="auto"/>
              <w:ind w:left="391" w:right="176" w:hanging="210"/>
              <w:jc w:val="left"/>
              <w:rPr>
                <w:rFonts w:ascii="宋体" w:hAnsi="宋体" w:cs="宋体" w:eastAsia="宋体" w:hint="default"/>
                <w:sz w:val="21"/>
                <w:szCs w:val="21"/>
              </w:rPr>
            </w:pPr>
            <w:r>
              <w:rPr>
                <w:rFonts w:ascii="宋体" w:hAnsi="宋体" w:cs="宋体" w:eastAsia="宋体" w:hint="default"/>
                <w:sz w:val="21"/>
                <w:szCs w:val="21"/>
              </w:rPr>
              <w:t>预测终止</w:t>
            </w:r>
            <w:r>
              <w:rPr>
                <w:rFonts w:ascii="宋体" w:hAnsi="宋体" w:cs="宋体" w:eastAsia="宋体" w:hint="default"/>
                <w:w w:val="100"/>
                <w:sz w:val="21"/>
                <w:szCs w:val="21"/>
              </w:rPr>
              <w:t> </w:t>
            </w:r>
            <w:r>
              <w:rPr>
                <w:rFonts w:ascii="宋体" w:hAnsi="宋体" w:cs="宋体" w:eastAsia="宋体" w:hint="default"/>
                <w:sz w:val="21"/>
                <w:szCs w:val="21"/>
              </w:rPr>
              <w:t>时间</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71" w:lineRule="auto"/>
              <w:ind w:left="76" w:right="72"/>
              <w:jc w:val="left"/>
              <w:rPr>
                <w:rFonts w:ascii="宋体" w:hAnsi="宋体" w:cs="宋体" w:eastAsia="宋体" w:hint="default"/>
                <w:sz w:val="21"/>
                <w:szCs w:val="21"/>
              </w:rPr>
            </w:pPr>
            <w:r>
              <w:rPr>
                <w:rFonts w:ascii="宋体" w:hAnsi="宋体" w:cs="宋体" w:eastAsia="宋体" w:hint="default"/>
                <w:sz w:val="21"/>
                <w:szCs w:val="21"/>
              </w:rPr>
              <w:t>当期预测业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71" w:lineRule="auto"/>
              <w:ind w:left="76" w:right="70"/>
              <w:jc w:val="left"/>
              <w:rPr>
                <w:rFonts w:ascii="宋体" w:hAnsi="宋体" w:cs="宋体" w:eastAsia="宋体" w:hint="default"/>
                <w:sz w:val="21"/>
                <w:szCs w:val="21"/>
              </w:rPr>
            </w:pPr>
            <w:r>
              <w:rPr>
                <w:rFonts w:ascii="宋体" w:hAnsi="宋体" w:cs="宋体" w:eastAsia="宋体" w:hint="default"/>
                <w:sz w:val="21"/>
                <w:szCs w:val="21"/>
              </w:rPr>
              <w:t>当期实际业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91" w:right="69" w:hanging="315"/>
              <w:jc w:val="left"/>
              <w:rPr>
                <w:rFonts w:ascii="宋体" w:hAnsi="宋体" w:cs="宋体" w:eastAsia="宋体" w:hint="default"/>
                <w:sz w:val="21"/>
                <w:szCs w:val="21"/>
              </w:rPr>
            </w:pPr>
            <w:r>
              <w:rPr>
                <w:rFonts w:ascii="宋体" w:hAnsi="宋体" w:cs="宋体" w:eastAsia="宋体" w:hint="default"/>
                <w:sz w:val="21"/>
                <w:szCs w:val="21"/>
              </w:rPr>
              <w:t>未达预测的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原因</w:t>
            </w:r>
          </w:p>
          <w:p>
            <w:pPr>
              <w:pStyle w:val="TableParagraph"/>
              <w:spacing w:line="240" w:lineRule="auto" w:before="48"/>
              <w:ind w:left="76" w:right="0"/>
              <w:jc w:val="left"/>
              <w:rPr>
                <w:rFonts w:ascii="宋体" w:hAnsi="宋体" w:cs="宋体" w:eastAsia="宋体" w:hint="default"/>
                <w:sz w:val="21"/>
                <w:szCs w:val="21"/>
              </w:rPr>
            </w:pPr>
            <w:r>
              <w:rPr>
                <w:rFonts w:ascii="宋体" w:hAnsi="宋体" w:cs="宋体" w:eastAsia="宋体" w:hint="default"/>
                <w:sz w:val="21"/>
                <w:szCs w:val="21"/>
              </w:rPr>
              <w:t>（如适用）</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07" w:lineRule="auto"/>
              <w:ind w:left="182" w:right="180" w:firstLine="105"/>
              <w:jc w:val="left"/>
              <w:rPr>
                <w:rFonts w:ascii="宋体" w:hAnsi="宋体" w:cs="宋体" w:eastAsia="宋体" w:hint="default"/>
                <w:sz w:val="21"/>
                <w:szCs w:val="21"/>
              </w:rPr>
            </w:pPr>
            <w:r>
              <w:rPr>
                <w:rFonts w:ascii="宋体" w:hAnsi="宋体" w:cs="宋体" w:eastAsia="宋体" w:hint="default"/>
                <w:sz w:val="21"/>
                <w:szCs w:val="21"/>
              </w:rPr>
              <w:t>原预测</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71" w:lineRule="auto"/>
              <w:ind w:left="218" w:right="108" w:hanging="106"/>
              <w:jc w:val="left"/>
              <w:rPr>
                <w:rFonts w:ascii="宋体" w:hAnsi="宋体" w:cs="宋体" w:eastAsia="宋体" w:hint="default"/>
                <w:sz w:val="21"/>
                <w:szCs w:val="21"/>
              </w:rPr>
            </w:pPr>
            <w:r>
              <w:rPr>
                <w:rFonts w:ascii="宋体" w:hAnsi="宋体" w:cs="宋体" w:eastAsia="宋体" w:hint="default"/>
                <w:sz w:val="21"/>
                <w:szCs w:val="21"/>
              </w:rPr>
              <w:t>原预测披</w:t>
            </w:r>
            <w:r>
              <w:rPr>
                <w:rFonts w:ascii="宋体" w:hAnsi="宋体" w:cs="宋体" w:eastAsia="宋体" w:hint="default"/>
                <w:w w:val="100"/>
                <w:sz w:val="21"/>
                <w:szCs w:val="21"/>
              </w:rPr>
              <w:t> </w:t>
            </w:r>
            <w:r>
              <w:rPr>
                <w:rFonts w:ascii="宋体" w:hAnsi="宋体" w:cs="宋体" w:eastAsia="宋体" w:hint="default"/>
                <w:sz w:val="21"/>
                <w:szCs w:val="21"/>
              </w:rPr>
              <w:t>露索引</w:t>
            </w: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25"/>
              <w:jc w:val="both"/>
              <w:rPr>
                <w:rFonts w:ascii="宋体" w:hAnsi="宋体" w:cs="宋体" w:eastAsia="宋体" w:hint="default"/>
                <w:sz w:val="21"/>
                <w:szCs w:val="21"/>
              </w:rPr>
            </w:pPr>
            <w:r>
              <w:rPr>
                <w:rFonts w:ascii="宋体" w:hAnsi="宋体" w:cs="宋体" w:eastAsia="宋体" w:hint="default"/>
                <w:sz w:val="21"/>
                <w:szCs w:val="21"/>
              </w:rPr>
              <w:t>上海浦东中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软科技发展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利预测审核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报告</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9"/>
              <w:ind w:left="2"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40" w:lineRule="auto" w:before="63"/>
              <w:ind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9"/>
              <w:ind w:left="5"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40" w:lineRule="auto" w:before="63"/>
              <w:ind w:left="2"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362" w:right="0"/>
              <w:jc w:val="left"/>
              <w:rPr>
                <w:rFonts w:ascii="Arial" w:hAnsi="Arial" w:cs="Arial" w:eastAsia="Arial" w:hint="default"/>
                <w:sz w:val="21"/>
                <w:szCs w:val="21"/>
              </w:rPr>
            </w:pPr>
            <w:r>
              <w:rPr>
                <w:rFonts w:ascii="Arial"/>
                <w:sz w:val="21"/>
              </w:rPr>
              <w:t>2,002.98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362" w:right="0"/>
              <w:jc w:val="left"/>
              <w:rPr>
                <w:rFonts w:ascii="Arial" w:hAnsi="Arial" w:cs="Arial" w:eastAsia="Arial" w:hint="default"/>
                <w:sz w:val="21"/>
                <w:szCs w:val="21"/>
              </w:rPr>
            </w:pPr>
            <w:r>
              <w:rPr>
                <w:rFonts w:ascii="Arial"/>
                <w:sz w:val="21"/>
              </w:rPr>
              <w:t>2,064.13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8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9"/>
              <w:ind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40" w:lineRule="auto" w:before="63"/>
              <w:ind w:left="2" w:right="0"/>
              <w:jc w:val="center"/>
              <w:rPr>
                <w:rFonts w:ascii="宋体" w:hAnsi="宋体" w:cs="宋体" w:eastAsia="宋体" w:hint="default"/>
                <w:sz w:val="21"/>
                <w:szCs w:val="21"/>
              </w:rPr>
            </w:pPr>
            <w:r>
              <w:rPr>
                <w:rFonts w:ascii="Arial" w:hAnsi="Arial" w:cs="Arial" w:eastAsia="Arial" w:hint="default"/>
                <w:sz w:val="21"/>
                <w:szCs w:val="21"/>
              </w:rPr>
              <w:t>09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90" w:lineRule="auto"/>
              <w:ind w:left="23" w:right="81"/>
              <w:jc w:val="left"/>
              <w:rPr>
                <w:rFonts w:ascii="Arial" w:hAnsi="Arial" w:cs="Arial" w:eastAsia="Arial" w:hint="default"/>
                <w:sz w:val="21"/>
                <w:szCs w:val="21"/>
              </w:rPr>
            </w:pPr>
            <w:r>
              <w:rPr>
                <w:rFonts w:ascii="宋体" w:hAnsi="宋体" w:cs="宋体" w:eastAsia="宋体" w:hint="default"/>
                <w:sz w:val="21"/>
                <w:szCs w:val="21"/>
              </w:rPr>
              <w:t>巨潮资讯</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Arial" w:hAnsi="Arial" w:cs="Arial" w:eastAsia="Arial" w:hint="default"/>
                <w:sz w:val="21"/>
                <w:szCs w:val="21"/>
              </w:rPr>
              <w:t>www.cninf</w:t>
            </w:r>
          </w:p>
          <w:p>
            <w:pPr>
              <w:pStyle w:val="TableParagraph"/>
              <w:spacing w:line="240" w:lineRule="auto" w:before="22"/>
              <w:ind w:left="23" w:right="0"/>
              <w:jc w:val="left"/>
              <w:rPr>
                <w:rFonts w:ascii="Arial" w:hAnsi="Arial" w:cs="Arial" w:eastAsia="Arial" w:hint="default"/>
                <w:sz w:val="21"/>
                <w:szCs w:val="21"/>
              </w:rPr>
            </w:pPr>
            <w:r>
              <w:rPr>
                <w:rFonts w:ascii="Arial"/>
                <w:sz w:val="21"/>
              </w:rPr>
              <w:t>o.com.cn</w:t>
            </w:r>
          </w:p>
        </w:tc>
      </w:tr>
    </w:tbl>
    <w:p>
      <w:pPr>
        <w:spacing w:line="240" w:lineRule="auto" w:before="1"/>
        <w:rPr>
          <w:rFonts w:ascii="宋体" w:hAnsi="宋体" w:cs="宋体" w:eastAsia="宋体" w:hint="default"/>
          <w:sz w:val="18"/>
          <w:szCs w:val="18"/>
        </w:rPr>
      </w:pPr>
    </w:p>
    <w:p>
      <w:pPr>
        <w:spacing w:line="468" w:lineRule="auto" w:before="26"/>
        <w:ind w:left="152" w:right="6160" w:firstLine="0"/>
        <w:jc w:val="left"/>
        <w:rPr>
          <w:rFonts w:ascii="宋体" w:hAnsi="宋体" w:cs="宋体" w:eastAsia="宋体" w:hint="default"/>
          <w:sz w:val="24"/>
          <w:szCs w:val="24"/>
        </w:rPr>
      </w:pPr>
      <w:r>
        <w:rPr/>
        <w:pict>
          <v:shape style="position:absolute;margin-left:56.400002pt;margin-top:51.435619pt;width:479.3pt;height:81.0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7"/>
                    <w:gridCol w:w="5684"/>
                  </w:tblGrid>
                  <w:tr>
                    <w:trPr>
                      <w:trHeight w:val="403"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中审华寅五洲会计师事务所</w:t>
                        </w:r>
                      </w:p>
                    </w:tc>
                  </w:tr>
                  <w:tr>
                    <w:trPr>
                      <w:trHeight w:val="401"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50</w:t>
                        </w:r>
                      </w:p>
                    </w:tc>
                  </w:tr>
                  <w:tr>
                    <w:trPr>
                      <w:trHeight w:val="403"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404"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易冬、李威</w:t>
                        </w:r>
                      </w:p>
                    </w:tc>
                  </w:tr>
                </w:tbl>
                <w:p>
                  <w:pPr/>
                </w:p>
              </w:txbxContent>
            </v:textbox>
            <w10:wrap type="none"/>
          </v:shape>
        </w:pict>
      </w:r>
      <w:r>
        <w:rPr>
          <w:rFonts w:ascii="宋体" w:hAnsi="宋体" w:cs="宋体" w:eastAsia="宋体" w:hint="default"/>
          <w:b/>
          <w:bCs/>
          <w:sz w:val="24"/>
          <w:szCs w:val="24"/>
        </w:rPr>
        <w:t>九、聘任、解聘会计师事务所情况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26"/>
        <w:ind w:right="0"/>
        <w:jc w:val="left"/>
      </w:pPr>
      <w:r>
        <w:rPr/>
        <w:t>是否改聘会计师事务所</w:t>
      </w:r>
    </w:p>
    <w:p>
      <w:pPr>
        <w:pStyle w:val="Heading3"/>
        <w:spacing w:line="324" w:lineRule="auto" w:before="151"/>
        <w:ind w:right="136"/>
        <w:jc w:val="left"/>
        <w:rPr>
          <w:b w:val="0"/>
          <w:bCs w:val="0"/>
        </w:rPr>
      </w:pPr>
      <w:r>
        <w:rPr>
          <w:rFonts w:ascii="Arial" w:hAnsi="Arial" w:cs="Arial" w:eastAsia="Arial" w:hint="default"/>
          <w:b w:val="0"/>
          <w:bCs w:val="0"/>
        </w:rPr>
        <w:t>□ </w:t>
      </w:r>
      <w:r>
        <w:rPr>
          <w:rFonts w:ascii="宋体" w:hAnsi="宋体" w:cs="宋体" w:eastAsia="宋体" w:hint="default"/>
          <w:b w:val="0"/>
          <w:bCs w:val="0"/>
        </w:rPr>
        <w:t>是 </w:t>
      </w:r>
      <w:r>
        <w:rPr>
          <w:rFonts w:ascii="Arial" w:hAnsi="Arial" w:cs="Arial" w:eastAsia="Arial" w:hint="default"/>
          <w:b w:val="0"/>
          <w:bCs w:val="0"/>
        </w:rPr>
        <w:t>√</w:t>
      </w:r>
      <w:r>
        <w:rPr>
          <w:rFonts w:ascii="Arial" w:hAnsi="Arial" w:cs="Arial" w:eastAsia="Arial" w:hint="default"/>
          <w:b w:val="0"/>
          <w:bCs w:val="0"/>
          <w:spacing w:val="38"/>
        </w:rPr>
        <w:t> </w:t>
      </w:r>
      <w:r>
        <w:rPr>
          <w:rFonts w:ascii="宋体" w:hAnsi="宋体" w:cs="宋体" w:eastAsia="宋体" w:hint="default"/>
          <w:b w:val="0"/>
          <w:bCs w:val="0"/>
        </w:rPr>
        <w:t>否 </w:t>
      </w:r>
      <w:r>
        <w:rPr/>
        <w:t>十、上市公司及其董事、监事、高级管理人员、公司股东、实际控制人和收购人处罚及整改</w:t>
      </w:r>
      <w:r>
        <w:rPr>
          <w:w w:val="99"/>
        </w:rPr>
        <w:t> </w:t>
      </w:r>
      <w:r>
        <w:rPr/>
        <w:t>情况</w:t>
      </w:r>
      <w:r>
        <w:rPr>
          <w:b w:val="0"/>
          <w:bCs w:val="0"/>
        </w:rPr>
      </w:r>
    </w:p>
    <w:p>
      <w:pPr>
        <w:pStyle w:val="BodyText"/>
        <w:spacing w:line="338" w:lineRule="auto" w:before="70"/>
        <w:ind w:right="28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上市公司及其子公司是否被列入环保部门公布的污染严重企业名单</w:t>
      </w:r>
    </w:p>
    <w:p>
      <w:pPr>
        <w:pStyle w:val="BodyText"/>
        <w:spacing w:line="338" w:lineRule="auto" w:before="56"/>
        <w:ind w:right="4254"/>
        <w:jc w:val="left"/>
      </w:pPr>
      <w:r>
        <w:rPr>
          <w:rFonts w:ascii="Arial" w:hAnsi="Arial" w:cs="Arial" w:eastAsia="Arial" w:hint="default"/>
        </w:rPr>
        <w:t>□ </w:t>
      </w:r>
      <w:r>
        <w:rPr/>
        <w:t>是 </w:t>
      </w:r>
      <w:r>
        <w:rPr>
          <w:rFonts w:ascii="Arial" w:hAnsi="Arial" w:cs="Arial" w:eastAsia="Arial" w:hint="default"/>
        </w:rPr>
        <w:t>□ </w:t>
      </w:r>
      <w:r>
        <w:rPr/>
        <w:t>否 </w:t>
      </w:r>
      <w:r>
        <w:rPr>
          <w:rFonts w:ascii="Arial" w:hAnsi="Arial" w:cs="Arial" w:eastAsia="Arial" w:hint="default"/>
        </w:rPr>
        <w:t>√</w:t>
      </w:r>
      <w:r>
        <w:rPr>
          <w:rFonts w:ascii="Arial" w:hAnsi="Arial" w:cs="Arial" w:eastAsia="Arial" w:hint="default"/>
          <w:spacing w:val="23"/>
        </w:rPr>
        <w:t> </w:t>
      </w:r>
      <w:r>
        <w:rPr/>
        <w:t>不适用 上市公司及其子公司是否存在其他重大社会安全问题</w:t>
      </w:r>
    </w:p>
    <w:p>
      <w:pPr>
        <w:pStyle w:val="BodyText"/>
        <w:spacing w:line="338" w:lineRule="auto" w:before="55"/>
        <w:ind w:right="7134"/>
        <w:jc w:val="left"/>
      </w:pPr>
      <w:r>
        <w:rPr>
          <w:rFonts w:ascii="Arial" w:hAnsi="Arial" w:cs="Arial" w:eastAsia="Arial" w:hint="default"/>
        </w:rPr>
        <w:t>□ </w:t>
      </w:r>
      <w:r>
        <w:rPr/>
        <w:t>是 </w:t>
      </w:r>
      <w:r>
        <w:rPr>
          <w:rFonts w:ascii="Arial" w:hAnsi="Arial" w:cs="Arial" w:eastAsia="Arial" w:hint="default"/>
        </w:rPr>
        <w:t>√ </w:t>
      </w:r>
      <w:r>
        <w:rPr/>
        <w:t>否 </w:t>
      </w:r>
      <w:r>
        <w:rPr>
          <w:rFonts w:ascii="Arial" w:hAnsi="Arial" w:cs="Arial" w:eastAsia="Arial" w:hint="default"/>
        </w:rPr>
        <w:t>□</w:t>
      </w:r>
      <w:r>
        <w:rPr>
          <w:rFonts w:ascii="Arial" w:hAnsi="Arial" w:cs="Arial" w:eastAsia="Arial" w:hint="default"/>
          <w:spacing w:val="23"/>
        </w:rPr>
        <w:t> </w:t>
      </w:r>
      <w:r>
        <w:rPr/>
        <w:t>不适用 报告期内是否被行政处罚</w:t>
      </w:r>
    </w:p>
    <w:p>
      <w:pPr>
        <w:spacing w:line="338" w:lineRule="auto" w:before="55"/>
        <w:ind w:left="152" w:right="206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Arial" w:hAnsi="Arial" w:cs="Arial" w:eastAsia="Arial" w:hint="default"/>
          <w:sz w:val="24"/>
          <w:szCs w:val="24"/>
        </w:rPr>
        <w:t>√ </w:t>
      </w:r>
      <w:r>
        <w:rPr>
          <w:rFonts w:ascii="宋体" w:hAnsi="宋体" w:cs="宋体" w:eastAsia="宋体" w:hint="default"/>
          <w:sz w:val="24"/>
          <w:szCs w:val="24"/>
        </w:rPr>
        <w:t>否 </w:t>
      </w:r>
      <w:r>
        <w:rPr>
          <w:rFonts w:ascii="Arial" w:hAnsi="Arial" w:cs="Arial" w:eastAsia="Arial" w:hint="default"/>
          <w:sz w:val="24"/>
          <w:szCs w:val="24"/>
        </w:rPr>
        <w:t>□</w:t>
      </w:r>
      <w:r>
        <w:rPr>
          <w:rFonts w:ascii="Arial" w:hAnsi="Arial" w:cs="Arial" w:eastAsia="Arial" w:hint="default"/>
          <w:spacing w:val="23"/>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十一、公司股东及其一致行动人在报告期提出或实施股份增持计划的情况</w:t>
      </w:r>
      <w:r>
        <w:rPr>
          <w:rFonts w:ascii="宋体" w:hAnsi="宋体" w:cs="宋体" w:eastAsia="宋体" w:hint="default"/>
          <w:sz w:val="24"/>
          <w:szCs w:val="24"/>
        </w:rPr>
      </w:r>
    </w:p>
    <w:p>
      <w:pPr>
        <w:pStyle w:val="BodyText"/>
        <w:spacing w:line="338" w:lineRule="auto" w:before="55"/>
        <w:ind w:right="28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公司股东及其一致行动人在报告期内未提出或实施股份增持计划。</w:t>
      </w:r>
    </w:p>
    <w:p>
      <w:pPr>
        <w:spacing w:after="0" w:line="338" w:lineRule="auto"/>
        <w:jc w:val="left"/>
        <w:sectPr>
          <w:headerReference w:type="default" r:id="rId28"/>
          <w:footerReference w:type="default" r:id="rId29"/>
          <w:pgSz w:w="11910" w:h="16840"/>
          <w:pgMar w:header="884" w:footer="1010" w:top="1140" w:bottom="1200" w:left="980" w:right="980"/>
          <w:pgNumType w:start="47"/>
        </w:sectPr>
      </w:pPr>
    </w:p>
    <w:p>
      <w:pPr>
        <w:spacing w:line="240" w:lineRule="auto" w:before="1"/>
        <w:rPr>
          <w:rFonts w:ascii="宋体" w:hAnsi="宋体" w:cs="宋体" w:eastAsia="宋体" w:hint="default"/>
          <w:sz w:val="20"/>
          <w:szCs w:val="20"/>
        </w:rPr>
      </w:pPr>
    </w:p>
    <w:p>
      <w:pPr>
        <w:pStyle w:val="Heading3"/>
        <w:spacing w:line="240" w:lineRule="auto" w:before="26"/>
        <w:ind w:right="0"/>
        <w:jc w:val="left"/>
        <w:rPr>
          <w:b w:val="0"/>
          <w:bCs w:val="0"/>
        </w:rPr>
      </w:pPr>
      <w:r>
        <w:rPr/>
        <w:t>十二、董事、监事、高级管理人员、持股</w:t>
      </w:r>
      <w:r>
        <w:rPr>
          <w:spacing w:val="-65"/>
        </w:rPr>
        <w:t> </w:t>
      </w:r>
      <w:r>
        <w:rPr>
          <w:rFonts w:ascii="Arial" w:hAnsi="Arial" w:cs="Arial" w:eastAsia="Arial" w:hint="default"/>
        </w:rPr>
        <w:t>5%</w:t>
      </w:r>
      <w:r>
        <w:rPr/>
        <w:t>以上的股东违规买卖公司股票情况</w:t>
      </w:r>
      <w:r>
        <w:rPr>
          <w:b w:val="0"/>
          <w:bCs w:val="0"/>
        </w:rPr>
      </w:r>
    </w:p>
    <w:p>
      <w:pPr>
        <w:spacing w:line="338" w:lineRule="auto" w:before="137"/>
        <w:ind w:left="152" w:right="4232"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十三、年度报告披露后面临暂停上市和终止上市情况</w:t>
      </w:r>
      <w:r>
        <w:rPr>
          <w:rFonts w:ascii="宋体" w:hAnsi="宋体" w:cs="宋体" w:eastAsia="宋体" w:hint="default"/>
          <w:sz w:val="24"/>
          <w:szCs w:val="24"/>
        </w:rPr>
      </w:r>
    </w:p>
    <w:p>
      <w:pPr>
        <w:spacing w:line="338" w:lineRule="auto" w:before="53"/>
        <w:ind w:left="152" w:right="688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十四、其他重大事项的说明</w:t>
      </w:r>
      <w:r>
        <w:rPr>
          <w:rFonts w:ascii="宋体" w:hAnsi="宋体" w:cs="宋体" w:eastAsia="宋体" w:hint="default"/>
          <w:sz w:val="24"/>
          <w:szCs w:val="24"/>
        </w:rPr>
      </w:r>
    </w:p>
    <w:p>
      <w:pPr>
        <w:pStyle w:val="BodyText"/>
        <w:spacing w:line="240" w:lineRule="auto" w:before="55"/>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85" w:lineRule="auto" w:before="129"/>
        <w:ind w:right="151" w:firstLine="480"/>
        <w:jc w:val="both"/>
      </w:pPr>
      <w:r>
        <w:rPr>
          <w:rFonts w:ascii="Arial" w:hAnsi="Arial" w:cs="Arial" w:eastAsia="Arial" w:hint="default"/>
        </w:rPr>
        <w:t>2014</w:t>
      </w:r>
      <w:r>
        <w:rPr/>
        <w:t>年</w:t>
      </w:r>
      <w:r>
        <w:rPr>
          <w:rFonts w:ascii="Arial" w:hAnsi="Arial" w:cs="Arial" w:eastAsia="Arial" w:hint="default"/>
        </w:rPr>
        <w:t>9</w:t>
      </w:r>
      <w:r>
        <w:rPr/>
        <w:t>月</w:t>
      </w:r>
      <w:r>
        <w:rPr>
          <w:rFonts w:ascii="Arial" w:hAnsi="Arial" w:cs="Arial" w:eastAsia="Arial" w:hint="default"/>
        </w:rPr>
        <w:t>15</w:t>
      </w:r>
      <w:r>
        <w:rPr/>
        <w:t>日，公司第五届董事会第十四次会议、第五届监事会第十二次会议审议通 过了《关于公司发行股份及支付现金购买资产具体方案的议案》等相关议案，公司以发行股</w:t>
      </w:r>
      <w:r>
        <w:rPr>
          <w:spacing w:val="-91"/>
        </w:rPr>
        <w:t> </w:t>
      </w:r>
      <w:r>
        <w:rPr>
          <w:spacing w:val="-91"/>
        </w:rPr>
      </w:r>
      <w:r>
        <w:rPr/>
        <w:t>份及支付现金的方式购买马勤、折哲民、诸越海、黄承芬、严峰、侯玉成、郑凯、胡鸿轲、</w:t>
      </w:r>
      <w:r>
        <w:rPr>
          <w:spacing w:val="-91"/>
        </w:rPr>
        <w:t> </w:t>
      </w:r>
      <w:r>
        <w:rPr>
          <w:spacing w:val="-91"/>
        </w:rPr>
      </w:r>
      <w:r>
        <w:rPr/>
        <w:t>王德胜、杨金萍和忻孝委共</w:t>
      </w:r>
      <w:r>
        <w:rPr>
          <w:rFonts w:ascii="Arial" w:hAnsi="Arial" w:cs="Arial" w:eastAsia="Arial" w:hint="default"/>
        </w:rPr>
        <w:t>11</w:t>
      </w:r>
      <w:r>
        <w:rPr/>
        <w:t>名交易对方合计持有的上海浦东中软科技发展有限公司（以下</w:t>
      </w:r>
      <w:r>
        <w:rPr>
          <w:spacing w:val="-116"/>
        </w:rPr>
        <w:t> </w:t>
      </w:r>
      <w:r>
        <w:rPr>
          <w:spacing w:val="-116"/>
        </w:rPr>
      </w:r>
      <w:r>
        <w:rPr/>
        <w:t>简称</w:t>
      </w:r>
      <w:r>
        <w:rPr>
          <w:rFonts w:ascii="Arial" w:hAnsi="Arial" w:cs="Arial" w:eastAsia="Arial" w:hint="default"/>
        </w:rPr>
        <w:t>“</w:t>
      </w:r>
      <w:r>
        <w:rPr/>
        <w:t>浦东中软</w:t>
      </w:r>
      <w:r>
        <w:rPr>
          <w:rFonts w:ascii="Arial" w:hAnsi="Arial" w:cs="Arial" w:eastAsia="Arial" w:hint="default"/>
        </w:rPr>
        <w:t>”</w:t>
      </w:r>
      <w:r>
        <w:rPr/>
        <w:t>或</w:t>
      </w:r>
      <w:r>
        <w:rPr>
          <w:rFonts w:ascii="Arial" w:hAnsi="Arial" w:cs="Arial" w:eastAsia="Arial" w:hint="default"/>
        </w:rPr>
        <w:t>“</w:t>
      </w:r>
      <w:r>
        <w:rPr/>
        <w:t>标的公司</w:t>
      </w:r>
      <w:r>
        <w:rPr>
          <w:rFonts w:ascii="Arial" w:hAnsi="Arial" w:cs="Arial" w:eastAsia="Arial" w:hint="default"/>
        </w:rPr>
        <w:t>”</w:t>
      </w:r>
      <w:r>
        <w:rPr/>
        <w:t>）</w:t>
      </w:r>
      <w:r>
        <w:rPr>
          <w:rFonts w:ascii="Arial" w:hAnsi="Arial" w:cs="Arial" w:eastAsia="Arial" w:hint="default"/>
        </w:rPr>
        <w:t>90.185%</w:t>
      </w:r>
      <w:r>
        <w:rPr/>
        <w:t>股权，交易总额为</w:t>
      </w:r>
      <w:r>
        <w:rPr>
          <w:rFonts w:ascii="Arial" w:hAnsi="Arial" w:cs="Arial" w:eastAsia="Arial" w:hint="default"/>
        </w:rPr>
        <w:t>13,527.75</w:t>
      </w:r>
      <w:r>
        <w:rPr/>
        <w:t>万元。其中，现金支付</w:t>
      </w:r>
      <w:r>
        <w:rPr>
          <w:spacing w:val="-36"/>
        </w:rPr>
        <w:t> </w:t>
      </w:r>
      <w:r>
        <w:rPr>
          <w:spacing w:val="-36"/>
        </w:rPr>
      </w:r>
      <w:r>
        <w:rPr/>
        <w:t>比例为</w:t>
      </w:r>
      <w:r>
        <w:rPr>
          <w:rFonts w:ascii="Arial" w:hAnsi="Arial" w:cs="Arial" w:eastAsia="Arial" w:hint="default"/>
        </w:rPr>
        <w:t>50%</w:t>
      </w:r>
      <w:r>
        <w:rPr/>
        <w:t>，股份支付比例为</w:t>
      </w:r>
      <w:r>
        <w:rPr>
          <w:rFonts w:ascii="Arial" w:hAnsi="Arial" w:cs="Arial" w:eastAsia="Arial" w:hint="default"/>
        </w:rPr>
        <w:t>50%</w:t>
      </w:r>
      <w:r>
        <w:rPr/>
        <w:t>，即</w:t>
      </w:r>
      <w:r>
        <w:rPr>
          <w:rFonts w:ascii="Arial" w:hAnsi="Arial" w:cs="Arial" w:eastAsia="Arial" w:hint="default"/>
        </w:rPr>
        <w:t>6,763.875</w:t>
      </w:r>
      <w:r>
        <w:rPr/>
        <w:t>万元以现金支付，</w:t>
      </w:r>
      <w:r>
        <w:rPr>
          <w:rFonts w:ascii="Arial" w:hAnsi="Arial" w:cs="Arial" w:eastAsia="Arial" w:hint="default"/>
        </w:rPr>
        <w:t>6,763.875</w:t>
      </w:r>
      <w:r>
        <w:rPr/>
        <w:t>万元以非公开</w:t>
      </w:r>
      <w:r>
        <w:rPr>
          <w:spacing w:val="-76"/>
        </w:rPr>
        <w:t> </w:t>
      </w:r>
      <w:r>
        <w:rPr>
          <w:spacing w:val="-76"/>
        </w:rPr>
      </w:r>
      <w:r>
        <w:rPr/>
        <w:t>发行</w:t>
      </w:r>
      <w:r>
        <w:rPr>
          <w:rFonts w:ascii="Arial" w:hAnsi="Arial" w:cs="Arial" w:eastAsia="Arial" w:hint="default"/>
        </w:rPr>
        <w:t>1,814,831</w:t>
      </w:r>
      <w:r>
        <w:rPr/>
        <w:t>股股份的方式支付。公司拟使用超募资金</w:t>
      </w:r>
      <w:r>
        <w:rPr>
          <w:rFonts w:ascii="Arial" w:hAnsi="Arial" w:cs="Arial" w:eastAsia="Arial" w:hint="default"/>
        </w:rPr>
        <w:t>5,500</w:t>
      </w:r>
      <w:r>
        <w:rPr/>
        <w:t>万元支付本次交易的部分现金</w:t>
      </w:r>
      <w:r>
        <w:rPr>
          <w:spacing w:val="-81"/>
        </w:rPr>
        <w:t> </w:t>
      </w:r>
      <w:r>
        <w:rPr>
          <w:spacing w:val="-81"/>
        </w:rPr>
      </w:r>
      <w:r>
        <w:rPr>
          <w:spacing w:val="-4"/>
        </w:rPr>
        <w:t>对价，不足部分由公司以自有资金支付。截至</w:t>
      </w:r>
      <w:r>
        <w:rPr>
          <w:rFonts w:ascii="Arial" w:hAnsi="Arial" w:cs="Arial" w:eastAsia="Arial" w:hint="default"/>
          <w:spacing w:val="-4"/>
        </w:rPr>
        <w:t>2015</w:t>
      </w:r>
      <w:r>
        <w:rPr>
          <w:spacing w:val="-4"/>
        </w:rPr>
        <w:t>年</w:t>
      </w:r>
      <w:r>
        <w:rPr>
          <w:rFonts w:ascii="Arial" w:hAnsi="Arial" w:cs="Arial" w:eastAsia="Arial" w:hint="default"/>
          <w:spacing w:val="-4"/>
        </w:rPr>
        <w:t>3</w:t>
      </w:r>
      <w:r>
        <w:rPr>
          <w:spacing w:val="-4"/>
        </w:rPr>
        <w:t>月</w:t>
      </w:r>
      <w:r>
        <w:rPr>
          <w:rFonts w:ascii="Arial" w:hAnsi="Arial" w:cs="Arial" w:eastAsia="Arial" w:hint="default"/>
          <w:spacing w:val="-4"/>
        </w:rPr>
        <w:t>23</w:t>
      </w:r>
      <w:r>
        <w:rPr>
          <w:spacing w:val="-4"/>
        </w:rPr>
        <w:t>日，公司已取得浦东中软</w:t>
      </w:r>
      <w:r>
        <w:rPr>
          <w:rFonts w:ascii="Arial" w:hAnsi="Arial" w:cs="Arial" w:eastAsia="Arial" w:hint="default"/>
          <w:spacing w:val="-4"/>
        </w:rPr>
        <w:t>90.185%</w:t>
      </w:r>
      <w:r>
        <w:rPr>
          <w:rFonts w:ascii="Arial" w:hAnsi="Arial" w:cs="Arial" w:eastAsia="Arial" w:hint="default"/>
          <w:spacing w:val="-53"/>
        </w:rPr>
        <w:t> </w:t>
      </w:r>
      <w:r>
        <w:rPr>
          <w:rFonts w:ascii="Arial" w:hAnsi="Arial" w:cs="Arial" w:eastAsia="Arial" w:hint="default"/>
          <w:spacing w:val="-53"/>
        </w:rPr>
      </w:r>
      <w:r>
        <w:rPr/>
        <w:t>股权，新增股份</w:t>
      </w:r>
      <w:r>
        <w:rPr>
          <w:rFonts w:ascii="Arial" w:hAnsi="Arial" w:cs="Arial" w:eastAsia="Arial" w:hint="default"/>
        </w:rPr>
        <w:t>1,814,831</w:t>
      </w:r>
      <w:r>
        <w:rPr/>
        <w:t>股已完成发行上市。</w:t>
      </w:r>
    </w:p>
    <w:p>
      <w:pPr>
        <w:pStyle w:val="Heading3"/>
        <w:spacing w:line="240" w:lineRule="auto" w:before="76"/>
        <w:ind w:right="0"/>
        <w:jc w:val="left"/>
        <w:rPr>
          <w:b w:val="0"/>
          <w:bCs w:val="0"/>
        </w:rPr>
      </w:pPr>
      <w:r>
        <w:rPr/>
        <w:t>十五、控股子公司重要事项</w:t>
      </w:r>
      <w:r>
        <w:rPr>
          <w:b w:val="0"/>
          <w:bCs w:val="0"/>
        </w:rPr>
      </w:r>
    </w:p>
    <w:p>
      <w:pPr>
        <w:pStyle w:val="BodyText"/>
        <w:spacing w:line="240" w:lineRule="auto" w:before="154"/>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137"/>
        <w:ind w:left="633" w:right="0"/>
        <w:jc w:val="left"/>
      </w:pPr>
      <w:r>
        <w:rPr>
          <w:rFonts w:ascii="Arial" w:hAnsi="Arial" w:cs="Arial" w:eastAsia="Arial" w:hint="default"/>
        </w:rPr>
        <w:t>1</w:t>
      </w:r>
      <w:r>
        <w:rPr/>
        <w:t>、更名事项：</w:t>
      </w:r>
    </w:p>
    <w:p>
      <w:pPr>
        <w:pStyle w:val="BodyText"/>
        <w:spacing w:line="292" w:lineRule="auto" w:before="74"/>
        <w:ind w:right="163" w:firstLine="480"/>
        <w:jc w:val="both"/>
      </w:pPr>
      <w:r>
        <w:rPr>
          <w:rFonts w:ascii="Arial" w:hAnsi="Arial" w:cs="Arial" w:eastAsia="Arial" w:hint="default"/>
        </w:rPr>
        <w:t>2014</w:t>
      </w:r>
      <w:r>
        <w:rPr/>
        <w:t>年</w:t>
      </w:r>
      <w:r>
        <w:rPr>
          <w:rFonts w:ascii="Arial" w:hAnsi="Arial" w:cs="Arial" w:eastAsia="Arial" w:hint="default"/>
        </w:rPr>
        <w:t>8</w:t>
      </w:r>
      <w:r>
        <w:rPr/>
        <w:t>月，经北京市工商行政管理局海淀分局核准，公司的控股子公司</w:t>
      </w:r>
      <w:r>
        <w:rPr>
          <w:rFonts w:ascii="Arial" w:hAnsi="Arial" w:cs="Arial" w:eastAsia="Arial" w:hint="default"/>
        </w:rPr>
        <w:t>“</w:t>
      </w:r>
      <w:r>
        <w:rPr/>
        <w:t>航宇金信（北 京）软件有限公司</w:t>
      </w:r>
      <w:r>
        <w:rPr>
          <w:rFonts w:ascii="Arial" w:hAnsi="Arial" w:cs="Arial" w:eastAsia="Arial" w:hint="default"/>
        </w:rPr>
        <w:t>”</w:t>
      </w:r>
      <w:r>
        <w:rPr/>
        <w:t>的名称变更为</w:t>
      </w:r>
      <w:r>
        <w:rPr>
          <w:rFonts w:ascii="Arial" w:hAnsi="Arial" w:cs="Arial" w:eastAsia="Arial" w:hint="default"/>
        </w:rPr>
        <w:t>“</w:t>
      </w:r>
      <w:r>
        <w:rPr/>
        <w:t>华宇金信（北京）软件有限公司</w:t>
      </w:r>
      <w:r>
        <w:rPr>
          <w:rFonts w:ascii="Arial" w:hAnsi="Arial" w:cs="Arial" w:eastAsia="Arial" w:hint="default"/>
        </w:rPr>
        <w:t>”</w:t>
      </w:r>
      <w:r>
        <w:rPr/>
        <w:t>。</w:t>
      </w:r>
    </w:p>
    <w:p>
      <w:pPr>
        <w:pStyle w:val="BodyText"/>
        <w:spacing w:line="292" w:lineRule="auto" w:before="15"/>
        <w:ind w:right="244" w:firstLine="480"/>
        <w:jc w:val="both"/>
      </w:pPr>
      <w:r>
        <w:rPr>
          <w:rFonts w:ascii="Arial" w:hAnsi="Arial" w:cs="Arial" w:eastAsia="Arial" w:hint="default"/>
        </w:rPr>
        <w:t>2015</w:t>
      </w:r>
      <w:r>
        <w:rPr/>
        <w:t>年</w:t>
      </w:r>
      <w:r>
        <w:rPr>
          <w:rFonts w:ascii="Arial" w:hAnsi="Arial" w:cs="Arial" w:eastAsia="Arial" w:hint="default"/>
        </w:rPr>
        <w:t>1</w:t>
      </w:r>
      <w:r>
        <w:rPr/>
        <w:t>月，经上海市工商行政管理局核准，同意上海浦东中软科技发展有限公司，申 请变更的企业名称，预先核准为 “上海浦东华宇信息技术有限公司”。</w:t>
      </w:r>
    </w:p>
    <w:p>
      <w:pPr>
        <w:pStyle w:val="BodyText"/>
        <w:spacing w:line="240" w:lineRule="auto" w:before="38"/>
        <w:ind w:left="633" w:right="0"/>
        <w:jc w:val="left"/>
      </w:pPr>
      <w:r>
        <w:rPr>
          <w:rFonts w:ascii="Arial" w:hAnsi="Arial" w:cs="Arial" w:eastAsia="Arial" w:hint="default"/>
        </w:rPr>
        <w:t>2</w:t>
      </w:r>
      <w:r>
        <w:rPr/>
        <w:t>、增资事项：</w:t>
      </w:r>
    </w:p>
    <w:p>
      <w:pPr>
        <w:pStyle w:val="BodyText"/>
        <w:spacing w:line="292" w:lineRule="auto" w:before="75"/>
        <w:ind w:right="244" w:firstLine="480"/>
        <w:jc w:val="both"/>
      </w:pPr>
      <w:r>
        <w:rPr>
          <w:rFonts w:ascii="Arial" w:hAnsi="Arial" w:cs="Arial" w:eastAsia="Arial" w:hint="default"/>
        </w:rPr>
        <w:t>2014</w:t>
      </w:r>
      <w:r>
        <w:rPr/>
        <w:t>年</w:t>
      </w:r>
      <w:r>
        <w:rPr>
          <w:rFonts w:ascii="Arial" w:hAnsi="Arial" w:cs="Arial" w:eastAsia="Arial" w:hint="default"/>
        </w:rPr>
        <w:t>4</w:t>
      </w:r>
      <w:r>
        <w:rPr/>
        <w:t>月，北京华宇信息技术有限公司增资</w:t>
      </w:r>
      <w:r>
        <w:rPr>
          <w:rFonts w:ascii="Arial" w:hAnsi="Arial" w:cs="Arial" w:eastAsia="Arial" w:hint="default"/>
        </w:rPr>
        <w:t>5,000</w:t>
      </w:r>
      <w:r>
        <w:rPr>
          <w:rFonts w:ascii="Arial" w:hAnsi="Arial" w:cs="Arial" w:eastAsia="Arial" w:hint="default"/>
          <w:spacing w:val="46"/>
        </w:rPr>
        <w:t> </w:t>
      </w:r>
      <w:r>
        <w:rPr/>
        <w:t>万元，已完成工商变更，增资后注 册资本</w:t>
      </w:r>
      <w:r>
        <w:rPr>
          <w:rFonts w:ascii="Arial" w:hAnsi="Arial" w:cs="Arial" w:eastAsia="Arial" w:hint="default"/>
        </w:rPr>
        <w:t>10,000</w:t>
      </w:r>
      <w:r>
        <w:rPr/>
        <w:t>万元。</w:t>
      </w:r>
    </w:p>
    <w:p>
      <w:pPr>
        <w:pStyle w:val="BodyText"/>
        <w:spacing w:line="292" w:lineRule="auto" w:before="15"/>
        <w:ind w:right="244" w:firstLine="480"/>
        <w:jc w:val="both"/>
      </w:pPr>
      <w:r>
        <w:rPr>
          <w:rFonts w:ascii="Arial" w:hAnsi="Arial" w:cs="Arial" w:eastAsia="Arial" w:hint="default"/>
        </w:rPr>
        <w:t>2014</w:t>
      </w:r>
      <w:r>
        <w:rPr/>
        <w:t>年</w:t>
      </w:r>
      <w:r>
        <w:rPr>
          <w:rFonts w:ascii="Arial" w:hAnsi="Arial" w:cs="Arial" w:eastAsia="Arial" w:hint="default"/>
        </w:rPr>
        <w:t>7</w:t>
      </w:r>
      <w:r>
        <w:rPr/>
        <w:t>月，华宇（大连）信息服务有限公司增资</w:t>
      </w:r>
      <w:r>
        <w:rPr>
          <w:rFonts w:ascii="Arial" w:hAnsi="Arial" w:cs="Arial" w:eastAsia="Arial" w:hint="default"/>
        </w:rPr>
        <w:t>4,000</w:t>
      </w:r>
      <w:r>
        <w:rPr>
          <w:rFonts w:ascii="Arial" w:hAnsi="Arial" w:cs="Arial" w:eastAsia="Arial" w:hint="default"/>
          <w:spacing w:val="48"/>
        </w:rPr>
        <w:t> </w:t>
      </w:r>
      <w:r>
        <w:rPr/>
        <w:t>万元，已完成工商变更，增资 后注册资本</w:t>
      </w:r>
      <w:r>
        <w:rPr>
          <w:rFonts w:ascii="Arial" w:hAnsi="Arial" w:cs="Arial" w:eastAsia="Arial" w:hint="default"/>
        </w:rPr>
        <w:t>12,000</w:t>
      </w:r>
      <w:r>
        <w:rPr/>
        <w:t>万元。</w:t>
      </w:r>
    </w:p>
    <w:p>
      <w:pPr>
        <w:pStyle w:val="BodyText"/>
        <w:spacing w:line="292" w:lineRule="auto" w:before="15"/>
        <w:ind w:right="244" w:firstLine="480"/>
        <w:jc w:val="both"/>
      </w:pPr>
      <w:r>
        <w:rPr>
          <w:rFonts w:ascii="Arial" w:hAnsi="Arial" w:cs="Arial" w:eastAsia="Arial" w:hint="default"/>
        </w:rPr>
        <w:t>2014</w:t>
      </w:r>
      <w:r>
        <w:rPr/>
        <w:t>年</w:t>
      </w:r>
      <w:r>
        <w:rPr>
          <w:rFonts w:ascii="Arial" w:hAnsi="Arial" w:cs="Arial" w:eastAsia="Arial" w:hint="default"/>
        </w:rPr>
        <w:t>9</w:t>
      </w:r>
      <w:r>
        <w:rPr/>
        <w:t>月，广州华宇信息技术有限公司增资</w:t>
      </w:r>
      <w:r>
        <w:rPr>
          <w:rFonts w:ascii="Arial" w:hAnsi="Arial" w:cs="Arial" w:eastAsia="Arial" w:hint="default"/>
        </w:rPr>
        <w:t>1,000</w:t>
      </w:r>
      <w:r>
        <w:rPr>
          <w:rFonts w:ascii="Arial" w:hAnsi="Arial" w:cs="Arial" w:eastAsia="Arial" w:hint="default"/>
          <w:spacing w:val="46"/>
        </w:rPr>
        <w:t> </w:t>
      </w:r>
      <w:r>
        <w:rPr/>
        <w:t>万元，已完成工商变更，增资后注 册资本</w:t>
      </w:r>
      <w:r>
        <w:rPr>
          <w:rFonts w:ascii="Arial" w:hAnsi="Arial" w:cs="Arial" w:eastAsia="Arial" w:hint="default"/>
        </w:rPr>
        <w:t>2,000</w:t>
      </w:r>
      <w:r>
        <w:rPr/>
        <w:t>万元。</w:t>
      </w:r>
    </w:p>
    <w:p>
      <w:pPr>
        <w:pStyle w:val="BodyText"/>
        <w:spacing w:line="292" w:lineRule="auto" w:before="15"/>
        <w:ind w:right="228" w:firstLine="480"/>
        <w:jc w:val="both"/>
      </w:pPr>
      <w:r>
        <w:rPr>
          <w:rFonts w:ascii="Arial" w:hAnsi="Arial" w:cs="Arial" w:eastAsia="Arial" w:hint="default"/>
        </w:rPr>
        <w:t>2015</w:t>
      </w:r>
      <w:r>
        <w:rPr/>
        <w:t>年</w:t>
      </w:r>
      <w:r>
        <w:rPr>
          <w:rFonts w:ascii="Arial" w:hAnsi="Arial" w:cs="Arial" w:eastAsia="Arial" w:hint="default"/>
        </w:rPr>
        <w:t>3</w:t>
      </w:r>
      <w:r>
        <w:rPr/>
        <w:t>月，北京华宇信息技术有限公司增资</w:t>
      </w:r>
      <w:r>
        <w:rPr>
          <w:rFonts w:ascii="Arial" w:hAnsi="Arial" w:cs="Arial" w:eastAsia="Arial" w:hint="default"/>
        </w:rPr>
        <w:t>20,000</w:t>
      </w:r>
      <w:r>
        <w:rPr/>
        <w:t>万元，已完成工商变更，增资后注 册资本</w:t>
      </w:r>
      <w:r>
        <w:rPr>
          <w:rFonts w:ascii="Arial" w:hAnsi="Arial" w:cs="Arial" w:eastAsia="Arial" w:hint="default"/>
        </w:rPr>
        <w:t>30,000</w:t>
      </w:r>
      <w:r>
        <w:rPr/>
        <w:t>万元。</w:t>
      </w:r>
    </w:p>
    <w:p>
      <w:pPr>
        <w:spacing w:after="0" w:line="292" w:lineRule="auto"/>
        <w:jc w:val="both"/>
        <w:sectPr>
          <w:pgSz w:w="11910" w:h="16840"/>
          <w:pgMar w:header="884"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1"/>
        <w:spacing w:line="440" w:lineRule="exact"/>
        <w:ind w:left="2971" w:right="0"/>
        <w:jc w:val="left"/>
        <w:rPr>
          <w:b w:val="0"/>
          <w:bCs w:val="0"/>
        </w:rPr>
      </w:pPr>
      <w:bookmarkStart w:name="_bookmark4" w:id="5"/>
      <w:bookmarkEnd w:id="5"/>
      <w:r>
        <w:rPr>
          <w:b w:val="0"/>
          <w:bCs w:val="0"/>
        </w:rPr>
      </w:r>
      <w:r>
        <w:rPr/>
        <w:t>第六节</w:t>
      </w:r>
      <w:r>
        <w:rPr>
          <w:spacing w:val="61"/>
        </w:rPr>
        <w:t> </w:t>
      </w:r>
      <w:r>
        <w:rPr/>
        <w:t>股份变动及股东情况</w:t>
      </w:r>
      <w:r>
        <w:rPr>
          <w:b w:val="0"/>
          <w:bCs w:val="0"/>
        </w:rPr>
      </w:r>
    </w:p>
    <w:p>
      <w:pPr>
        <w:spacing w:line="240" w:lineRule="auto" w:before="1"/>
        <w:rPr>
          <w:rFonts w:ascii="微软雅黑" w:hAnsi="微软雅黑" w:cs="微软雅黑" w:eastAsia="微软雅黑" w:hint="default"/>
          <w:b/>
          <w:bCs/>
          <w:sz w:val="25"/>
          <w:szCs w:val="25"/>
        </w:rPr>
      </w:pPr>
    </w:p>
    <w:p>
      <w:pPr>
        <w:pStyle w:val="Heading3"/>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r>
        <w:rPr>
          <w:rFonts w:ascii="Arial" w:hAnsi="Arial" w:cs="Arial" w:eastAsia="Arial" w:hint="default"/>
        </w:rPr>
        <w:t>1</w:t>
      </w:r>
      <w:r>
        <w:rPr/>
        <w:t>、股份变动情况</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992"/>
        <w:gridCol w:w="710"/>
        <w:gridCol w:w="842"/>
        <w:gridCol w:w="682"/>
        <w:gridCol w:w="603"/>
        <w:gridCol w:w="1099"/>
        <w:gridCol w:w="989"/>
        <w:gridCol w:w="1030"/>
        <w:gridCol w:w="814"/>
      </w:tblGrid>
      <w:tr>
        <w:trPr>
          <w:trHeight w:val="401" w:hRule="exact"/>
        </w:trPr>
        <w:tc>
          <w:tcPr>
            <w:tcW w:w="1844" w:type="dxa"/>
            <w:vMerge w:val="restart"/>
            <w:tcBorders>
              <w:top w:val="single" w:sz="4" w:space="0" w:color="000000"/>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6" w:hRule="exact"/>
        </w:trPr>
        <w:tc>
          <w:tcPr>
            <w:tcW w:w="1844"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15" w:right="24"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center"/>
              <w:rPr>
                <w:rFonts w:ascii="Arial" w:hAnsi="Arial" w:cs="Arial" w:eastAsia="Arial" w:hint="default"/>
                <w:sz w:val="18"/>
                <w:szCs w:val="18"/>
              </w:rPr>
            </w:pPr>
            <w:r>
              <w:rPr>
                <w:rFonts w:ascii="Arial"/>
                <w:sz w:val="18"/>
              </w:rPr>
              <w:t>55,827,274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center"/>
              <w:rPr>
                <w:rFonts w:ascii="Arial" w:hAnsi="Arial" w:cs="Arial" w:eastAsia="Arial" w:hint="default"/>
                <w:sz w:val="18"/>
                <w:szCs w:val="18"/>
              </w:rPr>
            </w:pPr>
            <w:r>
              <w:rPr>
                <w:rFonts w:ascii="Arial"/>
                <w:sz w:val="18"/>
              </w:rPr>
              <w:t>37.54%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98,625</w:t>
            </w: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-16,564,644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6" w:right="0"/>
              <w:jc w:val="center"/>
              <w:rPr>
                <w:rFonts w:ascii="Arial" w:hAnsi="Arial" w:cs="Arial" w:eastAsia="Arial" w:hint="default"/>
                <w:sz w:val="18"/>
                <w:szCs w:val="18"/>
              </w:rPr>
            </w:pPr>
            <w:r>
              <w:rPr>
                <w:rFonts w:ascii="Arial"/>
                <w:w w:val="90"/>
                <w:sz w:val="18"/>
              </w:rPr>
              <w:t>-16,466,019</w:t>
            </w:r>
            <w:r>
              <w:rPr>
                <w:rFonts w:ascii="Arial"/>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2" w:right="0"/>
              <w:jc w:val="center"/>
              <w:rPr>
                <w:rFonts w:ascii="Arial" w:hAnsi="Arial" w:cs="Arial" w:eastAsia="Arial" w:hint="default"/>
                <w:sz w:val="18"/>
                <w:szCs w:val="18"/>
              </w:rPr>
            </w:pPr>
            <w:r>
              <w:rPr>
                <w:rFonts w:ascii="Arial"/>
                <w:sz w:val="18"/>
              </w:rPr>
              <w:t>39,361,255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26.25%</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Arial" w:hAnsi="Arial" w:cs="Arial" w:eastAsia="Arial" w:hint="default"/>
                <w:sz w:val="18"/>
                <w:szCs w:val="18"/>
              </w:rPr>
            </w:pPr>
            <w:r>
              <w:rPr>
                <w:rFonts w:ascii="Arial"/>
                <w:sz w:val="18"/>
              </w:rPr>
              <w:t>55,827,274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Arial" w:hAnsi="Arial" w:cs="Arial" w:eastAsia="Arial" w:hint="default"/>
                <w:sz w:val="18"/>
                <w:szCs w:val="18"/>
              </w:rPr>
            </w:pPr>
            <w:r>
              <w:rPr>
                <w:rFonts w:ascii="Arial"/>
                <w:sz w:val="18"/>
              </w:rPr>
              <w:t>37.54%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98,625</w:t>
            </w: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-16,564,644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Arial" w:hAnsi="Arial" w:cs="Arial" w:eastAsia="Arial" w:hint="default"/>
                <w:sz w:val="18"/>
                <w:szCs w:val="18"/>
              </w:rPr>
            </w:pPr>
            <w:r>
              <w:rPr>
                <w:rFonts w:ascii="Arial"/>
                <w:w w:val="90"/>
                <w:sz w:val="18"/>
              </w:rPr>
              <w:t>-16,466,019</w:t>
            </w:r>
            <w:r>
              <w:rPr>
                <w:rFonts w:ascii="Arial"/>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center"/>
              <w:rPr>
                <w:rFonts w:ascii="Arial" w:hAnsi="Arial" w:cs="Arial" w:eastAsia="Arial" w:hint="default"/>
                <w:sz w:val="18"/>
                <w:szCs w:val="18"/>
              </w:rPr>
            </w:pPr>
            <w:r>
              <w:rPr>
                <w:rFonts w:ascii="Arial"/>
                <w:sz w:val="18"/>
              </w:rPr>
              <w:t>39,361,255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26.25%</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8" w:right="0"/>
              <w:jc w:val="center"/>
              <w:rPr>
                <w:rFonts w:ascii="Arial" w:hAnsi="Arial" w:cs="Arial" w:eastAsia="Arial" w:hint="default"/>
                <w:sz w:val="18"/>
                <w:szCs w:val="18"/>
              </w:rPr>
            </w:pPr>
            <w:r>
              <w:rPr>
                <w:rFonts w:ascii="Arial"/>
                <w:sz w:val="18"/>
              </w:rPr>
              <w:t>55,827,274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center"/>
              <w:rPr>
                <w:rFonts w:ascii="Arial" w:hAnsi="Arial" w:cs="Arial" w:eastAsia="Arial" w:hint="default"/>
                <w:sz w:val="18"/>
                <w:szCs w:val="18"/>
              </w:rPr>
            </w:pPr>
            <w:r>
              <w:rPr>
                <w:rFonts w:ascii="Arial"/>
                <w:sz w:val="18"/>
              </w:rPr>
              <w:t>37.54%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98,625</w:t>
            </w: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-16,564,644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6" w:right="0"/>
              <w:jc w:val="center"/>
              <w:rPr>
                <w:rFonts w:ascii="Arial" w:hAnsi="Arial" w:cs="Arial" w:eastAsia="Arial" w:hint="default"/>
                <w:sz w:val="18"/>
                <w:szCs w:val="18"/>
              </w:rPr>
            </w:pPr>
            <w:r>
              <w:rPr>
                <w:rFonts w:ascii="Arial"/>
                <w:w w:val="90"/>
                <w:sz w:val="18"/>
              </w:rPr>
              <w:t>-16,466,019</w:t>
            </w:r>
            <w:r>
              <w:rPr>
                <w:rFonts w:ascii="Arial"/>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2" w:right="0"/>
              <w:jc w:val="center"/>
              <w:rPr>
                <w:rFonts w:ascii="Arial" w:hAnsi="Arial" w:cs="Arial" w:eastAsia="Arial" w:hint="default"/>
                <w:sz w:val="18"/>
                <w:szCs w:val="18"/>
              </w:rPr>
            </w:pPr>
            <w:r>
              <w:rPr>
                <w:rFonts w:ascii="Arial"/>
                <w:sz w:val="18"/>
              </w:rPr>
              <w:t>39,361,255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26.25%</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Arial" w:hAnsi="Arial" w:cs="Arial" w:eastAsia="Arial" w:hint="default"/>
                <w:sz w:val="18"/>
                <w:szCs w:val="18"/>
              </w:rPr>
            </w:pPr>
            <w:r>
              <w:rPr>
                <w:rFonts w:ascii="Arial"/>
                <w:sz w:val="18"/>
              </w:rPr>
              <w:t>92,881,226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Arial" w:hAnsi="Arial" w:cs="Arial" w:eastAsia="Arial" w:hint="default"/>
                <w:sz w:val="18"/>
                <w:szCs w:val="18"/>
              </w:rPr>
            </w:pPr>
            <w:r>
              <w:rPr>
                <w:rFonts w:ascii="Arial"/>
                <w:sz w:val="18"/>
              </w:rPr>
              <w:t>62.46%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Arial" w:hAnsi="Arial" w:cs="Arial" w:eastAsia="Arial" w:hint="default"/>
                <w:sz w:val="18"/>
                <w:szCs w:val="18"/>
              </w:rPr>
            </w:pPr>
            <w:r>
              <w:rPr>
                <w:rFonts w:ascii="Arial"/>
                <w:w w:val="85"/>
                <w:sz w:val="18"/>
              </w:rPr>
              <w:t>1,147,425</w:t>
            </w:r>
            <w:r>
              <w:rPr>
                <w:rFonts w:ascii="Arial"/>
                <w:sz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16,564,644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Arial" w:hAnsi="Arial" w:cs="Arial" w:eastAsia="Arial" w:hint="default"/>
                <w:sz w:val="18"/>
                <w:szCs w:val="18"/>
              </w:rPr>
            </w:pPr>
            <w:r>
              <w:rPr>
                <w:rFonts w:ascii="Arial"/>
                <w:sz w:val="18"/>
              </w:rPr>
              <w:t>17,712,069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Arial" w:hAnsi="Arial" w:cs="Arial" w:eastAsia="Arial" w:hint="default"/>
                <w:sz w:val="18"/>
                <w:szCs w:val="18"/>
              </w:rPr>
            </w:pPr>
            <w:r>
              <w:rPr>
                <w:rFonts w:ascii="Arial"/>
                <w:w w:val="90"/>
                <w:sz w:val="18"/>
              </w:rPr>
              <w:t>110,593,295</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73.75%</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center"/>
              <w:rPr>
                <w:rFonts w:ascii="Arial" w:hAnsi="Arial" w:cs="Arial" w:eastAsia="Arial" w:hint="default"/>
                <w:sz w:val="18"/>
                <w:szCs w:val="18"/>
              </w:rPr>
            </w:pPr>
            <w:r>
              <w:rPr>
                <w:rFonts w:ascii="Arial"/>
                <w:sz w:val="18"/>
              </w:rPr>
              <w:t>92,881,226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center"/>
              <w:rPr>
                <w:rFonts w:ascii="Arial" w:hAnsi="Arial" w:cs="Arial" w:eastAsia="Arial" w:hint="default"/>
                <w:sz w:val="18"/>
                <w:szCs w:val="18"/>
              </w:rPr>
            </w:pPr>
            <w:r>
              <w:rPr>
                <w:rFonts w:ascii="Arial"/>
                <w:sz w:val="18"/>
              </w:rPr>
              <w:t>62.46%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w:hAnsi="Arial" w:cs="Arial" w:eastAsia="Arial" w:hint="default"/>
                <w:sz w:val="18"/>
                <w:szCs w:val="18"/>
              </w:rPr>
            </w:pPr>
            <w:r>
              <w:rPr>
                <w:rFonts w:ascii="Arial"/>
                <w:w w:val="85"/>
                <w:sz w:val="18"/>
              </w:rPr>
              <w:t>1,147,425</w:t>
            </w:r>
            <w:r>
              <w:rPr>
                <w:rFonts w:ascii="Arial"/>
                <w:sz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16,564,644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center"/>
              <w:rPr>
                <w:rFonts w:ascii="Arial" w:hAnsi="Arial" w:cs="Arial" w:eastAsia="Arial" w:hint="default"/>
                <w:sz w:val="18"/>
                <w:szCs w:val="18"/>
              </w:rPr>
            </w:pPr>
            <w:r>
              <w:rPr>
                <w:rFonts w:ascii="Arial"/>
                <w:sz w:val="18"/>
              </w:rPr>
              <w:t>17,712,069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w w:val="90"/>
                <w:sz w:val="18"/>
              </w:rPr>
              <w:t>110,593,295</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73.75%</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center"/>
              <w:rPr>
                <w:rFonts w:ascii="Arial" w:hAnsi="Arial" w:cs="Arial" w:eastAsia="Arial" w:hint="default"/>
                <w:sz w:val="18"/>
                <w:szCs w:val="18"/>
              </w:rPr>
            </w:pPr>
            <w:r>
              <w:rPr>
                <w:rFonts w:ascii="Arial"/>
                <w:w w:val="90"/>
                <w:sz w:val="18"/>
              </w:rPr>
              <w:t>148,708,500</w:t>
            </w:r>
            <w:r>
              <w:rPr>
                <w:rFonts w:ascii="Arial"/>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center"/>
              <w:rPr>
                <w:rFonts w:ascii="Arial" w:hAnsi="Arial" w:cs="Arial" w:eastAsia="Arial" w:hint="default"/>
                <w:sz w:val="18"/>
                <w:szCs w:val="18"/>
              </w:rPr>
            </w:pPr>
            <w:r>
              <w:rPr>
                <w:rFonts w:ascii="Arial"/>
                <w:w w:val="90"/>
                <w:sz w:val="18"/>
              </w:rPr>
              <w:t>100.00%</w:t>
            </w:r>
            <w:r>
              <w:rPr>
                <w:rFonts w:ascii="Arial"/>
                <w:sz w:val="18"/>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Arial" w:hAnsi="Arial" w:cs="Arial" w:eastAsia="Arial" w:hint="default"/>
                <w:sz w:val="18"/>
                <w:szCs w:val="18"/>
              </w:rPr>
            </w:pPr>
            <w:r>
              <w:rPr>
                <w:rFonts w:ascii="Arial"/>
                <w:w w:val="85"/>
                <w:sz w:val="18"/>
              </w:rPr>
              <w:t>1,246,050</w:t>
            </w:r>
            <w:r>
              <w:rPr>
                <w:rFonts w:ascii="Arial"/>
                <w:sz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4" w:right="0"/>
              <w:jc w:val="center"/>
              <w:rPr>
                <w:rFonts w:ascii="Arial" w:hAnsi="Arial" w:cs="Arial" w:eastAsia="Arial" w:hint="default"/>
                <w:sz w:val="18"/>
                <w:szCs w:val="18"/>
              </w:rPr>
            </w:pPr>
            <w:r>
              <w:rPr>
                <w:rFonts w:ascii="Arial"/>
                <w:sz w:val="18"/>
              </w:rPr>
              <w:t>1,246,050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w w:val="90"/>
                <w:sz w:val="18"/>
              </w:rPr>
              <w:t>149,954,550</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r>
    </w:tbl>
    <w:p>
      <w:pPr>
        <w:spacing w:line="333" w:lineRule="auto" w:before="9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注：</w:t>
      </w:r>
      <w:r>
        <w:rPr>
          <w:rFonts w:ascii="Arial" w:hAnsi="Arial" w:cs="Arial" w:eastAsia="Arial" w:hint="default"/>
          <w:spacing w:val="-2"/>
          <w:sz w:val="21"/>
          <w:szCs w:val="21"/>
        </w:rPr>
        <w:t>1</w:t>
      </w:r>
      <w:r>
        <w:rPr>
          <w:rFonts w:ascii="宋体" w:hAnsi="宋体" w:cs="宋体" w:eastAsia="宋体" w:hint="default"/>
          <w:spacing w:val="-2"/>
          <w:sz w:val="21"/>
          <w:szCs w:val="21"/>
        </w:rPr>
        <w:t>、有限售条件股份是指股份持有人依照法律、法规规定或按承诺有转让限制的股份，包括因股权分</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置改革暂时锁定的</w:t>
      </w:r>
    </w:p>
    <w:p>
      <w:pPr>
        <w:pStyle w:val="BodyText"/>
        <w:spacing w:line="240" w:lineRule="auto" w:before="86"/>
        <w:ind w:right="0"/>
        <w:jc w:val="left"/>
      </w:pPr>
      <w:r>
        <w:rPr/>
        <w:t>股份变动的原因</w:t>
      </w:r>
    </w:p>
    <w:p>
      <w:pPr>
        <w:pStyle w:val="BodyText"/>
        <w:spacing w:line="240" w:lineRule="auto" w:before="154"/>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137"/>
        <w:ind w:right="0"/>
        <w:jc w:val="left"/>
      </w:pPr>
      <w:r>
        <w:rPr/>
        <w:t>（</w:t>
      </w:r>
      <w:r>
        <w:rPr>
          <w:rFonts w:ascii="Arial" w:hAnsi="Arial" w:cs="Arial" w:eastAsia="Arial" w:hint="default"/>
        </w:rPr>
        <w:t>1</w:t>
      </w:r>
      <w:r>
        <w:rPr/>
        <w:t>）</w:t>
      </w:r>
      <w:r>
        <w:rPr>
          <w:rFonts w:ascii="Arial" w:hAnsi="Arial" w:cs="Arial" w:eastAsia="Arial" w:hint="default"/>
        </w:rPr>
        <w:t>2014</w:t>
      </w:r>
      <w:r>
        <w:rPr>
          <w:rFonts w:ascii="Arial" w:hAnsi="Arial" w:cs="Arial" w:eastAsia="Arial" w:hint="default"/>
          <w:spacing w:val="-8"/>
        </w:rPr>
        <w:t> </w:t>
      </w:r>
      <w:r>
        <w:rPr/>
        <w:t>年</w:t>
      </w:r>
      <w:r>
        <w:rPr>
          <w:spacing w:val="-62"/>
        </w:rPr>
        <w:t> </w:t>
      </w:r>
      <w:r>
        <w:rPr>
          <w:rFonts w:ascii="Arial" w:hAnsi="Arial" w:cs="Arial" w:eastAsia="Arial" w:hint="default"/>
        </w:rPr>
        <w:t>1</w:t>
      </w:r>
      <w:r>
        <w:rPr>
          <w:rFonts w:ascii="Arial" w:hAnsi="Arial" w:cs="Arial" w:eastAsia="Arial" w:hint="default"/>
          <w:spacing w:val="-8"/>
        </w:rPr>
        <w:t> </w:t>
      </w:r>
      <w:r>
        <w:rPr/>
        <w:t>月，高管股份年度解锁共计</w:t>
      </w:r>
      <w:r>
        <w:rPr>
          <w:spacing w:val="-62"/>
        </w:rPr>
        <w:t> </w:t>
      </w:r>
      <w:r>
        <w:rPr>
          <w:rFonts w:ascii="Arial" w:hAnsi="Arial" w:cs="Arial" w:eastAsia="Arial" w:hint="default"/>
        </w:rPr>
        <w:t>120,600</w:t>
      </w:r>
      <w:r>
        <w:rPr>
          <w:rFonts w:ascii="Arial" w:hAnsi="Arial" w:cs="Arial" w:eastAsia="Arial" w:hint="default"/>
          <w:spacing w:val="-7"/>
        </w:rPr>
        <w:t> </w:t>
      </w:r>
      <w:r>
        <w:rPr/>
        <w:t>股。</w:t>
      </w:r>
    </w:p>
    <w:p>
      <w:pPr>
        <w:pStyle w:val="BodyText"/>
        <w:spacing w:line="240" w:lineRule="auto" w:before="137"/>
        <w:ind w:right="0"/>
        <w:jc w:val="left"/>
      </w:pPr>
      <w:r>
        <w:rPr/>
        <w:t>（</w:t>
      </w:r>
      <w:r>
        <w:rPr>
          <w:rFonts w:ascii="Arial" w:hAnsi="Arial" w:cs="Arial" w:eastAsia="Arial" w:hint="default"/>
        </w:rPr>
        <w:t>2</w:t>
      </w:r>
      <w:r>
        <w:rPr/>
        <w:t>）</w:t>
      </w:r>
      <w:r>
        <w:rPr>
          <w:rFonts w:ascii="Arial" w:hAnsi="Arial" w:cs="Arial" w:eastAsia="Arial" w:hint="default"/>
        </w:rPr>
        <w:t>2014</w:t>
      </w:r>
      <w:r>
        <w:rPr>
          <w:rFonts w:ascii="Arial" w:hAnsi="Arial" w:cs="Arial" w:eastAsia="Arial" w:hint="default"/>
          <w:spacing w:val="-9"/>
        </w:rPr>
        <w:t> </w:t>
      </w:r>
      <w:r>
        <w:rPr/>
        <w:t>年</w:t>
      </w:r>
      <w:r>
        <w:rPr>
          <w:spacing w:val="-63"/>
        </w:rPr>
        <w:t> </w:t>
      </w:r>
      <w:r>
        <w:rPr>
          <w:rFonts w:ascii="Arial" w:hAnsi="Arial" w:cs="Arial" w:eastAsia="Arial" w:hint="default"/>
        </w:rPr>
        <w:t>10</w:t>
      </w:r>
      <w:r>
        <w:rPr>
          <w:rFonts w:ascii="Arial" w:hAnsi="Arial" w:cs="Arial" w:eastAsia="Arial" w:hint="default"/>
          <w:spacing w:val="-9"/>
        </w:rPr>
        <w:t> </w:t>
      </w:r>
      <w:r>
        <w:rPr/>
        <w:t>月，公司首次公开发行前已经发行股份上市流通，解禁限售股份数量为</w:t>
      </w:r>
    </w:p>
    <w:p>
      <w:pPr>
        <w:pStyle w:val="BodyText"/>
        <w:spacing w:line="240" w:lineRule="auto" w:before="74"/>
        <w:ind w:right="0"/>
        <w:jc w:val="left"/>
      </w:pPr>
      <w:r>
        <w:rPr>
          <w:rFonts w:ascii="Arial" w:hAnsi="Arial" w:cs="Arial" w:eastAsia="Arial" w:hint="default"/>
        </w:rPr>
        <w:t>55,699,174</w:t>
      </w:r>
      <w:r>
        <w:rPr>
          <w:rFonts w:ascii="Arial" w:hAnsi="Arial" w:cs="Arial" w:eastAsia="Arial" w:hint="default"/>
          <w:spacing w:val="-8"/>
        </w:rPr>
        <w:t> </w:t>
      </w:r>
      <w:r>
        <w:rPr/>
        <w:t>股，其中可上市流通限售股份数量为</w:t>
      </w:r>
      <w:r>
        <w:rPr>
          <w:spacing w:val="-64"/>
        </w:rPr>
        <w:t> </w:t>
      </w:r>
      <w:r>
        <w:rPr>
          <w:rFonts w:ascii="Arial" w:hAnsi="Arial" w:cs="Arial" w:eastAsia="Arial" w:hint="default"/>
        </w:rPr>
        <w:t>16,436,694</w:t>
      </w:r>
      <w:r>
        <w:rPr>
          <w:rFonts w:ascii="Arial" w:hAnsi="Arial" w:cs="Arial" w:eastAsia="Arial" w:hint="default"/>
          <w:spacing w:val="-8"/>
        </w:rPr>
        <w:t> </w:t>
      </w:r>
      <w:r>
        <w:rPr/>
        <w:t>股。</w:t>
      </w:r>
    </w:p>
    <w:p>
      <w:pPr>
        <w:spacing w:after="0" w:line="240" w:lineRule="auto"/>
        <w:jc w:val="left"/>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292" w:lineRule="auto" w:before="26"/>
        <w:ind w:right="144"/>
        <w:jc w:val="left"/>
      </w:pPr>
      <w:r>
        <w:rPr>
          <w:spacing w:val="-8"/>
        </w:rPr>
        <w:t>（</w:t>
      </w:r>
      <w:r>
        <w:rPr>
          <w:rFonts w:ascii="Arial" w:hAnsi="Arial" w:cs="Arial" w:eastAsia="Arial" w:hint="default"/>
          <w:spacing w:val="-8"/>
        </w:rPr>
        <w:t>3</w:t>
      </w:r>
      <w:r>
        <w:rPr>
          <w:spacing w:val="-8"/>
        </w:rPr>
        <w:t>）</w:t>
      </w:r>
      <w:r>
        <w:rPr>
          <w:rFonts w:ascii="Arial" w:hAnsi="Arial" w:cs="Arial" w:eastAsia="Arial" w:hint="default"/>
          <w:spacing w:val="-8"/>
        </w:rPr>
        <w:t>2014</w:t>
      </w:r>
      <w:r>
        <w:rPr>
          <w:rFonts w:ascii="Arial" w:hAnsi="Arial" w:cs="Arial" w:eastAsia="Arial" w:hint="default"/>
          <w:spacing w:val="-5"/>
        </w:rPr>
        <w:t> </w:t>
      </w:r>
      <w:r>
        <w:rPr/>
        <w:t>年</w:t>
      </w:r>
      <w:r>
        <w:rPr>
          <w:spacing w:val="-59"/>
        </w:rPr>
        <w:t> </w:t>
      </w:r>
      <w:r>
        <w:rPr>
          <w:rFonts w:ascii="Arial" w:hAnsi="Arial" w:cs="Arial" w:eastAsia="Arial" w:hint="default"/>
        </w:rPr>
        <w:t>10</w:t>
      </w:r>
      <w:r>
        <w:rPr>
          <w:rFonts w:ascii="Arial" w:hAnsi="Arial" w:cs="Arial" w:eastAsia="Arial" w:hint="default"/>
          <w:spacing w:val="-5"/>
        </w:rPr>
        <w:t> </w:t>
      </w:r>
      <w:r>
        <w:rPr>
          <w:spacing w:val="-3"/>
        </w:rPr>
        <w:t>月，公司监事王静家属王凯在二级市场增持</w:t>
      </w:r>
      <w:r>
        <w:rPr>
          <w:spacing w:val="-58"/>
        </w:rPr>
        <w:t> </w:t>
      </w:r>
      <w:r>
        <w:rPr>
          <w:rFonts w:ascii="Arial" w:hAnsi="Arial" w:cs="Arial" w:eastAsia="Arial" w:hint="default"/>
        </w:rPr>
        <w:t>200</w:t>
      </w:r>
      <w:r>
        <w:rPr>
          <w:rFonts w:ascii="Arial" w:hAnsi="Arial" w:cs="Arial" w:eastAsia="Arial" w:hint="default"/>
          <w:spacing w:val="-5"/>
        </w:rPr>
        <w:t> </w:t>
      </w:r>
      <w:r>
        <w:rPr>
          <w:spacing w:val="-5"/>
        </w:rPr>
        <w:t>股。根据相关规定及承诺，</w:t>
      </w:r>
      <w:r>
        <w:rPr/>
        <w:t> 其持有的股份总数的</w:t>
      </w:r>
      <w:r>
        <w:rPr>
          <w:spacing w:val="-62"/>
        </w:rPr>
        <w:t> </w:t>
      </w:r>
      <w:r>
        <w:rPr>
          <w:rFonts w:ascii="Arial" w:hAnsi="Arial" w:cs="Arial" w:eastAsia="Arial" w:hint="default"/>
        </w:rPr>
        <w:t>75%</w:t>
      </w:r>
      <w:r>
        <w:rPr/>
        <w:t>即共计</w:t>
      </w:r>
      <w:r>
        <w:rPr>
          <w:spacing w:val="-62"/>
        </w:rPr>
        <w:t> </w:t>
      </w:r>
      <w:r>
        <w:rPr>
          <w:rFonts w:ascii="Arial" w:hAnsi="Arial" w:cs="Arial" w:eastAsia="Arial" w:hint="default"/>
        </w:rPr>
        <w:t>150</w:t>
      </w:r>
      <w:r>
        <w:rPr>
          <w:rFonts w:ascii="Arial" w:hAnsi="Arial" w:cs="Arial" w:eastAsia="Arial" w:hint="default"/>
          <w:spacing w:val="-8"/>
        </w:rPr>
        <w:t> </w:t>
      </w:r>
      <w:r>
        <w:rPr/>
        <w:t>股列为有限售条件股份。</w:t>
      </w:r>
    </w:p>
    <w:p>
      <w:pPr>
        <w:pStyle w:val="BodyText"/>
        <w:spacing w:line="240" w:lineRule="auto" w:before="78"/>
        <w:ind w:right="0"/>
        <w:jc w:val="left"/>
        <w:rPr>
          <w:rFonts w:ascii="Arial" w:hAnsi="Arial" w:cs="Arial" w:eastAsia="Arial" w:hint="default"/>
        </w:rPr>
      </w:pPr>
      <w:r>
        <w:rPr>
          <w:spacing w:val="-8"/>
        </w:rPr>
        <w:t>（</w:t>
      </w:r>
      <w:r>
        <w:rPr>
          <w:rFonts w:ascii="Arial" w:hAnsi="Arial" w:cs="Arial" w:eastAsia="Arial" w:hint="default"/>
          <w:spacing w:val="-8"/>
        </w:rPr>
        <w:t>4</w:t>
      </w:r>
      <w:r>
        <w:rPr>
          <w:spacing w:val="-8"/>
        </w:rPr>
        <w:t>）报告期内，凌雪梅离任，其所持有的公司股票</w:t>
      </w:r>
      <w:r>
        <w:rPr>
          <w:spacing w:val="-59"/>
        </w:rPr>
        <w:t> </w:t>
      </w:r>
      <w:r>
        <w:rPr>
          <w:rFonts w:ascii="Arial" w:hAnsi="Arial" w:cs="Arial" w:eastAsia="Arial" w:hint="default"/>
        </w:rPr>
        <w:t>10,000</w:t>
      </w:r>
      <w:r>
        <w:rPr>
          <w:rFonts w:ascii="Arial" w:hAnsi="Arial" w:cs="Arial" w:eastAsia="Arial" w:hint="default"/>
          <w:spacing w:val="-4"/>
        </w:rPr>
        <w:t> </w:t>
      </w:r>
      <w:r>
        <w:rPr>
          <w:spacing w:val="-8"/>
        </w:rPr>
        <w:t>股，原锁定限售的</w:t>
      </w:r>
      <w:r>
        <w:rPr>
          <w:spacing w:val="-59"/>
        </w:rPr>
        <w:t> </w:t>
      </w:r>
      <w:r>
        <w:rPr>
          <w:rFonts w:ascii="Arial" w:hAnsi="Arial" w:cs="Arial" w:eastAsia="Arial" w:hint="default"/>
        </w:rPr>
        <w:t>75%</w:t>
      </w:r>
      <w:r>
        <w:rPr/>
        <w:t>股份</w:t>
      </w:r>
      <w:r>
        <w:rPr>
          <w:spacing w:val="-59"/>
        </w:rPr>
        <w:t> </w:t>
      </w:r>
      <w:r>
        <w:rPr>
          <w:rFonts w:ascii="Arial" w:hAnsi="Arial" w:cs="Arial" w:eastAsia="Arial" w:hint="default"/>
        </w:rPr>
        <w:t>7,500</w:t>
      </w:r>
    </w:p>
    <w:p>
      <w:pPr>
        <w:pStyle w:val="BodyText"/>
        <w:spacing w:line="240" w:lineRule="auto" w:before="74"/>
        <w:ind w:right="0"/>
        <w:jc w:val="left"/>
      </w:pPr>
      <w:r>
        <w:rPr/>
        <w:t>股，根据规定在报告期末全部解除限售。</w:t>
      </w:r>
    </w:p>
    <w:p>
      <w:pPr>
        <w:pStyle w:val="BodyText"/>
        <w:spacing w:line="240" w:lineRule="auto" w:before="154"/>
        <w:ind w:right="0"/>
        <w:jc w:val="left"/>
      </w:pPr>
      <w:r>
        <w:rPr>
          <w:spacing w:val="-8"/>
        </w:rPr>
        <w:t>（</w:t>
      </w:r>
      <w:r>
        <w:rPr>
          <w:rFonts w:ascii="Arial" w:hAnsi="Arial" w:cs="Arial" w:eastAsia="Arial" w:hint="default"/>
          <w:spacing w:val="-8"/>
        </w:rPr>
        <w:t>5</w:t>
      </w:r>
      <w:r>
        <w:rPr>
          <w:spacing w:val="-8"/>
        </w:rPr>
        <w:t>）报告期间，公司股票期权激励计划共计行权 </w:t>
      </w:r>
      <w:r>
        <w:rPr>
          <w:rFonts w:ascii="Arial" w:hAnsi="Arial" w:cs="Arial" w:eastAsia="Arial" w:hint="default"/>
        </w:rPr>
        <w:t>1,246,050</w:t>
      </w:r>
      <w:r>
        <w:rPr>
          <w:rFonts w:ascii="Arial" w:hAnsi="Arial" w:cs="Arial" w:eastAsia="Arial" w:hint="default"/>
          <w:spacing w:val="-35"/>
        </w:rPr>
        <w:t> </w:t>
      </w:r>
      <w:r>
        <w:rPr>
          <w:spacing w:val="-12"/>
        </w:rPr>
        <w:t>股，其中，高级管理人员冯显扬、</w:t>
      </w:r>
    </w:p>
    <w:p>
      <w:pPr>
        <w:pStyle w:val="BodyText"/>
        <w:spacing w:line="240" w:lineRule="auto" w:before="74"/>
        <w:ind w:right="0"/>
        <w:jc w:val="left"/>
      </w:pPr>
      <w:r>
        <w:rPr/>
        <w:t>朱相宇、黄福林共计行权</w:t>
      </w:r>
      <w:r>
        <w:rPr>
          <w:spacing w:val="-62"/>
        </w:rPr>
        <w:t> </w:t>
      </w:r>
      <w:r>
        <w:rPr>
          <w:rFonts w:ascii="Arial" w:hAnsi="Arial" w:cs="Arial" w:eastAsia="Arial" w:hint="default"/>
        </w:rPr>
        <w:t>131,500</w:t>
      </w:r>
      <w:r>
        <w:rPr>
          <w:rFonts w:ascii="Arial" w:hAnsi="Arial" w:cs="Arial" w:eastAsia="Arial" w:hint="default"/>
          <w:spacing w:val="-8"/>
        </w:rPr>
        <w:t> </w:t>
      </w:r>
      <w:r>
        <w:rPr/>
        <w:t>股，按照高管持股规定锁定</w:t>
      </w:r>
      <w:r>
        <w:rPr>
          <w:spacing w:val="-63"/>
        </w:rPr>
        <w:t> </w:t>
      </w:r>
      <w:r>
        <w:rPr>
          <w:rFonts w:ascii="Arial" w:hAnsi="Arial" w:cs="Arial" w:eastAsia="Arial" w:hint="default"/>
        </w:rPr>
        <w:t>75%</w:t>
      </w:r>
      <w:r>
        <w:rPr/>
        <w:t>即</w:t>
      </w:r>
      <w:r>
        <w:rPr>
          <w:spacing w:val="-63"/>
        </w:rPr>
        <w:t> </w:t>
      </w:r>
      <w:r>
        <w:rPr>
          <w:rFonts w:ascii="Arial" w:hAnsi="Arial" w:cs="Arial" w:eastAsia="Arial" w:hint="default"/>
        </w:rPr>
        <w:t>98,625</w:t>
      </w:r>
      <w:r>
        <w:rPr>
          <w:rFonts w:ascii="Arial" w:hAnsi="Arial" w:cs="Arial" w:eastAsia="Arial" w:hint="default"/>
          <w:spacing w:val="-8"/>
        </w:rPr>
        <w:t> </w:t>
      </w:r>
      <w:r>
        <w:rPr/>
        <w:t>股，除高管锁</w:t>
      </w:r>
    </w:p>
    <w:p>
      <w:pPr>
        <w:pStyle w:val="BodyText"/>
        <w:spacing w:line="338" w:lineRule="auto" w:before="74"/>
        <w:ind w:right="3551"/>
        <w:jc w:val="left"/>
      </w:pPr>
      <w:r>
        <w:rPr/>
        <w:t>定股外，其他行权股份</w:t>
      </w:r>
      <w:r>
        <w:rPr>
          <w:spacing w:val="-63"/>
        </w:rPr>
        <w:t> </w:t>
      </w:r>
      <w:r>
        <w:rPr>
          <w:rFonts w:ascii="Arial" w:hAnsi="Arial" w:cs="Arial" w:eastAsia="Arial" w:hint="default"/>
        </w:rPr>
        <w:t>1,147,425</w:t>
      </w:r>
      <w:r>
        <w:rPr>
          <w:rFonts w:ascii="Arial" w:hAnsi="Arial" w:cs="Arial" w:eastAsia="Arial" w:hint="default"/>
          <w:spacing w:val="-8"/>
        </w:rPr>
        <w:t> </w:t>
      </w:r>
      <w:r>
        <w:rPr/>
        <w:t>股均为无限售条件股份。 股份变动的批准情况</w:t>
      </w:r>
    </w:p>
    <w:p>
      <w:pPr>
        <w:pStyle w:val="BodyText"/>
        <w:spacing w:line="240" w:lineRule="auto" w:before="56"/>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304" w:lineRule="auto" w:before="137"/>
        <w:ind w:right="191"/>
        <w:jc w:val="both"/>
      </w:pPr>
      <w:r>
        <w:rPr>
          <w:rFonts w:ascii="Arial" w:hAnsi="Arial" w:cs="Arial" w:eastAsia="Arial" w:hint="default"/>
        </w:rPr>
        <w:t>2014</w:t>
      </w:r>
      <w:r>
        <w:rPr>
          <w:rFonts w:ascii="Arial" w:hAnsi="Arial" w:cs="Arial" w:eastAsia="Arial" w:hint="default"/>
          <w:spacing w:val="-6"/>
        </w:rPr>
        <w:t> </w:t>
      </w:r>
      <w:r>
        <w:rPr/>
        <w:t>年</w:t>
      </w:r>
      <w:r>
        <w:rPr>
          <w:spacing w:val="-62"/>
        </w:rPr>
        <w:t> </w:t>
      </w:r>
      <w:r>
        <w:rPr>
          <w:rFonts w:ascii="Arial" w:hAnsi="Arial" w:cs="Arial" w:eastAsia="Arial" w:hint="default"/>
        </w:rPr>
        <w:t>10</w:t>
      </w:r>
      <w:r>
        <w:rPr>
          <w:rFonts w:ascii="Arial" w:hAnsi="Arial" w:cs="Arial" w:eastAsia="Arial" w:hint="default"/>
          <w:spacing w:val="-7"/>
        </w:rPr>
        <w:t> </w:t>
      </w:r>
      <w:r>
        <w:rPr/>
        <w:t>月</w:t>
      </w:r>
      <w:r>
        <w:rPr>
          <w:spacing w:val="-64"/>
        </w:rPr>
        <w:t> </w:t>
      </w:r>
      <w:r>
        <w:rPr>
          <w:rFonts w:ascii="Arial" w:hAnsi="Arial" w:cs="Arial" w:eastAsia="Arial" w:hint="default"/>
        </w:rPr>
        <w:t>20</w:t>
      </w:r>
      <w:r>
        <w:rPr>
          <w:rFonts w:ascii="Arial" w:hAnsi="Arial" w:cs="Arial" w:eastAsia="Arial" w:hint="default"/>
          <w:spacing w:val="-7"/>
        </w:rPr>
        <w:t> </w:t>
      </w:r>
      <w:r>
        <w:rPr/>
        <w:t>日，第五届董事会第十五次会议审议通过了《关于公司股票期权激励计划 首次授予期权第二个行权期及预留期权第一个行权期可行权的议案》。股票期权激励计划首 次授予股票期权第二个行权期及预留期权第一个行权期行权条件已经满足，公司同意以定向 发行公司股票的方式给予首次授予股票期权的 </w:t>
      </w:r>
      <w:r>
        <w:rPr>
          <w:rFonts w:ascii="Arial" w:hAnsi="Arial" w:cs="Arial" w:eastAsia="Arial" w:hint="default"/>
        </w:rPr>
        <w:t>193</w:t>
      </w:r>
      <w:r>
        <w:rPr>
          <w:rFonts w:ascii="Arial" w:hAnsi="Arial" w:cs="Arial" w:eastAsia="Arial" w:hint="default"/>
          <w:spacing w:val="52"/>
        </w:rPr>
        <w:t> </w:t>
      </w:r>
      <w:r>
        <w:rPr/>
        <w:t>名激励对象（调整后）在第二个行权期</w:t>
      </w:r>
    </w:p>
    <w:p>
      <w:pPr>
        <w:pStyle w:val="BodyText"/>
        <w:spacing w:line="240" w:lineRule="auto" w:before="2"/>
        <w:ind w:right="0"/>
        <w:jc w:val="left"/>
      </w:pPr>
      <w:r>
        <w:rPr/>
        <w:t>内可行权股票期权共 </w:t>
      </w:r>
      <w:r>
        <w:rPr>
          <w:rFonts w:ascii="Arial" w:hAnsi="Arial" w:cs="Arial" w:eastAsia="Arial" w:hint="default"/>
        </w:rPr>
        <w:t>151.5  </w:t>
      </w:r>
      <w:r>
        <w:rPr/>
        <w:t>万份，行权价格为 </w:t>
      </w:r>
      <w:r>
        <w:rPr>
          <w:rFonts w:ascii="Arial" w:hAnsi="Arial" w:cs="Arial" w:eastAsia="Arial" w:hint="default"/>
        </w:rPr>
        <w:t>16.37</w:t>
      </w:r>
      <w:r>
        <w:rPr>
          <w:rFonts w:ascii="Arial" w:hAnsi="Arial" w:cs="Arial" w:eastAsia="Arial" w:hint="default"/>
          <w:spacing w:val="36"/>
        </w:rPr>
        <w:t> </w:t>
      </w:r>
      <w:r>
        <w:rPr/>
        <w:t>元；同意以定向发行公司股票的方式</w:t>
      </w:r>
    </w:p>
    <w:p>
      <w:pPr>
        <w:pStyle w:val="BodyText"/>
        <w:spacing w:line="240" w:lineRule="auto" w:before="74"/>
        <w:ind w:right="0"/>
        <w:jc w:val="left"/>
      </w:pPr>
      <w:r>
        <w:rPr/>
        <w:t>给予预留期权的 </w:t>
      </w:r>
      <w:r>
        <w:rPr>
          <w:rFonts w:ascii="Arial" w:hAnsi="Arial" w:cs="Arial" w:eastAsia="Arial" w:hint="default"/>
        </w:rPr>
        <w:t>41  </w:t>
      </w:r>
      <w:r>
        <w:rPr/>
        <w:t>名激励对象（调整后）在第一个行权期内可行权股票期权共计 </w:t>
      </w:r>
      <w:r>
        <w:rPr>
          <w:rFonts w:ascii="Arial" w:hAnsi="Arial" w:cs="Arial" w:eastAsia="Arial" w:hint="default"/>
        </w:rPr>
        <w:t>10.4</w:t>
      </w:r>
      <w:r>
        <w:rPr>
          <w:rFonts w:ascii="Arial" w:hAnsi="Arial" w:cs="Arial" w:eastAsia="Arial" w:hint="default"/>
          <w:spacing w:val="39"/>
        </w:rPr>
        <w:t> </w:t>
      </w:r>
      <w:r>
        <w:rPr/>
        <w:t>万</w:t>
      </w:r>
    </w:p>
    <w:p>
      <w:pPr>
        <w:pStyle w:val="BodyText"/>
        <w:spacing w:line="338" w:lineRule="auto" w:before="74"/>
        <w:ind w:right="6835"/>
        <w:jc w:val="left"/>
      </w:pPr>
      <w:r>
        <w:rPr/>
        <w:t>份，行权价格为 </w:t>
      </w:r>
      <w:r>
        <w:rPr>
          <w:rFonts w:ascii="Arial" w:hAnsi="Arial" w:cs="Arial" w:eastAsia="Arial" w:hint="default"/>
        </w:rPr>
        <w:t>19.92</w:t>
      </w:r>
      <w:r>
        <w:rPr>
          <w:rFonts w:ascii="Arial" w:hAnsi="Arial" w:cs="Arial" w:eastAsia="Arial" w:hint="default"/>
          <w:spacing w:val="-8"/>
        </w:rPr>
        <w:t> </w:t>
      </w:r>
      <w:r>
        <w:rPr/>
        <w:t>元。 股份变动的过户情况</w:t>
      </w:r>
    </w:p>
    <w:p>
      <w:pPr>
        <w:pStyle w:val="BodyText"/>
        <w:spacing w:line="324" w:lineRule="auto" w:before="55"/>
        <w:ind w:right="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公司股票期权激励计划首次授予期权第一个行权期、公司首次授予期权第二个行权期、预留 期权第一个行权期采用自主行权模式，行权造成的变动情况均已在中国登记结算深圳分公司</w:t>
      </w:r>
    </w:p>
    <w:p>
      <w:pPr>
        <w:pStyle w:val="BodyText"/>
        <w:spacing w:line="333" w:lineRule="auto" w:before="7"/>
        <w:ind w:right="174"/>
        <w:jc w:val="left"/>
      </w:pPr>
      <w:r>
        <w:rPr/>
        <w:t>办理了相关登记手续。 股份变动对最近一年和最近一期基本每股收益和稀释每股收益、归属于公司普通股股东的每 股净资产等财务指标的影响</w:t>
      </w:r>
    </w:p>
    <w:p>
      <w:pPr>
        <w:pStyle w:val="BodyText"/>
        <w:spacing w:line="324" w:lineRule="auto" w:before="61"/>
        <w:ind w:right="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报告期内，公司首次授予期权第一个行权期、第二个行权期、预留期权第一个行权期共计行 权</w:t>
      </w:r>
      <w:r>
        <w:rPr>
          <w:rFonts w:ascii="Arial" w:hAnsi="Arial" w:cs="Arial" w:eastAsia="Arial" w:hint="default"/>
        </w:rPr>
        <w:t>1,246,050</w:t>
      </w:r>
      <w:r>
        <w:rPr/>
        <w:t>股，引起公司股份总数增加，截止 </w:t>
      </w:r>
      <w:r>
        <w:rPr>
          <w:rFonts w:ascii="Arial" w:hAnsi="Arial" w:cs="Arial" w:eastAsia="Arial" w:hint="default"/>
        </w:rPr>
        <w:t>2014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16"/>
        </w:rPr>
        <w:t> </w:t>
      </w:r>
      <w:r>
        <w:rPr/>
        <w:t>日，公司股本为</w:t>
      </w:r>
    </w:p>
    <w:p>
      <w:pPr>
        <w:pStyle w:val="BodyText"/>
        <w:spacing w:line="312" w:lineRule="exact"/>
        <w:ind w:right="0"/>
        <w:jc w:val="left"/>
      </w:pPr>
      <w:r>
        <w:rPr>
          <w:rFonts w:ascii="Arial" w:hAnsi="Arial" w:cs="Arial" w:eastAsia="Arial" w:hint="default"/>
        </w:rPr>
        <w:t>149,954,550</w:t>
      </w:r>
      <w:r>
        <w:rPr/>
        <w:t>股。发行在外普通股加权平均数为 </w:t>
      </w:r>
      <w:r>
        <w:rPr>
          <w:rFonts w:ascii="Arial" w:hAnsi="Arial" w:cs="Arial" w:eastAsia="Arial" w:hint="default"/>
        </w:rPr>
        <w:t>148,968,404.17 </w:t>
      </w:r>
      <w:r>
        <w:rPr>
          <w:spacing w:val="-4"/>
        </w:rPr>
        <w:t>股，稀释后发行在外的普通</w:t>
      </w:r>
    </w:p>
    <w:p>
      <w:pPr>
        <w:pStyle w:val="BodyText"/>
        <w:spacing w:line="292" w:lineRule="auto" w:before="74"/>
        <w:ind w:right="150"/>
        <w:jc w:val="both"/>
      </w:pPr>
      <w:r>
        <w:rPr>
          <w:spacing w:val="-5"/>
        </w:rPr>
        <w:t>股加权平均数为</w:t>
      </w:r>
      <w:r>
        <w:rPr>
          <w:rFonts w:ascii="Arial" w:hAnsi="Arial" w:cs="Arial" w:eastAsia="Arial" w:hint="default"/>
          <w:spacing w:val="-5"/>
        </w:rPr>
        <w:t>151,608,468.53</w:t>
      </w:r>
      <w:r>
        <w:rPr>
          <w:spacing w:val="-5"/>
        </w:rPr>
        <w:t>股，由此，基本每股收益为</w:t>
      </w:r>
      <w:r>
        <w:rPr>
          <w:spacing w:val="-2"/>
        </w:rPr>
        <w:t> </w:t>
      </w:r>
      <w:r>
        <w:rPr>
          <w:rFonts w:ascii="Arial" w:hAnsi="Arial" w:cs="Arial" w:eastAsia="Arial" w:hint="default"/>
          <w:spacing w:val="-5"/>
        </w:rPr>
        <w:t>0.99</w:t>
      </w:r>
      <w:r>
        <w:rPr>
          <w:spacing w:val="-5"/>
        </w:rPr>
        <w:t>元</w:t>
      </w:r>
      <w:r>
        <w:rPr>
          <w:rFonts w:ascii="Arial" w:hAnsi="Arial" w:cs="Arial" w:eastAsia="Arial" w:hint="default"/>
          <w:spacing w:val="-5"/>
        </w:rPr>
        <w:t>/</w:t>
      </w:r>
      <w:r>
        <w:rPr>
          <w:spacing w:val="-5"/>
        </w:rPr>
        <w:t>股，稀释每股收益为</w:t>
      </w:r>
      <w:r>
        <w:rPr>
          <w:spacing w:val="-2"/>
        </w:rPr>
        <w:t> </w:t>
      </w:r>
      <w:r>
        <w:rPr>
          <w:rFonts w:ascii="Arial" w:hAnsi="Arial" w:cs="Arial" w:eastAsia="Arial" w:hint="default"/>
        </w:rPr>
        <w:t>0.97</w:t>
      </w:r>
      <w:r>
        <w:rPr>
          <w:rFonts w:ascii="Arial" w:hAnsi="Arial" w:cs="Arial" w:eastAsia="Arial" w:hint="default"/>
          <w:spacing w:val="-65"/>
        </w:rPr>
        <w:t> </w:t>
      </w:r>
      <w:r>
        <w:rPr>
          <w:rFonts w:ascii="Arial" w:hAnsi="Arial" w:cs="Arial" w:eastAsia="Arial" w:hint="default"/>
          <w:spacing w:val="-65"/>
        </w:rPr>
      </w:r>
      <w:r>
        <w:rPr/>
        <w:t>元</w:t>
      </w:r>
      <w:r>
        <w:rPr>
          <w:rFonts w:ascii="Arial" w:hAnsi="Arial" w:cs="Arial" w:eastAsia="Arial" w:hint="default"/>
        </w:rPr>
        <w:t>/</w:t>
      </w:r>
      <w:r>
        <w:rPr/>
        <w:t>股，归属于公司普通股股东每股净资产为</w:t>
      </w:r>
      <w:r>
        <w:rPr>
          <w:rFonts w:ascii="Arial" w:hAnsi="Arial" w:cs="Arial" w:eastAsia="Arial" w:hint="default"/>
        </w:rPr>
        <w:t>7.46</w:t>
      </w:r>
      <w:r>
        <w:rPr/>
        <w:t>元</w:t>
      </w:r>
      <w:r>
        <w:rPr>
          <w:rFonts w:ascii="Arial" w:hAnsi="Arial" w:cs="Arial" w:eastAsia="Arial" w:hint="default"/>
        </w:rPr>
        <w:t>/</w:t>
      </w:r>
      <w:r>
        <w:rPr/>
        <w:t>股。与最近一年</w:t>
      </w:r>
      <w:r>
        <w:rPr>
          <w:spacing w:val="-23"/>
        </w:rPr>
        <w:t> </w:t>
      </w:r>
      <w:r>
        <w:rPr>
          <w:rFonts w:ascii="Arial" w:hAnsi="Arial" w:cs="Arial" w:eastAsia="Arial" w:hint="default"/>
        </w:rPr>
        <w:t>2013</w:t>
      </w:r>
      <w:r>
        <w:rPr/>
        <w:t>年每股收益等相关 指标相比，都有较大增长。</w:t>
      </w:r>
    </w:p>
    <w:p>
      <w:pPr>
        <w:pStyle w:val="BodyText"/>
        <w:spacing w:line="240" w:lineRule="auto" w:before="101"/>
        <w:ind w:right="0"/>
        <w:jc w:val="left"/>
      </w:pPr>
      <w:r>
        <w:rPr/>
        <w:t>公司认为必要或证券监管机构要求披露的其他内容</w:t>
      </w:r>
    </w:p>
    <w:p>
      <w:pPr>
        <w:pStyle w:val="BodyText"/>
        <w:spacing w:line="240" w:lineRule="auto" w:before="154"/>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footerReference w:type="default" r:id="rId30"/>
          <w:pgSz w:w="11910" w:h="16840"/>
          <w:pgMar w:footer="1010" w:header="884" w:top="1140" w:bottom="1200" w:left="980" w:right="980"/>
          <w:pgNumType w:start="50"/>
        </w:sect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4" w:footer="1010" w:top="1140" w:bottom="1200" w:left="980" w:right="900"/>
        </w:sectPr>
      </w:pPr>
    </w:p>
    <w:p>
      <w:pPr>
        <w:pStyle w:val="Heading3"/>
        <w:spacing w:line="240" w:lineRule="auto" w:before="26"/>
        <w:ind w:right="0"/>
        <w:jc w:val="left"/>
        <w:rPr>
          <w:b w:val="0"/>
          <w:bCs w:val="0"/>
        </w:rPr>
      </w:pPr>
      <w:r>
        <w:rPr>
          <w:rFonts w:ascii="Arial" w:hAnsi="Arial" w:cs="Arial" w:eastAsia="Arial" w:hint="default"/>
          <w:w w:val="95"/>
        </w:rPr>
        <w:t>2</w:t>
      </w:r>
      <w:r>
        <w:rPr>
          <w:w w:val="95"/>
        </w:rPr>
        <w:t>、限售股份变动情况</w:t>
      </w:r>
      <w:r>
        <w:rPr>
          <w:b w:val="0"/>
          <w:bCs w:val="0"/>
        </w:rPr>
      </w:r>
    </w:p>
    <w:p>
      <w:pPr>
        <w:pStyle w:val="BodyText"/>
        <w:spacing w:line="240" w:lineRule="auto" w:before="137"/>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6"/>
        <w:ind w:left="152"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100" w:bottom="1200" w:left="980" w:right="900"/>
          <w:cols w:num="2" w:equalWidth="0">
            <w:col w:w="2454" w:space="6346"/>
            <w:col w:w="1230"/>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435"/>
      </w:tblGrid>
      <w:tr>
        <w:trPr>
          <w:trHeight w:val="7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期初限售股数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59" w:right="254"/>
              <w:jc w:val="left"/>
              <w:rPr>
                <w:rFonts w:ascii="宋体" w:hAnsi="宋体" w:cs="宋体" w:eastAsia="宋体" w:hint="default"/>
                <w:sz w:val="21"/>
                <w:szCs w:val="21"/>
              </w:rPr>
            </w:pPr>
            <w:r>
              <w:rPr>
                <w:rFonts w:ascii="宋体" w:hAnsi="宋体" w:cs="宋体" w:eastAsia="宋体" w:hint="default"/>
                <w:sz w:val="21"/>
                <w:szCs w:val="21"/>
              </w:rPr>
              <w:t>本期解除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59" w:right="252"/>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期末限售股数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邵学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36,388,274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9,068,794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27,319,480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2"/>
                <w:sz w:val="21"/>
                <w:szCs w:val="21"/>
              </w:rPr>
              <w:t> </w:t>
            </w:r>
            <w:r>
              <w:rPr>
                <w:rFonts w:ascii="Arial" w:hAnsi="Arial" w:cs="Arial" w:eastAsia="Arial" w:hint="default"/>
                <w:sz w:val="21"/>
                <w:szCs w:val="21"/>
              </w:rPr>
              <w:t>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任涛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3" w:right="0"/>
              <w:jc w:val="left"/>
              <w:rPr>
                <w:rFonts w:ascii="Arial" w:hAnsi="Arial" w:cs="Arial" w:eastAsia="Arial" w:hint="default"/>
                <w:sz w:val="21"/>
                <w:szCs w:val="21"/>
              </w:rPr>
            </w:pPr>
            <w:r>
              <w:rPr>
                <w:rFonts w:ascii="Arial"/>
                <w:sz w:val="21"/>
              </w:rPr>
              <w:t>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1" w:right="0"/>
              <w:jc w:val="left"/>
              <w:rPr>
                <w:rFonts w:ascii="Arial" w:hAnsi="Arial" w:cs="Arial" w:eastAsia="Arial" w:hint="default"/>
                <w:sz w:val="21"/>
                <w:szCs w:val="21"/>
              </w:rPr>
            </w:pPr>
            <w:r>
              <w:rPr>
                <w:rFonts w:ascii="Arial"/>
                <w:sz w:val="21"/>
              </w:rPr>
              <w:t>1,750,000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3" w:right="0"/>
              <w:jc w:val="left"/>
              <w:rPr>
                <w:rFonts w:ascii="Arial" w:hAnsi="Arial" w:cs="Arial" w:eastAsia="Arial" w:hint="default"/>
                <w:sz w:val="21"/>
                <w:szCs w:val="21"/>
              </w:rPr>
            </w:pPr>
            <w:r>
              <w:rPr>
                <w:rFonts w:ascii="Arial"/>
                <w:sz w:val="21"/>
              </w:rPr>
              <w:t>5,250,000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4"/>
                <w:sz w:val="21"/>
                <w:szCs w:val="21"/>
              </w:rPr>
              <w:t> </w:t>
            </w:r>
            <w:r>
              <w:rPr>
                <w:rFonts w:ascii="Arial" w:hAnsi="Arial" w:cs="Arial" w:eastAsia="Arial" w:hint="default"/>
                <w:sz w:val="21"/>
                <w:szCs w:val="21"/>
              </w:rPr>
              <w:t>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王秀花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23" w:right="0"/>
              <w:jc w:val="left"/>
              <w:rPr>
                <w:rFonts w:ascii="Arial" w:hAnsi="Arial" w:cs="Arial" w:eastAsia="Arial" w:hint="default"/>
                <w:sz w:val="21"/>
                <w:szCs w:val="21"/>
              </w:rPr>
            </w:pPr>
            <w:r>
              <w:rPr>
                <w:rFonts w:ascii="Arial"/>
                <w:sz w:val="21"/>
              </w:rPr>
              <w:t>1,222,000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305,500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916,500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3"/>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7"/>
                <w:sz w:val="21"/>
                <w:szCs w:val="21"/>
              </w:rPr>
              <w:t> </w:t>
            </w:r>
            <w:r>
              <w:rPr>
                <w:rFonts w:ascii="Arial" w:hAnsi="Arial" w:cs="Arial" w:eastAsia="Arial" w:hint="default"/>
                <w:sz w:val="21"/>
                <w:szCs w:val="21"/>
              </w:rPr>
              <w:t>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朱相宇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23" w:right="0"/>
              <w:jc w:val="left"/>
              <w:rPr>
                <w:rFonts w:ascii="Arial" w:hAnsi="Arial" w:cs="Arial" w:eastAsia="Arial" w:hint="default"/>
                <w:sz w:val="21"/>
                <w:szCs w:val="21"/>
              </w:rPr>
            </w:pPr>
            <w:r>
              <w:rPr>
                <w:rFonts w:ascii="Arial"/>
                <w:sz w:val="21"/>
              </w:rPr>
              <w:t>1,400,000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350,000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Arial" w:hAnsi="Arial" w:cs="Arial" w:eastAsia="Arial" w:hint="default"/>
                <w:sz w:val="21"/>
                <w:szCs w:val="21"/>
              </w:rPr>
            </w:pPr>
            <w:r>
              <w:rPr>
                <w:rFonts w:ascii="Arial"/>
                <w:spacing w:val="-1"/>
                <w:sz w:val="21"/>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23" w:right="0"/>
              <w:jc w:val="left"/>
              <w:rPr>
                <w:rFonts w:ascii="Arial" w:hAnsi="Arial" w:cs="Arial" w:eastAsia="Arial" w:hint="default"/>
                <w:sz w:val="21"/>
                <w:szCs w:val="21"/>
              </w:rPr>
            </w:pPr>
            <w:r>
              <w:rPr>
                <w:rFonts w:ascii="Arial"/>
                <w:sz w:val="21"/>
              </w:rPr>
              <w:t>1,080,000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3"/>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7"/>
                <w:sz w:val="21"/>
                <w:szCs w:val="21"/>
              </w:rPr>
              <w:t> </w:t>
            </w:r>
            <w:r>
              <w:rPr>
                <w:rFonts w:ascii="Arial" w:hAnsi="Arial" w:cs="Arial" w:eastAsia="Arial" w:hint="default"/>
                <w:sz w:val="21"/>
                <w:szCs w:val="21"/>
              </w:rPr>
              <w:t>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王凯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162,500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z w:val="21"/>
              </w:rPr>
              <w:t>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487,650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3"/>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7"/>
                <w:sz w:val="21"/>
                <w:szCs w:val="21"/>
              </w:rPr>
              <w:t> </w:t>
            </w:r>
            <w:r>
              <w:rPr>
                <w:rFonts w:ascii="Arial" w:hAnsi="Arial" w:cs="Arial" w:eastAsia="Arial" w:hint="default"/>
                <w:sz w:val="21"/>
                <w:szCs w:val="21"/>
              </w:rPr>
              <w:t>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闻连茹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1,300,000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86"/>
              <w:jc w:val="center"/>
              <w:rPr>
                <w:rFonts w:ascii="Arial" w:hAnsi="Arial" w:cs="Arial" w:eastAsia="Arial" w:hint="default"/>
                <w:sz w:val="21"/>
                <w:szCs w:val="21"/>
              </w:rPr>
            </w:pPr>
            <w:r>
              <w:rPr>
                <w:rFonts w:ascii="Arial"/>
                <w:w w:val="100"/>
                <w:sz w:val="21"/>
              </w:rPr>
              <w:t>-</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王静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550,000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137,500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412,500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3"/>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7"/>
                <w:sz w:val="21"/>
                <w:szCs w:val="21"/>
              </w:rPr>
              <w:t> </w:t>
            </w:r>
            <w:r>
              <w:rPr>
                <w:rFonts w:ascii="Arial" w:hAnsi="Arial" w:cs="Arial" w:eastAsia="Arial" w:hint="default"/>
                <w:sz w:val="21"/>
                <w:szCs w:val="21"/>
              </w:rPr>
              <w:t>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黄天菊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Arial" w:hAnsi="Arial" w:cs="Arial" w:eastAsia="Arial" w:hint="default"/>
                <w:sz w:val="21"/>
                <w:szCs w:val="21"/>
              </w:rPr>
            </w:pPr>
            <w:r>
              <w:rPr>
                <w:rFonts w:ascii="Arial"/>
                <w:spacing w:val="-1"/>
                <w:sz w:val="21"/>
              </w:rPr>
              <w:t>130,000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32,500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Arial" w:hAnsi="Arial" w:cs="Arial" w:eastAsia="Arial" w:hint="default"/>
                <w:sz w:val="21"/>
                <w:szCs w:val="21"/>
              </w:rPr>
            </w:pPr>
            <w:r>
              <w:rPr>
                <w:rFonts w:ascii="Arial"/>
                <w:spacing w:val="-1"/>
                <w:sz w:val="21"/>
              </w:rPr>
              <w:t>97,500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7"/>
                <w:sz w:val="21"/>
                <w:szCs w:val="21"/>
              </w:rPr>
              <w:t> </w:t>
            </w:r>
            <w:r>
              <w:rPr>
                <w:rFonts w:ascii="Arial" w:hAnsi="Arial" w:cs="Arial" w:eastAsia="Arial" w:hint="default"/>
                <w:sz w:val="21"/>
                <w:szCs w:val="21"/>
              </w:rPr>
              <w:t>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王川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2,210,000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2,210,000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100"/>
                <w:sz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6"/>
              <w:jc w:val="center"/>
              <w:rPr>
                <w:rFonts w:ascii="Arial" w:hAnsi="Arial" w:cs="Arial" w:eastAsia="Arial" w:hint="default"/>
                <w:sz w:val="21"/>
                <w:szCs w:val="21"/>
              </w:rPr>
            </w:pPr>
            <w:r>
              <w:rPr>
                <w:rFonts w:ascii="Arial"/>
                <w:w w:val="100"/>
                <w:sz w:val="21"/>
              </w:rPr>
              <w:t>-</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3" w:right="0"/>
              <w:jc w:val="left"/>
              <w:rPr>
                <w:rFonts w:ascii="Arial" w:hAnsi="Arial" w:cs="Arial" w:eastAsia="Arial" w:hint="default"/>
                <w:sz w:val="21"/>
                <w:szCs w:val="21"/>
              </w:rPr>
            </w:pPr>
            <w:r>
              <w:rPr>
                <w:rFonts w:ascii="Arial"/>
                <w:sz w:val="21"/>
              </w:rPr>
              <w:t>2,440,000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610,000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3" w:right="0"/>
              <w:jc w:val="left"/>
              <w:rPr>
                <w:rFonts w:ascii="Arial" w:hAnsi="Arial" w:cs="Arial" w:eastAsia="Arial" w:hint="default"/>
                <w:sz w:val="21"/>
                <w:szCs w:val="21"/>
              </w:rPr>
            </w:pPr>
            <w:r>
              <w:rPr>
                <w:rFonts w:ascii="Arial"/>
                <w:sz w:val="21"/>
              </w:rPr>
              <w:t>1,830,000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7"/>
                <w:sz w:val="21"/>
                <w:szCs w:val="21"/>
              </w:rPr>
              <w:t> </w:t>
            </w:r>
            <w:r>
              <w:rPr>
                <w:rFonts w:ascii="Arial" w:hAnsi="Arial" w:cs="Arial" w:eastAsia="Arial" w:hint="default"/>
                <w:sz w:val="21"/>
                <w:szCs w:val="21"/>
              </w:rPr>
              <w:t>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780,000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195,000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585,000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3"/>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7"/>
                <w:sz w:val="21"/>
                <w:szCs w:val="21"/>
              </w:rPr>
              <w:t> </w:t>
            </w:r>
            <w:r>
              <w:rPr>
                <w:rFonts w:ascii="Arial" w:hAnsi="Arial" w:cs="Arial" w:eastAsia="Arial" w:hint="default"/>
                <w:sz w:val="21"/>
                <w:szCs w:val="21"/>
              </w:rPr>
              <w:t>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黄福林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Arial" w:hAnsi="Arial" w:cs="Arial" w:eastAsia="Arial" w:hint="default"/>
                <w:sz w:val="21"/>
                <w:szCs w:val="21"/>
              </w:rPr>
            </w:pPr>
            <w:r>
              <w:rPr>
                <w:rFonts w:ascii="Arial"/>
                <w:spacing w:val="-1"/>
                <w:sz w:val="21"/>
              </w:rPr>
              <w:t>390,000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97,500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Arial" w:hAnsi="Arial" w:cs="Arial" w:eastAsia="Arial" w:hint="default"/>
                <w:sz w:val="21"/>
                <w:szCs w:val="21"/>
              </w:rPr>
            </w:pPr>
            <w:r>
              <w:rPr>
                <w:rFonts w:ascii="Arial"/>
                <w:spacing w:val="-1"/>
                <w:sz w:val="21"/>
              </w:rPr>
              <w:t>31,125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Arial" w:hAnsi="Arial" w:cs="Arial" w:eastAsia="Arial" w:hint="default"/>
                <w:sz w:val="21"/>
                <w:szCs w:val="21"/>
              </w:rPr>
            </w:pPr>
            <w:r>
              <w:rPr>
                <w:rFonts w:ascii="Arial"/>
                <w:spacing w:val="-1"/>
                <w:sz w:val="21"/>
              </w:rPr>
              <w:t>323,625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7"/>
                <w:sz w:val="21"/>
                <w:szCs w:val="21"/>
              </w:rPr>
              <w:t> </w:t>
            </w:r>
            <w:r>
              <w:rPr>
                <w:rFonts w:ascii="Arial" w:hAnsi="Arial" w:cs="Arial" w:eastAsia="Arial" w:hint="default"/>
                <w:sz w:val="21"/>
                <w:szCs w:val="21"/>
              </w:rPr>
              <w:t>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余晴燕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21"/>
                <w:szCs w:val="21"/>
              </w:rPr>
            </w:pPr>
            <w:r>
              <w:rPr>
                <w:rFonts w:ascii="Arial"/>
                <w:spacing w:val="-1"/>
                <w:sz w:val="21"/>
              </w:rPr>
              <w:t>137,500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32,500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
              <w:jc w:val="right"/>
              <w:rPr>
                <w:rFonts w:ascii="Arial" w:hAnsi="Arial" w:cs="Arial" w:eastAsia="Arial" w:hint="default"/>
                <w:sz w:val="21"/>
                <w:szCs w:val="21"/>
              </w:rPr>
            </w:pPr>
            <w:r>
              <w:rPr>
                <w:rFonts w:ascii="Arial"/>
                <w:spacing w:val="-1"/>
                <w:sz w:val="21"/>
              </w:rPr>
              <w:t>105,000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3"/>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7"/>
                <w:sz w:val="21"/>
                <w:szCs w:val="21"/>
              </w:rPr>
              <w:t> </w:t>
            </w:r>
            <w:r>
              <w:rPr>
                <w:rFonts w:ascii="Arial" w:hAnsi="Arial" w:cs="Arial" w:eastAsia="Arial" w:hint="default"/>
                <w:sz w:val="21"/>
                <w:szCs w:val="21"/>
              </w:rPr>
              <w:t>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冯显扬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3" w:right="0"/>
              <w:jc w:val="left"/>
              <w:rPr>
                <w:rFonts w:ascii="Arial" w:hAnsi="Arial" w:cs="Arial" w:eastAsia="Arial" w:hint="default"/>
                <w:sz w:val="21"/>
                <w:szCs w:val="21"/>
              </w:rPr>
            </w:pPr>
            <w:r>
              <w:rPr>
                <w:rFonts w:ascii="Arial"/>
                <w:sz w:val="21"/>
              </w:rPr>
              <w:t>1,222,000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305,500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Arial" w:hAnsi="Arial" w:cs="Arial" w:eastAsia="Arial" w:hint="default"/>
                <w:sz w:val="21"/>
                <w:szCs w:val="21"/>
              </w:rPr>
            </w:pPr>
            <w:r>
              <w:rPr>
                <w:rFonts w:ascii="Arial"/>
                <w:spacing w:val="-1"/>
                <w:sz w:val="21"/>
              </w:rPr>
              <w:t>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Arial" w:hAnsi="Arial" w:cs="Arial" w:eastAsia="Arial" w:hint="default"/>
                <w:sz w:val="21"/>
                <w:szCs w:val="21"/>
              </w:rPr>
            </w:pPr>
            <w:r>
              <w:rPr>
                <w:rFonts w:ascii="Arial"/>
                <w:spacing w:val="-1"/>
                <w:sz w:val="21"/>
              </w:rPr>
              <w:t>954,000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center"/>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7"/>
                <w:sz w:val="21"/>
                <w:szCs w:val="21"/>
              </w:rPr>
              <w:t> </w:t>
            </w:r>
            <w:r>
              <w:rPr>
                <w:rFonts w:ascii="Arial" w:hAnsi="Arial" w:cs="Arial" w:eastAsia="Arial" w:hint="default"/>
                <w:sz w:val="21"/>
                <w:szCs w:val="21"/>
              </w:rPr>
              <w:t>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凌雪梅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100"/>
                <w:sz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Arial" w:hAnsi="Arial" w:cs="Arial" w:eastAsia="Arial" w:hint="default"/>
                <w:sz w:val="21"/>
                <w:szCs w:val="21"/>
              </w:rPr>
            </w:pPr>
            <w:r>
              <w:rPr>
                <w:rFonts w:ascii="Arial"/>
                <w:w w:val="100"/>
                <w:sz w:val="21"/>
              </w:rPr>
              <w:t>-</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55,827,274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16,564,794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98,775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39,361,255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r>
    </w:tbl>
    <w:p>
      <w:pPr>
        <w:spacing w:line="240" w:lineRule="auto" w:before="7"/>
        <w:rPr>
          <w:rFonts w:ascii="宋体" w:hAnsi="宋体" w:cs="宋体" w:eastAsia="宋体" w:hint="default"/>
          <w:sz w:val="10"/>
          <w:szCs w:val="10"/>
        </w:rPr>
      </w:pPr>
    </w:p>
    <w:p>
      <w:pPr>
        <w:pStyle w:val="Heading3"/>
        <w:spacing w:line="240" w:lineRule="auto" w:before="26"/>
        <w:ind w:right="99"/>
        <w:jc w:val="left"/>
        <w:rPr>
          <w:b w:val="0"/>
          <w:bCs w:val="0"/>
        </w:rPr>
      </w:pPr>
      <w:r>
        <w:rPr/>
        <w:t>二、证券发行与上市情况</w:t>
      </w:r>
      <w:r>
        <w:rPr>
          <w:b w:val="0"/>
          <w:bCs w:val="0"/>
        </w:rPr>
      </w:r>
    </w:p>
    <w:p>
      <w:pPr>
        <w:pStyle w:val="Heading3"/>
        <w:spacing w:line="240" w:lineRule="auto" w:before="151"/>
        <w:ind w:right="99"/>
        <w:jc w:val="left"/>
        <w:rPr>
          <w:b w:val="0"/>
          <w:bCs w:val="0"/>
        </w:rPr>
      </w:pPr>
      <w:r>
        <w:rPr>
          <w:rFonts w:ascii="Arial" w:hAnsi="Arial" w:cs="Arial" w:eastAsia="Arial" w:hint="default"/>
        </w:rPr>
        <w:t>1</w:t>
      </w:r>
      <w:r>
        <w:rPr/>
        <w:t>、报告期内证券发行情况</w:t>
      </w:r>
      <w:r>
        <w:rPr>
          <w:b w:val="0"/>
          <w:bCs w:val="0"/>
        </w:rPr>
      </w:r>
    </w:p>
    <w:p>
      <w:pPr>
        <w:pStyle w:val="BodyText"/>
        <w:spacing w:line="240" w:lineRule="auto" w:before="137"/>
        <w:ind w:right="9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40" w:lineRule="auto" w:before="137"/>
        <w:ind w:right="99"/>
        <w:jc w:val="left"/>
        <w:rPr>
          <w:b w:val="0"/>
          <w:bCs w:val="0"/>
        </w:rPr>
      </w:pPr>
      <w:r>
        <w:rPr>
          <w:rFonts w:ascii="Arial" w:hAnsi="Arial" w:cs="Arial" w:eastAsia="Arial" w:hint="default"/>
        </w:rPr>
        <w:t>2</w:t>
      </w:r>
      <w:r>
        <w:rPr/>
        <w:t>、公司股份总数及股东结构的变动、公司资产和负债结构的变动情况说明</w:t>
      </w:r>
      <w:r>
        <w:rPr>
          <w:b w:val="0"/>
          <w:bCs w:val="0"/>
        </w:rPr>
      </w:r>
    </w:p>
    <w:p>
      <w:pPr>
        <w:pStyle w:val="BodyText"/>
        <w:spacing w:line="338" w:lineRule="auto" w:before="137"/>
        <w:ind w:left="633" w:right="99"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w:t>
      </w:r>
      <w:r>
        <w:rPr>
          <w:spacing w:val="2"/>
        </w:rPr>
        <w:t>报告期内，公司股权激励计划首次授予期权第一个行权期于</w:t>
      </w:r>
      <w:r>
        <w:rPr>
          <w:rFonts w:ascii="Arial" w:hAnsi="Arial" w:cs="Arial" w:eastAsia="Arial" w:hint="default"/>
          <w:spacing w:val="2"/>
        </w:rPr>
        <w:t>8</w:t>
      </w:r>
      <w:r>
        <w:rPr>
          <w:spacing w:val="2"/>
        </w:rPr>
        <w:t>月</w:t>
      </w:r>
      <w:r>
        <w:rPr>
          <w:rFonts w:ascii="Arial" w:hAnsi="Arial" w:cs="Arial" w:eastAsia="Arial" w:hint="default"/>
          <w:spacing w:val="2"/>
        </w:rPr>
        <w:t>22</w:t>
      </w:r>
      <w:r>
        <w:rPr>
          <w:spacing w:val="2"/>
        </w:rPr>
        <w:t>日结束。公司股权激</w:t>
      </w:r>
    </w:p>
    <w:p>
      <w:pPr>
        <w:pStyle w:val="BodyText"/>
        <w:spacing w:line="296" w:lineRule="exact"/>
        <w:ind w:right="99"/>
        <w:jc w:val="left"/>
        <w:rPr>
          <w:rFonts w:ascii="Arial" w:hAnsi="Arial" w:cs="Arial" w:eastAsia="Arial" w:hint="default"/>
        </w:rPr>
      </w:pPr>
      <w:r>
        <w:rPr/>
        <w:t>励计划首次授予期权第二个行权期及预留期权第一个行权期行权条件已满足，截止</w:t>
      </w:r>
      <w:r>
        <w:rPr>
          <w:rFonts w:ascii="Arial" w:hAnsi="Arial" w:cs="Arial" w:eastAsia="Arial" w:hint="default"/>
        </w:rPr>
        <w:t>2014</w:t>
      </w:r>
      <w:r>
        <w:rPr/>
        <w:t>年</w:t>
      </w:r>
      <w:r>
        <w:rPr>
          <w:rFonts w:ascii="Arial" w:hAnsi="Arial" w:cs="Arial" w:eastAsia="Arial" w:hint="default"/>
        </w:rPr>
        <w:t>12</w:t>
      </w:r>
    </w:p>
    <w:p>
      <w:pPr>
        <w:pStyle w:val="BodyText"/>
        <w:spacing w:line="338" w:lineRule="auto" w:before="74"/>
        <w:ind w:left="633" w:right="106" w:hanging="481"/>
        <w:jc w:val="left"/>
      </w:pPr>
      <w:r>
        <w:rPr/>
        <w:t>月</w:t>
      </w:r>
      <w:r>
        <w:rPr>
          <w:rFonts w:ascii="Arial" w:hAnsi="Arial" w:cs="Arial" w:eastAsia="Arial" w:hint="default"/>
        </w:rPr>
        <w:t>31</w:t>
      </w:r>
      <w:r>
        <w:rPr/>
        <w:t>日，行权新增股份</w:t>
      </w:r>
      <w:r>
        <w:rPr>
          <w:rFonts w:ascii="Arial" w:hAnsi="Arial" w:cs="Arial" w:eastAsia="Arial" w:hint="default"/>
        </w:rPr>
        <w:t>1,246,050</w:t>
      </w:r>
      <w:r>
        <w:rPr/>
        <w:t>股，公司总股本变为</w:t>
      </w:r>
      <w:r>
        <w:rPr>
          <w:rFonts w:ascii="Arial" w:hAnsi="Arial" w:cs="Arial" w:eastAsia="Arial" w:hint="default"/>
        </w:rPr>
        <w:t>149,954,550</w:t>
      </w:r>
      <w:r>
        <w:rPr/>
        <w:t>股。 截至</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日，公司已收到股票期权激励对象缴纳行权资金 </w:t>
      </w:r>
      <w:r>
        <w:rPr>
          <w:rFonts w:ascii="Arial" w:hAnsi="Arial" w:cs="Arial" w:eastAsia="Arial" w:hint="default"/>
        </w:rPr>
        <w:t>20,614,938.50</w:t>
      </w:r>
      <w:r>
        <w:rPr>
          <w:rFonts w:ascii="Arial" w:hAnsi="Arial" w:cs="Arial" w:eastAsia="Arial" w:hint="default"/>
          <w:spacing w:val="-2"/>
        </w:rPr>
        <w:t> </w:t>
      </w:r>
      <w:r>
        <w:rPr/>
        <w:t>元。</w:t>
      </w:r>
    </w:p>
    <w:p>
      <w:pPr>
        <w:pStyle w:val="BodyText"/>
        <w:spacing w:line="296" w:lineRule="exact"/>
        <w:ind w:right="99"/>
        <w:jc w:val="left"/>
      </w:pPr>
      <w:r>
        <w:rPr/>
        <w:t>其中：新增股本合计人民币</w:t>
      </w:r>
      <w:r>
        <w:rPr>
          <w:rFonts w:ascii="Arial" w:hAnsi="Arial" w:cs="Arial" w:eastAsia="Arial" w:hint="default"/>
        </w:rPr>
        <w:t>1,246,050</w:t>
      </w:r>
      <w:r>
        <w:rPr/>
        <w:t>元，资本公积 </w:t>
      </w:r>
      <w:r>
        <w:rPr>
          <w:rFonts w:ascii="Arial" w:hAnsi="Arial" w:cs="Arial" w:eastAsia="Arial" w:hint="default"/>
        </w:rPr>
        <w:t>19,368,888.50</w:t>
      </w:r>
      <w:r>
        <w:rPr>
          <w:rFonts w:ascii="Arial" w:hAnsi="Arial" w:cs="Arial" w:eastAsia="Arial" w:hint="default"/>
          <w:spacing w:val="45"/>
        </w:rPr>
        <w:t> </w:t>
      </w:r>
      <w:r>
        <w:rPr/>
        <w:t>元。</w:t>
      </w:r>
    </w:p>
    <w:p>
      <w:pPr>
        <w:spacing w:after="0" w:line="296" w:lineRule="exact"/>
        <w:jc w:val="left"/>
        <w:sectPr>
          <w:type w:val="continuous"/>
          <w:pgSz w:w="11910" w:h="16840"/>
          <w:pgMar w:top="1100" w:bottom="1200" w:left="980" w:right="900"/>
        </w:sect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4" w:footer="1010" w:top="1140" w:bottom="1200" w:left="980" w:right="980"/>
        </w:sectPr>
      </w:pPr>
    </w:p>
    <w:p>
      <w:pPr>
        <w:pStyle w:val="Heading3"/>
        <w:spacing w:line="240" w:lineRule="auto" w:before="26"/>
        <w:ind w:right="0"/>
        <w:jc w:val="left"/>
        <w:rPr>
          <w:b w:val="0"/>
          <w:bCs w:val="0"/>
        </w:rPr>
      </w:pPr>
      <w:r>
        <w:rPr/>
        <w:t>三、股东和实际控制人情况</w:t>
      </w:r>
      <w:r>
        <w:rPr>
          <w:b w:val="0"/>
          <w:bCs w:val="0"/>
        </w:rPr>
      </w:r>
    </w:p>
    <w:p>
      <w:pPr>
        <w:pStyle w:val="Heading3"/>
        <w:spacing w:line="240" w:lineRule="auto" w:before="154"/>
        <w:ind w:right="0"/>
        <w:jc w:val="left"/>
        <w:rPr>
          <w:b w:val="0"/>
          <w:bCs w:val="0"/>
        </w:rPr>
      </w:pPr>
      <w:r>
        <w:rPr>
          <w:rFonts w:ascii="Arial" w:hAnsi="Arial" w:cs="Arial" w:eastAsia="Arial" w:hint="default"/>
          <w:w w:val="95"/>
        </w:rPr>
        <w:t>1</w:t>
      </w:r>
      <w:r>
        <w:rPr>
          <w:w w:val="95"/>
        </w:rPr>
        <w:t>、公司股东数量及持股情况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6"/>
        <w:ind w:left="152"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100" w:bottom="1200" w:left="980" w:right="980"/>
          <w:cols w:num="2" w:equalWidth="0">
            <w:col w:w="3176" w:space="5624"/>
            <w:col w:w="1150"/>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844"/>
        <w:gridCol w:w="790"/>
        <w:gridCol w:w="344"/>
        <w:gridCol w:w="852"/>
        <w:gridCol w:w="490"/>
        <w:gridCol w:w="646"/>
        <w:gridCol w:w="708"/>
        <w:gridCol w:w="1133"/>
        <w:gridCol w:w="1144"/>
        <w:gridCol w:w="558"/>
        <w:gridCol w:w="1063"/>
      </w:tblGrid>
      <w:tr>
        <w:trPr>
          <w:trHeight w:val="715"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1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5,790</w:t>
            </w:r>
          </w:p>
        </w:tc>
        <w:tc>
          <w:tcPr>
            <w:tcW w:w="3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11"/>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9"/>
                <w:sz w:val="21"/>
                <w:szCs w:val="21"/>
              </w:rPr>
              <w:t> </w:t>
            </w:r>
            <w:r>
              <w:rPr>
                <w:rFonts w:ascii="宋体" w:hAnsi="宋体" w:cs="宋体" w:eastAsia="宋体" w:hint="default"/>
                <w:sz w:val="21"/>
                <w:szCs w:val="21"/>
              </w:rPr>
              <w:t>个交易日末股东</w:t>
            </w:r>
            <w:r>
              <w:rPr>
                <w:rFonts w:ascii="宋体" w:hAnsi="宋体" w:cs="宋体" w:eastAsia="宋体" w:hint="default"/>
                <w:w w:val="100"/>
                <w:sz w:val="21"/>
                <w:szCs w:val="21"/>
              </w:rPr>
              <w:t> </w:t>
            </w:r>
            <w:r>
              <w:rPr>
                <w:rFonts w:ascii="宋体" w:hAnsi="宋体" w:cs="宋体" w:eastAsia="宋体" w:hint="default"/>
                <w:sz w:val="21"/>
                <w:szCs w:val="21"/>
              </w:rPr>
              <w:t>总数</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61" w:right="0"/>
              <w:jc w:val="left"/>
              <w:rPr>
                <w:rFonts w:ascii="Arial" w:hAnsi="Arial" w:cs="Arial" w:eastAsia="Arial" w:hint="default"/>
                <w:sz w:val="21"/>
                <w:szCs w:val="21"/>
              </w:rPr>
            </w:pPr>
            <w:r>
              <w:rPr>
                <w:rFonts w:ascii="Arial"/>
                <w:sz w:val="21"/>
              </w:rPr>
              <w:t>6,107</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8"/>
                <w:sz w:val="21"/>
                <w:szCs w:val="21"/>
              </w:rPr>
              <w:t> </w:t>
            </w:r>
            <w:r>
              <w:rPr>
                <w:rFonts w:ascii="Arial" w:hAnsi="Arial" w:cs="Arial" w:eastAsia="Arial" w:hint="default"/>
                <w:sz w:val="21"/>
                <w:szCs w:val="21"/>
              </w:rPr>
              <w:t>5%</w:t>
            </w:r>
            <w:r>
              <w:rPr>
                <w:rFonts w:ascii="宋体" w:hAnsi="宋体" w:cs="宋体" w:eastAsia="宋体" w:hint="default"/>
                <w:sz w:val="21"/>
                <w:szCs w:val="21"/>
              </w:rPr>
              <w:t>以上的股东持股情况</w:t>
            </w:r>
          </w:p>
        </w:tc>
      </w:tr>
      <w:tr>
        <w:trPr>
          <w:trHeight w:val="403"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16" w:right="98" w:hanging="209"/>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135"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7" w:right="33" w:hanging="212"/>
              <w:jc w:val="left"/>
              <w:rPr>
                <w:rFonts w:ascii="宋体" w:hAnsi="宋体" w:cs="宋体" w:eastAsia="宋体" w:hint="default"/>
                <w:sz w:val="21"/>
                <w:szCs w:val="21"/>
              </w:rPr>
            </w:pPr>
            <w:r>
              <w:rPr>
                <w:rFonts w:ascii="宋体" w:hAnsi="宋体" w:cs="宋体" w:eastAsia="宋体" w:hint="default"/>
                <w:sz w:val="21"/>
                <w:szCs w:val="21"/>
              </w:rPr>
              <w:t>报告期末持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股数量</w:t>
            </w:r>
          </w:p>
        </w:tc>
        <w:tc>
          <w:tcPr>
            <w:tcW w:w="708" w:type="dxa"/>
            <w:vMerge w:val="restart"/>
            <w:tcBorders>
              <w:top w:val="single" w:sz="4" w:space="0" w:color="000000"/>
              <w:left w:val="single" w:sz="4" w:space="0" w:color="000000"/>
              <w:right w:val="single" w:sz="4" w:space="0" w:color="000000"/>
            </w:tcBorders>
          </w:tcPr>
          <w:p>
            <w:pPr>
              <w:pStyle w:val="TableParagraph"/>
              <w:spacing w:line="273" w:lineRule="auto" w:before="28"/>
              <w:ind w:left="33" w:right="29"/>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内增减</w:t>
            </w:r>
            <w:r>
              <w:rPr>
                <w:rFonts w:ascii="宋体" w:hAnsi="宋体" w:cs="宋体" w:eastAsia="宋体" w:hint="default"/>
                <w:w w:val="100"/>
                <w:sz w:val="21"/>
                <w:szCs w:val="21"/>
              </w:rPr>
              <w:t> </w:t>
            </w:r>
            <w:r>
              <w:rPr>
                <w:rFonts w:ascii="宋体" w:hAnsi="宋体" w:cs="宋体" w:eastAsia="宋体" w:hint="default"/>
                <w:sz w:val="21"/>
                <w:szCs w:val="21"/>
              </w:rPr>
              <w:t>变动情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 w:right="31"/>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1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5" w:right="42"/>
              <w:jc w:val="center"/>
              <w:rPr>
                <w:rFonts w:ascii="宋体" w:hAnsi="宋体" w:cs="宋体" w:eastAsia="宋体" w:hint="default"/>
                <w:sz w:val="21"/>
                <w:szCs w:val="21"/>
              </w:rPr>
            </w:pPr>
            <w:r>
              <w:rPr>
                <w:rFonts w:ascii="宋体" w:hAnsi="宋体" w:cs="宋体" w:eastAsia="宋体" w:hint="default"/>
                <w:sz w:val="21"/>
                <w:szCs w:val="21"/>
              </w:rPr>
              <w:t>持有无限售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937" w:hRule="exact"/>
        </w:trPr>
        <w:tc>
          <w:tcPr>
            <w:tcW w:w="1844" w:type="dxa"/>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5" w:type="dxa"/>
            <w:gridSpan w:val="2"/>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44" w:type="dxa"/>
            <w:vMerge/>
            <w:tcBorders>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19"/>
              <w:ind w:left="61" w:right="62"/>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24.29%</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0" w:right="0"/>
              <w:jc w:val="left"/>
              <w:rPr>
                <w:rFonts w:ascii="Arial" w:hAnsi="Arial" w:cs="Arial" w:eastAsia="Arial" w:hint="default"/>
                <w:sz w:val="21"/>
                <w:szCs w:val="21"/>
              </w:rPr>
            </w:pPr>
            <w:r>
              <w:rPr>
                <w:rFonts w:ascii="Arial"/>
                <w:sz w:val="21"/>
              </w:rPr>
              <w:t>36,425,974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不变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27,319,480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8"/>
              <w:jc w:val="right"/>
              <w:rPr>
                <w:rFonts w:ascii="Arial" w:hAnsi="Arial" w:cs="Arial" w:eastAsia="Arial" w:hint="default"/>
                <w:sz w:val="21"/>
                <w:szCs w:val="21"/>
              </w:rPr>
            </w:pPr>
            <w:r>
              <w:rPr>
                <w:rFonts w:ascii="Arial"/>
                <w:spacing w:val="-1"/>
                <w:sz w:val="21"/>
              </w:rPr>
              <w:t>9,068,794</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1"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9" w:right="0"/>
              <w:jc w:val="center"/>
              <w:rPr>
                <w:rFonts w:ascii="Arial" w:hAnsi="Arial" w:cs="Arial" w:eastAsia="Arial" w:hint="default"/>
                <w:sz w:val="21"/>
                <w:szCs w:val="21"/>
              </w:rPr>
            </w:pPr>
            <w:r>
              <w:rPr>
                <w:rFonts w:ascii="Arial"/>
                <w:sz w:val="21"/>
              </w:rPr>
              <w:t>3,850,000</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任涛</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4.67%</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8" w:right="0"/>
              <w:jc w:val="left"/>
              <w:rPr>
                <w:rFonts w:ascii="Arial" w:hAnsi="Arial" w:cs="Arial" w:eastAsia="Arial" w:hint="default"/>
                <w:sz w:val="21"/>
                <w:szCs w:val="21"/>
              </w:rPr>
            </w:pPr>
            <w:r>
              <w:rPr>
                <w:rFonts w:ascii="Arial"/>
                <w:sz w:val="21"/>
              </w:rPr>
              <w:t>7,000,000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不变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5,250,000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8"/>
              <w:jc w:val="right"/>
              <w:rPr>
                <w:rFonts w:ascii="Arial" w:hAnsi="Arial" w:cs="Arial" w:eastAsia="Arial" w:hint="default"/>
                <w:sz w:val="21"/>
                <w:szCs w:val="21"/>
              </w:rPr>
            </w:pPr>
            <w:r>
              <w:rPr>
                <w:rFonts w:ascii="Arial"/>
                <w:spacing w:val="-1"/>
                <w:sz w:val="21"/>
              </w:rPr>
              <w:t>1,750,000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1"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9" w:right="0"/>
              <w:jc w:val="center"/>
              <w:rPr>
                <w:rFonts w:ascii="Arial" w:hAnsi="Arial" w:cs="Arial" w:eastAsia="Arial" w:hint="default"/>
                <w:sz w:val="21"/>
                <w:szCs w:val="21"/>
              </w:rPr>
            </w:pPr>
            <w:r>
              <w:rPr>
                <w:rFonts w:ascii="Arial"/>
                <w:sz w:val="21"/>
              </w:rPr>
              <w:t>1,840,000</w:t>
            </w:r>
          </w:p>
        </w:tc>
      </w:tr>
      <w:tr>
        <w:trPr>
          <w:trHeight w:val="10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中国工商银行－广</w:t>
            </w:r>
            <w:r>
              <w:rPr>
                <w:rFonts w:ascii="宋体" w:hAnsi="宋体" w:cs="宋体" w:eastAsia="宋体" w:hint="default"/>
                <w:w w:val="100"/>
                <w:sz w:val="21"/>
                <w:szCs w:val="21"/>
              </w:rPr>
              <w:t> </w:t>
            </w:r>
            <w:r>
              <w:rPr>
                <w:rFonts w:ascii="宋体" w:hAnsi="宋体" w:cs="宋体" w:eastAsia="宋体" w:hint="default"/>
                <w:sz w:val="21"/>
                <w:szCs w:val="21"/>
              </w:rPr>
              <w:t>发聚丰股票型证券</w:t>
            </w:r>
            <w:r>
              <w:rPr>
                <w:rFonts w:ascii="宋体" w:hAnsi="宋体" w:cs="宋体" w:eastAsia="宋体" w:hint="default"/>
                <w:w w:val="100"/>
                <w:sz w:val="21"/>
                <w:szCs w:val="21"/>
              </w:rPr>
              <w:t> </w:t>
            </w:r>
            <w:r>
              <w:rPr>
                <w:rFonts w:ascii="宋体" w:hAnsi="宋体" w:cs="宋体" w:eastAsia="宋体" w:hint="default"/>
                <w:sz w:val="21"/>
                <w:szCs w:val="21"/>
              </w:rPr>
              <w:t>投资基金</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141" w:right="137" w:firstLine="105"/>
              <w:jc w:val="left"/>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w w:val="100"/>
                <w:sz w:val="21"/>
                <w:szCs w:val="21"/>
              </w:rPr>
              <w:t> </w:t>
            </w:r>
            <w:r>
              <w:rPr>
                <w:rFonts w:ascii="宋体" w:hAnsi="宋体" w:cs="宋体" w:eastAsia="宋体" w:hint="default"/>
                <w:sz w:val="21"/>
                <w:szCs w:val="21"/>
              </w:rPr>
              <w:t>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6"/>
              <w:jc w:val="right"/>
              <w:rPr>
                <w:rFonts w:ascii="Arial" w:hAnsi="Arial" w:cs="Arial" w:eastAsia="Arial" w:hint="default"/>
                <w:sz w:val="21"/>
                <w:szCs w:val="21"/>
              </w:rPr>
            </w:pPr>
            <w:r>
              <w:rPr>
                <w:rFonts w:ascii="Arial"/>
                <w:spacing w:val="-1"/>
                <w:sz w:val="21"/>
              </w:rPr>
              <w:t>4.01%</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8" w:right="0"/>
              <w:jc w:val="left"/>
              <w:rPr>
                <w:rFonts w:ascii="Arial" w:hAnsi="Arial" w:cs="Arial" w:eastAsia="Arial" w:hint="default"/>
                <w:sz w:val="21"/>
                <w:szCs w:val="21"/>
              </w:rPr>
            </w:pPr>
            <w:r>
              <w:rPr>
                <w:rFonts w:ascii="Arial"/>
                <w:sz w:val="21"/>
              </w:rPr>
              <w:t>6,010,064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减持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8"/>
              <w:jc w:val="right"/>
              <w:rPr>
                <w:rFonts w:ascii="Arial" w:hAnsi="Arial" w:cs="Arial" w:eastAsia="Arial" w:hint="default"/>
                <w:sz w:val="21"/>
                <w:szCs w:val="21"/>
              </w:rPr>
            </w:pPr>
            <w:r>
              <w:rPr>
                <w:rFonts w:ascii="Arial"/>
                <w:spacing w:val="-1"/>
                <w:sz w:val="21"/>
              </w:rPr>
              <w:t>6,010,064</w:t>
            </w:r>
          </w:p>
        </w:tc>
        <w:tc>
          <w:tcPr>
            <w:tcW w:w="55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中国建设银行－国</w:t>
            </w:r>
            <w:r>
              <w:rPr>
                <w:rFonts w:ascii="宋体" w:hAnsi="宋体" w:cs="宋体" w:eastAsia="宋体" w:hint="default"/>
                <w:w w:val="100"/>
                <w:sz w:val="21"/>
                <w:szCs w:val="21"/>
              </w:rPr>
              <w:t> </w:t>
            </w:r>
            <w:r>
              <w:rPr>
                <w:rFonts w:ascii="宋体" w:hAnsi="宋体" w:cs="宋体" w:eastAsia="宋体" w:hint="default"/>
                <w:sz w:val="21"/>
                <w:szCs w:val="21"/>
              </w:rPr>
              <w:t>泰金鼎价值精选混</w:t>
            </w:r>
            <w:r>
              <w:rPr>
                <w:rFonts w:ascii="宋体" w:hAnsi="宋体" w:cs="宋体" w:eastAsia="宋体" w:hint="default"/>
                <w:w w:val="100"/>
                <w:sz w:val="21"/>
                <w:szCs w:val="21"/>
              </w:rPr>
              <w:t> </w:t>
            </w:r>
            <w:r>
              <w:rPr>
                <w:rFonts w:ascii="宋体" w:hAnsi="宋体" w:cs="宋体" w:eastAsia="宋体" w:hint="default"/>
                <w:sz w:val="21"/>
                <w:szCs w:val="21"/>
              </w:rPr>
              <w:t>合型证券投资基金</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141" w:right="137" w:firstLine="105"/>
              <w:jc w:val="left"/>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w w:val="100"/>
                <w:sz w:val="21"/>
                <w:szCs w:val="21"/>
              </w:rPr>
              <w:t> </w:t>
            </w:r>
            <w:r>
              <w:rPr>
                <w:rFonts w:ascii="宋体" w:hAnsi="宋体" w:cs="宋体" w:eastAsia="宋体" w:hint="default"/>
                <w:sz w:val="21"/>
                <w:szCs w:val="21"/>
              </w:rPr>
              <w:t>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6"/>
              <w:jc w:val="right"/>
              <w:rPr>
                <w:rFonts w:ascii="Arial" w:hAnsi="Arial" w:cs="Arial" w:eastAsia="Arial" w:hint="default"/>
                <w:sz w:val="21"/>
                <w:szCs w:val="21"/>
              </w:rPr>
            </w:pPr>
            <w:r>
              <w:rPr>
                <w:rFonts w:ascii="Arial"/>
                <w:spacing w:val="-1"/>
                <w:sz w:val="21"/>
              </w:rPr>
              <w:t>2.50%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8" w:right="0"/>
              <w:jc w:val="left"/>
              <w:rPr>
                <w:rFonts w:ascii="Arial" w:hAnsi="Arial" w:cs="Arial" w:eastAsia="Arial" w:hint="default"/>
                <w:sz w:val="21"/>
                <w:szCs w:val="21"/>
              </w:rPr>
            </w:pPr>
            <w:r>
              <w:rPr>
                <w:rFonts w:ascii="Arial"/>
                <w:sz w:val="21"/>
              </w:rPr>
              <w:t>3,751,985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新进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8"/>
              <w:jc w:val="right"/>
              <w:rPr>
                <w:rFonts w:ascii="Arial" w:hAnsi="Arial" w:cs="Arial" w:eastAsia="Arial" w:hint="default"/>
                <w:sz w:val="21"/>
                <w:szCs w:val="21"/>
              </w:rPr>
            </w:pPr>
            <w:r>
              <w:rPr>
                <w:rFonts w:ascii="Arial"/>
                <w:spacing w:val="-1"/>
                <w:sz w:val="21"/>
              </w:rPr>
              <w:t>3,751,985</w:t>
            </w:r>
          </w:p>
        </w:tc>
        <w:tc>
          <w:tcPr>
            <w:tcW w:w="55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中国农业银行－中</w:t>
            </w:r>
            <w:r>
              <w:rPr>
                <w:rFonts w:ascii="宋体" w:hAnsi="宋体" w:cs="宋体" w:eastAsia="宋体" w:hint="default"/>
                <w:w w:val="100"/>
                <w:sz w:val="21"/>
                <w:szCs w:val="21"/>
              </w:rPr>
              <w:t> </w:t>
            </w:r>
            <w:r>
              <w:rPr>
                <w:rFonts w:ascii="宋体" w:hAnsi="宋体" w:cs="宋体" w:eastAsia="宋体" w:hint="default"/>
                <w:sz w:val="21"/>
                <w:szCs w:val="21"/>
              </w:rPr>
              <w:t>邮核心成长股票型</w:t>
            </w:r>
            <w:r>
              <w:rPr>
                <w:rFonts w:ascii="宋体" w:hAnsi="宋体" w:cs="宋体" w:eastAsia="宋体" w:hint="default"/>
                <w:w w:val="100"/>
                <w:sz w:val="21"/>
                <w:szCs w:val="21"/>
              </w:rPr>
              <w:t> </w:t>
            </w:r>
            <w:r>
              <w:rPr>
                <w:rFonts w:ascii="宋体" w:hAnsi="宋体" w:cs="宋体" w:eastAsia="宋体" w:hint="default"/>
                <w:sz w:val="21"/>
                <w:szCs w:val="21"/>
              </w:rPr>
              <w:t>证券投资基金</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141" w:right="137" w:firstLine="105"/>
              <w:jc w:val="left"/>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w w:val="100"/>
                <w:sz w:val="21"/>
                <w:szCs w:val="21"/>
              </w:rPr>
              <w:t> </w:t>
            </w:r>
            <w:r>
              <w:rPr>
                <w:rFonts w:ascii="宋体" w:hAnsi="宋体" w:cs="宋体" w:eastAsia="宋体" w:hint="default"/>
                <w:sz w:val="21"/>
                <w:szCs w:val="21"/>
              </w:rPr>
              <w:t>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6"/>
              <w:jc w:val="right"/>
              <w:rPr>
                <w:rFonts w:ascii="Arial" w:hAnsi="Arial" w:cs="Arial" w:eastAsia="Arial" w:hint="default"/>
                <w:sz w:val="21"/>
                <w:szCs w:val="21"/>
              </w:rPr>
            </w:pPr>
            <w:r>
              <w:rPr>
                <w:rFonts w:ascii="Arial"/>
                <w:spacing w:val="-1"/>
                <w:sz w:val="21"/>
              </w:rPr>
              <w:t>2.23%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8" w:right="0"/>
              <w:jc w:val="left"/>
              <w:rPr>
                <w:rFonts w:ascii="Arial" w:hAnsi="Arial" w:cs="Arial" w:eastAsia="Arial" w:hint="default"/>
                <w:sz w:val="21"/>
                <w:szCs w:val="21"/>
              </w:rPr>
            </w:pPr>
            <w:r>
              <w:rPr>
                <w:rFonts w:ascii="Arial"/>
                <w:sz w:val="21"/>
              </w:rPr>
              <w:t>3,350,100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8"/>
              <w:jc w:val="right"/>
              <w:rPr>
                <w:rFonts w:ascii="Arial" w:hAnsi="Arial" w:cs="Arial" w:eastAsia="Arial" w:hint="default"/>
                <w:sz w:val="21"/>
                <w:szCs w:val="21"/>
              </w:rPr>
            </w:pPr>
            <w:r>
              <w:rPr>
                <w:rFonts w:ascii="Arial"/>
                <w:spacing w:val="-1"/>
                <w:sz w:val="21"/>
              </w:rPr>
              <w:t>3,350,100</w:t>
            </w:r>
          </w:p>
        </w:tc>
        <w:tc>
          <w:tcPr>
            <w:tcW w:w="55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交通银行－中海优</w:t>
            </w:r>
            <w:r>
              <w:rPr>
                <w:rFonts w:ascii="宋体" w:hAnsi="宋体" w:cs="宋体" w:eastAsia="宋体" w:hint="default"/>
                <w:w w:val="100"/>
                <w:sz w:val="21"/>
                <w:szCs w:val="21"/>
              </w:rPr>
              <w:t> </w:t>
            </w:r>
            <w:r>
              <w:rPr>
                <w:rFonts w:ascii="宋体" w:hAnsi="宋体" w:cs="宋体" w:eastAsia="宋体" w:hint="default"/>
                <w:sz w:val="21"/>
                <w:szCs w:val="21"/>
              </w:rPr>
              <w:t>质成长证券投资基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141" w:right="137" w:firstLine="105"/>
              <w:jc w:val="left"/>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w w:val="100"/>
                <w:sz w:val="21"/>
                <w:szCs w:val="21"/>
              </w:rPr>
              <w:t> </w:t>
            </w:r>
            <w:r>
              <w:rPr>
                <w:rFonts w:ascii="宋体" w:hAnsi="宋体" w:cs="宋体" w:eastAsia="宋体" w:hint="default"/>
                <w:sz w:val="21"/>
                <w:szCs w:val="21"/>
              </w:rPr>
              <w:t>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6"/>
              <w:jc w:val="right"/>
              <w:rPr>
                <w:rFonts w:ascii="Arial" w:hAnsi="Arial" w:cs="Arial" w:eastAsia="Arial" w:hint="default"/>
                <w:sz w:val="21"/>
                <w:szCs w:val="21"/>
              </w:rPr>
            </w:pPr>
            <w:r>
              <w:rPr>
                <w:rFonts w:ascii="Arial"/>
                <w:spacing w:val="-1"/>
                <w:sz w:val="21"/>
              </w:rPr>
              <w:t>1.96%</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8" w:right="0"/>
              <w:jc w:val="left"/>
              <w:rPr>
                <w:rFonts w:ascii="Arial" w:hAnsi="Arial" w:cs="Arial" w:eastAsia="Arial" w:hint="default"/>
                <w:sz w:val="21"/>
                <w:szCs w:val="21"/>
              </w:rPr>
            </w:pPr>
            <w:r>
              <w:rPr>
                <w:rFonts w:ascii="Arial"/>
                <w:sz w:val="21"/>
              </w:rPr>
              <w:t>2,939,704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新进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8"/>
              <w:jc w:val="right"/>
              <w:rPr>
                <w:rFonts w:ascii="Arial" w:hAnsi="Arial" w:cs="Arial" w:eastAsia="Arial" w:hint="default"/>
                <w:sz w:val="21"/>
                <w:szCs w:val="21"/>
              </w:rPr>
            </w:pPr>
            <w:r>
              <w:rPr>
                <w:rFonts w:ascii="Arial"/>
                <w:spacing w:val="-1"/>
                <w:sz w:val="21"/>
              </w:rPr>
              <w:t>2,939,704</w:t>
            </w:r>
          </w:p>
        </w:tc>
        <w:tc>
          <w:tcPr>
            <w:tcW w:w="55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兴业银行股份有限</w:t>
            </w:r>
            <w:r>
              <w:rPr>
                <w:rFonts w:ascii="宋体" w:hAnsi="宋体" w:cs="宋体" w:eastAsia="宋体" w:hint="default"/>
                <w:w w:val="100"/>
                <w:sz w:val="21"/>
                <w:szCs w:val="21"/>
              </w:rPr>
              <w:t> </w:t>
            </w:r>
            <w:r>
              <w:rPr>
                <w:rFonts w:ascii="宋体" w:hAnsi="宋体" w:cs="宋体" w:eastAsia="宋体" w:hint="default"/>
                <w:sz w:val="21"/>
                <w:szCs w:val="21"/>
              </w:rPr>
              <w:t>公司－中邮战略新</w:t>
            </w:r>
            <w:r>
              <w:rPr>
                <w:rFonts w:ascii="宋体" w:hAnsi="宋体" w:cs="宋体" w:eastAsia="宋体" w:hint="default"/>
                <w:w w:val="100"/>
                <w:sz w:val="21"/>
                <w:szCs w:val="21"/>
              </w:rPr>
              <w:t> </w:t>
            </w:r>
            <w:r>
              <w:rPr>
                <w:rFonts w:ascii="宋体" w:hAnsi="宋体" w:cs="宋体" w:eastAsia="宋体" w:hint="default"/>
                <w:sz w:val="21"/>
                <w:szCs w:val="21"/>
              </w:rPr>
              <w:t>兴产业股票型证券</w:t>
            </w:r>
            <w:r>
              <w:rPr>
                <w:rFonts w:ascii="宋体" w:hAnsi="宋体" w:cs="宋体" w:eastAsia="宋体" w:hint="default"/>
                <w:w w:val="100"/>
                <w:sz w:val="21"/>
                <w:szCs w:val="21"/>
              </w:rPr>
              <w:t> </w:t>
            </w:r>
            <w:r>
              <w:rPr>
                <w:rFonts w:ascii="宋体" w:hAnsi="宋体" w:cs="宋体" w:eastAsia="宋体" w:hint="default"/>
                <w:sz w:val="21"/>
                <w:szCs w:val="21"/>
              </w:rPr>
              <w:t>投资基金</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07" w:lineRule="auto"/>
              <w:ind w:left="141" w:right="137" w:firstLine="105"/>
              <w:jc w:val="left"/>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w w:val="100"/>
                <w:sz w:val="21"/>
                <w:szCs w:val="21"/>
              </w:rPr>
              <w:t> </w:t>
            </w:r>
            <w:r>
              <w:rPr>
                <w:rFonts w:ascii="宋体" w:hAnsi="宋体" w:cs="宋体" w:eastAsia="宋体" w:hint="default"/>
                <w:sz w:val="21"/>
                <w:szCs w:val="21"/>
              </w:rPr>
              <w:t>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Arial" w:hAnsi="Arial" w:cs="Arial" w:eastAsia="Arial" w:hint="default"/>
                <w:sz w:val="21"/>
                <w:szCs w:val="21"/>
              </w:rPr>
            </w:pPr>
            <w:r>
              <w:rPr>
                <w:rFonts w:ascii="Arial"/>
                <w:spacing w:val="-1"/>
                <w:sz w:val="21"/>
              </w:rPr>
              <w:t>1.86%</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8" w:right="0"/>
              <w:jc w:val="left"/>
              <w:rPr>
                <w:rFonts w:ascii="Arial" w:hAnsi="Arial" w:cs="Arial" w:eastAsia="Arial" w:hint="default"/>
                <w:sz w:val="21"/>
                <w:szCs w:val="21"/>
              </w:rPr>
            </w:pPr>
            <w:r>
              <w:rPr>
                <w:rFonts w:ascii="Arial"/>
                <w:sz w:val="21"/>
              </w:rPr>
              <w:t>2,792,208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新进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8"/>
              <w:jc w:val="right"/>
              <w:rPr>
                <w:rFonts w:ascii="Arial" w:hAnsi="Arial" w:cs="Arial" w:eastAsia="Arial" w:hint="default"/>
                <w:sz w:val="21"/>
                <w:szCs w:val="21"/>
              </w:rPr>
            </w:pPr>
            <w:r>
              <w:rPr>
                <w:rFonts w:ascii="Arial"/>
                <w:spacing w:val="-1"/>
                <w:sz w:val="21"/>
              </w:rPr>
              <w:t>2,792,208</w:t>
            </w:r>
          </w:p>
        </w:tc>
        <w:tc>
          <w:tcPr>
            <w:tcW w:w="55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夏郁葱</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1.73%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8" w:right="0"/>
              <w:jc w:val="left"/>
              <w:rPr>
                <w:rFonts w:ascii="Arial" w:hAnsi="Arial" w:cs="Arial" w:eastAsia="Arial" w:hint="default"/>
                <w:sz w:val="21"/>
                <w:szCs w:val="21"/>
              </w:rPr>
            </w:pPr>
            <w:r>
              <w:rPr>
                <w:rFonts w:ascii="Arial"/>
                <w:sz w:val="21"/>
              </w:rPr>
              <w:t>2,600,000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不变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8"/>
              <w:jc w:val="right"/>
              <w:rPr>
                <w:rFonts w:ascii="Arial" w:hAnsi="Arial" w:cs="Arial" w:eastAsia="Arial" w:hint="default"/>
                <w:sz w:val="21"/>
                <w:szCs w:val="21"/>
              </w:rPr>
            </w:pPr>
            <w:r>
              <w:rPr>
                <w:rFonts w:ascii="Arial"/>
                <w:spacing w:val="-1"/>
                <w:sz w:val="21"/>
              </w:rPr>
              <w:t>2,600,000</w:t>
            </w:r>
          </w:p>
        </w:tc>
        <w:tc>
          <w:tcPr>
            <w:tcW w:w="55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赵晓明</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1.63%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8" w:right="0"/>
              <w:jc w:val="left"/>
              <w:rPr>
                <w:rFonts w:ascii="Arial" w:hAnsi="Arial" w:cs="Arial" w:eastAsia="Arial" w:hint="default"/>
                <w:sz w:val="21"/>
                <w:szCs w:val="21"/>
              </w:rPr>
            </w:pPr>
            <w:r>
              <w:rPr>
                <w:rFonts w:ascii="Arial"/>
                <w:sz w:val="21"/>
              </w:rPr>
              <w:t>2,440,000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不变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1,830,000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8"/>
              <w:jc w:val="right"/>
              <w:rPr>
                <w:rFonts w:ascii="Arial" w:hAnsi="Arial" w:cs="Arial" w:eastAsia="Arial" w:hint="default"/>
                <w:sz w:val="21"/>
                <w:szCs w:val="21"/>
              </w:rPr>
            </w:pPr>
            <w:r>
              <w:rPr>
                <w:rFonts w:ascii="Arial"/>
                <w:spacing w:val="-1"/>
                <w:sz w:val="21"/>
              </w:rPr>
              <w:t>610,000</w:t>
            </w:r>
          </w:p>
        </w:tc>
        <w:tc>
          <w:tcPr>
            <w:tcW w:w="55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兴业银行股份有限</w:t>
            </w:r>
            <w:r>
              <w:rPr>
                <w:rFonts w:ascii="宋体" w:hAnsi="宋体" w:cs="宋体" w:eastAsia="宋体" w:hint="default"/>
                <w:w w:val="100"/>
                <w:sz w:val="21"/>
                <w:szCs w:val="21"/>
              </w:rPr>
              <w:t> </w:t>
            </w:r>
            <w:r>
              <w:rPr>
                <w:rFonts w:ascii="宋体" w:hAnsi="宋体" w:cs="宋体" w:eastAsia="宋体" w:hint="default"/>
                <w:sz w:val="21"/>
                <w:szCs w:val="21"/>
              </w:rPr>
              <w:t>公司－中邮核心竞</w:t>
            </w:r>
            <w:r>
              <w:rPr>
                <w:rFonts w:ascii="宋体" w:hAnsi="宋体" w:cs="宋体" w:eastAsia="宋体" w:hint="default"/>
                <w:w w:val="100"/>
                <w:sz w:val="21"/>
                <w:szCs w:val="21"/>
              </w:rPr>
              <w:t> </w:t>
            </w:r>
            <w:r>
              <w:rPr>
                <w:rFonts w:ascii="宋体" w:hAnsi="宋体" w:cs="宋体" w:eastAsia="宋体" w:hint="default"/>
                <w:sz w:val="21"/>
                <w:szCs w:val="21"/>
              </w:rPr>
              <w:t>争力灵活配置混合</w:t>
            </w:r>
            <w:r>
              <w:rPr>
                <w:rFonts w:ascii="宋体" w:hAnsi="宋体" w:cs="宋体" w:eastAsia="宋体" w:hint="default"/>
                <w:w w:val="100"/>
                <w:sz w:val="21"/>
                <w:szCs w:val="21"/>
              </w:rPr>
              <w:t> </w:t>
            </w:r>
            <w:r>
              <w:rPr>
                <w:rFonts w:ascii="宋体" w:hAnsi="宋体" w:cs="宋体" w:eastAsia="宋体" w:hint="default"/>
                <w:sz w:val="21"/>
                <w:szCs w:val="21"/>
              </w:rPr>
              <w:t>型证券投资基金</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44"/>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Arial" w:hAnsi="Arial" w:cs="Arial" w:eastAsia="Arial" w:hint="default"/>
                <w:sz w:val="21"/>
                <w:szCs w:val="21"/>
              </w:rPr>
            </w:pPr>
            <w:r>
              <w:rPr>
                <w:rFonts w:ascii="Arial"/>
                <w:spacing w:val="-1"/>
                <w:sz w:val="21"/>
              </w:rPr>
              <w:t>1.55%</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8" w:right="0"/>
              <w:jc w:val="left"/>
              <w:rPr>
                <w:rFonts w:ascii="Arial" w:hAnsi="Arial" w:cs="Arial" w:eastAsia="Arial" w:hint="default"/>
                <w:sz w:val="21"/>
                <w:szCs w:val="21"/>
              </w:rPr>
            </w:pPr>
            <w:r>
              <w:rPr>
                <w:rFonts w:ascii="Arial"/>
                <w:sz w:val="21"/>
              </w:rPr>
              <w:t>2,320,581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新进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8"/>
              <w:jc w:val="right"/>
              <w:rPr>
                <w:rFonts w:ascii="Arial" w:hAnsi="Arial" w:cs="Arial" w:eastAsia="Arial" w:hint="default"/>
                <w:sz w:val="21"/>
                <w:szCs w:val="21"/>
              </w:rPr>
            </w:pPr>
            <w:r>
              <w:rPr>
                <w:rFonts w:ascii="Arial"/>
                <w:spacing w:val="-1"/>
                <w:sz w:val="21"/>
              </w:rPr>
              <w:t>2,320,581</w:t>
            </w:r>
          </w:p>
        </w:tc>
        <w:tc>
          <w:tcPr>
            <w:tcW w:w="55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207"/>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的说明</w:t>
            </w:r>
          </w:p>
        </w:tc>
        <w:tc>
          <w:tcPr>
            <w:tcW w:w="65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38"/>
              <w:jc w:val="both"/>
              <w:rPr>
                <w:rFonts w:ascii="宋体" w:hAnsi="宋体" w:cs="宋体" w:eastAsia="宋体" w:hint="default"/>
                <w:sz w:val="21"/>
                <w:szCs w:val="21"/>
              </w:rPr>
            </w:pPr>
            <w:r>
              <w:rPr>
                <w:rFonts w:ascii="宋体" w:hAnsi="宋体" w:cs="宋体" w:eastAsia="宋体" w:hint="default"/>
                <w:spacing w:val="-2"/>
                <w:sz w:val="21"/>
                <w:szCs w:val="21"/>
              </w:rPr>
              <w:t>公司与上述股东间不存在关联关系或属于《上市公司股东持股变动信息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披露管理办法》规定的一致行动人。除上述情形外，本公司未知其他股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东间是否存在关联关系或构成一致行动人。</w:t>
            </w:r>
          </w:p>
        </w:tc>
      </w:tr>
      <w:tr>
        <w:trPr>
          <w:trHeight w:val="404" w:hRule="exact"/>
        </w:trPr>
        <w:tc>
          <w:tcPr>
            <w:tcW w:w="957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名无限售条件股东持股情况</w:t>
            </w:r>
          </w:p>
        </w:tc>
      </w:tr>
    </w:tbl>
    <w:p>
      <w:pPr>
        <w:spacing w:after="0" w:line="240" w:lineRule="auto"/>
        <w:jc w:val="center"/>
        <w:rPr>
          <w:rFonts w:ascii="宋体" w:hAnsi="宋体" w:cs="宋体" w:eastAsia="宋体" w:hint="default"/>
          <w:sz w:val="21"/>
          <w:szCs w:val="21"/>
        </w:rPr>
        <w:sectPr>
          <w:type w:val="continuous"/>
          <w:pgSz w:w="11910" w:h="16840"/>
          <w:pgMar w:top="110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4820"/>
        <w:gridCol w:w="1560"/>
        <w:gridCol w:w="1805"/>
        <w:gridCol w:w="1385"/>
      </w:tblGrid>
      <w:tr>
        <w:trPr>
          <w:trHeight w:val="401" w:hRule="exact"/>
        </w:trPr>
        <w:tc>
          <w:tcPr>
            <w:tcW w:w="48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60" w:type="dxa"/>
            <w:vMerge w:val="restart"/>
            <w:tcBorders>
              <w:top w:val="single" w:sz="4" w:space="0" w:color="000000"/>
              <w:left w:val="single" w:sz="4" w:space="0" w:color="000000"/>
              <w:right w:val="single" w:sz="4" w:space="0" w:color="000000"/>
            </w:tcBorders>
          </w:tcPr>
          <w:p>
            <w:pPr>
              <w:pStyle w:val="TableParagraph"/>
              <w:spacing w:line="290" w:lineRule="auto" w:before="28"/>
              <w:ind w:left="355" w:right="36" w:hanging="317"/>
              <w:jc w:val="left"/>
              <w:rPr>
                <w:rFonts w:ascii="宋体" w:hAnsi="宋体" w:cs="宋体" w:eastAsia="宋体" w:hint="default"/>
                <w:sz w:val="21"/>
                <w:szCs w:val="21"/>
              </w:rPr>
            </w:pPr>
            <w:r>
              <w:rPr>
                <w:rFonts w:ascii="宋体" w:hAnsi="宋体" w:cs="宋体" w:eastAsia="宋体" w:hint="default"/>
                <w:sz w:val="21"/>
                <w:szCs w:val="21"/>
              </w:rPr>
              <w:t>报告期末持有无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限售条件</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665" w:hRule="exact"/>
        </w:trPr>
        <w:tc>
          <w:tcPr>
            <w:tcW w:w="482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中国工商银行－广发聚丰股票型证券投资基金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6,010,064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6,010,064</w:t>
            </w:r>
          </w:p>
        </w:tc>
      </w:tr>
      <w:tr>
        <w:trPr>
          <w:trHeight w:val="7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59"/>
              <w:jc w:val="left"/>
              <w:rPr>
                <w:rFonts w:ascii="宋体" w:hAnsi="宋体" w:cs="宋体" w:eastAsia="宋体" w:hint="default"/>
                <w:sz w:val="21"/>
                <w:szCs w:val="21"/>
              </w:rPr>
            </w:pPr>
            <w:r>
              <w:rPr>
                <w:rFonts w:ascii="宋体" w:hAnsi="宋体" w:cs="宋体" w:eastAsia="宋体" w:hint="default"/>
                <w:spacing w:val="-2"/>
                <w:sz w:val="21"/>
                <w:szCs w:val="21"/>
              </w:rPr>
              <w:t>中国建设银行－国泰金鼎价值精选混合型证券投资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3,751,985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3,751,985</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中国农业银行－中邮核心成长股票型证券投资基金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3,350,100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3,350,100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交通银行－中海优质成长证券投资基金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2,939,704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2,939,704</w:t>
            </w:r>
          </w:p>
        </w:tc>
      </w:tr>
      <w:tr>
        <w:trPr>
          <w:trHeight w:val="716"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59"/>
              <w:jc w:val="left"/>
              <w:rPr>
                <w:rFonts w:ascii="宋体" w:hAnsi="宋体" w:cs="宋体" w:eastAsia="宋体" w:hint="default"/>
                <w:sz w:val="21"/>
                <w:szCs w:val="21"/>
              </w:rPr>
            </w:pPr>
            <w:r>
              <w:rPr>
                <w:rFonts w:ascii="宋体" w:hAnsi="宋体" w:cs="宋体" w:eastAsia="宋体" w:hint="default"/>
                <w:spacing w:val="-2"/>
                <w:sz w:val="21"/>
                <w:szCs w:val="21"/>
              </w:rPr>
              <w:t>兴业银行股份有限公司－中邮战略新兴产业股票型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2,792,208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2,792,208</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夏郁葱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2,600,000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260,000</w:t>
            </w:r>
          </w:p>
        </w:tc>
      </w:tr>
      <w:tr>
        <w:trPr>
          <w:trHeight w:val="715"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59"/>
              <w:jc w:val="left"/>
              <w:rPr>
                <w:rFonts w:ascii="宋体" w:hAnsi="宋体" w:cs="宋体" w:eastAsia="宋体" w:hint="default"/>
                <w:sz w:val="21"/>
                <w:szCs w:val="21"/>
              </w:rPr>
            </w:pPr>
            <w:r>
              <w:rPr>
                <w:rFonts w:ascii="宋体" w:hAnsi="宋体" w:cs="宋体" w:eastAsia="宋体" w:hint="default"/>
                <w:spacing w:val="-2"/>
                <w:sz w:val="21"/>
                <w:szCs w:val="21"/>
              </w:rPr>
              <w:t>兴业银行股份有限公司－中邮核心竞争力灵活配置</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混合型证券投资基金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2,320,581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2,320,581</w:t>
            </w:r>
          </w:p>
        </w:tc>
      </w:tr>
      <w:tr>
        <w:trPr>
          <w:trHeight w:val="7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59"/>
              <w:jc w:val="left"/>
              <w:rPr>
                <w:rFonts w:ascii="宋体" w:hAnsi="宋体" w:cs="宋体" w:eastAsia="宋体" w:hint="default"/>
                <w:sz w:val="21"/>
                <w:szCs w:val="21"/>
              </w:rPr>
            </w:pPr>
            <w:r>
              <w:rPr>
                <w:rFonts w:ascii="宋体" w:hAnsi="宋体" w:cs="宋体" w:eastAsia="宋体" w:hint="default"/>
                <w:spacing w:val="-2"/>
                <w:sz w:val="21"/>
                <w:szCs w:val="21"/>
              </w:rPr>
              <w:t>中国工商银行股份有限公司－申万菱信新经济混合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型证券投资基金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1,690,538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1,690,538</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1,667,000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1,667,000</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全国社保基金一一八组合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1,499,716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1,499,716</w:t>
            </w:r>
          </w:p>
        </w:tc>
      </w:tr>
      <w:tr>
        <w:trPr>
          <w:trHeight w:val="134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名无限售流通股股东之间，以及前</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名无限</w:t>
            </w:r>
          </w:p>
          <w:p>
            <w:pPr>
              <w:pStyle w:val="TableParagraph"/>
              <w:spacing w:line="259" w:lineRule="auto" w:before="22"/>
              <w:ind w:left="24" w:right="31"/>
              <w:jc w:val="left"/>
              <w:rPr>
                <w:rFonts w:ascii="宋体" w:hAnsi="宋体" w:cs="宋体" w:eastAsia="宋体" w:hint="default"/>
                <w:sz w:val="21"/>
                <w:szCs w:val="21"/>
              </w:rPr>
            </w:pPr>
            <w:r>
              <w:rPr>
                <w:rFonts w:ascii="宋体" w:hAnsi="宋体" w:cs="宋体" w:eastAsia="宋体" w:hint="default"/>
                <w:sz w:val="21"/>
                <w:szCs w:val="21"/>
              </w:rPr>
              <w:t>售流通股股东和前</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名股东之间关联关系或一致行</w:t>
            </w:r>
            <w:r>
              <w:rPr>
                <w:rFonts w:ascii="宋体" w:hAnsi="宋体" w:cs="宋体" w:eastAsia="宋体" w:hint="default"/>
                <w:w w:val="100"/>
                <w:sz w:val="21"/>
                <w:szCs w:val="21"/>
              </w:rPr>
              <w:t> </w:t>
            </w:r>
            <w:r>
              <w:rPr>
                <w:rFonts w:ascii="宋体" w:hAnsi="宋体" w:cs="宋体" w:eastAsia="宋体" w:hint="default"/>
                <w:sz w:val="21"/>
                <w:szCs w:val="21"/>
              </w:rPr>
              <w:t>动的说明</w:t>
            </w:r>
          </w:p>
        </w:tc>
        <w:tc>
          <w:tcPr>
            <w:tcW w:w="4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both"/>
              <w:rPr>
                <w:rFonts w:ascii="宋体" w:hAnsi="宋体" w:cs="宋体" w:eastAsia="宋体" w:hint="default"/>
                <w:sz w:val="21"/>
                <w:szCs w:val="21"/>
              </w:rPr>
            </w:pPr>
            <w:r>
              <w:rPr>
                <w:rFonts w:ascii="宋体" w:hAnsi="宋体" w:cs="宋体" w:eastAsia="宋体" w:hint="default"/>
                <w:sz w:val="21"/>
                <w:szCs w:val="21"/>
              </w:rPr>
              <w:t>公司与上述流通股股东间不存在关联关系或属于</w:t>
            </w:r>
          </w:p>
          <w:p>
            <w:pPr>
              <w:pStyle w:val="TableParagraph"/>
              <w:spacing w:line="273" w:lineRule="auto" w:before="37"/>
              <w:ind w:left="23" w:right="89"/>
              <w:jc w:val="both"/>
              <w:rPr>
                <w:rFonts w:ascii="宋体" w:hAnsi="宋体" w:cs="宋体" w:eastAsia="宋体" w:hint="default"/>
                <w:sz w:val="21"/>
                <w:szCs w:val="21"/>
              </w:rPr>
            </w:pPr>
            <w:r>
              <w:rPr>
                <w:rFonts w:ascii="宋体" w:hAnsi="宋体" w:cs="宋体" w:eastAsia="宋体" w:hint="default"/>
                <w:spacing w:val="-2"/>
                <w:sz w:val="21"/>
                <w:szCs w:val="21"/>
              </w:rPr>
              <w:t>《上市公司股东持股变动信息披露管理办法》规定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的一致行动人。除上述情形外，本公司未知其他股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东间是否存在关联关系或构成一致行动人。</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34"/>
              <w:jc w:val="left"/>
              <w:rPr>
                <w:rFonts w:ascii="宋体" w:hAnsi="宋体" w:cs="宋体" w:eastAsia="宋体" w:hint="default"/>
                <w:sz w:val="21"/>
                <w:szCs w:val="21"/>
              </w:rPr>
            </w:pPr>
            <w:r>
              <w:rPr>
                <w:rFonts w:ascii="宋体" w:hAnsi="宋体" w:cs="宋体" w:eastAsia="宋体" w:hint="default"/>
                <w:w w:val="100"/>
                <w:sz w:val="21"/>
                <w:szCs w:val="21"/>
              </w:rPr>
              <w:t>参与</w:t>
            </w:r>
            <w:r>
              <w:rPr>
                <w:rFonts w:ascii="宋体" w:hAnsi="宋体" w:cs="宋体" w:eastAsia="宋体" w:hint="default"/>
                <w:spacing w:val="-3"/>
                <w:w w:val="100"/>
                <w:sz w:val="21"/>
                <w:szCs w:val="21"/>
              </w:rPr>
              <w:t>融</w:t>
            </w:r>
            <w:r>
              <w:rPr>
                <w:rFonts w:ascii="宋体" w:hAnsi="宋体" w:cs="宋体" w:eastAsia="宋体" w:hint="default"/>
                <w:w w:val="100"/>
                <w:sz w:val="21"/>
                <w:szCs w:val="21"/>
              </w:rPr>
              <w:t>资</w:t>
            </w:r>
            <w:r>
              <w:rPr>
                <w:rFonts w:ascii="宋体" w:hAnsi="宋体" w:cs="宋体" w:eastAsia="宋体" w:hint="default"/>
                <w:spacing w:val="-3"/>
                <w:w w:val="100"/>
                <w:sz w:val="21"/>
                <w:szCs w:val="21"/>
              </w:rPr>
              <w:t>融</w:t>
            </w:r>
            <w:r>
              <w:rPr>
                <w:rFonts w:ascii="宋体" w:hAnsi="宋体" w:cs="宋体" w:eastAsia="宋体" w:hint="default"/>
                <w:w w:val="100"/>
                <w:sz w:val="21"/>
                <w:szCs w:val="21"/>
              </w:rPr>
              <w:t>券</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情</w:t>
            </w:r>
            <w:r>
              <w:rPr>
                <w:rFonts w:ascii="宋体" w:hAnsi="宋体" w:cs="宋体" w:eastAsia="宋体" w:hint="default"/>
                <w:w w:val="100"/>
                <w:sz w:val="21"/>
                <w:szCs w:val="21"/>
              </w:rPr>
              <w:t>况说</w:t>
            </w:r>
            <w:r>
              <w:rPr>
                <w:rFonts w:ascii="宋体" w:hAnsi="宋体" w:cs="宋体" w:eastAsia="宋体" w:hint="default"/>
                <w:spacing w:val="-46"/>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如</w:t>
            </w:r>
            <w:r>
              <w:rPr>
                <w:rFonts w:ascii="宋体" w:hAnsi="宋体" w:cs="宋体" w:eastAsia="宋体" w:hint="default"/>
                <w:spacing w:val="-3"/>
                <w:w w:val="100"/>
                <w:sz w:val="21"/>
                <w:szCs w:val="21"/>
              </w:rPr>
              <w:t>有</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参</w:t>
            </w:r>
            <w:r>
              <w:rPr>
                <w:rFonts w:ascii="宋体" w:hAnsi="宋体" w:cs="宋体" w:eastAsia="宋体" w:hint="default"/>
                <w:spacing w:val="-3"/>
                <w:w w:val="100"/>
                <w:sz w:val="21"/>
                <w:szCs w:val="21"/>
              </w:rPr>
              <w:t>见</w:t>
            </w:r>
            <w:r>
              <w:rPr>
                <w:rFonts w:ascii="宋体" w:hAnsi="宋体" w:cs="宋体" w:eastAsia="宋体" w:hint="default"/>
                <w:w w:val="100"/>
                <w:sz w:val="21"/>
                <w:szCs w:val="21"/>
              </w:rPr>
              <w:t>注</w:t>
            </w:r>
            <w:r>
              <w:rPr>
                <w:rFonts w:ascii="宋体" w:hAnsi="宋体" w:cs="宋体" w:eastAsia="宋体" w:hint="default"/>
                <w:spacing w:val="-52"/>
                <w:sz w:val="21"/>
                <w:szCs w:val="21"/>
              </w:rPr>
              <w:t> </w:t>
            </w:r>
            <w:r>
              <w:rPr>
                <w:rFonts w:ascii="Arial" w:hAnsi="Arial" w:cs="Arial" w:eastAsia="Arial" w:hint="default"/>
                <w:spacing w:val="-3"/>
                <w:w w:val="100"/>
                <w:sz w:val="21"/>
                <w:szCs w:val="21"/>
              </w:rPr>
              <w:t>4</w:t>
            </w:r>
            <w:r>
              <w:rPr>
                <w:rFonts w:ascii="宋体" w:hAnsi="宋体" w:cs="宋体" w:eastAsia="宋体" w:hint="default"/>
                <w:spacing w:val="-53"/>
                <w:w w:val="100"/>
                <w:sz w:val="21"/>
                <w:szCs w:val="21"/>
              </w:rPr>
              <w:t>）</w:t>
            </w:r>
            <w:r>
              <w:rPr>
                <w:rFonts w:ascii="宋体" w:hAnsi="宋体" w:cs="宋体" w:eastAsia="宋体" w:hint="default"/>
                <w:w w:val="100"/>
                <w:sz w:val="21"/>
                <w:szCs w:val="21"/>
              </w:rPr>
            </w:r>
          </w:p>
        </w:tc>
        <w:tc>
          <w:tcPr>
            <w:tcW w:w="4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48"/>
        <w:ind w:right="0"/>
        <w:jc w:val="left"/>
      </w:pPr>
      <w:r>
        <w:rPr/>
        <w:t>公司股东在报告期内是否进行约定购回交易</w:t>
      </w:r>
    </w:p>
    <w:p>
      <w:pPr>
        <w:pStyle w:val="BodyText"/>
        <w:spacing w:line="321" w:lineRule="auto" w:before="132"/>
        <w:ind w:right="521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公司股东在报告期内未进行约定购回交易。</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2</w:t>
      </w:r>
      <w:r>
        <w:rPr/>
        <w:t>、公司控股股东情况</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190"/>
        <w:ind w:right="0"/>
        <w:jc w:val="left"/>
      </w:pPr>
      <w:r>
        <w:rPr/>
        <w:t>自然人</w:t>
      </w:r>
    </w:p>
    <w:p>
      <w:pPr>
        <w:spacing w:line="240" w:lineRule="auto" w:before="7"/>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4537"/>
        <w:gridCol w:w="1985"/>
        <w:gridCol w:w="3049"/>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控股股东姓名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7"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5"/>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年内的职业及职务</w:t>
            </w:r>
          </w:p>
        </w:tc>
        <w:tc>
          <w:tcPr>
            <w:tcW w:w="5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年曾控股的境内外上市公司情况</w:t>
            </w:r>
          </w:p>
        </w:tc>
        <w:tc>
          <w:tcPr>
            <w:tcW w:w="5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70"/>
        <w:ind w:right="0"/>
        <w:jc w:val="left"/>
      </w:pPr>
      <w:r>
        <w:rPr/>
        <w:t>控股股东报告期内变更</w:t>
      </w:r>
    </w:p>
    <w:p>
      <w:pPr>
        <w:pStyle w:val="BodyText"/>
        <w:spacing w:line="240" w:lineRule="auto" w:before="151"/>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240" w:lineRule="auto" w:before="26"/>
        <w:ind w:right="0"/>
        <w:jc w:val="left"/>
      </w:pPr>
      <w:r>
        <w:rPr/>
        <w:t>公司报告期控股股东未发生变更。</w:t>
      </w:r>
    </w:p>
    <w:p>
      <w:pPr>
        <w:pStyle w:val="Heading3"/>
        <w:spacing w:line="338" w:lineRule="auto" w:before="154"/>
        <w:ind w:right="7231"/>
        <w:jc w:val="left"/>
        <w:rPr>
          <w:rFonts w:ascii="宋体" w:hAnsi="宋体" w:cs="宋体" w:eastAsia="宋体" w:hint="default"/>
          <w:b w:val="0"/>
          <w:bCs w:val="0"/>
        </w:rPr>
      </w:pPr>
      <w:r>
        <w:rPr>
          <w:rFonts w:ascii="Arial" w:hAnsi="Arial" w:cs="Arial" w:eastAsia="Arial" w:hint="default"/>
        </w:rPr>
        <w:t>3</w:t>
      </w:r>
      <w:r>
        <w:rPr/>
        <w:t>、公司实际控制人情况</w:t>
      </w:r>
      <w:r>
        <w:rPr>
          <w:w w:val="99"/>
        </w:rPr>
        <w:t> </w:t>
      </w:r>
      <w:r>
        <w:rPr>
          <w:rFonts w:ascii="宋体" w:hAnsi="宋体" w:cs="宋体" w:eastAsia="宋体" w:hint="default"/>
          <w:b w:val="0"/>
          <w:bCs w:val="0"/>
        </w:rPr>
        <w:t>自然人</w:t>
      </w:r>
    </w:p>
    <w:tbl>
      <w:tblPr>
        <w:tblW w:w="0" w:type="auto"/>
        <w:jc w:val="left"/>
        <w:tblInd w:w="148" w:type="dxa"/>
        <w:tblLayout w:type="fixed"/>
        <w:tblCellMar>
          <w:top w:w="0" w:type="dxa"/>
          <w:left w:w="0" w:type="dxa"/>
          <w:bottom w:w="0" w:type="dxa"/>
          <w:right w:w="0" w:type="dxa"/>
        </w:tblCellMar>
        <w:tblLook w:val="01E0"/>
      </w:tblPr>
      <w:tblGrid>
        <w:gridCol w:w="4537"/>
        <w:gridCol w:w="1844"/>
        <w:gridCol w:w="3188"/>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实际控制人姓名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5"/>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年内的职业及职务</w:t>
            </w:r>
          </w:p>
        </w:tc>
        <w:tc>
          <w:tcPr>
            <w:tcW w:w="50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年曾控股的境内外上市公司情况</w:t>
            </w:r>
          </w:p>
        </w:tc>
        <w:tc>
          <w:tcPr>
            <w:tcW w:w="50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24"/>
        <w:ind w:right="0"/>
        <w:jc w:val="left"/>
      </w:pPr>
      <w:r>
        <w:rPr/>
        <w:t>实际控制人报告期内变更</w:t>
      </w:r>
    </w:p>
    <w:p>
      <w:pPr>
        <w:pStyle w:val="BodyText"/>
        <w:spacing w:line="261" w:lineRule="auto" w:before="39"/>
        <w:ind w:right="44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21"/>
          <w:szCs w:val="21"/>
        </w:rPr>
      </w:pPr>
    </w:p>
    <w:p>
      <w:pPr>
        <w:spacing w:line="2363" w:lineRule="exact"/>
        <w:ind w:left="3098"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2399302" cy="15007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1" cstate="print"/>
                    <a:stretch>
                      <a:fillRect/>
                    </a:stretch>
                  </pic:blipFill>
                  <pic:spPr>
                    <a:xfrm>
                      <a:off x="0" y="0"/>
                      <a:ext cx="2399302" cy="1500759"/>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10"/>
        <w:rPr>
          <w:rFonts w:ascii="宋体" w:hAnsi="宋体" w:cs="宋体" w:eastAsia="宋体" w:hint="default"/>
          <w:sz w:val="20"/>
          <w:szCs w:val="20"/>
        </w:rPr>
      </w:pPr>
    </w:p>
    <w:p>
      <w:pPr>
        <w:pStyle w:val="BodyText"/>
        <w:spacing w:line="240" w:lineRule="auto"/>
        <w:ind w:right="0"/>
        <w:jc w:val="left"/>
      </w:pPr>
      <w:r>
        <w:rPr/>
        <w:t>实际控制人通过信托或其他资产管理方式控制公司</w:t>
      </w:r>
    </w:p>
    <w:p>
      <w:pPr>
        <w:pStyle w:val="BodyText"/>
        <w:spacing w:line="240" w:lineRule="auto" w:before="154"/>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40" w:lineRule="auto" w:before="134"/>
        <w:ind w:right="0"/>
        <w:jc w:val="left"/>
        <w:rPr>
          <w:b w:val="0"/>
          <w:bCs w:val="0"/>
        </w:rPr>
      </w:pPr>
      <w:r>
        <w:rPr>
          <w:rFonts w:ascii="Arial" w:hAnsi="Arial" w:cs="Arial" w:eastAsia="Arial" w:hint="default"/>
        </w:rPr>
        <w:t>4</w:t>
      </w:r>
      <w:r>
        <w:rPr/>
        <w:t>、其他持股在</w:t>
      </w:r>
      <w:r>
        <w:rPr>
          <w:spacing w:val="-65"/>
        </w:rPr>
        <w:t> </w:t>
      </w:r>
      <w:r>
        <w:rPr>
          <w:rFonts w:ascii="Arial" w:hAnsi="Arial" w:cs="Arial" w:eastAsia="Arial" w:hint="default"/>
        </w:rPr>
        <w:t>10%</w:t>
      </w:r>
      <w:r>
        <w:rPr/>
        <w:t>以上的法人股东</w:t>
      </w:r>
      <w:r>
        <w:rPr>
          <w:b w:val="0"/>
          <w:bCs w:val="0"/>
        </w:rPr>
      </w:r>
    </w:p>
    <w:p>
      <w:pPr>
        <w:pStyle w:val="BodyText"/>
        <w:spacing w:line="240" w:lineRule="auto" w:before="137"/>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40" w:lineRule="auto" w:before="137"/>
        <w:ind w:right="0"/>
        <w:jc w:val="left"/>
        <w:rPr>
          <w:b w:val="0"/>
          <w:bCs w:val="0"/>
        </w:rPr>
      </w:pPr>
      <w:r>
        <w:rPr>
          <w:rFonts w:ascii="Arial" w:hAnsi="Arial" w:cs="Arial" w:eastAsia="Arial" w:hint="default"/>
        </w:rPr>
        <w:t>5</w:t>
      </w:r>
      <w:r>
        <w:rPr/>
        <w:t>、前</w:t>
      </w:r>
      <w:r>
        <w:rPr>
          <w:spacing w:val="-63"/>
        </w:rPr>
        <w:t> </w:t>
      </w:r>
      <w:r>
        <w:rPr>
          <w:rFonts w:ascii="Arial" w:hAnsi="Arial" w:cs="Arial" w:eastAsia="Arial" w:hint="default"/>
        </w:rPr>
        <w:t>10</w:t>
      </w:r>
      <w:r>
        <w:rPr>
          <w:rFonts w:ascii="Arial" w:hAnsi="Arial" w:cs="Arial" w:eastAsia="Arial" w:hint="default"/>
          <w:spacing w:val="-11"/>
        </w:rPr>
        <w:t> </w:t>
      </w:r>
      <w:r>
        <w:rPr/>
        <w:t>名限售条件股东持股数量及限售条件</w:t>
      </w:r>
      <w:r>
        <w:rPr>
          <w:b w:val="0"/>
          <w:bCs w:val="0"/>
        </w:rPr>
      </w:r>
    </w:p>
    <w:p>
      <w:pPr>
        <w:spacing w:line="240" w:lineRule="auto" w:before="11"/>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5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限售条件股东名称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15" w:right="212"/>
              <w:jc w:val="left"/>
              <w:rPr>
                <w:rFonts w:ascii="宋体" w:hAnsi="宋体" w:cs="宋体" w:eastAsia="宋体" w:hint="default"/>
                <w:sz w:val="21"/>
                <w:szCs w:val="21"/>
              </w:rPr>
            </w:pPr>
            <w:r>
              <w:rPr>
                <w:rFonts w:ascii="宋体" w:hAnsi="宋体" w:cs="宋体" w:eastAsia="宋体" w:hint="default"/>
                <w:sz w:val="21"/>
                <w:szCs w:val="21"/>
              </w:rPr>
              <w:t>持有的限售条件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321" w:right="105" w:hanging="209"/>
              <w:jc w:val="left"/>
              <w:rPr>
                <w:rFonts w:ascii="宋体" w:hAnsi="宋体" w:cs="宋体" w:eastAsia="宋体" w:hint="default"/>
                <w:sz w:val="21"/>
                <w:szCs w:val="21"/>
              </w:rPr>
            </w:pPr>
            <w:r>
              <w:rPr>
                <w:rFonts w:ascii="宋体" w:hAnsi="宋体" w:cs="宋体" w:eastAsia="宋体" w:hint="default"/>
                <w:sz w:val="21"/>
                <w:szCs w:val="21"/>
              </w:rPr>
              <w:t>新增可上市交易股</w:t>
            </w:r>
            <w:r>
              <w:rPr>
                <w:rFonts w:ascii="宋体" w:hAnsi="宋体" w:cs="宋体" w:eastAsia="宋体" w:hint="default"/>
                <w:w w:val="100"/>
                <w:sz w:val="21"/>
                <w:szCs w:val="21"/>
              </w:rPr>
              <w:t> </w:t>
            </w:r>
            <w:r>
              <w:rPr>
                <w:rFonts w:ascii="宋体" w:hAnsi="宋体" w:cs="宋体" w:eastAsia="宋体" w:hint="default"/>
                <w:sz w:val="21"/>
                <w:szCs w:val="21"/>
              </w:rPr>
              <w:t>份数量（股）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邵学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27,319,480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9,068,794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任涛</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1,830,000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朱相宇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冯显扬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954,000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305,500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王秀花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916,500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305,500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585,000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王凯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487,650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高管锁定</w:t>
            </w:r>
          </w:p>
        </w:tc>
      </w:tr>
    </w:tbl>
    <w:p>
      <w:pPr>
        <w:spacing w:after="0" w:line="240" w:lineRule="auto"/>
        <w:jc w:val="center"/>
        <w:rPr>
          <w:rFonts w:ascii="宋体" w:hAnsi="宋体" w:cs="宋体" w:eastAsia="宋体" w:hint="default"/>
          <w:sz w:val="21"/>
          <w:szCs w:val="21"/>
        </w:rPr>
        <w:sectPr>
          <w:pgSz w:w="11910" w:h="16840"/>
          <w:pgMar w:header="884"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王静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412,500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黄福林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323,625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97,500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高管锁定</w:t>
            </w:r>
          </w:p>
        </w:tc>
      </w:tr>
    </w:tbl>
    <w:p>
      <w:pPr>
        <w:spacing w:after="0" w:line="240" w:lineRule="auto"/>
        <w:jc w:val="center"/>
        <w:rPr>
          <w:rFonts w:ascii="宋体" w:hAnsi="宋体" w:cs="宋体" w:eastAsia="宋体" w:hint="default"/>
          <w:sz w:val="21"/>
          <w:szCs w:val="21"/>
        </w:rPr>
        <w:sectPr>
          <w:pgSz w:w="11910" w:h="16840"/>
          <w:pgMar w:header="884" w:footer="1010" w:top="114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Heading1"/>
        <w:spacing w:line="440" w:lineRule="exact"/>
        <w:ind w:left="1691" w:right="0"/>
        <w:jc w:val="left"/>
        <w:rPr>
          <w:b w:val="0"/>
          <w:bCs w:val="0"/>
        </w:rPr>
      </w:pPr>
      <w:bookmarkStart w:name="_bookmark5" w:id="6"/>
      <w:bookmarkEnd w:id="6"/>
      <w:r>
        <w:rPr>
          <w:b w:val="0"/>
          <w:bCs w:val="0"/>
        </w:rPr>
      </w:r>
      <w:r>
        <w:rPr/>
        <w:t>第七节</w:t>
      </w:r>
      <w:r>
        <w:rPr>
          <w:spacing w:val="59"/>
        </w:rPr>
        <w:t> </w:t>
      </w:r>
      <w:r>
        <w:rPr/>
        <w:t>董事、监事、高级管理人员和员工情况</w:t>
      </w:r>
      <w:r>
        <w:rPr>
          <w:b w:val="0"/>
          <w:bCs w:val="0"/>
        </w:rPr>
      </w:r>
    </w:p>
    <w:p>
      <w:pPr>
        <w:spacing w:line="240" w:lineRule="auto" w:before="15"/>
        <w:rPr>
          <w:rFonts w:ascii="微软雅黑" w:hAnsi="微软雅黑" w:cs="微软雅黑" w:eastAsia="微软雅黑" w:hint="default"/>
          <w:b/>
          <w:bCs/>
          <w:sz w:val="27"/>
          <w:szCs w:val="27"/>
        </w:rPr>
      </w:pPr>
    </w:p>
    <w:p>
      <w:pPr>
        <w:spacing w:after="0" w:line="240" w:lineRule="auto"/>
        <w:rPr>
          <w:rFonts w:ascii="微软雅黑" w:hAnsi="微软雅黑" w:cs="微软雅黑" w:eastAsia="微软雅黑" w:hint="default"/>
          <w:sz w:val="27"/>
          <w:szCs w:val="27"/>
        </w:rPr>
        <w:sectPr>
          <w:pgSz w:w="11910" w:h="16840"/>
          <w:pgMar w:header="884" w:footer="1010" w:top="1140" w:bottom="1200" w:left="980" w:right="300"/>
        </w:sectPr>
      </w:pPr>
    </w:p>
    <w:p>
      <w:pPr>
        <w:pStyle w:val="Heading3"/>
        <w:spacing w:line="240" w:lineRule="auto" w:before="26"/>
        <w:ind w:right="0"/>
        <w:jc w:val="left"/>
        <w:rPr>
          <w:b w:val="0"/>
          <w:bCs w:val="0"/>
        </w:rPr>
      </w:pPr>
      <w:r>
        <w:rPr>
          <w:w w:val="95"/>
        </w:rPr>
        <w:t>一、董事、监事和高级管理人员持股变动</w:t>
      </w:r>
      <w:r>
        <w:rPr>
          <w:b w:val="0"/>
          <w:bCs w:val="0"/>
        </w:rPr>
      </w:r>
    </w:p>
    <w:p>
      <w:pPr>
        <w:pStyle w:val="Heading3"/>
        <w:spacing w:line="240" w:lineRule="auto" w:before="130"/>
        <w:ind w:right="0"/>
        <w:jc w:val="left"/>
        <w:rPr>
          <w:b w:val="0"/>
          <w:bCs w:val="0"/>
        </w:rPr>
      </w:pPr>
      <w:r>
        <w:rPr>
          <w:rFonts w:ascii="Arial" w:hAnsi="Arial" w:cs="Arial" w:eastAsia="Arial" w:hint="default"/>
        </w:rPr>
        <w:t>1</w:t>
      </w:r>
      <w:r>
        <w:rPr/>
        <w:t>、持股情况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100" w:bottom="1200" w:left="980" w:right="300"/>
          <w:cols w:num="2" w:equalWidth="0">
            <w:col w:w="4488" w:space="4312"/>
            <w:col w:w="1830"/>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4"/>
        <w:gridCol w:w="898"/>
        <w:gridCol w:w="425"/>
        <w:gridCol w:w="425"/>
        <w:gridCol w:w="569"/>
        <w:gridCol w:w="1133"/>
        <w:gridCol w:w="992"/>
        <w:gridCol w:w="852"/>
        <w:gridCol w:w="1135"/>
        <w:gridCol w:w="567"/>
        <w:gridCol w:w="566"/>
        <w:gridCol w:w="566"/>
        <w:gridCol w:w="569"/>
        <w:gridCol w:w="850"/>
      </w:tblGrid>
      <w:tr>
        <w:trPr>
          <w:trHeight w:val="320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71" w:lineRule="auto"/>
              <w:ind w:left="103" w:right="9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71" w:lineRule="auto"/>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71" w:lineRule="auto"/>
              <w:ind w:left="69" w:right="65"/>
              <w:jc w:val="left"/>
              <w:rPr>
                <w:rFonts w:ascii="宋体" w:hAnsi="宋体" w:cs="宋体" w:eastAsia="宋体" w:hint="default"/>
                <w:sz w:val="21"/>
                <w:szCs w:val="21"/>
              </w:rPr>
            </w:pPr>
            <w:r>
              <w:rPr>
                <w:rFonts w:ascii="宋体" w:hAnsi="宋体" w:cs="宋体" w:eastAsia="宋体" w:hint="default"/>
                <w:sz w:val="21"/>
                <w:szCs w:val="21"/>
              </w:rPr>
              <w:t>任职</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期初持股数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71" w:lineRule="auto"/>
              <w:ind w:left="72" w:right="65"/>
              <w:jc w:val="left"/>
              <w:rPr>
                <w:rFonts w:ascii="宋体" w:hAnsi="宋体" w:cs="宋体" w:eastAsia="宋体" w:hint="default"/>
                <w:sz w:val="21"/>
                <w:szCs w:val="21"/>
              </w:rPr>
            </w:pPr>
            <w:r>
              <w:rPr>
                <w:rFonts w:ascii="宋体" w:hAnsi="宋体" w:cs="宋体" w:eastAsia="宋体" w:hint="default"/>
                <w:sz w:val="21"/>
                <w:szCs w:val="21"/>
              </w:rPr>
              <w:t>本期增持</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71" w:lineRule="auto"/>
              <w:ind w:left="107" w:right="98"/>
              <w:jc w:val="both"/>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pacing w:val="-1"/>
                <w:sz w:val="21"/>
                <w:szCs w:val="21"/>
              </w:rPr>
              <w:t>期末持股数</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69" w:right="63"/>
              <w:jc w:val="both"/>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持有</w:t>
            </w:r>
            <w:r>
              <w:rPr>
                <w:rFonts w:ascii="宋体" w:hAnsi="宋体" w:cs="宋体" w:eastAsia="宋体" w:hint="default"/>
                <w:spacing w:val="-103"/>
                <w:sz w:val="21"/>
                <w:szCs w:val="21"/>
              </w:rPr>
              <w:t> </w:t>
            </w:r>
            <w:r>
              <w:rPr>
                <w:rFonts w:ascii="宋体" w:hAnsi="宋体" w:cs="宋体" w:eastAsia="宋体" w:hint="default"/>
                <w:sz w:val="21"/>
                <w:szCs w:val="21"/>
              </w:rPr>
              <w:t>的股</w:t>
            </w:r>
            <w:r>
              <w:rPr>
                <w:rFonts w:ascii="宋体" w:hAnsi="宋体" w:cs="宋体" w:eastAsia="宋体" w:hint="default"/>
                <w:spacing w:val="-103"/>
                <w:sz w:val="21"/>
                <w:szCs w:val="21"/>
              </w:rPr>
              <w:t> </w:t>
            </w:r>
            <w:r>
              <w:rPr>
                <w:rFonts w:ascii="宋体" w:hAnsi="宋体" w:cs="宋体" w:eastAsia="宋体" w:hint="default"/>
                <w:sz w:val="21"/>
                <w:szCs w:val="21"/>
              </w:rPr>
              <w:t>权激</w:t>
            </w:r>
            <w:r>
              <w:rPr>
                <w:rFonts w:ascii="宋体" w:hAnsi="宋体" w:cs="宋体" w:eastAsia="宋体" w:hint="default"/>
                <w:spacing w:val="-103"/>
                <w:sz w:val="21"/>
                <w:szCs w:val="21"/>
              </w:rPr>
              <w:t> </w:t>
            </w:r>
            <w:r>
              <w:rPr>
                <w:rFonts w:ascii="宋体" w:hAnsi="宋体" w:cs="宋体" w:eastAsia="宋体" w:hint="default"/>
                <w:sz w:val="21"/>
                <w:szCs w:val="21"/>
              </w:rPr>
              <w:t>励获</w:t>
            </w:r>
            <w:r>
              <w:rPr>
                <w:rFonts w:ascii="宋体" w:hAnsi="宋体" w:cs="宋体" w:eastAsia="宋体" w:hint="default"/>
                <w:spacing w:val="-103"/>
                <w:sz w:val="21"/>
                <w:szCs w:val="21"/>
              </w:rPr>
              <w:t> </w:t>
            </w:r>
            <w:r>
              <w:rPr>
                <w:rFonts w:ascii="宋体" w:hAnsi="宋体" w:cs="宋体" w:eastAsia="宋体" w:hint="default"/>
                <w:sz w:val="21"/>
                <w:szCs w:val="21"/>
              </w:rPr>
              <w:t>授予</w:t>
            </w:r>
            <w:r>
              <w:rPr>
                <w:rFonts w:ascii="宋体" w:hAnsi="宋体" w:cs="宋体" w:eastAsia="宋体" w:hint="default"/>
                <w:spacing w:val="-103"/>
                <w:sz w:val="21"/>
                <w:szCs w:val="21"/>
              </w:rPr>
              <w:t> </w:t>
            </w:r>
            <w:r>
              <w:rPr>
                <w:rFonts w:ascii="宋体" w:hAnsi="宋体" w:cs="宋体" w:eastAsia="宋体" w:hint="default"/>
                <w:sz w:val="21"/>
                <w:szCs w:val="21"/>
              </w:rPr>
              <w:t>限制</w:t>
            </w:r>
            <w:r>
              <w:rPr>
                <w:rFonts w:ascii="宋体" w:hAnsi="宋体" w:cs="宋体" w:eastAsia="宋体" w:hint="default"/>
                <w:spacing w:val="-103"/>
                <w:sz w:val="21"/>
                <w:szCs w:val="21"/>
              </w:rPr>
              <w:t> </w:t>
            </w:r>
            <w:r>
              <w:rPr>
                <w:rFonts w:ascii="宋体" w:hAnsi="宋体" w:cs="宋体" w:eastAsia="宋体" w:hint="default"/>
                <w:sz w:val="21"/>
                <w:szCs w:val="21"/>
              </w:rPr>
              <w:t>性股</w:t>
            </w:r>
            <w:r>
              <w:rPr>
                <w:rFonts w:ascii="宋体" w:hAnsi="宋体" w:cs="宋体" w:eastAsia="宋体" w:hint="default"/>
                <w:spacing w:val="-103"/>
                <w:sz w:val="21"/>
                <w:szCs w:val="21"/>
              </w:rPr>
              <w:t> </w:t>
            </w:r>
            <w:r>
              <w:rPr>
                <w:rFonts w:ascii="宋体" w:hAnsi="宋体" w:cs="宋体" w:eastAsia="宋体" w:hint="default"/>
                <w:sz w:val="21"/>
                <w:szCs w:val="21"/>
              </w:rPr>
              <w:t>票数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69" w:right="6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获授</w:t>
            </w:r>
            <w:r>
              <w:rPr>
                <w:rFonts w:ascii="宋体" w:hAnsi="宋体" w:cs="宋体" w:eastAsia="宋体" w:hint="default"/>
                <w:spacing w:val="-103"/>
                <w:sz w:val="21"/>
                <w:szCs w:val="21"/>
              </w:rPr>
              <w:t> </w:t>
            </w:r>
            <w:r>
              <w:rPr>
                <w:rFonts w:ascii="宋体" w:hAnsi="宋体" w:cs="宋体" w:eastAsia="宋体" w:hint="default"/>
                <w:sz w:val="21"/>
                <w:szCs w:val="21"/>
              </w:rPr>
              <w:t>予的</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激励</w:t>
            </w:r>
            <w:r>
              <w:rPr>
                <w:rFonts w:ascii="宋体" w:hAnsi="宋体" w:cs="宋体" w:eastAsia="宋体" w:hint="default"/>
                <w:spacing w:val="-103"/>
                <w:sz w:val="21"/>
                <w:szCs w:val="21"/>
              </w:rPr>
              <w:t> </w:t>
            </w:r>
            <w:r>
              <w:rPr>
                <w:rFonts w:ascii="宋体" w:hAnsi="宋体" w:cs="宋体" w:eastAsia="宋体" w:hint="default"/>
                <w:sz w:val="21"/>
                <w:szCs w:val="21"/>
              </w:rPr>
              <w:t>限制</w:t>
            </w:r>
            <w:r>
              <w:rPr>
                <w:rFonts w:ascii="宋体" w:hAnsi="宋体" w:cs="宋体" w:eastAsia="宋体" w:hint="default"/>
                <w:spacing w:val="-103"/>
                <w:sz w:val="21"/>
                <w:szCs w:val="21"/>
              </w:rPr>
              <w:t> </w:t>
            </w:r>
            <w:r>
              <w:rPr>
                <w:rFonts w:ascii="宋体" w:hAnsi="宋体" w:cs="宋体" w:eastAsia="宋体" w:hint="default"/>
                <w:sz w:val="21"/>
                <w:szCs w:val="21"/>
              </w:rPr>
              <w:t>性股</w:t>
            </w:r>
            <w:r>
              <w:rPr>
                <w:rFonts w:ascii="宋体" w:hAnsi="宋体" w:cs="宋体" w:eastAsia="宋体" w:hint="default"/>
                <w:spacing w:val="-103"/>
                <w:sz w:val="21"/>
                <w:szCs w:val="21"/>
              </w:rPr>
              <w:t> </w:t>
            </w:r>
            <w:r>
              <w:rPr>
                <w:rFonts w:ascii="宋体" w:hAnsi="宋体" w:cs="宋体" w:eastAsia="宋体" w:hint="default"/>
                <w:sz w:val="21"/>
                <w:szCs w:val="21"/>
              </w:rPr>
              <w:t>票数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69" w:right="6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被注</w:t>
            </w:r>
            <w:r>
              <w:rPr>
                <w:rFonts w:ascii="宋体" w:hAnsi="宋体" w:cs="宋体" w:eastAsia="宋体" w:hint="default"/>
                <w:spacing w:val="-103"/>
                <w:sz w:val="21"/>
                <w:szCs w:val="21"/>
              </w:rPr>
              <w:t> </w:t>
            </w:r>
            <w:r>
              <w:rPr>
                <w:rFonts w:ascii="宋体" w:hAnsi="宋体" w:cs="宋体" w:eastAsia="宋体" w:hint="default"/>
                <w:sz w:val="21"/>
                <w:szCs w:val="21"/>
              </w:rPr>
              <w:t>销的</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激励</w:t>
            </w:r>
            <w:r>
              <w:rPr>
                <w:rFonts w:ascii="宋体" w:hAnsi="宋体" w:cs="宋体" w:eastAsia="宋体" w:hint="default"/>
                <w:spacing w:val="-103"/>
                <w:sz w:val="21"/>
                <w:szCs w:val="21"/>
              </w:rPr>
              <w:t> </w:t>
            </w:r>
            <w:r>
              <w:rPr>
                <w:rFonts w:ascii="宋体" w:hAnsi="宋体" w:cs="宋体" w:eastAsia="宋体" w:hint="default"/>
                <w:sz w:val="21"/>
                <w:szCs w:val="21"/>
              </w:rPr>
              <w:t>限制</w:t>
            </w:r>
            <w:r>
              <w:rPr>
                <w:rFonts w:ascii="宋体" w:hAnsi="宋体" w:cs="宋体" w:eastAsia="宋体" w:hint="default"/>
                <w:spacing w:val="-103"/>
                <w:sz w:val="21"/>
                <w:szCs w:val="21"/>
              </w:rPr>
              <w:t> </w:t>
            </w:r>
            <w:r>
              <w:rPr>
                <w:rFonts w:ascii="宋体" w:hAnsi="宋体" w:cs="宋体" w:eastAsia="宋体" w:hint="default"/>
                <w:sz w:val="21"/>
                <w:szCs w:val="21"/>
              </w:rPr>
              <w:t>性股</w:t>
            </w:r>
            <w:r>
              <w:rPr>
                <w:rFonts w:ascii="宋体" w:hAnsi="宋体" w:cs="宋体" w:eastAsia="宋体" w:hint="default"/>
                <w:spacing w:val="-103"/>
                <w:sz w:val="21"/>
                <w:szCs w:val="21"/>
              </w:rPr>
              <w:t> </w:t>
            </w:r>
            <w:r>
              <w:rPr>
                <w:rFonts w:ascii="宋体" w:hAnsi="宋体" w:cs="宋体" w:eastAsia="宋体" w:hint="default"/>
                <w:sz w:val="21"/>
                <w:szCs w:val="21"/>
              </w:rPr>
              <w:t>票数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69" w:right="65"/>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持有</w:t>
            </w:r>
            <w:r>
              <w:rPr>
                <w:rFonts w:ascii="宋体" w:hAnsi="宋体" w:cs="宋体" w:eastAsia="宋体" w:hint="default"/>
                <w:spacing w:val="-103"/>
                <w:sz w:val="21"/>
                <w:szCs w:val="21"/>
              </w:rPr>
              <w:t> </w:t>
            </w:r>
            <w:r>
              <w:rPr>
                <w:rFonts w:ascii="宋体" w:hAnsi="宋体" w:cs="宋体" w:eastAsia="宋体" w:hint="default"/>
                <w:sz w:val="21"/>
                <w:szCs w:val="21"/>
              </w:rPr>
              <w:t>的股</w:t>
            </w:r>
            <w:r>
              <w:rPr>
                <w:rFonts w:ascii="宋体" w:hAnsi="宋体" w:cs="宋体" w:eastAsia="宋体" w:hint="default"/>
                <w:spacing w:val="-103"/>
                <w:sz w:val="21"/>
                <w:szCs w:val="21"/>
              </w:rPr>
              <w:t> </w:t>
            </w:r>
            <w:r>
              <w:rPr>
                <w:rFonts w:ascii="宋体" w:hAnsi="宋体" w:cs="宋体" w:eastAsia="宋体" w:hint="default"/>
                <w:sz w:val="21"/>
                <w:szCs w:val="21"/>
              </w:rPr>
              <w:t>权激</w:t>
            </w:r>
            <w:r>
              <w:rPr>
                <w:rFonts w:ascii="宋体" w:hAnsi="宋体" w:cs="宋体" w:eastAsia="宋体" w:hint="default"/>
                <w:spacing w:val="-103"/>
                <w:sz w:val="21"/>
                <w:szCs w:val="21"/>
              </w:rPr>
              <w:t> </w:t>
            </w:r>
            <w:r>
              <w:rPr>
                <w:rFonts w:ascii="宋体" w:hAnsi="宋体" w:cs="宋体" w:eastAsia="宋体" w:hint="default"/>
                <w:sz w:val="21"/>
                <w:szCs w:val="21"/>
              </w:rPr>
              <w:t>励获</w:t>
            </w:r>
            <w:r>
              <w:rPr>
                <w:rFonts w:ascii="宋体" w:hAnsi="宋体" w:cs="宋体" w:eastAsia="宋体" w:hint="default"/>
                <w:spacing w:val="-103"/>
                <w:sz w:val="21"/>
                <w:szCs w:val="21"/>
              </w:rPr>
              <w:t> </w:t>
            </w:r>
            <w:r>
              <w:rPr>
                <w:rFonts w:ascii="宋体" w:hAnsi="宋体" w:cs="宋体" w:eastAsia="宋体" w:hint="default"/>
                <w:sz w:val="21"/>
                <w:szCs w:val="21"/>
              </w:rPr>
              <w:t>授予</w:t>
            </w:r>
            <w:r>
              <w:rPr>
                <w:rFonts w:ascii="宋体" w:hAnsi="宋体" w:cs="宋体" w:eastAsia="宋体" w:hint="default"/>
                <w:spacing w:val="-103"/>
                <w:sz w:val="21"/>
                <w:szCs w:val="21"/>
              </w:rPr>
              <w:t> </w:t>
            </w:r>
            <w:r>
              <w:rPr>
                <w:rFonts w:ascii="宋体" w:hAnsi="宋体" w:cs="宋体" w:eastAsia="宋体" w:hint="default"/>
                <w:sz w:val="21"/>
                <w:szCs w:val="21"/>
              </w:rPr>
              <w:t>限制</w:t>
            </w:r>
            <w:r>
              <w:rPr>
                <w:rFonts w:ascii="宋体" w:hAnsi="宋体" w:cs="宋体" w:eastAsia="宋体" w:hint="default"/>
                <w:spacing w:val="-103"/>
                <w:sz w:val="21"/>
                <w:szCs w:val="21"/>
              </w:rPr>
              <w:t> </w:t>
            </w:r>
            <w:r>
              <w:rPr>
                <w:rFonts w:ascii="宋体" w:hAnsi="宋体" w:cs="宋体" w:eastAsia="宋体" w:hint="default"/>
                <w:sz w:val="21"/>
                <w:szCs w:val="21"/>
              </w:rPr>
              <w:t>性股</w:t>
            </w:r>
            <w:r>
              <w:rPr>
                <w:rFonts w:ascii="宋体" w:hAnsi="宋体" w:cs="宋体" w:eastAsia="宋体" w:hint="default"/>
                <w:spacing w:val="-103"/>
                <w:sz w:val="21"/>
                <w:szCs w:val="21"/>
              </w:rPr>
              <w:t> </w:t>
            </w:r>
            <w:r>
              <w:rPr>
                <w:rFonts w:ascii="宋体" w:hAnsi="宋体" w:cs="宋体" w:eastAsia="宋体" w:hint="default"/>
                <w:sz w:val="21"/>
                <w:szCs w:val="21"/>
              </w:rPr>
              <w:t>票数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71" w:lineRule="auto"/>
              <w:ind w:left="105" w:right="99"/>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169"/>
              <w:jc w:val="left"/>
              <w:rPr>
                <w:rFonts w:ascii="宋体" w:hAnsi="宋体" w:cs="宋体" w:eastAsia="宋体" w:hint="default"/>
                <w:sz w:val="21"/>
                <w:szCs w:val="21"/>
              </w:rPr>
            </w:pPr>
            <w:r>
              <w:rPr>
                <w:rFonts w:ascii="宋体" w:hAnsi="宋体" w:cs="宋体" w:eastAsia="宋体" w:hint="default"/>
                <w:sz w:val="21"/>
                <w:szCs w:val="21"/>
              </w:rPr>
              <w:t>董事长</w:t>
            </w:r>
            <w:r>
              <w:rPr>
                <w:rFonts w:ascii="Arial" w:hAnsi="Arial" w:cs="Arial" w:eastAsia="Arial" w:hint="default"/>
                <w:sz w:val="21"/>
                <w:szCs w:val="21"/>
              </w:rPr>
              <w:t>/</w:t>
            </w:r>
            <w:r>
              <w:rPr>
                <w:rFonts w:ascii="Arial" w:hAnsi="Arial" w:cs="Arial" w:eastAsia="Arial" w:hint="default"/>
                <w:spacing w:val="-56"/>
                <w:sz w:val="21"/>
                <w:szCs w:val="21"/>
              </w:rPr>
              <w:t> </w:t>
            </w:r>
            <w:r>
              <w:rPr>
                <w:rFonts w:ascii="宋体" w:hAnsi="宋体" w:cs="宋体" w:eastAsia="宋体" w:hint="default"/>
                <w:sz w:val="21"/>
                <w:szCs w:val="21"/>
              </w:rPr>
              <w:t>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z w:val="21"/>
              </w:rPr>
              <w:t>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36,425,974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36,425,974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赵晓明</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67"/>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Arial" w:hAnsi="Arial" w:cs="Arial" w:eastAsia="Arial" w:hint="default"/>
                <w:spacing w:val="45"/>
                <w:sz w:val="21"/>
                <w:szCs w:val="21"/>
              </w:rPr>
              <w:t> </w:t>
            </w:r>
            <w:r>
              <w:rPr>
                <w:rFonts w:ascii="宋体" w:hAnsi="宋体" w:cs="宋体" w:eastAsia="宋体" w:hint="default"/>
                <w:sz w:val="21"/>
                <w:szCs w:val="21"/>
              </w:rPr>
              <w:t>副</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z w:val="21"/>
              </w:rPr>
              <w:t>43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2,440,000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吕宾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67"/>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Arial" w:hAnsi="Arial" w:cs="Arial" w:eastAsia="Arial" w:hint="default"/>
                <w:spacing w:val="45"/>
                <w:sz w:val="21"/>
                <w:szCs w:val="21"/>
              </w:rPr>
              <w:t> </w:t>
            </w:r>
            <w:r>
              <w:rPr>
                <w:rFonts w:ascii="宋体" w:hAnsi="宋体" w:cs="宋体" w:eastAsia="宋体" w:hint="default"/>
                <w:sz w:val="21"/>
                <w:szCs w:val="21"/>
              </w:rPr>
              <w:t>副</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z w:val="21"/>
              </w:rPr>
              <w:t>41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780,000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780,000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任涛</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41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7,000,000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施天涛</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赵小凡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65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王琨</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
              <w:jc w:val="left"/>
              <w:rPr>
                <w:rFonts w:ascii="宋体" w:hAnsi="宋体" w:cs="宋体" w:eastAsia="宋体" w:hint="default"/>
                <w:sz w:val="21"/>
                <w:szCs w:val="21"/>
              </w:rPr>
            </w:pPr>
            <w:r>
              <w:rPr>
                <w:rFonts w:ascii="宋体" w:hAnsi="宋体" w:cs="宋体" w:eastAsia="宋体" w:hint="default"/>
                <w:sz w:val="21"/>
                <w:szCs w:val="21"/>
              </w:rPr>
              <w:t>监事会主</w:t>
            </w:r>
            <w:r>
              <w:rPr>
                <w:rFonts w:ascii="宋体" w:hAnsi="宋体" w:cs="宋体" w:eastAsia="宋体" w:hint="default"/>
                <w:w w:val="100"/>
                <w:sz w:val="21"/>
                <w:szCs w:val="21"/>
              </w:rPr>
              <w:t> </w:t>
            </w:r>
            <w:r>
              <w:rPr>
                <w:rFonts w:ascii="宋体" w:hAnsi="宋体" w:cs="宋体" w:eastAsia="宋体" w:hint="default"/>
                <w:sz w:val="21"/>
                <w:szCs w:val="21"/>
              </w:rPr>
              <w:t>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z w:val="21"/>
              </w:rPr>
              <w:t>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550,000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杨辉</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42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樊娇娇</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32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冯显扬</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21"/>
                <w:szCs w:val="21"/>
              </w:rPr>
            </w:pPr>
            <w:r>
              <w:rPr>
                <w:rFonts w:ascii="Arial"/>
                <w:sz w:val="21"/>
              </w:rPr>
              <w:t>42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21"/>
                <w:szCs w:val="21"/>
              </w:rPr>
            </w:pPr>
            <w:r>
              <w:rPr>
                <w:rFonts w:ascii="Arial"/>
                <w:spacing w:val="-1"/>
                <w:sz w:val="21"/>
              </w:rPr>
              <w:t>1,222,000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21"/>
                <w:szCs w:val="21"/>
              </w:rPr>
            </w:pPr>
            <w:r>
              <w:rPr>
                <w:rFonts w:ascii="Arial"/>
                <w:spacing w:val="-1"/>
                <w:sz w:val="21"/>
              </w:rPr>
              <w:t>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1,262,000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7"/>
              <w:jc w:val="left"/>
              <w:rPr>
                <w:rFonts w:ascii="宋体" w:hAnsi="宋体" w:cs="宋体" w:eastAsia="宋体" w:hint="default"/>
                <w:sz w:val="21"/>
                <w:szCs w:val="21"/>
              </w:rPr>
            </w:pPr>
            <w:r>
              <w:rPr>
                <w:rFonts w:ascii="宋体" w:hAnsi="宋体" w:cs="宋体" w:eastAsia="宋体" w:hint="default"/>
                <w:sz w:val="21"/>
                <w:szCs w:val="21"/>
              </w:rPr>
              <w:t>股权激</w:t>
            </w:r>
            <w:r>
              <w:rPr>
                <w:rFonts w:ascii="宋体" w:hAnsi="宋体" w:cs="宋体" w:eastAsia="宋体" w:hint="default"/>
                <w:spacing w:val="-102"/>
                <w:sz w:val="21"/>
                <w:szCs w:val="21"/>
              </w:rPr>
              <w:t> </w:t>
            </w:r>
            <w:r>
              <w:rPr>
                <w:rFonts w:ascii="宋体" w:hAnsi="宋体" w:cs="宋体" w:eastAsia="宋体" w:hint="default"/>
                <w:sz w:val="21"/>
                <w:szCs w:val="21"/>
              </w:rPr>
              <w:t>励行权、</w:t>
            </w:r>
            <w:r>
              <w:rPr>
                <w:rFonts w:ascii="宋体" w:hAnsi="宋体" w:cs="宋体" w:eastAsia="宋体" w:hint="default"/>
                <w:w w:val="100"/>
                <w:sz w:val="21"/>
                <w:szCs w:val="21"/>
              </w:rPr>
              <w:t> </w:t>
            </w:r>
            <w:r>
              <w:rPr>
                <w:rFonts w:ascii="宋体" w:hAnsi="宋体" w:cs="宋体" w:eastAsia="宋体" w:hint="default"/>
                <w:sz w:val="21"/>
                <w:szCs w:val="21"/>
              </w:rPr>
              <w:t>二级市</w:t>
            </w:r>
            <w:r>
              <w:rPr>
                <w:rFonts w:ascii="宋体" w:hAnsi="宋体" w:cs="宋体" w:eastAsia="宋体" w:hint="default"/>
                <w:spacing w:val="-102"/>
                <w:sz w:val="21"/>
                <w:szCs w:val="21"/>
              </w:rPr>
              <w:t> </w:t>
            </w:r>
            <w:r>
              <w:rPr>
                <w:rFonts w:ascii="宋体" w:hAnsi="宋体" w:cs="宋体" w:eastAsia="宋体" w:hint="default"/>
                <w:sz w:val="21"/>
                <w:szCs w:val="21"/>
              </w:rPr>
              <w:t>场减持</w:t>
            </w:r>
          </w:p>
        </w:tc>
      </w:tr>
      <w:tr>
        <w:trPr>
          <w:trHeight w:val="133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黄福林</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59" w:lineRule="auto" w:before="34"/>
              <w:ind w:left="23" w:right="67"/>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质量总</w:t>
            </w:r>
            <w:r>
              <w:rPr>
                <w:rFonts w:ascii="宋体" w:hAnsi="宋体" w:cs="宋体" w:eastAsia="宋体" w:hint="default"/>
                <w:w w:val="100"/>
                <w:sz w:val="21"/>
                <w:szCs w:val="21"/>
              </w:rPr>
              <w:t> </w:t>
            </w:r>
            <w:r>
              <w:rPr>
                <w:rFonts w:ascii="宋体" w:hAnsi="宋体" w:cs="宋体" w:eastAsia="宋体" w:hint="default"/>
                <w:sz w:val="21"/>
                <w:szCs w:val="21"/>
              </w:rPr>
              <w:t>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21"/>
                <w:szCs w:val="21"/>
              </w:rPr>
            </w:pPr>
            <w:r>
              <w:rPr>
                <w:rFonts w:ascii="Arial"/>
                <w:sz w:val="21"/>
              </w:rPr>
              <w:t>41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21"/>
                <w:szCs w:val="21"/>
              </w:rPr>
            </w:pPr>
            <w:r>
              <w:rPr>
                <w:rFonts w:ascii="Arial"/>
                <w:spacing w:val="-1"/>
                <w:sz w:val="21"/>
              </w:rPr>
              <w:t>390,000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21"/>
                <w:szCs w:val="21"/>
              </w:rPr>
            </w:pPr>
            <w:r>
              <w:rPr>
                <w:rFonts w:ascii="Arial"/>
                <w:spacing w:val="-1"/>
                <w:sz w:val="21"/>
              </w:rPr>
              <w:t>41,500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420,700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27"/>
              <w:jc w:val="left"/>
              <w:rPr>
                <w:rFonts w:ascii="宋体" w:hAnsi="宋体" w:cs="宋体" w:eastAsia="宋体" w:hint="default"/>
                <w:sz w:val="21"/>
                <w:szCs w:val="21"/>
              </w:rPr>
            </w:pPr>
            <w:r>
              <w:rPr>
                <w:rFonts w:ascii="宋体" w:hAnsi="宋体" w:cs="宋体" w:eastAsia="宋体" w:hint="default"/>
                <w:sz w:val="21"/>
                <w:szCs w:val="21"/>
              </w:rPr>
              <w:t>股权激</w:t>
            </w:r>
            <w:r>
              <w:rPr>
                <w:rFonts w:ascii="宋体" w:hAnsi="宋体" w:cs="宋体" w:eastAsia="宋体" w:hint="default"/>
                <w:spacing w:val="-102"/>
                <w:sz w:val="21"/>
                <w:szCs w:val="21"/>
              </w:rPr>
              <w:t> </w:t>
            </w:r>
            <w:r>
              <w:rPr>
                <w:rFonts w:ascii="宋体" w:hAnsi="宋体" w:cs="宋体" w:eastAsia="宋体" w:hint="default"/>
                <w:sz w:val="21"/>
                <w:szCs w:val="21"/>
              </w:rPr>
              <w:t>励行权、</w:t>
            </w:r>
            <w:r>
              <w:rPr>
                <w:rFonts w:ascii="宋体" w:hAnsi="宋体" w:cs="宋体" w:eastAsia="宋体" w:hint="default"/>
                <w:w w:val="100"/>
                <w:sz w:val="21"/>
                <w:szCs w:val="21"/>
              </w:rPr>
              <w:t> </w:t>
            </w:r>
            <w:r>
              <w:rPr>
                <w:rFonts w:ascii="宋体" w:hAnsi="宋体" w:cs="宋体" w:eastAsia="宋体" w:hint="default"/>
                <w:sz w:val="21"/>
                <w:szCs w:val="21"/>
              </w:rPr>
              <w:t>二级市</w:t>
            </w:r>
            <w:r>
              <w:rPr>
                <w:rFonts w:ascii="宋体" w:hAnsi="宋体" w:cs="宋体" w:eastAsia="宋体" w:hint="default"/>
                <w:spacing w:val="-102"/>
                <w:sz w:val="21"/>
                <w:szCs w:val="21"/>
              </w:rPr>
              <w:t> </w:t>
            </w:r>
            <w:r>
              <w:rPr>
                <w:rFonts w:ascii="宋体" w:hAnsi="宋体" w:cs="宋体" w:eastAsia="宋体" w:hint="default"/>
                <w:sz w:val="21"/>
                <w:szCs w:val="21"/>
              </w:rPr>
              <w:t>场减持</w:t>
            </w:r>
          </w:p>
        </w:tc>
      </w:tr>
    </w:tbl>
    <w:p>
      <w:pPr>
        <w:spacing w:after="0" w:line="271" w:lineRule="auto"/>
        <w:jc w:val="left"/>
        <w:rPr>
          <w:rFonts w:ascii="宋体" w:hAnsi="宋体" w:cs="宋体" w:eastAsia="宋体" w:hint="default"/>
          <w:sz w:val="21"/>
          <w:szCs w:val="21"/>
        </w:rPr>
        <w:sectPr>
          <w:type w:val="continuous"/>
          <w:pgSz w:w="11910" w:h="16840"/>
          <w:pgMar w:top="1100" w:bottom="1200" w:left="980" w:right="30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804"/>
        <w:gridCol w:w="898"/>
        <w:gridCol w:w="425"/>
        <w:gridCol w:w="425"/>
        <w:gridCol w:w="569"/>
        <w:gridCol w:w="1133"/>
        <w:gridCol w:w="992"/>
        <w:gridCol w:w="852"/>
        <w:gridCol w:w="1135"/>
        <w:gridCol w:w="567"/>
        <w:gridCol w:w="566"/>
        <w:gridCol w:w="566"/>
        <w:gridCol w:w="569"/>
        <w:gridCol w:w="850"/>
      </w:tblGrid>
      <w:tr>
        <w:trPr>
          <w:trHeight w:val="133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朱相宇</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0" w:right="0"/>
              <w:jc w:val="left"/>
              <w:rPr>
                <w:rFonts w:ascii="Arial" w:hAnsi="Arial" w:cs="Arial" w:eastAsia="Arial" w:hint="default"/>
                <w:sz w:val="21"/>
                <w:szCs w:val="21"/>
              </w:rPr>
            </w:pPr>
            <w:r>
              <w:rPr>
                <w:rFonts w:ascii="Arial"/>
                <w:sz w:val="21"/>
              </w:rPr>
              <w:t>44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21"/>
                <w:szCs w:val="21"/>
              </w:rPr>
            </w:pPr>
            <w:r>
              <w:rPr>
                <w:rFonts w:ascii="Arial"/>
                <w:spacing w:val="-1"/>
                <w:sz w:val="21"/>
              </w:rPr>
              <w:t>40,000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1,440,000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7"/>
              <w:jc w:val="left"/>
              <w:rPr>
                <w:rFonts w:ascii="宋体" w:hAnsi="宋体" w:cs="宋体" w:eastAsia="宋体" w:hint="default"/>
                <w:sz w:val="21"/>
                <w:szCs w:val="21"/>
              </w:rPr>
            </w:pPr>
            <w:r>
              <w:rPr>
                <w:rFonts w:ascii="宋体" w:hAnsi="宋体" w:cs="宋体" w:eastAsia="宋体" w:hint="default"/>
                <w:sz w:val="21"/>
                <w:szCs w:val="21"/>
              </w:rPr>
              <w:t>股权激</w:t>
            </w:r>
            <w:r>
              <w:rPr>
                <w:rFonts w:ascii="宋体" w:hAnsi="宋体" w:cs="宋体" w:eastAsia="宋体" w:hint="default"/>
                <w:spacing w:val="-102"/>
                <w:sz w:val="21"/>
                <w:szCs w:val="21"/>
              </w:rPr>
              <w:t> </w:t>
            </w:r>
            <w:r>
              <w:rPr>
                <w:rFonts w:ascii="宋体" w:hAnsi="宋体" w:cs="宋体" w:eastAsia="宋体" w:hint="default"/>
                <w:sz w:val="21"/>
                <w:szCs w:val="21"/>
              </w:rPr>
              <w:t>励行权、</w:t>
            </w:r>
            <w:r>
              <w:rPr>
                <w:rFonts w:ascii="宋体" w:hAnsi="宋体" w:cs="宋体" w:eastAsia="宋体" w:hint="default"/>
                <w:w w:val="100"/>
                <w:sz w:val="21"/>
                <w:szCs w:val="21"/>
              </w:rPr>
              <w:t> </w:t>
            </w:r>
            <w:r>
              <w:rPr>
                <w:rFonts w:ascii="宋体" w:hAnsi="宋体" w:cs="宋体" w:eastAsia="宋体" w:hint="default"/>
                <w:sz w:val="21"/>
                <w:szCs w:val="21"/>
              </w:rPr>
              <w:t>二级市</w:t>
            </w:r>
            <w:r>
              <w:rPr>
                <w:rFonts w:ascii="宋体" w:hAnsi="宋体" w:cs="宋体" w:eastAsia="宋体" w:hint="default"/>
                <w:spacing w:val="-102"/>
                <w:sz w:val="21"/>
                <w:szCs w:val="21"/>
              </w:rPr>
              <w:t> </w:t>
            </w:r>
            <w:r>
              <w:rPr>
                <w:rFonts w:ascii="宋体" w:hAnsi="宋体" w:cs="宋体" w:eastAsia="宋体" w:hint="default"/>
                <w:sz w:val="21"/>
                <w:szCs w:val="21"/>
              </w:rPr>
              <w:t>场减持</w:t>
            </w: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李向南</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9"/>
              <w:jc w:val="left"/>
              <w:rPr>
                <w:rFonts w:ascii="宋体" w:hAnsi="宋体" w:cs="宋体" w:eastAsia="宋体" w:hint="default"/>
                <w:sz w:val="21"/>
                <w:szCs w:val="21"/>
              </w:rPr>
            </w:pPr>
            <w:r>
              <w:rPr>
                <w:rFonts w:ascii="宋体" w:hAnsi="宋体" w:cs="宋体" w:eastAsia="宋体" w:hint="default"/>
                <w:sz w:val="21"/>
                <w:szCs w:val="21"/>
              </w:rPr>
              <w:t>人力资源</w:t>
            </w:r>
            <w:r>
              <w:rPr>
                <w:rFonts w:ascii="宋体" w:hAnsi="宋体" w:cs="宋体" w:eastAsia="宋体" w:hint="default"/>
                <w:w w:val="100"/>
                <w:sz w:val="21"/>
                <w:szCs w:val="21"/>
              </w:rPr>
              <w:t> </w:t>
            </w:r>
            <w:r>
              <w:rPr>
                <w:rFonts w:ascii="宋体" w:hAnsi="宋体" w:cs="宋体" w:eastAsia="宋体" w:hint="default"/>
                <w:spacing w:val="-27"/>
                <w:w w:val="100"/>
                <w:sz w:val="21"/>
                <w:szCs w:val="21"/>
              </w:rPr>
              <w:t>总监（原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1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p>
            <w:pPr>
              <w:pStyle w:val="TableParagraph"/>
              <w:spacing w:line="214"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0" w:right="0"/>
              <w:jc w:val="left"/>
              <w:rPr>
                <w:rFonts w:ascii="Arial" w:hAnsi="Arial" w:cs="Arial" w:eastAsia="Arial" w:hint="default"/>
                <w:sz w:val="21"/>
                <w:szCs w:val="21"/>
              </w:rPr>
            </w:pPr>
            <w:r>
              <w:rPr>
                <w:rFonts w:ascii="Arial"/>
                <w:sz w:val="21"/>
              </w:rPr>
              <w:t>37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调任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25,000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25,000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80"/>
              <w:jc w:val="left"/>
              <w:rPr>
                <w:rFonts w:ascii="宋体" w:hAnsi="宋体" w:cs="宋体" w:eastAsia="宋体" w:hint="default"/>
                <w:sz w:val="21"/>
                <w:szCs w:val="21"/>
              </w:rPr>
            </w:pPr>
            <w:r>
              <w:rPr>
                <w:rFonts w:ascii="宋体" w:hAnsi="宋体" w:cs="宋体" w:eastAsia="宋体" w:hint="default"/>
                <w:sz w:val="21"/>
                <w:szCs w:val="21"/>
              </w:rPr>
              <w:t>股权激</w:t>
            </w:r>
            <w:r>
              <w:rPr>
                <w:rFonts w:ascii="宋体" w:hAnsi="宋体" w:cs="宋体" w:eastAsia="宋体" w:hint="default"/>
                <w:spacing w:val="-102"/>
                <w:sz w:val="21"/>
                <w:szCs w:val="21"/>
              </w:rPr>
              <w:t> </w:t>
            </w:r>
            <w:r>
              <w:rPr>
                <w:rFonts w:ascii="宋体" w:hAnsi="宋体" w:cs="宋体" w:eastAsia="宋体" w:hint="default"/>
                <w:sz w:val="21"/>
                <w:szCs w:val="21"/>
              </w:rPr>
              <w:t>励行权</w:t>
            </w: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余晴燕</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59" w:lineRule="auto" w:before="37"/>
              <w:ind w:left="23" w:right="17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董事会</w:t>
            </w:r>
            <w:r>
              <w:rPr>
                <w:rFonts w:ascii="宋体" w:hAnsi="宋体" w:cs="宋体" w:eastAsia="宋体" w:hint="default"/>
                <w:w w:val="100"/>
                <w:sz w:val="21"/>
                <w:szCs w:val="21"/>
              </w:rPr>
              <w:t> </w:t>
            </w:r>
            <w:r>
              <w:rPr>
                <w:rFonts w:ascii="宋体" w:hAnsi="宋体" w:cs="宋体" w:eastAsia="宋体" w:hint="default"/>
                <w:sz w:val="21"/>
                <w:szCs w:val="21"/>
              </w:rPr>
              <w:t>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0" w:right="0"/>
              <w:jc w:val="left"/>
              <w:rPr>
                <w:rFonts w:ascii="Arial" w:hAnsi="Arial" w:cs="Arial" w:eastAsia="Arial" w:hint="default"/>
                <w:sz w:val="21"/>
                <w:szCs w:val="21"/>
              </w:rPr>
            </w:pPr>
            <w:r>
              <w:rPr>
                <w:rFonts w:ascii="Arial"/>
                <w:sz w:val="21"/>
              </w:rPr>
              <w:t>33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105,000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二级市</w:t>
            </w:r>
            <w:r>
              <w:rPr>
                <w:rFonts w:ascii="宋体" w:hAnsi="宋体" w:cs="宋体" w:eastAsia="宋体" w:hint="default"/>
                <w:spacing w:val="-102"/>
                <w:sz w:val="21"/>
                <w:szCs w:val="21"/>
              </w:rPr>
              <w:t> </w:t>
            </w:r>
            <w:r>
              <w:rPr>
                <w:rFonts w:ascii="宋体" w:hAnsi="宋体" w:cs="宋体" w:eastAsia="宋体" w:hint="default"/>
                <w:sz w:val="21"/>
                <w:szCs w:val="21"/>
              </w:rPr>
              <w:t>场减持</w:t>
            </w:r>
          </w:p>
        </w:tc>
      </w:tr>
      <w:tr>
        <w:trPr>
          <w:trHeight w:val="71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凌雪梅</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财务总监</w:t>
            </w:r>
          </w:p>
          <w:p>
            <w:pPr>
              <w:pStyle w:val="TableParagraph"/>
              <w:spacing w:line="240" w:lineRule="auto" w:before="35"/>
              <w:ind w:left="23" w:right="0"/>
              <w:jc w:val="left"/>
              <w:rPr>
                <w:rFonts w:ascii="宋体" w:hAnsi="宋体" w:cs="宋体" w:eastAsia="宋体" w:hint="default"/>
                <w:sz w:val="21"/>
                <w:szCs w:val="21"/>
              </w:rPr>
            </w:pPr>
            <w:r>
              <w:rPr>
                <w:rFonts w:ascii="宋体" w:hAnsi="宋体" w:cs="宋体" w:eastAsia="宋体" w:hint="default"/>
                <w:sz w:val="21"/>
                <w:szCs w:val="21"/>
              </w:rPr>
              <w:t>（原）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0" w:right="0"/>
              <w:jc w:val="left"/>
              <w:rPr>
                <w:rFonts w:ascii="Arial" w:hAnsi="Arial" w:cs="Arial" w:eastAsia="Arial" w:hint="default"/>
                <w:sz w:val="21"/>
                <w:szCs w:val="21"/>
              </w:rPr>
            </w:pPr>
            <w:r>
              <w:rPr>
                <w:rFonts w:ascii="Arial"/>
                <w:sz w:val="21"/>
              </w:rPr>
              <w:t>40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邢立君</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left"/>
              <w:rPr>
                <w:rFonts w:ascii="宋体" w:hAnsi="宋体" w:cs="宋体" w:eastAsia="宋体" w:hint="default"/>
                <w:sz w:val="21"/>
                <w:szCs w:val="21"/>
              </w:rPr>
            </w:pPr>
            <w:r>
              <w:rPr>
                <w:rFonts w:ascii="宋体" w:hAnsi="宋体" w:cs="宋体" w:eastAsia="宋体" w:hint="default"/>
                <w:sz w:val="21"/>
                <w:szCs w:val="21"/>
              </w:rPr>
              <w:t>人力资源</w:t>
            </w:r>
            <w:r>
              <w:rPr>
                <w:rFonts w:ascii="宋体" w:hAnsi="宋体" w:cs="宋体" w:eastAsia="宋体" w:hint="default"/>
                <w:w w:val="100"/>
                <w:sz w:val="21"/>
                <w:szCs w:val="21"/>
              </w:rPr>
              <w:t> </w:t>
            </w:r>
            <w:r>
              <w:rPr>
                <w:rFonts w:ascii="宋体" w:hAnsi="宋体" w:cs="宋体" w:eastAsia="宋体" w:hint="default"/>
                <w:sz w:val="21"/>
                <w:szCs w:val="21"/>
              </w:rPr>
              <w:t>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60" w:right="0"/>
              <w:jc w:val="left"/>
              <w:rPr>
                <w:rFonts w:ascii="Arial" w:hAnsi="Arial" w:cs="Arial" w:eastAsia="Arial" w:hint="default"/>
                <w:sz w:val="21"/>
                <w:szCs w:val="21"/>
              </w:rPr>
            </w:pPr>
            <w:r>
              <w:rPr>
                <w:rFonts w:ascii="Arial"/>
                <w:sz w:val="21"/>
              </w:rPr>
              <w:t>43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王琰</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60" w:right="0"/>
              <w:jc w:val="left"/>
              <w:rPr>
                <w:rFonts w:ascii="Arial" w:hAnsi="Arial" w:cs="Arial" w:eastAsia="Arial" w:hint="default"/>
                <w:sz w:val="21"/>
                <w:szCs w:val="21"/>
              </w:rPr>
            </w:pPr>
            <w:r>
              <w:rPr>
                <w:rFonts w:ascii="Arial"/>
                <w:sz w:val="21"/>
              </w:rPr>
              <w:t>42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w w:val="100"/>
                <w:sz w:val="21"/>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9" w:right="0"/>
              <w:jc w:val="left"/>
              <w:rPr>
                <w:rFonts w:ascii="Arial" w:hAnsi="Arial" w:cs="Arial" w:eastAsia="Arial" w:hint="default"/>
                <w:sz w:val="21"/>
                <w:szCs w:val="21"/>
              </w:rPr>
            </w:pPr>
            <w:r>
              <w:rPr>
                <w:rFonts w:ascii="Arial"/>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Arial" w:hAnsi="Arial" w:cs="Arial" w:eastAsia="Arial" w:hint="default"/>
                <w:sz w:val="21"/>
                <w:szCs w:val="21"/>
              </w:rPr>
            </w:pPr>
            <w:r>
              <w:rPr>
                <w:rFonts w:ascii="Arial"/>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50,357,974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156,500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55,800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50,458,674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2</w:t>
      </w:r>
      <w:r>
        <w:rPr/>
        <w:t>、持有股票期权情况</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10"/>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193"/>
        <w:gridCol w:w="2211"/>
        <w:gridCol w:w="566"/>
        <w:gridCol w:w="1275"/>
        <w:gridCol w:w="1135"/>
        <w:gridCol w:w="1277"/>
        <w:gridCol w:w="1133"/>
        <w:gridCol w:w="1277"/>
      </w:tblGrid>
      <w:tr>
        <w:trPr>
          <w:trHeight w:val="1025"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69" w:right="62"/>
              <w:jc w:val="left"/>
              <w:rPr>
                <w:rFonts w:ascii="宋体" w:hAnsi="宋体" w:cs="宋体" w:eastAsia="宋体" w:hint="default"/>
                <w:sz w:val="21"/>
                <w:szCs w:val="21"/>
              </w:rPr>
            </w:pPr>
            <w:r>
              <w:rPr>
                <w:rFonts w:ascii="宋体" w:hAnsi="宋体" w:cs="宋体" w:eastAsia="宋体" w:hint="default"/>
                <w:sz w:val="21"/>
                <w:szCs w:val="21"/>
              </w:rPr>
              <w:t>任职</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1"/>
              <w:jc w:val="center"/>
              <w:rPr>
                <w:rFonts w:ascii="宋体" w:hAnsi="宋体" w:cs="宋体" w:eastAsia="宋体" w:hint="default"/>
                <w:sz w:val="21"/>
                <w:szCs w:val="21"/>
              </w:rPr>
            </w:pPr>
            <w:r>
              <w:rPr>
                <w:rFonts w:ascii="宋体" w:hAnsi="宋体" w:cs="宋体" w:eastAsia="宋体" w:hint="default"/>
                <w:sz w:val="21"/>
                <w:szCs w:val="21"/>
              </w:rPr>
              <w:t>期初持有股</w:t>
            </w:r>
            <w:r>
              <w:rPr>
                <w:rFonts w:ascii="宋体" w:hAnsi="宋体" w:cs="宋体" w:eastAsia="宋体" w:hint="default"/>
                <w:w w:val="100"/>
                <w:sz w:val="21"/>
                <w:szCs w:val="21"/>
              </w:rPr>
              <w:t> </w:t>
            </w:r>
            <w:r>
              <w:rPr>
                <w:rFonts w:ascii="宋体" w:hAnsi="宋体" w:cs="宋体" w:eastAsia="宋体" w:hint="default"/>
                <w:sz w:val="21"/>
                <w:szCs w:val="21"/>
              </w:rPr>
              <w:t>票期权数量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8" w:right="31"/>
              <w:jc w:val="both"/>
              <w:rPr>
                <w:rFonts w:ascii="宋体" w:hAnsi="宋体" w:cs="宋体" w:eastAsia="宋体" w:hint="default"/>
                <w:sz w:val="21"/>
                <w:szCs w:val="21"/>
              </w:rPr>
            </w:pPr>
            <w:r>
              <w:rPr>
                <w:rFonts w:ascii="宋体" w:hAnsi="宋体" w:cs="宋体" w:eastAsia="宋体" w:hint="default"/>
                <w:sz w:val="21"/>
                <w:szCs w:val="21"/>
              </w:rPr>
              <w:t>本期获授予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股票期权数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7" w:right="103"/>
              <w:jc w:val="both"/>
              <w:rPr>
                <w:rFonts w:ascii="宋体" w:hAnsi="宋体" w:cs="宋体" w:eastAsia="宋体" w:hint="default"/>
                <w:sz w:val="21"/>
                <w:szCs w:val="21"/>
              </w:rPr>
            </w:pPr>
            <w:r>
              <w:rPr>
                <w:rFonts w:ascii="宋体" w:hAnsi="宋体" w:cs="宋体" w:eastAsia="宋体" w:hint="default"/>
                <w:sz w:val="21"/>
                <w:szCs w:val="21"/>
              </w:rPr>
              <w:t>本期已行权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股票期权数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5" w:right="32"/>
              <w:jc w:val="both"/>
              <w:rPr>
                <w:rFonts w:ascii="宋体" w:hAnsi="宋体" w:cs="宋体" w:eastAsia="宋体" w:hint="default"/>
                <w:sz w:val="21"/>
                <w:szCs w:val="21"/>
              </w:rPr>
            </w:pPr>
            <w:r>
              <w:rPr>
                <w:rFonts w:ascii="宋体" w:hAnsi="宋体" w:cs="宋体" w:eastAsia="宋体" w:hint="default"/>
                <w:sz w:val="21"/>
                <w:szCs w:val="21"/>
              </w:rPr>
              <w:t>本期注销的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股票期权数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7" w:right="103"/>
              <w:jc w:val="center"/>
              <w:rPr>
                <w:rFonts w:ascii="宋体" w:hAnsi="宋体" w:cs="宋体" w:eastAsia="宋体" w:hint="default"/>
                <w:sz w:val="21"/>
                <w:szCs w:val="21"/>
              </w:rPr>
            </w:pPr>
            <w:r>
              <w:rPr>
                <w:rFonts w:ascii="宋体" w:hAnsi="宋体" w:cs="宋体" w:eastAsia="宋体" w:hint="default"/>
                <w:sz w:val="21"/>
                <w:szCs w:val="21"/>
              </w:rPr>
              <w:t>期末持有股</w:t>
            </w:r>
            <w:r>
              <w:rPr>
                <w:rFonts w:ascii="宋体" w:hAnsi="宋体" w:cs="宋体" w:eastAsia="宋体" w:hint="default"/>
                <w:w w:val="100"/>
                <w:sz w:val="21"/>
                <w:szCs w:val="21"/>
              </w:rPr>
              <w:t> </w:t>
            </w:r>
            <w:r>
              <w:rPr>
                <w:rFonts w:ascii="宋体" w:hAnsi="宋体" w:cs="宋体" w:eastAsia="宋体" w:hint="default"/>
                <w:sz w:val="21"/>
                <w:szCs w:val="21"/>
              </w:rPr>
              <w:t>票期权数量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（份）</w:t>
            </w:r>
          </w:p>
        </w:tc>
      </w:tr>
      <w:tr>
        <w:trPr>
          <w:trHeight w:val="40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冯显扬</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4"/>
              <w:jc w:val="center"/>
              <w:rPr>
                <w:rFonts w:ascii="宋体" w:hAnsi="宋体" w:cs="宋体" w:eastAsia="宋体" w:hint="default"/>
                <w:sz w:val="21"/>
                <w:szCs w:val="21"/>
              </w:rPr>
            </w:pPr>
            <w:r>
              <w:rPr>
                <w:rFonts w:ascii="宋体" w:hAnsi="宋体" w:cs="宋体" w:eastAsia="宋体" w:hint="default"/>
                <w:sz w:val="21"/>
                <w:szCs w:val="21"/>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50,000</w:t>
            </w:r>
          </w:p>
        </w:tc>
      </w:tr>
      <w:tr>
        <w:trPr>
          <w:trHeight w:val="401"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黄福林</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质量总监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center"/>
              <w:rPr>
                <w:rFonts w:ascii="宋体" w:hAnsi="宋体" w:cs="宋体" w:eastAsia="宋体" w:hint="default"/>
                <w:sz w:val="21"/>
                <w:szCs w:val="21"/>
              </w:rPr>
            </w:pPr>
            <w:r>
              <w:rPr>
                <w:rFonts w:ascii="宋体" w:hAnsi="宋体" w:cs="宋体" w:eastAsia="宋体" w:hint="default"/>
                <w:sz w:val="21"/>
                <w:szCs w:val="21"/>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207,500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62,250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41,500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166,000</w:t>
            </w:r>
          </w:p>
        </w:tc>
      </w:tr>
      <w:tr>
        <w:trPr>
          <w:trHeight w:val="40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朱相宇</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4"/>
              <w:jc w:val="center"/>
              <w:rPr>
                <w:rFonts w:ascii="宋体" w:hAnsi="宋体" w:cs="宋体" w:eastAsia="宋体" w:hint="default"/>
                <w:sz w:val="21"/>
                <w:szCs w:val="21"/>
              </w:rPr>
            </w:pPr>
            <w:r>
              <w:rPr>
                <w:rFonts w:ascii="宋体" w:hAnsi="宋体" w:cs="宋体" w:eastAsia="宋体" w:hint="default"/>
                <w:sz w:val="21"/>
                <w:szCs w:val="21"/>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40,000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60,000</w:t>
            </w:r>
          </w:p>
        </w:tc>
      </w:tr>
      <w:tr>
        <w:trPr>
          <w:trHeight w:val="401"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余晴燕</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宋体" w:hAnsi="宋体" w:cs="宋体" w:eastAsia="宋体" w:hint="default"/>
                <w:sz w:val="21"/>
                <w:szCs w:val="21"/>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center"/>
              <w:rPr>
                <w:rFonts w:ascii="宋体" w:hAnsi="宋体" w:cs="宋体" w:eastAsia="宋体" w:hint="default"/>
                <w:sz w:val="21"/>
                <w:szCs w:val="21"/>
              </w:rPr>
            </w:pPr>
            <w:r>
              <w:rPr>
                <w:rFonts w:ascii="宋体" w:hAnsi="宋体" w:cs="宋体" w:eastAsia="宋体" w:hint="default"/>
                <w:sz w:val="21"/>
                <w:szCs w:val="21"/>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40,000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25,000</w:t>
            </w:r>
          </w:p>
        </w:tc>
      </w:tr>
      <w:tr>
        <w:trPr>
          <w:trHeight w:val="40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李向南</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人力资源总监（原）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4"/>
              <w:jc w:val="center"/>
              <w:rPr>
                <w:rFonts w:ascii="宋体" w:hAnsi="宋体" w:cs="宋体" w:eastAsia="宋体" w:hint="default"/>
                <w:sz w:val="21"/>
                <w:szCs w:val="21"/>
              </w:rPr>
            </w:pPr>
            <w:r>
              <w:rPr>
                <w:rFonts w:ascii="宋体" w:hAnsi="宋体" w:cs="宋体" w:eastAsia="宋体" w:hint="default"/>
                <w:sz w:val="21"/>
                <w:szCs w:val="21"/>
              </w:rPr>
              <w:t>调任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75,000</w:t>
            </w:r>
          </w:p>
        </w:tc>
      </w:tr>
      <w:tr>
        <w:trPr>
          <w:trHeight w:val="401"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凌雪梅</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财务总监（原）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center"/>
              <w:rPr>
                <w:rFonts w:ascii="宋体" w:hAnsi="宋体" w:cs="宋体" w:eastAsia="宋体" w:hint="default"/>
                <w:sz w:val="21"/>
                <w:szCs w:val="21"/>
              </w:rPr>
            </w:pPr>
            <w:r>
              <w:rPr>
                <w:rFonts w:ascii="宋体" w:hAnsi="宋体" w:cs="宋体" w:eastAsia="宋体" w:hint="default"/>
                <w:sz w:val="21"/>
                <w:szCs w:val="21"/>
              </w:rPr>
              <w:t>离任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90,000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r>
      <w:tr>
        <w:trPr>
          <w:trHeight w:val="40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637,500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167,250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156,500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376,000</w:t>
            </w:r>
          </w:p>
        </w:tc>
      </w:tr>
    </w:tbl>
    <w:p>
      <w:pPr>
        <w:spacing w:line="240" w:lineRule="auto" w:before="7"/>
        <w:rPr>
          <w:rFonts w:ascii="宋体" w:hAnsi="宋体" w:cs="宋体" w:eastAsia="宋体" w:hint="default"/>
          <w:sz w:val="10"/>
          <w:szCs w:val="10"/>
        </w:rPr>
      </w:pPr>
    </w:p>
    <w:p>
      <w:pPr>
        <w:pStyle w:val="Heading3"/>
        <w:spacing w:line="240" w:lineRule="auto" w:before="26"/>
        <w:ind w:right="0"/>
        <w:jc w:val="left"/>
        <w:rPr>
          <w:b w:val="0"/>
          <w:bCs w:val="0"/>
        </w:rPr>
      </w:pPr>
      <w:r>
        <w:rPr/>
        <w:t>二、任职情况</w:t>
      </w:r>
      <w:r>
        <w:rPr>
          <w:b w:val="0"/>
          <w:bCs w:val="0"/>
        </w:rPr>
      </w:r>
    </w:p>
    <w:p>
      <w:pPr>
        <w:pStyle w:val="BodyText"/>
        <w:spacing w:line="338" w:lineRule="auto" w:before="154"/>
        <w:ind w:left="633" w:right="0" w:hanging="481"/>
        <w:jc w:val="left"/>
      </w:pPr>
      <w:r>
        <w:rPr/>
        <w:t>公司现任董事、监事、高级管理人员最近</w:t>
      </w:r>
      <w:r>
        <w:rPr>
          <w:spacing w:val="-59"/>
        </w:rPr>
        <w:t> </w:t>
      </w:r>
      <w:r>
        <w:rPr>
          <w:rFonts w:ascii="Arial" w:hAnsi="Arial" w:cs="Arial" w:eastAsia="Arial" w:hint="default"/>
        </w:rPr>
        <w:t>5</w:t>
      </w:r>
      <w:r>
        <w:rPr>
          <w:rFonts w:ascii="Arial" w:hAnsi="Arial" w:cs="Arial" w:eastAsia="Arial" w:hint="default"/>
          <w:spacing w:val="-6"/>
        </w:rPr>
        <w:t> </w:t>
      </w:r>
      <w:r>
        <w:rPr/>
        <w:t>年的主要工作经历 </w:t>
      </w:r>
      <w:r>
        <w:rPr>
          <w:spacing w:val="-3"/>
        </w:rPr>
        <w:t>邵学先生，中国国籍，</w:t>
      </w:r>
      <w:r>
        <w:rPr>
          <w:rFonts w:ascii="Arial" w:hAnsi="Arial" w:cs="Arial" w:eastAsia="Arial" w:hint="default"/>
          <w:spacing w:val="-3"/>
        </w:rPr>
        <w:t>1961</w:t>
      </w:r>
      <w:r>
        <w:rPr>
          <w:spacing w:val="-3"/>
        </w:rPr>
        <w:t>年</w:t>
      </w:r>
      <w:r>
        <w:rPr>
          <w:rFonts w:ascii="Arial" w:hAnsi="Arial" w:cs="Arial" w:eastAsia="Arial" w:hint="default"/>
          <w:spacing w:val="-3"/>
        </w:rPr>
        <w:t>12</w:t>
      </w:r>
      <w:r>
        <w:rPr>
          <w:spacing w:val="-3"/>
        </w:rPr>
        <w:t>月出生，硕士学位，工程师职称。自</w:t>
      </w:r>
      <w:r>
        <w:rPr>
          <w:rFonts w:ascii="Arial" w:hAnsi="Arial" w:cs="Arial" w:eastAsia="Arial" w:hint="default"/>
          <w:spacing w:val="-3"/>
        </w:rPr>
        <w:t>2001</w:t>
      </w:r>
      <w:r>
        <w:rPr>
          <w:spacing w:val="-3"/>
        </w:rPr>
        <w:t>年起任公司总</w:t>
      </w:r>
    </w:p>
    <w:p>
      <w:pPr>
        <w:pStyle w:val="BodyText"/>
        <w:spacing w:line="296" w:lineRule="exact"/>
        <w:ind w:right="0"/>
        <w:jc w:val="left"/>
      </w:pPr>
      <w:r>
        <w:rPr/>
        <w:t>经理，</w:t>
      </w:r>
      <w:r>
        <w:rPr>
          <w:rFonts w:ascii="Arial" w:hAnsi="Arial" w:cs="Arial" w:eastAsia="Arial" w:hint="default"/>
        </w:rPr>
        <w:t>2003</w:t>
      </w:r>
      <w:r>
        <w:rPr/>
        <w:t>年至今任公司董事长、总经理，目前还兼任亿信华辰、广州华宇、大连华宇董事</w:t>
      </w:r>
    </w:p>
    <w:p>
      <w:pPr>
        <w:pStyle w:val="BodyText"/>
        <w:spacing w:line="357" w:lineRule="auto" w:before="74"/>
        <w:ind w:left="633" w:right="0" w:hanging="481"/>
        <w:jc w:val="left"/>
      </w:pPr>
      <w:r>
        <w:rPr/>
        <w:t>长，华宇信码董事长，华宇信息董事长、总经理。 赵晓明先生，中国国籍，</w:t>
      </w:r>
      <w:r>
        <w:rPr>
          <w:rFonts w:ascii="Arial" w:hAnsi="Arial" w:cs="Arial" w:eastAsia="Arial" w:hint="default"/>
        </w:rPr>
        <w:t>1971</w:t>
      </w:r>
      <w:r>
        <w:rPr/>
        <w:t>年</w:t>
      </w:r>
      <w:r>
        <w:rPr>
          <w:rFonts w:ascii="Arial" w:hAnsi="Arial" w:cs="Arial" w:eastAsia="Arial" w:hint="default"/>
        </w:rPr>
        <w:t>9</w:t>
      </w:r>
      <w:r>
        <w:rPr/>
        <w:t>月出生，硕士学位，工程师职称。</w:t>
      </w:r>
      <w:r>
        <w:rPr>
          <w:rFonts w:ascii="Arial" w:hAnsi="Arial" w:cs="Arial" w:eastAsia="Arial" w:hint="default"/>
        </w:rPr>
        <w:t>2007</w:t>
      </w:r>
      <w:r>
        <w:rPr/>
        <w:t>年至今任公司</w:t>
      </w:r>
    </w:p>
    <w:p>
      <w:pPr>
        <w:pStyle w:val="BodyText"/>
        <w:spacing w:line="258" w:lineRule="exact"/>
        <w:ind w:right="0"/>
        <w:jc w:val="left"/>
      </w:pPr>
      <w:r>
        <w:rPr/>
        <w:t>董事、副总经理，目前还兼任亿信华辰、华宇信码董事。</w:t>
      </w:r>
    </w:p>
    <w:p>
      <w:pPr>
        <w:spacing w:after="0" w:line="258" w:lineRule="exact"/>
        <w:jc w:val="left"/>
        <w:sectPr>
          <w:pgSz w:w="11910" w:h="16840"/>
          <w:pgMar w:header="884" w:footer="1010" w:top="1140" w:bottom="1200" w:left="980" w:right="300"/>
        </w:sectPr>
      </w:pPr>
    </w:p>
    <w:p>
      <w:pPr>
        <w:spacing w:line="240" w:lineRule="auto" w:before="1"/>
        <w:rPr>
          <w:rFonts w:ascii="宋体" w:hAnsi="宋体" w:cs="宋体" w:eastAsia="宋体" w:hint="default"/>
          <w:sz w:val="20"/>
          <w:szCs w:val="20"/>
        </w:rPr>
      </w:pPr>
    </w:p>
    <w:p>
      <w:pPr>
        <w:pStyle w:val="BodyText"/>
        <w:spacing w:line="292" w:lineRule="auto" w:before="26"/>
        <w:ind w:right="151" w:firstLine="480"/>
        <w:jc w:val="both"/>
      </w:pPr>
      <w:r>
        <w:rPr/>
        <w:t>吕宾先生，中国国籍，</w:t>
      </w:r>
      <w:r>
        <w:rPr>
          <w:rFonts w:ascii="Arial" w:hAnsi="Arial" w:cs="Arial" w:eastAsia="Arial" w:hint="default"/>
        </w:rPr>
        <w:t>1973</w:t>
      </w:r>
      <w:r>
        <w:rPr/>
        <w:t>年</w:t>
      </w:r>
      <w:r>
        <w:rPr>
          <w:rFonts w:ascii="Arial" w:hAnsi="Arial" w:cs="Arial" w:eastAsia="Arial" w:hint="default"/>
        </w:rPr>
        <w:t>6</w:t>
      </w:r>
      <w:r>
        <w:rPr/>
        <w:t>月出生，硕士学位，高级工程师职称。</w:t>
      </w:r>
      <w:r>
        <w:rPr>
          <w:rFonts w:ascii="Arial" w:hAnsi="Arial" w:cs="Arial" w:eastAsia="Arial" w:hint="default"/>
        </w:rPr>
        <w:t>2006</w:t>
      </w:r>
      <w:r>
        <w:rPr/>
        <w:t>年至今任公 </w:t>
      </w:r>
      <w:r>
        <w:rPr>
          <w:spacing w:val="-1"/>
        </w:rPr>
        <w:t>司董事、副总经理，</w:t>
      </w:r>
      <w:r>
        <w:rPr>
          <w:rFonts w:ascii="Arial" w:hAnsi="Arial" w:cs="Arial" w:eastAsia="Arial" w:hint="default"/>
          <w:spacing w:val="-1"/>
        </w:rPr>
        <w:t>2006</w:t>
      </w:r>
      <w:r>
        <w:rPr>
          <w:spacing w:val="-1"/>
        </w:rPr>
        <w:t>年起任亿信华辰董事、总经理，目前还兼任华宇信码董事、北京宗</w:t>
      </w:r>
      <w:r>
        <w:rPr>
          <w:spacing w:val="-99"/>
        </w:rPr>
        <w:t> </w:t>
      </w:r>
      <w:r>
        <w:rPr>
          <w:spacing w:val="-99"/>
        </w:rPr>
      </w:r>
      <w:r>
        <w:rPr/>
        <w:t>弈远承文化传播责任有限公司董事长。</w:t>
      </w:r>
    </w:p>
    <w:p>
      <w:pPr>
        <w:pStyle w:val="BodyText"/>
        <w:spacing w:line="292" w:lineRule="auto" w:before="101"/>
        <w:ind w:right="155" w:firstLine="480"/>
        <w:jc w:val="both"/>
      </w:pPr>
      <w:r>
        <w:rPr/>
        <w:t>任涛先生，中国国籍，</w:t>
      </w:r>
      <w:r>
        <w:rPr>
          <w:rFonts w:ascii="Arial" w:hAnsi="Arial" w:cs="Arial" w:eastAsia="Arial" w:hint="default"/>
        </w:rPr>
        <w:t>1974</w:t>
      </w:r>
      <w:r>
        <w:rPr/>
        <w:t>年</w:t>
      </w:r>
      <w:r>
        <w:rPr>
          <w:rFonts w:ascii="Arial" w:hAnsi="Arial" w:cs="Arial" w:eastAsia="Arial" w:hint="default"/>
        </w:rPr>
        <w:t>1</w:t>
      </w:r>
      <w:r>
        <w:rPr/>
        <w:t>月出生，学士学位。</w:t>
      </w:r>
      <w:r>
        <w:rPr>
          <w:rFonts w:ascii="Arial" w:hAnsi="Arial" w:cs="Arial" w:eastAsia="Arial" w:hint="default"/>
        </w:rPr>
        <w:t>2007</w:t>
      </w:r>
      <w:r>
        <w:rPr/>
        <w:t>年至今任广州华宇董事、总经 理，</w:t>
      </w:r>
      <w:r>
        <w:rPr>
          <w:rFonts w:ascii="Arial" w:hAnsi="Arial" w:cs="Arial" w:eastAsia="Arial" w:hint="default"/>
        </w:rPr>
        <w:t>2009</w:t>
      </w:r>
      <w:r>
        <w:rPr/>
        <w:t>年至今任公司董事。</w:t>
      </w:r>
    </w:p>
    <w:p>
      <w:pPr>
        <w:pStyle w:val="BodyText"/>
        <w:spacing w:line="292" w:lineRule="auto" w:before="78"/>
        <w:ind w:right="155" w:firstLine="480"/>
        <w:jc w:val="both"/>
      </w:pPr>
      <w:r>
        <w:rPr/>
        <w:t>赵小凡先生，中国国籍，</w:t>
      </w:r>
      <w:r>
        <w:rPr>
          <w:rFonts w:ascii="Arial" w:hAnsi="Arial" w:cs="Arial" w:eastAsia="Arial" w:hint="default"/>
        </w:rPr>
        <w:t>1950</w:t>
      </w:r>
      <w:r>
        <w:rPr/>
        <w:t>年</w:t>
      </w:r>
      <w:r>
        <w:rPr>
          <w:rFonts w:ascii="Arial" w:hAnsi="Arial" w:cs="Arial" w:eastAsia="Arial" w:hint="default"/>
        </w:rPr>
        <w:t>2</w:t>
      </w:r>
      <w:r>
        <w:rPr/>
        <w:t>月出生，硕士学位。</w:t>
      </w:r>
      <w:r>
        <w:rPr>
          <w:rFonts w:ascii="Arial" w:hAnsi="Arial" w:cs="Arial" w:eastAsia="Arial" w:hint="default"/>
        </w:rPr>
        <w:t>2010</w:t>
      </w:r>
      <w:r>
        <w:rPr/>
        <w:t>年至今任本公司独立董事。 目前担任中国软件行业协会理事长。</w:t>
      </w:r>
    </w:p>
    <w:p>
      <w:pPr>
        <w:pStyle w:val="BodyText"/>
        <w:spacing w:line="307" w:lineRule="auto" w:before="98"/>
        <w:ind w:right="154" w:firstLine="480"/>
        <w:jc w:val="both"/>
      </w:pPr>
      <w:r>
        <w:rPr/>
        <w:t>施天涛先生，中国国籍，</w:t>
      </w:r>
      <w:r>
        <w:rPr>
          <w:rFonts w:ascii="Arial" w:hAnsi="Arial" w:cs="Arial" w:eastAsia="Arial" w:hint="default"/>
        </w:rPr>
        <w:t>1962</w:t>
      </w:r>
      <w:r>
        <w:rPr/>
        <w:t>年</w:t>
      </w:r>
      <w:r>
        <w:rPr>
          <w:rFonts w:ascii="Arial" w:hAnsi="Arial" w:cs="Arial" w:eastAsia="Arial" w:hint="default"/>
        </w:rPr>
        <w:t>1</w:t>
      </w:r>
      <w:r>
        <w:rPr/>
        <w:t>月出生，博士学历，教授、博士生导师。</w:t>
      </w:r>
      <w:r>
        <w:rPr>
          <w:rFonts w:ascii="Arial" w:hAnsi="Arial" w:cs="Arial" w:eastAsia="Arial" w:hint="default"/>
        </w:rPr>
        <w:t>2009</w:t>
      </w:r>
      <w:r>
        <w:rPr/>
        <w:t>年至今 担任公司独立董事。曾担任清华大学法学院副院长、北京仲裁委员会仲裁员、安信信托投资</w:t>
      </w:r>
      <w:r>
        <w:rPr>
          <w:spacing w:val="-90"/>
        </w:rPr>
        <w:t> </w:t>
      </w:r>
      <w:r>
        <w:rPr>
          <w:spacing w:val="-90"/>
        </w:rPr>
      </w:r>
      <w:r>
        <w:rPr/>
        <w:t>股份有限公司独立董事。目前兼任清华大学法学院学术委员会副主任，清华大学金融与法律</w:t>
      </w:r>
      <w:r>
        <w:rPr>
          <w:spacing w:val="-91"/>
        </w:rPr>
        <w:t> </w:t>
      </w:r>
      <w:r>
        <w:rPr>
          <w:spacing w:val="-91"/>
        </w:rPr>
      </w:r>
      <w:r>
        <w:rPr/>
        <w:t>研究中心主任、中国证券法学研究会副会长。并任融通基金管理有限公司独立董事、汉邦高</w:t>
      </w:r>
      <w:r>
        <w:rPr>
          <w:spacing w:val="-91"/>
        </w:rPr>
        <w:t> </w:t>
      </w:r>
      <w:r>
        <w:rPr>
          <w:spacing w:val="-91"/>
        </w:rPr>
      </w:r>
      <w:r>
        <w:rPr/>
        <w:t>科数字技术股份有限公司独立董事、华致酒行连锁管理股份有限公司独立董事、海尔股份有</w:t>
      </w:r>
      <w:r>
        <w:rPr>
          <w:spacing w:val="-87"/>
        </w:rPr>
        <w:t> </w:t>
      </w:r>
      <w:r>
        <w:rPr>
          <w:spacing w:val="-87"/>
        </w:rPr>
      </w:r>
      <w:r>
        <w:rPr/>
        <w:t>限公司独立董事。</w:t>
      </w:r>
    </w:p>
    <w:p>
      <w:pPr>
        <w:pStyle w:val="BodyText"/>
        <w:spacing w:line="300" w:lineRule="auto" w:before="86"/>
        <w:ind w:right="147" w:firstLine="480"/>
        <w:jc w:val="both"/>
      </w:pPr>
      <w:r>
        <w:rPr/>
        <w:t>王琨女士，中国国籍，</w:t>
      </w:r>
      <w:r>
        <w:rPr>
          <w:rFonts w:ascii="Arial" w:hAnsi="Arial" w:cs="Arial" w:eastAsia="Arial" w:hint="default"/>
        </w:rPr>
        <w:t>1976</w:t>
      </w:r>
      <w:r>
        <w:rPr/>
        <w:t>年</w:t>
      </w:r>
      <w:r>
        <w:rPr>
          <w:rFonts w:ascii="Arial" w:hAnsi="Arial" w:cs="Arial" w:eastAsia="Arial" w:hint="default"/>
        </w:rPr>
        <w:t>4</w:t>
      </w:r>
      <w:r>
        <w:rPr/>
        <w:t>月出生，博士学历，清华大学经济管理学院院长助理，</w:t>
      </w:r>
      <w:r>
        <w:rPr>
          <w:spacing w:val="2"/>
        </w:rPr>
        <w:t> </w:t>
      </w:r>
      <w:r>
        <w:rPr>
          <w:spacing w:val="-1"/>
        </w:rPr>
        <w:t>会计系副教授。</w:t>
      </w:r>
      <w:r>
        <w:rPr>
          <w:rFonts w:ascii="Arial" w:hAnsi="Arial" w:cs="Arial" w:eastAsia="Arial" w:hint="default"/>
          <w:spacing w:val="-1"/>
        </w:rPr>
        <w:t>2013</w:t>
      </w:r>
      <w:r>
        <w:rPr>
          <w:spacing w:val="-1"/>
        </w:rPr>
        <w:t>年起担任公司独立董事，目前任职于清华大学经济管理学院，并任江阴</w:t>
      </w:r>
      <w:r>
        <w:rPr>
          <w:spacing w:val="-98"/>
        </w:rPr>
        <w:t> </w:t>
      </w:r>
      <w:r>
        <w:rPr>
          <w:spacing w:val="-98"/>
        </w:rPr>
      </w:r>
      <w:r>
        <w:rPr/>
        <w:t>东辰机械制造股份有限公司独立董事、石家庄优创科技股份有限公司独立董事、积成电子股</w:t>
      </w:r>
      <w:r>
        <w:rPr>
          <w:spacing w:val="-89"/>
        </w:rPr>
        <w:t> </w:t>
      </w:r>
      <w:r>
        <w:rPr>
          <w:spacing w:val="-89"/>
        </w:rPr>
      </w:r>
      <w:r>
        <w:rPr/>
        <w:t>份有限公司独立董事、江铃汽车股份有限公司独立董事。</w:t>
      </w:r>
    </w:p>
    <w:p>
      <w:pPr>
        <w:spacing w:line="357" w:lineRule="auto" w:before="94"/>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公司监事会共三名监事，具体情况如下：</w:t>
      </w:r>
      <w:r>
        <w:rPr>
          <w:rFonts w:ascii="宋体" w:hAnsi="宋体" w:cs="宋体" w:eastAsia="宋体" w:hint="default"/>
          <w:b/>
          <w:bCs/>
          <w:w w:val="99"/>
          <w:sz w:val="24"/>
          <w:szCs w:val="24"/>
        </w:rPr>
        <w:t> </w:t>
      </w:r>
      <w:r>
        <w:rPr>
          <w:rFonts w:ascii="宋体" w:hAnsi="宋体" w:cs="宋体" w:eastAsia="宋体" w:hint="default"/>
          <w:spacing w:val="-1"/>
          <w:sz w:val="24"/>
          <w:szCs w:val="24"/>
        </w:rPr>
        <w:t>王静女士，中国国籍，</w:t>
      </w:r>
      <w:r>
        <w:rPr>
          <w:rFonts w:ascii="Arial" w:hAnsi="Arial" w:cs="Arial" w:eastAsia="Arial" w:hint="default"/>
          <w:spacing w:val="-1"/>
          <w:sz w:val="24"/>
          <w:szCs w:val="24"/>
        </w:rPr>
        <w:t>1975</w:t>
      </w:r>
      <w:r>
        <w:rPr>
          <w:rFonts w:ascii="宋体" w:hAnsi="宋体" w:cs="宋体" w:eastAsia="宋体" w:hint="default"/>
          <w:spacing w:val="-1"/>
          <w:sz w:val="24"/>
          <w:szCs w:val="24"/>
        </w:rPr>
        <w:t>年</w:t>
      </w:r>
      <w:r>
        <w:rPr>
          <w:rFonts w:ascii="Arial" w:hAnsi="Arial" w:cs="Arial" w:eastAsia="Arial" w:hint="default"/>
          <w:spacing w:val="-1"/>
          <w:sz w:val="24"/>
          <w:szCs w:val="24"/>
        </w:rPr>
        <w:t>9</w:t>
      </w:r>
      <w:r>
        <w:rPr>
          <w:rFonts w:ascii="宋体" w:hAnsi="宋体" w:cs="宋体" w:eastAsia="宋体" w:hint="default"/>
          <w:spacing w:val="-1"/>
          <w:sz w:val="24"/>
          <w:szCs w:val="24"/>
        </w:rPr>
        <w:t>月出生，硕士学位，</w:t>
      </w:r>
      <w:r>
        <w:rPr>
          <w:rFonts w:ascii="Arial" w:hAnsi="Arial" w:cs="Arial" w:eastAsia="Arial" w:hint="default"/>
          <w:spacing w:val="-1"/>
          <w:sz w:val="24"/>
          <w:szCs w:val="24"/>
        </w:rPr>
        <w:t>2003</w:t>
      </w:r>
      <w:r>
        <w:rPr>
          <w:rFonts w:ascii="宋体" w:hAnsi="宋体" w:cs="宋体" w:eastAsia="宋体" w:hint="default"/>
          <w:spacing w:val="-1"/>
          <w:sz w:val="24"/>
          <w:szCs w:val="24"/>
        </w:rPr>
        <w:t>年获工程师职称。</w:t>
      </w:r>
      <w:r>
        <w:rPr>
          <w:rFonts w:ascii="Arial" w:hAnsi="Arial" w:cs="Arial" w:eastAsia="Arial" w:hint="default"/>
          <w:spacing w:val="-1"/>
          <w:sz w:val="24"/>
          <w:szCs w:val="24"/>
        </w:rPr>
        <w:t>2006</w:t>
      </w:r>
      <w:r>
        <w:rPr>
          <w:rFonts w:ascii="宋体" w:hAnsi="宋体" w:cs="宋体" w:eastAsia="宋体" w:hint="default"/>
          <w:spacing w:val="-1"/>
          <w:sz w:val="24"/>
          <w:szCs w:val="24"/>
        </w:rPr>
        <w:t>年至今</w:t>
      </w:r>
    </w:p>
    <w:p>
      <w:pPr>
        <w:pStyle w:val="BodyText"/>
        <w:spacing w:line="257" w:lineRule="exact"/>
        <w:ind w:right="0"/>
        <w:jc w:val="left"/>
      </w:pPr>
      <w:r>
        <w:rPr/>
        <w:t>任公司监事会主席，目前还担任公司质量经理。</w:t>
      </w:r>
    </w:p>
    <w:p>
      <w:pPr>
        <w:pStyle w:val="BodyText"/>
        <w:spacing w:line="292" w:lineRule="auto" w:before="154"/>
        <w:ind w:right="151" w:firstLine="480"/>
        <w:jc w:val="both"/>
      </w:pPr>
      <w:r>
        <w:rPr>
          <w:spacing w:val="-3"/>
        </w:rPr>
        <w:t>杨辉先生，中国国籍，</w:t>
      </w:r>
      <w:r>
        <w:rPr>
          <w:rFonts w:ascii="Arial" w:hAnsi="Arial" w:cs="Arial" w:eastAsia="Arial" w:hint="default"/>
          <w:spacing w:val="-3"/>
        </w:rPr>
        <w:t>1972</w:t>
      </w:r>
      <w:r>
        <w:rPr>
          <w:spacing w:val="-3"/>
        </w:rPr>
        <w:t>年</w:t>
      </w:r>
      <w:r>
        <w:rPr>
          <w:rFonts w:ascii="Arial" w:hAnsi="Arial" w:cs="Arial" w:eastAsia="Arial" w:hint="default"/>
          <w:spacing w:val="-3"/>
        </w:rPr>
        <w:t>12</w:t>
      </w:r>
      <w:r>
        <w:rPr>
          <w:spacing w:val="-3"/>
        </w:rPr>
        <w:t>月出生，硕士学位。</w:t>
      </w:r>
      <w:r>
        <w:rPr>
          <w:rFonts w:ascii="Arial" w:hAnsi="Arial" w:cs="Arial" w:eastAsia="Arial" w:hint="default"/>
          <w:spacing w:val="-3"/>
        </w:rPr>
        <w:t>2009</w:t>
      </w:r>
      <w:r>
        <w:rPr>
          <w:spacing w:val="-3"/>
        </w:rPr>
        <w:t>年至今任公司监事，目前还担</w:t>
      </w:r>
      <w:r>
        <w:rPr/>
        <w:t> 任北京淡水河投资有限公司董事长、河北联冠电极股份有限公司董事。</w:t>
      </w:r>
    </w:p>
    <w:p>
      <w:pPr>
        <w:pStyle w:val="BodyText"/>
        <w:spacing w:line="295" w:lineRule="auto" w:before="101"/>
        <w:ind w:right="155" w:firstLine="480"/>
        <w:jc w:val="both"/>
      </w:pPr>
      <w:r>
        <w:rPr/>
        <w:t>樊娇娇女士，中国国籍，</w:t>
      </w:r>
      <w:r>
        <w:rPr>
          <w:rFonts w:ascii="Arial" w:hAnsi="Arial" w:cs="Arial" w:eastAsia="Arial" w:hint="default"/>
        </w:rPr>
        <w:t>1982</w:t>
      </w:r>
      <w:r>
        <w:rPr/>
        <w:t>年</w:t>
      </w:r>
      <w:r>
        <w:rPr>
          <w:rFonts w:ascii="Arial" w:hAnsi="Arial" w:cs="Arial" w:eastAsia="Arial" w:hint="default"/>
        </w:rPr>
        <w:t>8</w:t>
      </w:r>
      <w:r>
        <w:rPr/>
        <w:t>月出生，学士学位。</w:t>
      </w:r>
      <w:r>
        <w:rPr>
          <w:rFonts w:ascii="Arial" w:hAnsi="Arial" w:cs="Arial" w:eastAsia="Arial" w:hint="default"/>
        </w:rPr>
        <w:t>2007</w:t>
      </w:r>
      <w:r>
        <w:rPr/>
        <w:t>年至今任公司监事，目前还 担任公司党支部书记、行政部经理。</w:t>
      </w:r>
    </w:p>
    <w:p>
      <w:pPr>
        <w:pStyle w:val="BodyText"/>
        <w:spacing w:line="357" w:lineRule="auto" w:before="96"/>
        <w:ind w:left="633" w:right="0"/>
        <w:jc w:val="left"/>
      </w:pPr>
      <w:r>
        <w:rPr>
          <w:rFonts w:ascii="宋体" w:hAnsi="宋体" w:cs="宋体" w:eastAsia="宋体" w:hint="default"/>
          <w:b/>
          <w:bCs/>
        </w:rPr>
        <w:t>高级管理人员具体情况如下：</w:t>
      </w:r>
      <w:r>
        <w:rPr>
          <w:rFonts w:ascii="宋体" w:hAnsi="宋体" w:cs="宋体" w:eastAsia="宋体" w:hint="default"/>
          <w:b/>
          <w:bCs/>
          <w:w w:val="99"/>
        </w:rPr>
        <w:t> </w:t>
      </w:r>
      <w:r>
        <w:rPr/>
        <w:t>高级管理人员邵学先生、赵晓明先生、吕宾先生简历见上述董事会成员介绍。 冯显扬先生，中国国籍，</w:t>
      </w:r>
      <w:r>
        <w:rPr>
          <w:rFonts w:ascii="Arial" w:hAnsi="Arial" w:cs="Arial" w:eastAsia="Arial" w:hint="default"/>
        </w:rPr>
        <w:t>1973</w:t>
      </w:r>
      <w:r>
        <w:rPr/>
        <w:t>年</w:t>
      </w:r>
      <w:r>
        <w:rPr>
          <w:rFonts w:ascii="Arial" w:hAnsi="Arial" w:cs="Arial" w:eastAsia="Arial" w:hint="default"/>
        </w:rPr>
        <w:t>1</w:t>
      </w:r>
      <w:r>
        <w:rPr/>
        <w:t>月出生，硕士学位。自</w:t>
      </w:r>
      <w:r>
        <w:rPr>
          <w:rFonts w:ascii="Arial" w:hAnsi="Arial" w:cs="Arial" w:eastAsia="Arial" w:hint="default"/>
        </w:rPr>
        <w:t>2006</w:t>
      </w:r>
      <w:r>
        <w:rPr/>
        <w:t>年起任公司副总经理，目</w:t>
      </w:r>
    </w:p>
    <w:p>
      <w:pPr>
        <w:pStyle w:val="BodyText"/>
        <w:spacing w:line="257" w:lineRule="exact"/>
        <w:ind w:right="0"/>
        <w:jc w:val="left"/>
      </w:pPr>
      <w:r>
        <w:rPr/>
        <w:t>前还兼任华宇信息、广州华宇董事。</w:t>
      </w:r>
    </w:p>
    <w:p>
      <w:pPr>
        <w:pStyle w:val="BodyText"/>
        <w:spacing w:line="292" w:lineRule="auto" w:before="154"/>
        <w:ind w:right="155" w:firstLine="480"/>
        <w:jc w:val="both"/>
      </w:pPr>
      <w:r>
        <w:rPr/>
        <w:t>黄福林先生，中国国籍，</w:t>
      </w:r>
      <w:r>
        <w:rPr>
          <w:rFonts w:ascii="Arial" w:hAnsi="Arial" w:cs="Arial" w:eastAsia="Arial" w:hint="default"/>
        </w:rPr>
        <w:t>1974</w:t>
      </w:r>
      <w:r>
        <w:rPr/>
        <w:t>年</w:t>
      </w:r>
      <w:r>
        <w:rPr>
          <w:rFonts w:ascii="Arial" w:hAnsi="Arial" w:cs="Arial" w:eastAsia="Arial" w:hint="default"/>
        </w:rPr>
        <w:t>1</w:t>
      </w:r>
      <w:r>
        <w:rPr/>
        <w:t>月出生，硕士学位。</w:t>
      </w:r>
      <w:r>
        <w:rPr>
          <w:rFonts w:ascii="Arial" w:hAnsi="Arial" w:cs="Arial" w:eastAsia="Arial" w:hint="default"/>
        </w:rPr>
        <w:t>2009</w:t>
      </w:r>
      <w:r>
        <w:rPr/>
        <w:t>年至今任公司副总经理、质 量总监，目前还兼任华宇信息、华宇金信董事长，大连华宇董事、总经理。</w:t>
      </w:r>
    </w:p>
    <w:p>
      <w:pPr>
        <w:pStyle w:val="BodyText"/>
        <w:spacing w:line="292" w:lineRule="auto" w:before="101"/>
        <w:ind w:right="150" w:firstLine="480"/>
        <w:jc w:val="both"/>
      </w:pPr>
      <w:r>
        <w:rPr>
          <w:spacing w:val="-1"/>
        </w:rPr>
        <w:t>朱相宇先生，中国国籍，</w:t>
      </w:r>
      <w:r>
        <w:rPr>
          <w:rFonts w:ascii="Arial" w:hAnsi="Arial" w:cs="Arial" w:eastAsia="Arial" w:hint="default"/>
          <w:spacing w:val="-1"/>
        </w:rPr>
        <w:t>1970</w:t>
      </w:r>
      <w:r>
        <w:rPr>
          <w:spacing w:val="-1"/>
        </w:rPr>
        <w:t>年</w:t>
      </w:r>
      <w:r>
        <w:rPr>
          <w:rFonts w:ascii="Arial" w:hAnsi="Arial" w:cs="Arial" w:eastAsia="Arial" w:hint="default"/>
          <w:spacing w:val="-1"/>
        </w:rPr>
        <w:t>1</w:t>
      </w:r>
      <w:r>
        <w:rPr>
          <w:spacing w:val="-1"/>
        </w:rPr>
        <w:t>月出生，学士学位。</w:t>
      </w:r>
      <w:r>
        <w:rPr>
          <w:rFonts w:ascii="Arial" w:hAnsi="Arial" w:cs="Arial" w:eastAsia="Arial" w:hint="default"/>
          <w:spacing w:val="-1"/>
        </w:rPr>
        <w:t>2009</w:t>
      </w:r>
      <w:r>
        <w:rPr>
          <w:spacing w:val="-1"/>
        </w:rPr>
        <w:t>年起任公司销售总监，</w:t>
      </w:r>
      <w:r>
        <w:rPr>
          <w:rFonts w:ascii="Arial" w:hAnsi="Arial" w:cs="Arial" w:eastAsia="Arial" w:hint="default"/>
          <w:spacing w:val="-1"/>
        </w:rPr>
        <w:t>2011</w:t>
      </w:r>
      <w:r>
        <w:rPr>
          <w:rFonts w:ascii="Arial" w:hAnsi="Arial" w:cs="Arial" w:eastAsia="Arial" w:hint="default"/>
          <w:w w:val="99"/>
        </w:rPr>
        <w:t> </w:t>
      </w:r>
      <w:r>
        <w:rPr/>
        <w:t>年至今任公司副总经理，目前还兼任华宇信息、广州华宇董事。</w:t>
      </w:r>
    </w:p>
    <w:p>
      <w:pPr>
        <w:spacing w:after="0" w:line="292" w:lineRule="auto"/>
        <w:jc w:val="both"/>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240" w:lineRule="auto" w:before="26"/>
        <w:ind w:left="633" w:right="0"/>
        <w:jc w:val="left"/>
      </w:pPr>
      <w:r>
        <w:rPr/>
        <w:t>余晴燕女士，中国国籍，</w:t>
      </w:r>
      <w:r>
        <w:rPr>
          <w:rFonts w:ascii="Arial" w:hAnsi="Arial" w:cs="Arial" w:eastAsia="Arial" w:hint="default"/>
        </w:rPr>
        <w:t>1981</w:t>
      </w:r>
      <w:r>
        <w:rPr/>
        <w:t>年</w:t>
      </w:r>
      <w:r>
        <w:rPr>
          <w:rFonts w:ascii="Arial" w:hAnsi="Arial" w:cs="Arial" w:eastAsia="Arial" w:hint="default"/>
        </w:rPr>
        <w:t>9</w:t>
      </w:r>
      <w:r>
        <w:rPr/>
        <w:t>月出生，硕士学位。</w:t>
      </w:r>
      <w:r>
        <w:rPr>
          <w:rFonts w:ascii="Arial" w:hAnsi="Arial" w:cs="Arial" w:eastAsia="Arial" w:hint="default"/>
        </w:rPr>
        <w:t>2006</w:t>
      </w:r>
      <w:r>
        <w:rPr/>
        <w:t>年至今任公司董事会秘书，</w:t>
      </w:r>
    </w:p>
    <w:p>
      <w:pPr>
        <w:pStyle w:val="BodyText"/>
        <w:spacing w:line="338" w:lineRule="auto" w:before="74"/>
        <w:ind w:left="633" w:right="0" w:hanging="481"/>
        <w:jc w:val="left"/>
      </w:pPr>
      <w:r>
        <w:rPr>
          <w:rFonts w:ascii="Arial" w:hAnsi="Arial" w:cs="Arial" w:eastAsia="Arial" w:hint="default"/>
        </w:rPr>
        <w:t>2014</w:t>
      </w:r>
      <w:r>
        <w:rPr/>
        <w:t>年起任公司副总经理，目前还兼任广州华宇董事。 邢立君女士，中国国籍，</w:t>
      </w:r>
      <w:r>
        <w:rPr>
          <w:rFonts w:ascii="Arial" w:hAnsi="Arial" w:cs="Arial" w:eastAsia="Arial" w:hint="default"/>
        </w:rPr>
        <w:t>1972</w:t>
      </w:r>
      <w:r>
        <w:rPr/>
        <w:t>年</w:t>
      </w:r>
      <w:r>
        <w:rPr>
          <w:rFonts w:ascii="Arial" w:hAnsi="Arial" w:cs="Arial" w:eastAsia="Arial" w:hint="default"/>
        </w:rPr>
        <w:t>1</w:t>
      </w:r>
      <w:r>
        <w:rPr/>
        <w:t>月出生，硕士学位。</w:t>
      </w:r>
      <w:r>
        <w:rPr>
          <w:rFonts w:ascii="Arial" w:hAnsi="Arial" w:cs="Arial" w:eastAsia="Arial" w:hint="default"/>
        </w:rPr>
        <w:t>2014</w:t>
      </w:r>
      <w:r>
        <w:rPr/>
        <w:t>年起任公司人力资源总监，</w:t>
      </w:r>
    </w:p>
    <w:p>
      <w:pPr>
        <w:pStyle w:val="BodyText"/>
        <w:spacing w:line="279" w:lineRule="exact"/>
        <w:ind w:right="0"/>
        <w:jc w:val="left"/>
      </w:pPr>
      <w:r>
        <w:rPr/>
        <w:t>目前还兼任大连华宇董事。</w:t>
      </w:r>
    </w:p>
    <w:p>
      <w:pPr>
        <w:pStyle w:val="BodyText"/>
        <w:spacing w:line="292" w:lineRule="auto" w:before="154"/>
        <w:ind w:right="0" w:firstLine="480"/>
        <w:jc w:val="left"/>
      </w:pPr>
      <w:r>
        <w:rPr/>
        <w:t>王琰先生，中国国籍，</w:t>
      </w:r>
      <w:r>
        <w:rPr>
          <w:rFonts w:ascii="Arial" w:hAnsi="Arial" w:cs="Arial" w:eastAsia="Arial" w:hint="default"/>
        </w:rPr>
        <w:t>1972</w:t>
      </w:r>
      <w:r>
        <w:rPr/>
        <w:t>年</w:t>
      </w:r>
      <w:r>
        <w:rPr>
          <w:rFonts w:ascii="Arial" w:hAnsi="Arial" w:cs="Arial" w:eastAsia="Arial" w:hint="default"/>
        </w:rPr>
        <w:t>4</w:t>
      </w:r>
      <w:r>
        <w:rPr/>
        <w:t>月出生，本科学历，中国注册会计师非执业会员。</w:t>
      </w:r>
      <w:r>
        <w:rPr>
          <w:rFonts w:ascii="Arial" w:hAnsi="Arial" w:cs="Arial" w:eastAsia="Arial" w:hint="default"/>
        </w:rPr>
        <w:t>2014</w:t>
      </w:r>
      <w:r>
        <w:rPr>
          <w:rFonts w:ascii="Arial" w:hAnsi="Arial" w:cs="Arial" w:eastAsia="Arial" w:hint="default"/>
          <w:w w:val="99"/>
        </w:rPr>
        <w:t> </w:t>
      </w:r>
      <w:r>
        <w:rPr/>
        <w:t>年起任公司财务总监，目前还兼任捷视飞通监事。</w:t>
      </w:r>
    </w:p>
    <w:p>
      <w:pPr>
        <w:pStyle w:val="Heading3"/>
        <w:spacing w:line="240" w:lineRule="auto" w:before="98"/>
        <w:ind w:right="0"/>
        <w:jc w:val="left"/>
        <w:rPr>
          <w:b w:val="0"/>
          <w:bCs w:val="0"/>
        </w:rPr>
      </w:pPr>
      <w:r>
        <w:rPr/>
        <w:t>在股东单位任职情况</w:t>
      </w:r>
      <w:r>
        <w:rPr>
          <w:b w:val="0"/>
          <w:bCs w:val="0"/>
        </w:rPr>
      </w:r>
    </w:p>
    <w:p>
      <w:pPr>
        <w:spacing w:line="338" w:lineRule="auto" w:before="154"/>
        <w:ind w:left="152" w:right="7605"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在其他单位任职情况</w:t>
      </w:r>
      <w:r>
        <w:rPr>
          <w:rFonts w:ascii="宋体" w:hAnsi="宋体" w:cs="宋体" w:eastAsia="宋体" w:hint="default"/>
          <w:sz w:val="24"/>
          <w:szCs w:val="24"/>
        </w:rPr>
      </w:r>
    </w:p>
    <w:p>
      <w:pPr>
        <w:pStyle w:val="BodyText"/>
        <w:spacing w:line="240" w:lineRule="auto" w:before="55"/>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702"/>
        <w:gridCol w:w="3543"/>
        <w:gridCol w:w="2696"/>
        <w:gridCol w:w="1560"/>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3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46" w:right="33"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中国软件行业协会</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理事长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施天涛</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华致酒行连锁管理股份有限公司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施天涛</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海尔股份有限公司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施天涛</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融通基金管理有限公司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施天涛</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汉邦高科数字技术股份有限公司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江铃汽车股份有限公司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江阴东辰机械制造股份有限公司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石家庄优创科技股份有限公司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积成电子股份有限公司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杨辉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北京淡水河投资有限公司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杨辉</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河北联冠电极股份有限公司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北京宗弈远承文化传播责任有限公司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7302"/>
      </w:tblGrid>
      <w:tr>
        <w:trPr>
          <w:trHeight w:val="102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pacing w:val="-11"/>
                <w:sz w:val="21"/>
                <w:szCs w:val="21"/>
              </w:rPr>
              <w:t>董事、监事、高级管理人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员报酬的决策程序</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20"/>
              <w:jc w:val="both"/>
              <w:rPr>
                <w:rFonts w:ascii="宋体" w:hAnsi="宋体" w:cs="宋体" w:eastAsia="宋体" w:hint="default"/>
                <w:sz w:val="21"/>
                <w:szCs w:val="21"/>
              </w:rPr>
            </w:pPr>
            <w:r>
              <w:rPr>
                <w:rFonts w:ascii="宋体" w:hAnsi="宋体" w:cs="宋体" w:eastAsia="宋体" w:hint="default"/>
                <w:spacing w:val="-2"/>
                <w:sz w:val="21"/>
                <w:szCs w:val="21"/>
              </w:rPr>
              <w:t>公司高管薪酬由董事会薪酬与考核委员会审核，并提交董事会审议决定。公司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董事薪酬、独立董事津贴由董事会审议，并提交股东大会审议决定。公司监事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不在公司领取薪酬。公司内部董事、监事按公司担任的职务发放薪酬。</w:t>
            </w:r>
          </w:p>
        </w:tc>
      </w:tr>
      <w:tr>
        <w:trPr>
          <w:trHeight w:val="357" w:hRule="exact"/>
        </w:trPr>
        <w:tc>
          <w:tcPr>
            <w:tcW w:w="2268" w:type="dxa"/>
            <w:tcBorders>
              <w:top w:val="single" w:sz="4" w:space="0" w:color="000000"/>
              <w:left w:val="single" w:sz="4" w:space="0" w:color="000000"/>
              <w:bottom w:val="nil" w:sz="6" w:space="0" w:color="auto"/>
              <w:right w:val="single" w:sz="4" w:space="0" w:color="000000"/>
            </w:tcBorders>
          </w:tcPr>
          <w:p>
            <w:pPr/>
          </w:p>
        </w:tc>
        <w:tc>
          <w:tcPr>
            <w:tcW w:w="73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公司高级管理人员的薪酬与其承担的责任、风险和经营业绩挂钩。薪酬主要考</w:t>
            </w:r>
          </w:p>
        </w:tc>
      </w:tr>
      <w:tr>
        <w:trPr>
          <w:trHeight w:val="312"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董事、监事、高级管理人</w:t>
            </w:r>
          </w:p>
        </w:tc>
        <w:tc>
          <w:tcPr>
            <w:tcW w:w="7302"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虑职位、责任、能力、市场薪资行情等因素确定，按月发放。公司将根据经营</w:t>
            </w:r>
          </w:p>
        </w:tc>
      </w:tr>
      <w:tr>
        <w:trPr>
          <w:trHeight w:val="311"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7302"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业绩情况，在恰当的时候对高级管理人员实施股权激励计划，具体激励计划根</w:t>
            </w:r>
          </w:p>
        </w:tc>
      </w:tr>
      <w:tr>
        <w:trPr>
          <w:trHeight w:val="357" w:hRule="exact"/>
        </w:trPr>
        <w:tc>
          <w:tcPr>
            <w:tcW w:w="2268" w:type="dxa"/>
            <w:tcBorders>
              <w:top w:val="nil" w:sz="6" w:space="0" w:color="auto"/>
              <w:left w:val="single" w:sz="4" w:space="0" w:color="000000"/>
              <w:bottom w:val="single" w:sz="4" w:space="0" w:color="000000"/>
              <w:right w:val="single" w:sz="4" w:space="0" w:color="000000"/>
            </w:tcBorders>
          </w:tcPr>
          <w:p>
            <w:pPr/>
          </w:p>
        </w:tc>
        <w:tc>
          <w:tcPr>
            <w:tcW w:w="730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据其承担责任、风险和绩效决定。</w:t>
            </w:r>
          </w:p>
        </w:tc>
      </w:tr>
      <w:tr>
        <w:trPr>
          <w:trHeight w:val="36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1"/>
                <w:w w:val="100"/>
                <w:sz w:val="21"/>
                <w:szCs w:val="21"/>
              </w:rPr>
              <w:t>、</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和</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理人</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截至 </w:t>
            </w:r>
            <w:r>
              <w:rPr>
                <w:rFonts w:ascii="Arial" w:hAnsi="Arial" w:cs="Arial" w:eastAsia="Arial" w:hint="default"/>
                <w:sz w:val="21"/>
                <w:szCs w:val="21"/>
              </w:rPr>
              <w:t>2014  </w:t>
            </w:r>
            <w:r>
              <w:rPr>
                <w:rFonts w:ascii="宋体" w:hAnsi="宋体" w:cs="宋体" w:eastAsia="宋体" w:hint="default"/>
                <w:sz w:val="21"/>
                <w:szCs w:val="21"/>
              </w:rPr>
              <w:t>年 </w:t>
            </w:r>
            <w:r>
              <w:rPr>
                <w:rFonts w:ascii="Arial" w:hAnsi="Arial" w:cs="Arial" w:eastAsia="Arial" w:hint="default"/>
                <w:sz w:val="21"/>
                <w:szCs w:val="21"/>
              </w:rPr>
              <w:t>12  </w:t>
            </w:r>
            <w:r>
              <w:rPr>
                <w:rFonts w:ascii="宋体" w:hAnsi="宋体" w:cs="宋体" w:eastAsia="宋体" w:hint="default"/>
                <w:sz w:val="21"/>
                <w:szCs w:val="21"/>
              </w:rPr>
              <w:t>月 </w:t>
            </w:r>
            <w:r>
              <w:rPr>
                <w:rFonts w:ascii="Arial" w:hAnsi="Arial" w:cs="Arial" w:eastAsia="Arial" w:hint="default"/>
                <w:sz w:val="21"/>
                <w:szCs w:val="21"/>
              </w:rPr>
              <w:t>31  </w:t>
            </w:r>
            <w:r>
              <w:rPr>
                <w:rFonts w:ascii="宋体" w:hAnsi="宋体" w:cs="宋体" w:eastAsia="宋体" w:hint="default"/>
                <w:sz w:val="21"/>
                <w:szCs w:val="21"/>
              </w:rPr>
              <w:t>日，公司现任董事、监事、高级管理人员共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pacing w:val="-3"/>
                <w:sz w:val="21"/>
                <w:szCs w:val="21"/>
              </w:rPr>
              <w:t>人，</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84" w:footer="1010" w:top="1140" w:bottom="1200" w:left="980" w:right="980"/>
        </w:sectPr>
      </w:pPr>
    </w:p>
    <w:p>
      <w:pPr>
        <w:spacing w:line="240" w:lineRule="auto" w:before="1"/>
        <w:rPr>
          <w:rFonts w:ascii="宋体" w:hAnsi="宋体" w:cs="宋体" w:eastAsia="宋体" w:hint="default"/>
          <w:b/>
          <w:bCs/>
          <w:sz w:val="21"/>
          <w:szCs w:val="21"/>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0;top:10;width:2259;height:2" coordorigin="10,10" coordsize="2259,2">
              <v:shape style="position:absolute;left:10;top:10;width:2259;height:2" coordorigin="10,10" coordsize="2259,0" path="m10,10l2268,10e" filled="false" stroked="true" strokeweight=".48pt" strokecolor="#000000">
                <v:path arrowok="t"/>
              </v:shape>
            </v:group>
            <v:group style="position:absolute;left:2278;top:10;width:7293;height:2" coordorigin="2278,10" coordsize="7293,2">
              <v:shape style="position:absolute;left:2278;top:10;width:7293;height:2" coordorigin="2278,10" coordsize="7293,0" path="m2278,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2259;height:2" coordorigin="10,372" coordsize="2259,2">
              <v:shape style="position:absolute;left:10;top:372;width:2259;height:2" coordorigin="10,372" coordsize="2259,0" path="m10,372l2268,372e" filled="false" stroked="true" strokeweight=".48pt" strokecolor="#000000">
                <v:path arrowok="t"/>
              </v:shape>
            </v:group>
            <v:group style="position:absolute;left:2273;top:5;width:2;height:373" coordorigin="2273,5" coordsize="2,373">
              <v:shape style="position:absolute;left:2273;top:5;width:2;height:373" coordorigin="2273,5" coordsize="0,373" path="m2273,5l2273,377e" filled="false" stroked="true" strokeweight=".48pt" strokecolor="#000000">
                <v:path arrowok="t"/>
              </v:shape>
            </v:group>
            <v:group style="position:absolute;left:2278;top:372;width:7293;height:2" coordorigin="2278,372" coordsize="7293,2">
              <v:shape style="position:absolute;left:2278;top:372;width:7293;height:2" coordorigin="2278,372" coordsize="7293,0" path="m2278,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5;top:10;width:2269;height:363" type="#_x0000_t202" filled="false" stroked="false">
                <v:textbox inset="0,0,0,0">
                  <w:txbxContent>
                    <w:p>
                      <w:pPr>
                        <w:spacing w:line="268" w:lineRule="exact"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xbxContent>
                </v:textbox>
                <w10:wrap type="none"/>
              </v:shape>
              <v:shape style="position:absolute;left:2273;top:10;width:7303;height:363" type="#_x0000_t202" filled="false" stroked="false">
                <v:textbox inset="0,0,0,0">
                  <w:txbxContent>
                    <w:p>
                      <w:pPr>
                        <w:spacing w:line="283" w:lineRule="exact"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离任 </w:t>
                      </w:r>
                      <w:r>
                        <w:rPr>
                          <w:rFonts w:ascii="Arial" w:hAnsi="Arial" w:cs="Arial" w:eastAsia="Arial" w:hint="default"/>
                          <w:sz w:val="21"/>
                          <w:szCs w:val="21"/>
                        </w:rPr>
                        <w:t>2 </w:t>
                      </w:r>
                      <w:r>
                        <w:rPr>
                          <w:rFonts w:ascii="宋体" w:hAnsi="宋体" w:cs="宋体" w:eastAsia="宋体" w:hint="default"/>
                          <w:sz w:val="21"/>
                          <w:szCs w:val="21"/>
                        </w:rPr>
                        <w:t>人，</w:t>
                      </w:r>
                      <w:r>
                        <w:rPr>
                          <w:rFonts w:ascii="Arial" w:hAnsi="Arial" w:cs="Arial" w:eastAsia="Arial" w:hint="default"/>
                          <w:sz w:val="21"/>
                          <w:szCs w:val="21"/>
                        </w:rPr>
                        <w:t>2014 </w:t>
                      </w:r>
                      <w:r>
                        <w:rPr>
                          <w:rFonts w:ascii="宋体" w:hAnsi="宋体" w:cs="宋体" w:eastAsia="宋体" w:hint="default"/>
                          <w:sz w:val="21"/>
                          <w:szCs w:val="21"/>
                        </w:rPr>
                        <w:t>年实际支付 </w:t>
                      </w:r>
                      <w:r>
                        <w:rPr>
                          <w:rFonts w:ascii="Arial" w:hAnsi="Arial" w:cs="Arial" w:eastAsia="Arial" w:hint="default"/>
                          <w:sz w:val="21"/>
                          <w:szCs w:val="21"/>
                        </w:rPr>
                        <w:t>322.22</w:t>
                      </w:r>
                      <w:r>
                        <w:rPr>
                          <w:rFonts w:ascii="Arial" w:hAnsi="Arial" w:cs="Arial" w:eastAsia="Arial" w:hint="default"/>
                          <w:spacing w:val="30"/>
                          <w:sz w:val="21"/>
                          <w:szCs w:val="21"/>
                        </w:rPr>
                        <w:t> </w:t>
                      </w:r>
                      <w:r>
                        <w:rPr>
                          <w:rFonts w:ascii="宋体" w:hAnsi="宋体" w:cs="宋体" w:eastAsia="宋体" w:hint="default"/>
                          <w:sz w:val="21"/>
                          <w:szCs w:val="21"/>
                        </w:rPr>
                        <w:t>万元。</w:t>
                      </w:r>
                    </w:p>
                  </w:txbxContent>
                </v:textbox>
                <w10:wrap type="none"/>
              </v:shape>
            </v:group>
          </v:group>
        </w:pict>
      </w:r>
      <w:r>
        <w:rPr>
          <w:rFonts w:ascii="宋体" w:hAnsi="宋体" w:cs="宋体" w:eastAsia="宋体" w:hint="default"/>
          <w:position w:val="-7"/>
          <w:sz w:val="20"/>
          <w:szCs w:val="20"/>
        </w:rPr>
      </w:r>
    </w:p>
    <w:p>
      <w:pPr>
        <w:spacing w:after="0" w:line="382" w:lineRule="exact"/>
        <w:rPr>
          <w:rFonts w:ascii="宋体" w:hAnsi="宋体" w:cs="宋体" w:eastAsia="宋体" w:hint="default"/>
          <w:sz w:val="20"/>
          <w:szCs w:val="20"/>
        </w:rPr>
        <w:sectPr>
          <w:footerReference w:type="default" r:id="rId32"/>
          <w:pgSz w:w="11910" w:h="16840"/>
          <w:pgMar w:footer="1010" w:header="884" w:top="1140" w:bottom="1200" w:left="980" w:right="980"/>
        </w:sectPr>
      </w:pPr>
    </w:p>
    <w:p>
      <w:pPr>
        <w:pStyle w:val="BodyText"/>
        <w:spacing w:line="310" w:lineRule="exact"/>
        <w:ind w:right="-20"/>
        <w:jc w:val="left"/>
      </w:pPr>
      <w:r>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100" w:bottom="1200" w:left="980" w:right="980"/>
          <w:cols w:num="2" w:equalWidth="0">
            <w:col w:w="5433" w:space="3307"/>
            <w:col w:w="1210"/>
          </w:cols>
        </w:sectPr>
      </w:pP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196"/>
        <w:gridCol w:w="1498"/>
        <w:gridCol w:w="895"/>
        <w:gridCol w:w="912"/>
        <w:gridCol w:w="1136"/>
        <w:gridCol w:w="1541"/>
        <w:gridCol w:w="1196"/>
        <w:gridCol w:w="1195"/>
      </w:tblGrid>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51" w:right="24" w:hanging="420"/>
              <w:jc w:val="left"/>
              <w:rPr>
                <w:rFonts w:ascii="宋体" w:hAnsi="宋体" w:cs="宋体" w:eastAsia="宋体" w:hint="default"/>
                <w:sz w:val="21"/>
                <w:szCs w:val="21"/>
              </w:rPr>
            </w:pPr>
            <w:r>
              <w:rPr>
                <w:rFonts w:ascii="宋体" w:hAnsi="宋体" w:cs="宋体" w:eastAsia="宋体" w:hint="default"/>
                <w:sz w:val="21"/>
                <w:szCs w:val="21"/>
              </w:rPr>
              <w:t>从公司获得的报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酬总额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7" w:right="63"/>
              <w:jc w:val="center"/>
              <w:rPr>
                <w:rFonts w:ascii="宋体" w:hAnsi="宋体" w:cs="宋体" w:eastAsia="宋体" w:hint="default"/>
                <w:sz w:val="21"/>
                <w:szCs w:val="21"/>
              </w:rPr>
            </w:pPr>
            <w:r>
              <w:rPr>
                <w:rFonts w:ascii="宋体" w:hAnsi="宋体" w:cs="宋体" w:eastAsia="宋体" w:hint="default"/>
                <w:sz w:val="21"/>
                <w:szCs w:val="21"/>
              </w:rPr>
              <w:t>从股东单位</w:t>
            </w:r>
            <w:r>
              <w:rPr>
                <w:rFonts w:ascii="宋体" w:hAnsi="宋体" w:cs="宋体" w:eastAsia="宋体" w:hint="default"/>
                <w:w w:val="100"/>
                <w:sz w:val="21"/>
                <w:szCs w:val="21"/>
              </w:rPr>
              <w:t> </w:t>
            </w:r>
            <w:r>
              <w:rPr>
                <w:rFonts w:ascii="宋体" w:hAnsi="宋体" w:cs="宋体" w:eastAsia="宋体" w:hint="default"/>
                <w:sz w:val="21"/>
                <w:szCs w:val="21"/>
              </w:rPr>
              <w:t>获得的报酬</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报告期末实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际所得报酬</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邵学</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Arial" w:hAnsi="Arial" w:cs="Arial" w:eastAsia="Arial" w:hint="default"/>
                <w:sz w:val="21"/>
                <w:szCs w:val="21"/>
              </w:rPr>
              <w:t>/</w:t>
            </w:r>
            <w:r>
              <w:rPr>
                <w:rFonts w:ascii="宋体" w:hAnsi="宋体" w:cs="宋体" w:eastAsia="宋体" w:hint="default"/>
                <w:sz w:val="21"/>
                <w:szCs w:val="21"/>
              </w:rPr>
              <w:t>总经理</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27.84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27.84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副总经理</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24.84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副总经理</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25.44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25.44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任涛</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Arial" w:hAnsi="Arial" w:cs="Arial" w:eastAsia="Arial" w:hint="default"/>
                <w:sz w:val="21"/>
                <w:szCs w:val="21"/>
              </w:rPr>
            </w:pPr>
            <w:r>
              <w:rPr>
                <w:rFonts w:ascii="Arial"/>
                <w:sz w:val="21"/>
              </w:rPr>
              <w:t>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21.45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21.45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施天涛</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7.14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7.14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7.14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7.14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7.14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王静</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12.84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杨辉</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樊娇娇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12.24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冯显扬</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24.84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24.84</w:t>
            </w:r>
          </w:p>
        </w:tc>
      </w:tr>
      <w:tr>
        <w:trPr>
          <w:trHeight w:val="7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黄福林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3" w:right="0"/>
              <w:jc w:val="left"/>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40" w:lineRule="auto" w:before="75"/>
              <w:ind w:left="29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质量总监</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Arial" w:hAnsi="Arial" w:cs="Arial" w:eastAsia="Arial" w:hint="default"/>
                <w:sz w:val="21"/>
                <w:szCs w:val="21"/>
              </w:rPr>
            </w:pPr>
            <w:r>
              <w:rPr>
                <w:rFonts w:ascii="Arial"/>
                <w:sz w:val="21"/>
              </w:rPr>
              <w:t>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24.84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朱相宇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26.64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26.64</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李向南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人力资源总监</w:t>
            </w:r>
          </w:p>
          <w:p>
            <w:pPr>
              <w:pStyle w:val="TableParagraph"/>
              <w:spacing w:line="240" w:lineRule="auto" w:before="34"/>
              <w:ind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原</w:t>
            </w:r>
            <w:r>
              <w:rPr>
                <w:rFonts w:ascii="Arial" w:hAnsi="Arial" w:cs="Arial" w:eastAsia="Arial" w:hint="default"/>
                <w:sz w:val="21"/>
                <w:szCs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center"/>
              <w:rPr>
                <w:rFonts w:ascii="Arial" w:hAnsi="Arial" w:cs="Arial" w:eastAsia="Arial" w:hint="default"/>
                <w:sz w:val="21"/>
                <w:szCs w:val="21"/>
              </w:rPr>
            </w:pPr>
            <w:r>
              <w:rPr>
                <w:rFonts w:ascii="Arial"/>
                <w:sz w:val="21"/>
              </w:rPr>
              <w:t>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调任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19.92</w:t>
            </w:r>
          </w:p>
        </w:tc>
      </w:tr>
      <w:tr>
        <w:trPr>
          <w:trHeight w:val="7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余晴燕</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40" w:lineRule="auto" w:before="78"/>
              <w:ind w:left="1" w:right="0"/>
              <w:jc w:val="center"/>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董事会秘书</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Arial" w:hAnsi="Arial" w:cs="Arial" w:eastAsia="Arial" w:hint="default"/>
                <w:sz w:val="21"/>
                <w:szCs w:val="21"/>
              </w:rPr>
            </w:pPr>
            <w:r>
              <w:rPr>
                <w:rFonts w:ascii="Arial"/>
                <w:sz w:val="21"/>
              </w:rPr>
              <w:t>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20.64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20.64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凌雪梅</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5"/>
              <w:jc w:val="center"/>
              <w:rPr>
                <w:rFonts w:ascii="宋体" w:hAnsi="宋体" w:cs="宋体" w:eastAsia="宋体" w:hint="default"/>
                <w:sz w:val="21"/>
                <w:szCs w:val="21"/>
              </w:rPr>
            </w:pPr>
            <w:r>
              <w:rPr>
                <w:rFonts w:ascii="宋体" w:hAnsi="宋体" w:cs="宋体" w:eastAsia="宋体" w:hint="default"/>
                <w:spacing w:val="-2"/>
                <w:sz w:val="21"/>
                <w:szCs w:val="21"/>
              </w:rPr>
              <w:t>财务总监（原）</w:t>
            </w:r>
            <w:r>
              <w:rPr>
                <w:rFonts w:ascii="宋体" w:hAnsi="宋体" w:cs="宋体" w:eastAsia="宋体" w:hint="default"/>
                <w:sz w:val="21"/>
                <w:szCs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19.32</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王琰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20.55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20.55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邢立君</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人力资源总监</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z w:val="21"/>
              </w:rPr>
              <w:t>322.22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z w:val="21"/>
              </w:rPr>
              <w:t>322.22</w:t>
            </w:r>
          </w:p>
        </w:tc>
      </w:tr>
    </w:tbl>
    <w:p>
      <w:pPr>
        <w:pStyle w:val="BodyText"/>
        <w:spacing w:line="240" w:lineRule="auto"/>
        <w:ind w:right="0"/>
        <w:jc w:val="left"/>
      </w:pPr>
      <w:r>
        <w:rPr/>
        <w:t>公司董事、监事、高级管理人员报告期内被授予的股权激励情况</w:t>
      </w:r>
    </w:p>
    <w:p>
      <w:pPr>
        <w:pStyle w:val="BodyText"/>
        <w:spacing w:line="240" w:lineRule="auto" w:before="38"/>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7"/>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066"/>
        <w:gridCol w:w="1202"/>
        <w:gridCol w:w="925"/>
        <w:gridCol w:w="1063"/>
        <w:gridCol w:w="1061"/>
        <w:gridCol w:w="1063"/>
        <w:gridCol w:w="1063"/>
        <w:gridCol w:w="1064"/>
        <w:gridCol w:w="1063"/>
      </w:tblGrid>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86"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35" w:right="34"/>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可行权的</w:t>
            </w:r>
            <w:r>
              <w:rPr>
                <w:rFonts w:ascii="宋体" w:hAnsi="宋体" w:cs="宋体" w:eastAsia="宋体" w:hint="default"/>
                <w:w w:val="100"/>
                <w:sz w:val="21"/>
                <w:szCs w:val="21"/>
              </w:rPr>
              <w:t> </w:t>
            </w:r>
            <w:r>
              <w:rPr>
                <w:rFonts w:ascii="宋体" w:hAnsi="宋体" w:cs="宋体" w:eastAsia="宋体" w:hint="default"/>
                <w:sz w:val="21"/>
                <w:szCs w:val="21"/>
              </w:rPr>
              <w:t>期权股数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107" w:right="101"/>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已行权的</w:t>
            </w:r>
            <w:r>
              <w:rPr>
                <w:rFonts w:ascii="宋体" w:hAnsi="宋体" w:cs="宋体" w:eastAsia="宋体" w:hint="default"/>
                <w:w w:val="100"/>
                <w:sz w:val="21"/>
                <w:szCs w:val="21"/>
              </w:rPr>
              <w:t> </w:t>
            </w:r>
            <w:r>
              <w:rPr>
                <w:rFonts w:ascii="宋体" w:hAnsi="宋体" w:cs="宋体" w:eastAsia="宋体" w:hint="default"/>
                <w:sz w:val="21"/>
                <w:szCs w:val="21"/>
              </w:rPr>
              <w:t>期权股数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30"/>
              <w:ind w:left="79" w:right="69" w:hanging="2"/>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已行权期</w:t>
            </w:r>
            <w:r>
              <w:rPr>
                <w:rFonts w:ascii="宋体" w:hAnsi="宋体" w:cs="宋体" w:eastAsia="宋体" w:hint="default"/>
                <w:w w:val="100"/>
                <w:sz w:val="21"/>
                <w:szCs w:val="21"/>
              </w:rPr>
              <w:t> </w:t>
            </w:r>
            <w:r>
              <w:rPr>
                <w:rFonts w:ascii="宋体" w:hAnsi="宋体" w:cs="宋体" w:eastAsia="宋体" w:hint="default"/>
                <w:sz w:val="21"/>
                <w:szCs w:val="21"/>
              </w:rPr>
              <w:t>限的行权</w:t>
            </w:r>
            <w:r>
              <w:rPr>
                <w:rFonts w:ascii="宋体" w:hAnsi="宋体" w:cs="宋体" w:eastAsia="宋体" w:hint="default"/>
                <w:w w:val="100"/>
                <w:sz w:val="21"/>
                <w:szCs w:val="21"/>
              </w:rPr>
              <w:t> </w:t>
            </w:r>
            <w:r>
              <w:rPr>
                <w:rFonts w:ascii="宋体" w:hAnsi="宋体" w:cs="宋体" w:eastAsia="宋体" w:hint="default"/>
                <w:sz w:val="21"/>
                <w:szCs w:val="21"/>
              </w:rPr>
              <w:t>价格（元</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6" w:right="14" w:firstLine="84"/>
              <w:jc w:val="both"/>
              <w:rPr>
                <w:rFonts w:ascii="宋体" w:hAnsi="宋体" w:cs="宋体" w:eastAsia="宋体" w:hint="default"/>
                <w:sz w:val="21"/>
                <w:szCs w:val="21"/>
              </w:rPr>
            </w:pPr>
            <w:r>
              <w:rPr>
                <w:rFonts w:ascii="宋体" w:hAnsi="宋体" w:cs="宋体" w:eastAsia="宋体" w:hint="default"/>
                <w:sz w:val="21"/>
                <w:szCs w:val="21"/>
              </w:rPr>
              <w:t>报告期末</w:t>
            </w:r>
            <w:r>
              <w:rPr>
                <w:rFonts w:ascii="宋体" w:hAnsi="宋体" w:cs="宋体" w:eastAsia="宋体" w:hint="default"/>
                <w:w w:val="100"/>
                <w:sz w:val="21"/>
                <w:szCs w:val="21"/>
              </w:rPr>
              <w:t> </w:t>
            </w:r>
            <w:r>
              <w:rPr>
                <w:rFonts w:ascii="宋体" w:hAnsi="宋体" w:cs="宋体" w:eastAsia="宋体" w:hint="default"/>
                <w:sz w:val="21"/>
                <w:szCs w:val="21"/>
              </w:rPr>
              <w:t>持有的股</w:t>
            </w:r>
            <w:r>
              <w:rPr>
                <w:rFonts w:ascii="宋体" w:hAnsi="宋体" w:cs="宋体" w:eastAsia="宋体" w:hint="default"/>
                <w:w w:val="100"/>
                <w:sz w:val="21"/>
                <w:szCs w:val="21"/>
              </w:rPr>
              <w:t> </w:t>
            </w:r>
            <w:r>
              <w:rPr>
                <w:rFonts w:ascii="宋体" w:hAnsi="宋体" w:cs="宋体" w:eastAsia="宋体" w:hint="default"/>
                <w:spacing w:val="-10"/>
                <w:sz w:val="21"/>
                <w:szCs w:val="21"/>
              </w:rPr>
              <w:t>权市价（元</w:t>
            </w:r>
          </w:p>
          <w:p>
            <w:pPr>
              <w:pStyle w:val="TableParagraph"/>
              <w:spacing w:line="240" w:lineRule="auto" w:before="10"/>
              <w:ind w:left="290"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107" w:right="101"/>
              <w:jc w:val="center"/>
              <w:rPr>
                <w:rFonts w:ascii="宋体" w:hAnsi="宋体" w:cs="宋体" w:eastAsia="宋体" w:hint="default"/>
                <w:sz w:val="21"/>
                <w:szCs w:val="21"/>
              </w:rPr>
            </w:pPr>
            <w:r>
              <w:rPr>
                <w:rFonts w:ascii="宋体" w:hAnsi="宋体" w:cs="宋体" w:eastAsia="宋体" w:hint="default"/>
                <w:sz w:val="21"/>
                <w:szCs w:val="21"/>
              </w:rPr>
              <w:t>报告期新</w:t>
            </w:r>
            <w:r>
              <w:rPr>
                <w:rFonts w:ascii="宋体" w:hAnsi="宋体" w:cs="宋体" w:eastAsia="宋体" w:hint="default"/>
                <w:w w:val="100"/>
                <w:sz w:val="21"/>
                <w:szCs w:val="21"/>
              </w:rPr>
              <w:t> </w:t>
            </w:r>
            <w:r>
              <w:rPr>
                <w:rFonts w:ascii="宋体" w:hAnsi="宋体" w:cs="宋体" w:eastAsia="宋体" w:hint="default"/>
                <w:sz w:val="21"/>
                <w:szCs w:val="21"/>
              </w:rPr>
              <w:t>授予限制</w:t>
            </w:r>
            <w:r>
              <w:rPr>
                <w:rFonts w:ascii="宋体" w:hAnsi="宋体" w:cs="宋体" w:eastAsia="宋体" w:hint="default"/>
                <w:w w:val="100"/>
                <w:sz w:val="21"/>
                <w:szCs w:val="21"/>
              </w:rPr>
              <w:t> </w:t>
            </w:r>
            <w:r>
              <w:rPr>
                <w:rFonts w:ascii="宋体" w:hAnsi="宋体" w:cs="宋体" w:eastAsia="宋体" w:hint="default"/>
                <w:sz w:val="21"/>
                <w:szCs w:val="21"/>
              </w:rPr>
              <w:t>性股票数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66" w:lineRule="auto"/>
              <w:ind w:left="79" w:right="71" w:hanging="2"/>
              <w:jc w:val="center"/>
              <w:rPr>
                <w:rFonts w:ascii="宋体" w:hAnsi="宋体" w:cs="宋体" w:eastAsia="宋体" w:hint="default"/>
                <w:sz w:val="21"/>
                <w:szCs w:val="21"/>
              </w:rPr>
            </w:pPr>
            <w:r>
              <w:rPr>
                <w:rFonts w:ascii="宋体" w:hAnsi="宋体" w:cs="宋体" w:eastAsia="宋体" w:hint="default"/>
                <w:sz w:val="21"/>
                <w:szCs w:val="21"/>
              </w:rPr>
              <w:t>限制性股</w:t>
            </w:r>
            <w:r>
              <w:rPr>
                <w:rFonts w:ascii="宋体" w:hAnsi="宋体" w:cs="宋体" w:eastAsia="宋体" w:hint="default"/>
                <w:w w:val="100"/>
                <w:sz w:val="21"/>
                <w:szCs w:val="21"/>
              </w:rPr>
              <w:t> </w:t>
            </w:r>
            <w:r>
              <w:rPr>
                <w:rFonts w:ascii="宋体" w:hAnsi="宋体" w:cs="宋体" w:eastAsia="宋体" w:hint="default"/>
                <w:sz w:val="21"/>
                <w:szCs w:val="21"/>
              </w:rPr>
              <w:t>票的授予</w:t>
            </w:r>
            <w:r>
              <w:rPr>
                <w:rFonts w:ascii="宋体" w:hAnsi="宋体" w:cs="宋体" w:eastAsia="宋体" w:hint="default"/>
                <w:w w:val="100"/>
                <w:sz w:val="21"/>
                <w:szCs w:val="21"/>
              </w:rPr>
              <w:t> </w:t>
            </w:r>
            <w:r>
              <w:rPr>
                <w:rFonts w:ascii="宋体" w:hAnsi="宋体" w:cs="宋体" w:eastAsia="宋体" w:hint="default"/>
                <w:sz w:val="21"/>
                <w:szCs w:val="21"/>
              </w:rPr>
              <w:t>价格（元</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107" w:right="101"/>
              <w:jc w:val="center"/>
              <w:rPr>
                <w:rFonts w:ascii="宋体" w:hAnsi="宋体" w:cs="宋体" w:eastAsia="宋体" w:hint="default"/>
                <w:sz w:val="21"/>
                <w:szCs w:val="21"/>
              </w:rPr>
            </w:pPr>
            <w:r>
              <w:rPr>
                <w:rFonts w:ascii="宋体" w:hAnsi="宋体" w:cs="宋体" w:eastAsia="宋体" w:hint="default"/>
                <w:sz w:val="21"/>
                <w:szCs w:val="21"/>
              </w:rPr>
              <w:t>报告期行</w:t>
            </w:r>
            <w:r>
              <w:rPr>
                <w:rFonts w:ascii="宋体" w:hAnsi="宋体" w:cs="宋体" w:eastAsia="宋体" w:hint="default"/>
                <w:w w:val="100"/>
                <w:sz w:val="21"/>
                <w:szCs w:val="21"/>
              </w:rPr>
              <w:t> </w:t>
            </w:r>
            <w:r>
              <w:rPr>
                <w:rFonts w:ascii="宋体" w:hAnsi="宋体" w:cs="宋体" w:eastAsia="宋体" w:hint="default"/>
                <w:sz w:val="21"/>
                <w:szCs w:val="21"/>
              </w:rPr>
              <w:t>权的限制</w:t>
            </w:r>
            <w:r>
              <w:rPr>
                <w:rFonts w:ascii="宋体" w:hAnsi="宋体" w:cs="宋体" w:eastAsia="宋体" w:hint="default"/>
                <w:w w:val="100"/>
                <w:sz w:val="21"/>
                <w:szCs w:val="21"/>
              </w:rPr>
              <w:t> </w:t>
            </w:r>
            <w:r>
              <w:rPr>
                <w:rFonts w:ascii="宋体" w:hAnsi="宋体" w:cs="宋体" w:eastAsia="宋体" w:hint="default"/>
                <w:sz w:val="21"/>
                <w:szCs w:val="21"/>
              </w:rPr>
              <w:t>性股票数</w:t>
            </w:r>
            <w:r>
              <w:rPr>
                <w:rFonts w:ascii="宋体" w:hAnsi="宋体" w:cs="宋体" w:eastAsia="宋体" w:hint="default"/>
                <w:w w:val="100"/>
                <w:sz w:val="21"/>
                <w:szCs w:val="21"/>
              </w:rPr>
              <w:t> </w:t>
            </w:r>
            <w:r>
              <w:rPr>
                <w:rFonts w:ascii="宋体" w:hAnsi="宋体" w:cs="宋体" w:eastAsia="宋体" w:hint="default"/>
                <w:sz w:val="21"/>
                <w:szCs w:val="21"/>
              </w:rPr>
              <w:t>量</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黄福林</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265"/>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质量总监</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1" w:right="0"/>
              <w:jc w:val="left"/>
              <w:rPr>
                <w:rFonts w:ascii="Arial" w:hAnsi="Arial" w:cs="Arial" w:eastAsia="Arial" w:hint="default"/>
                <w:sz w:val="21"/>
                <w:szCs w:val="21"/>
              </w:rPr>
            </w:pPr>
            <w:r>
              <w:rPr>
                <w:rFonts w:ascii="Arial"/>
                <w:sz w:val="21"/>
              </w:rPr>
              <w:t>103,750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8" w:right="0"/>
              <w:jc w:val="left"/>
              <w:rPr>
                <w:rFonts w:ascii="Arial" w:hAnsi="Arial" w:cs="Arial" w:eastAsia="Arial" w:hint="default"/>
                <w:sz w:val="21"/>
                <w:szCs w:val="21"/>
              </w:rPr>
            </w:pPr>
            <w:r>
              <w:rPr>
                <w:rFonts w:ascii="Arial"/>
                <w:sz w:val="21"/>
              </w:rPr>
              <w:t>41,500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6" w:right="0"/>
              <w:jc w:val="left"/>
              <w:rPr>
                <w:rFonts w:ascii="Arial" w:hAnsi="Arial" w:cs="Arial" w:eastAsia="Arial" w:hint="default"/>
                <w:sz w:val="21"/>
                <w:szCs w:val="21"/>
              </w:rPr>
            </w:pPr>
            <w:r>
              <w:rPr>
                <w:rFonts w:ascii="Arial"/>
                <w:sz w:val="21"/>
              </w:rPr>
              <w:t>16.37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26" w:right="0"/>
              <w:jc w:val="left"/>
              <w:rPr>
                <w:rFonts w:ascii="Arial" w:hAnsi="Arial" w:cs="Arial" w:eastAsia="Arial" w:hint="default"/>
                <w:sz w:val="21"/>
                <w:szCs w:val="21"/>
              </w:rPr>
            </w:pPr>
            <w:r>
              <w:rPr>
                <w:rFonts w:ascii="Arial"/>
                <w:sz w:val="21"/>
              </w:rPr>
              <w:t>38.2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r>
    </w:tbl>
    <w:p>
      <w:pPr>
        <w:spacing w:after="0" w:line="240" w:lineRule="auto"/>
        <w:jc w:val="right"/>
        <w:rPr>
          <w:rFonts w:ascii="Arial" w:hAnsi="Arial" w:cs="Arial" w:eastAsia="Arial" w:hint="default"/>
          <w:sz w:val="21"/>
          <w:szCs w:val="21"/>
        </w:rPr>
        <w:sectPr>
          <w:type w:val="continuous"/>
          <w:pgSz w:w="11910" w:h="16840"/>
          <w:pgMar w:top="110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066"/>
        <w:gridCol w:w="1202"/>
        <w:gridCol w:w="925"/>
        <w:gridCol w:w="1063"/>
        <w:gridCol w:w="1061"/>
        <w:gridCol w:w="1063"/>
        <w:gridCol w:w="1063"/>
        <w:gridCol w:w="1064"/>
        <w:gridCol w:w="1063"/>
      </w:tblGrid>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朱相宇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06" w:right="0"/>
              <w:jc w:val="left"/>
              <w:rPr>
                <w:rFonts w:ascii="Arial" w:hAnsi="Arial" w:cs="Arial" w:eastAsia="Arial" w:hint="default"/>
                <w:sz w:val="21"/>
                <w:szCs w:val="21"/>
              </w:rPr>
            </w:pPr>
            <w:r>
              <w:rPr>
                <w:rFonts w:ascii="Arial"/>
                <w:sz w:val="21"/>
              </w:rPr>
              <w:t>16.37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38.2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冯显扬</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06" w:right="0"/>
              <w:jc w:val="left"/>
              <w:rPr>
                <w:rFonts w:ascii="Arial" w:hAnsi="Arial" w:cs="Arial" w:eastAsia="Arial" w:hint="default"/>
                <w:sz w:val="21"/>
                <w:szCs w:val="21"/>
              </w:rPr>
            </w:pPr>
            <w:r>
              <w:rPr>
                <w:rFonts w:ascii="Arial"/>
                <w:sz w:val="21"/>
              </w:rPr>
              <w:t>16.37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spacing w:val="-1"/>
                <w:sz w:val="21"/>
              </w:rPr>
              <w:t>38.2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r>
      <w:tr>
        <w:trPr>
          <w:trHeight w:val="7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余晴燕</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8"/>
              <w:ind w:left="23" w:right="113"/>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董事会秘书</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6" w:right="0"/>
              <w:jc w:val="left"/>
              <w:rPr>
                <w:rFonts w:ascii="Arial" w:hAnsi="Arial" w:cs="Arial" w:eastAsia="Arial" w:hint="default"/>
                <w:sz w:val="21"/>
                <w:szCs w:val="21"/>
              </w:rPr>
            </w:pPr>
            <w:r>
              <w:rPr>
                <w:rFonts w:ascii="Arial"/>
                <w:sz w:val="21"/>
              </w:rPr>
              <w:t>16.37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Arial" w:hAnsi="Arial" w:cs="Arial" w:eastAsia="Arial" w:hint="default"/>
                <w:sz w:val="21"/>
                <w:szCs w:val="21"/>
              </w:rPr>
            </w:pPr>
            <w:r>
              <w:rPr>
                <w:rFonts w:ascii="Arial"/>
                <w:spacing w:val="-1"/>
                <w:sz w:val="21"/>
              </w:rPr>
              <w:t>38.2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218,750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131,500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8" w:right="0"/>
              <w:jc w:val="left"/>
              <w:rPr>
                <w:rFonts w:ascii="Arial" w:hAnsi="Arial" w:cs="Arial" w:eastAsia="Arial" w:hint="default"/>
                <w:sz w:val="21"/>
                <w:szCs w:val="21"/>
              </w:rPr>
            </w:pPr>
            <w:r>
              <w:rPr>
                <w:rFonts w:ascii="Arial"/>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 w:right="0"/>
              <w:jc w:val="center"/>
              <w:rPr>
                <w:rFonts w:ascii="Arial" w:hAnsi="Arial" w:cs="Arial" w:eastAsia="Arial" w:hint="default"/>
                <w:sz w:val="21"/>
                <w:szCs w:val="21"/>
              </w:rPr>
            </w:pPr>
            <w:r>
              <w:rPr>
                <w:rFonts w:ascii="Arial"/>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四、公司董事、监事、高级管理人员变动情况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36"/>
        <w:ind w:left="0" w:right="180" w:firstLine="0"/>
        <w:jc w:val="right"/>
        <w:rPr>
          <w:rFonts w:ascii="宋体" w:hAnsi="宋体" w:cs="宋体" w:eastAsia="宋体" w:hint="default"/>
          <w:sz w:val="21"/>
          <w:szCs w:val="21"/>
        </w:rPr>
      </w:pPr>
      <w:r>
        <w:rPr/>
        <w:pict>
          <v:shape style="position:absolute;margin-left:56.400002pt;margin-top:-20.286345pt;width:479.15pt;height:250.0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1812"/>
                    <w:gridCol w:w="598"/>
                    <w:gridCol w:w="1274"/>
                    <w:gridCol w:w="5031"/>
                  </w:tblGrid>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7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7"/>
                          <w:jc w:val="right"/>
                          <w:rPr>
                            <w:rFonts w:ascii="宋体" w:hAnsi="宋体" w:cs="宋体" w:eastAsia="宋体" w:hint="default"/>
                            <w:sz w:val="21"/>
                            <w:szCs w:val="21"/>
                          </w:rPr>
                        </w:pPr>
                        <w:r>
                          <w:rPr>
                            <w:rFonts w:ascii="宋体" w:hAnsi="宋体" w:cs="宋体" w:eastAsia="宋体" w:hint="default"/>
                            <w:sz w:val="21"/>
                            <w:szCs w:val="21"/>
                          </w:rPr>
                          <w:t>类型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2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邢立君</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人力资源总监</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77"/>
                          <w:jc w:val="right"/>
                          <w:rPr>
                            <w:rFonts w:ascii="宋体" w:hAnsi="宋体" w:cs="宋体" w:eastAsia="宋体" w:hint="default"/>
                            <w:sz w:val="21"/>
                            <w:szCs w:val="21"/>
                          </w:rPr>
                        </w:pPr>
                        <w:r>
                          <w:rPr>
                            <w:rFonts w:ascii="宋体" w:hAnsi="宋体" w:cs="宋体" w:eastAsia="宋体" w:hint="default"/>
                            <w:sz w:val="21"/>
                            <w:szCs w:val="21"/>
                          </w:rPr>
                          <w:t>聘任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4"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40" w:lineRule="auto" w:before="60"/>
                          <w:ind w:left="2" w:right="0"/>
                          <w:jc w:val="center"/>
                          <w:rPr>
                            <w:rFonts w:ascii="宋体" w:hAnsi="宋体" w:cs="宋体" w:eastAsia="宋体" w:hint="default"/>
                            <w:sz w:val="21"/>
                            <w:szCs w:val="21"/>
                          </w:rPr>
                        </w:pP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7"/>
                          <w:jc w:val="left"/>
                          <w:rPr>
                            <w:rFonts w:ascii="宋体" w:hAnsi="宋体" w:cs="宋体" w:eastAsia="宋体" w:hint="default"/>
                            <w:sz w:val="21"/>
                            <w:szCs w:val="21"/>
                          </w:rPr>
                        </w:pPr>
                        <w:r>
                          <w:rPr>
                            <w:rFonts w:ascii="宋体" w:hAnsi="宋体" w:cs="宋体" w:eastAsia="宋体" w:hint="default"/>
                            <w:sz w:val="21"/>
                            <w:szCs w:val="21"/>
                          </w:rPr>
                          <w:t>经公司总经理提名，公司董事会提名委员会资格审查</w:t>
                        </w:r>
                        <w:r>
                          <w:rPr>
                            <w:rFonts w:ascii="宋体" w:hAnsi="宋体" w:cs="宋体" w:eastAsia="宋体" w:hint="default"/>
                            <w:w w:val="100"/>
                            <w:sz w:val="21"/>
                            <w:szCs w:val="21"/>
                          </w:rPr>
                          <w:t> </w:t>
                        </w:r>
                        <w:r>
                          <w:rPr>
                            <w:rFonts w:ascii="宋体" w:hAnsi="宋体" w:cs="宋体" w:eastAsia="宋体" w:hint="default"/>
                            <w:spacing w:val="-5"/>
                            <w:sz w:val="21"/>
                            <w:szCs w:val="21"/>
                          </w:rPr>
                          <w:t>董事会聘任邢立君女士为公司人力资源总监，任期自董</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事会审议通过之日起至本届董事会届满。</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王琰</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77"/>
                          <w:jc w:val="right"/>
                          <w:rPr>
                            <w:rFonts w:ascii="宋体" w:hAnsi="宋体" w:cs="宋体" w:eastAsia="宋体" w:hint="default"/>
                            <w:sz w:val="21"/>
                            <w:szCs w:val="21"/>
                          </w:rPr>
                        </w:pPr>
                        <w:r>
                          <w:rPr>
                            <w:rFonts w:ascii="宋体" w:hAnsi="宋体" w:cs="宋体" w:eastAsia="宋体" w:hint="default"/>
                            <w:sz w:val="21"/>
                            <w:szCs w:val="21"/>
                          </w:rPr>
                          <w:t>聘任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4"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40" w:lineRule="auto" w:before="63"/>
                          <w:ind w:left="2" w:right="0"/>
                          <w:jc w:val="center"/>
                          <w:rPr>
                            <w:rFonts w:ascii="宋体" w:hAnsi="宋体" w:cs="宋体" w:eastAsia="宋体" w:hint="default"/>
                            <w:sz w:val="21"/>
                            <w:szCs w:val="21"/>
                          </w:rPr>
                        </w:pP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z w:val="21"/>
                            <w:szCs w:val="21"/>
                          </w:rPr>
                          <w:t>经公司总经理提名，公司董事会提名委员会资格审查</w:t>
                        </w:r>
                        <w:r>
                          <w:rPr>
                            <w:rFonts w:ascii="宋体" w:hAnsi="宋体" w:cs="宋体" w:eastAsia="宋体" w:hint="default"/>
                            <w:w w:val="100"/>
                            <w:sz w:val="21"/>
                            <w:szCs w:val="21"/>
                          </w:rPr>
                          <w:t> </w:t>
                        </w:r>
                        <w:r>
                          <w:rPr>
                            <w:rFonts w:ascii="宋体" w:hAnsi="宋体" w:cs="宋体" w:eastAsia="宋体" w:hint="default"/>
                            <w:spacing w:val="-5"/>
                            <w:sz w:val="21"/>
                            <w:szCs w:val="21"/>
                          </w:rPr>
                          <w:t>董事会聘任王琰先生为公司财务总监，任期自董事会审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议通过之日起至本届董事会届满。</w:t>
                        </w:r>
                      </w:p>
                    </w:tc>
                  </w:tr>
                  <w:tr>
                    <w:trPr>
                      <w:trHeight w:val="7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李向南</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0"/>
                          <w:jc w:val="right"/>
                          <w:rPr>
                            <w:rFonts w:ascii="宋体" w:hAnsi="宋体" w:cs="宋体" w:eastAsia="宋体" w:hint="default"/>
                            <w:sz w:val="21"/>
                            <w:szCs w:val="21"/>
                          </w:rPr>
                        </w:pPr>
                        <w:r>
                          <w:rPr>
                            <w:rFonts w:ascii="宋体" w:hAnsi="宋体" w:cs="宋体" w:eastAsia="宋体" w:hint="default"/>
                            <w:spacing w:val="-5"/>
                            <w:sz w:val="21"/>
                            <w:szCs w:val="21"/>
                          </w:rPr>
                          <w:t>人力资源总监（原</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5" w:right="77"/>
                          <w:jc w:val="right"/>
                          <w:rPr>
                            <w:rFonts w:ascii="宋体" w:hAnsi="宋体" w:cs="宋体" w:eastAsia="宋体" w:hint="default"/>
                            <w:sz w:val="21"/>
                            <w:szCs w:val="21"/>
                          </w:rPr>
                        </w:pPr>
                        <w:r>
                          <w:rPr>
                            <w:rFonts w:ascii="宋体" w:hAnsi="宋体" w:cs="宋体" w:eastAsia="宋体" w:hint="default"/>
                            <w:spacing w:val="3"/>
                            <w:sz w:val="21"/>
                            <w:szCs w:val="21"/>
                          </w:rPr>
                          <w:t>）调任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40" w:lineRule="auto" w:before="60"/>
                          <w:ind w:left="2" w:right="0"/>
                          <w:jc w:val="center"/>
                          <w:rPr>
                            <w:rFonts w:ascii="宋体" w:hAnsi="宋体" w:cs="宋体" w:eastAsia="宋体" w:hint="default"/>
                            <w:sz w:val="21"/>
                            <w:szCs w:val="21"/>
                          </w:rPr>
                        </w:pP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调任华宇信息人力资源总监职务</w:t>
                        </w:r>
                      </w:p>
                    </w:tc>
                  </w:tr>
                  <w:tr>
                    <w:trPr>
                      <w:trHeight w:val="7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凌雪梅</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spacing w:val="-1"/>
                            <w:sz w:val="21"/>
                            <w:szCs w:val="21"/>
                          </w:rPr>
                          <w:t>财务总监（原）</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21"/>
                            <w:szCs w:val="21"/>
                          </w:rPr>
                        </w:pPr>
                        <w:r>
                          <w:rPr>
                            <w:rFonts w:ascii="宋体" w:hAnsi="宋体" w:cs="宋体" w:eastAsia="宋体" w:hint="default"/>
                            <w:sz w:val="21"/>
                            <w:szCs w:val="21"/>
                          </w:rPr>
                          <w:t>离职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40" w:lineRule="auto" w:before="63"/>
                          <w:ind w:left="2" w:right="0"/>
                          <w:jc w:val="center"/>
                          <w:rPr>
                            <w:rFonts w:ascii="宋体" w:hAnsi="宋体" w:cs="宋体" w:eastAsia="宋体" w:hint="default"/>
                            <w:sz w:val="21"/>
                            <w:szCs w:val="21"/>
                          </w:rPr>
                        </w:pP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余晴燕</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77"/>
                          <w:jc w:val="right"/>
                          <w:rPr>
                            <w:rFonts w:ascii="宋体" w:hAnsi="宋体" w:cs="宋体" w:eastAsia="宋体" w:hint="default"/>
                            <w:sz w:val="21"/>
                            <w:szCs w:val="21"/>
                          </w:rPr>
                        </w:pPr>
                        <w:r>
                          <w:rPr>
                            <w:rFonts w:ascii="宋体" w:hAnsi="宋体" w:cs="宋体" w:eastAsia="宋体" w:hint="default"/>
                            <w:sz w:val="21"/>
                            <w:szCs w:val="21"/>
                          </w:rPr>
                          <w:t>聘任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4"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40" w:lineRule="auto" w:before="60"/>
                          <w:ind w:left="2" w:right="0"/>
                          <w:jc w:val="center"/>
                          <w:rPr>
                            <w:rFonts w:ascii="宋体" w:hAnsi="宋体" w:cs="宋体" w:eastAsia="宋体" w:hint="default"/>
                            <w:sz w:val="21"/>
                            <w:szCs w:val="21"/>
                          </w:rPr>
                        </w:pP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13</w:t>
                        </w:r>
                        <w:r>
                          <w:rPr>
                            <w:rFonts w:ascii="Arial" w:hAnsi="Arial" w:cs="Arial" w:eastAsia="Arial" w:hint="default"/>
                            <w:spacing w:val="-6"/>
                            <w:sz w:val="21"/>
                            <w:szCs w:val="21"/>
                          </w:rPr>
                          <w:t> </w:t>
                        </w:r>
                        <w:r>
                          <w:rPr>
                            <w:rFonts w:ascii="宋体" w:hAnsi="宋体" w:cs="宋体" w:eastAsia="宋体" w:hint="default"/>
                            <w:sz w:val="21"/>
                            <w:szCs w:val="21"/>
                          </w:rPr>
                          <w:t>日</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经公司总经理提名，公司董事会提名委员会资格审查</w:t>
                        </w:r>
                        <w:r>
                          <w:rPr>
                            <w:rFonts w:ascii="宋体" w:hAnsi="宋体" w:cs="宋体" w:eastAsia="宋体" w:hint="default"/>
                            <w:w w:val="100"/>
                            <w:sz w:val="21"/>
                            <w:szCs w:val="21"/>
                          </w:rPr>
                          <w:t> </w:t>
                        </w:r>
                        <w:r>
                          <w:rPr>
                            <w:rFonts w:ascii="宋体" w:hAnsi="宋体" w:cs="宋体" w:eastAsia="宋体" w:hint="default"/>
                            <w:spacing w:val="-5"/>
                            <w:sz w:val="21"/>
                            <w:szCs w:val="21"/>
                          </w:rPr>
                          <w:t>董事会聘任余晴燕女士为公司副总经理，任期自董事会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审议通过之日起至本届董事会届满。</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6"/>
        <w:ind w:left="0" w:right="180"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36"/>
        <w:ind w:left="0" w:right="180"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65" w:lineRule="auto" w:before="201"/>
        <w:ind w:left="152" w:right="859"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报告期内，公司核心技术团队及关键技术人员未发生变动。</w:t>
      </w:r>
    </w:p>
    <w:p>
      <w:pPr>
        <w:pStyle w:val="Heading3"/>
        <w:spacing w:line="240" w:lineRule="auto" w:before="74"/>
        <w:ind w:right="0"/>
        <w:jc w:val="left"/>
        <w:rPr>
          <w:b w:val="0"/>
          <w:bCs w:val="0"/>
        </w:rPr>
      </w:pPr>
      <w:r>
        <w:rPr/>
        <w:t>六、公司员工情况</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ind w:right="0" w:firstLine="480"/>
        <w:jc w:val="left"/>
      </w:pPr>
      <w:r>
        <w:rPr/>
        <w:t>截止</w:t>
      </w:r>
      <w:r>
        <w:rPr>
          <w:spacing w:val="-62"/>
        </w:rPr>
        <w:t> </w:t>
      </w:r>
      <w:r>
        <w:rPr>
          <w:rFonts w:ascii="Arial" w:hAnsi="Arial" w:cs="Arial" w:eastAsia="Arial" w:hint="default"/>
        </w:rPr>
        <w:t>2014</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9"/>
        </w:rPr>
        <w:t> </w:t>
      </w:r>
      <w:r>
        <w:rPr>
          <w:spacing w:val="-15"/>
        </w:rPr>
        <w:t>日，公司（含子公司）共有员工</w:t>
      </w:r>
      <w:r>
        <w:rPr>
          <w:spacing w:val="-61"/>
        </w:rPr>
        <w:t> </w:t>
      </w:r>
      <w:r>
        <w:rPr>
          <w:rFonts w:ascii="Arial" w:hAnsi="Arial" w:cs="Arial" w:eastAsia="Arial" w:hint="default"/>
        </w:rPr>
        <w:t>2,163</w:t>
      </w:r>
      <w:r>
        <w:rPr>
          <w:rFonts w:ascii="Arial" w:hAnsi="Arial" w:cs="Arial" w:eastAsia="Arial" w:hint="default"/>
          <w:spacing w:val="-7"/>
        </w:rPr>
        <w:t> </w:t>
      </w:r>
      <w:r>
        <w:rPr>
          <w:spacing w:val="-24"/>
        </w:rPr>
        <w:t>人，较</w:t>
      </w:r>
      <w:r>
        <w:rPr>
          <w:spacing w:val="-61"/>
        </w:rPr>
        <w:t> </w:t>
      </w:r>
      <w:r>
        <w:rPr>
          <w:rFonts w:ascii="Arial" w:hAnsi="Arial" w:cs="Arial" w:eastAsia="Arial" w:hint="default"/>
        </w:rPr>
        <w:t>2013</w:t>
      </w:r>
      <w:r>
        <w:rPr>
          <w:rFonts w:ascii="Arial" w:hAnsi="Arial" w:cs="Arial" w:eastAsia="Arial" w:hint="default"/>
          <w:spacing w:val="-6"/>
        </w:rPr>
        <w:t> </w:t>
      </w:r>
      <w:r>
        <w:rPr/>
        <w:t>增长</w:t>
      </w:r>
      <w:r>
        <w:rPr>
          <w:spacing w:val="-61"/>
        </w:rPr>
        <w:t> </w:t>
      </w:r>
      <w:r>
        <w:rPr>
          <w:rFonts w:ascii="Arial" w:hAnsi="Arial" w:cs="Arial" w:eastAsia="Arial" w:hint="default"/>
        </w:rPr>
        <w:t>25.98%</w:t>
      </w:r>
      <w:r>
        <w:rPr/>
        <w:t>。 截至报告期末，公司没有需承担费用的离退休人员。</w:t>
      </w:r>
    </w:p>
    <w:p>
      <w:pPr>
        <w:spacing w:line="240" w:lineRule="auto" w:before="3"/>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1752"/>
        <w:gridCol w:w="3589"/>
        <w:gridCol w:w="1752"/>
        <w:gridCol w:w="1755"/>
      </w:tblGrid>
      <w:tr>
        <w:trPr>
          <w:trHeight w:val="454" w:hRule="exact"/>
        </w:trPr>
        <w:tc>
          <w:tcPr>
            <w:tcW w:w="1752" w:type="dxa"/>
            <w:tcBorders>
              <w:top w:val="single" w:sz="8" w:space="0" w:color="000000"/>
              <w:left w:val="single" w:sz="8" w:space="0" w:color="000000"/>
              <w:bottom w:val="single" w:sz="8" w:space="0" w:color="000000"/>
              <w:right w:val="single" w:sz="8" w:space="0" w:color="000000"/>
            </w:tcBorders>
          </w:tcPr>
          <w:p>
            <w:pP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人员</w:t>
            </w:r>
            <w:r>
              <w:rPr>
                <w:rFonts w:ascii="宋体" w:hAnsi="宋体" w:cs="宋体" w:eastAsia="宋体" w:hint="default"/>
                <w:sz w:val="22"/>
                <w:szCs w:val="22"/>
              </w:rPr>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b/>
                <w:bCs/>
                <w:sz w:val="22"/>
                <w:szCs w:val="22"/>
              </w:rPr>
              <w:t>占比</w:t>
            </w:r>
            <w:r>
              <w:rPr>
                <w:rFonts w:ascii="宋体" w:hAnsi="宋体" w:cs="宋体" w:eastAsia="宋体" w:hint="default"/>
                <w:sz w:val="22"/>
                <w:szCs w:val="22"/>
              </w:rPr>
            </w:r>
          </w:p>
        </w:tc>
      </w:tr>
      <w:tr>
        <w:trPr>
          <w:trHeight w:val="413" w:hRule="exact"/>
        </w:trPr>
        <w:tc>
          <w:tcPr>
            <w:tcW w:w="175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25" w:right="0"/>
              <w:jc w:val="left"/>
              <w:rPr>
                <w:rFonts w:ascii="宋体" w:hAnsi="宋体" w:cs="宋体" w:eastAsia="宋体" w:hint="default"/>
                <w:sz w:val="22"/>
                <w:szCs w:val="22"/>
              </w:rPr>
            </w:pPr>
            <w:r>
              <w:rPr>
                <w:rFonts w:ascii="宋体" w:hAnsi="宋体" w:cs="宋体" w:eastAsia="宋体" w:hint="default"/>
                <w:b/>
                <w:bCs/>
                <w:sz w:val="22"/>
                <w:szCs w:val="22"/>
              </w:rPr>
              <w:t>专业结构</w:t>
            </w:r>
            <w:r>
              <w:rPr>
                <w:rFonts w:ascii="宋体" w:hAnsi="宋体" w:cs="宋体" w:eastAsia="宋体" w:hint="default"/>
                <w:sz w:val="22"/>
                <w:szCs w:val="22"/>
              </w:rPr>
            </w: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7" w:right="0"/>
              <w:jc w:val="center"/>
              <w:rPr>
                <w:rFonts w:ascii="宋体" w:hAnsi="宋体" w:cs="宋体" w:eastAsia="宋体" w:hint="default"/>
                <w:sz w:val="22"/>
                <w:szCs w:val="22"/>
              </w:rPr>
            </w:pPr>
            <w:r>
              <w:rPr>
                <w:rFonts w:ascii="宋体" w:hAnsi="宋体" w:cs="宋体" w:eastAsia="宋体" w:hint="default"/>
                <w:sz w:val="22"/>
                <w:szCs w:val="22"/>
              </w:rPr>
              <w:t>技术人员</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sz w:val="22"/>
              </w:rPr>
              <w:t>1815</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1" w:right="0"/>
              <w:jc w:val="center"/>
              <w:rPr>
                <w:rFonts w:ascii="Arial" w:hAnsi="Arial" w:cs="Arial" w:eastAsia="Arial" w:hint="default"/>
                <w:sz w:val="22"/>
                <w:szCs w:val="22"/>
              </w:rPr>
            </w:pPr>
            <w:r>
              <w:rPr>
                <w:rFonts w:ascii="Arial"/>
                <w:sz w:val="22"/>
              </w:rPr>
              <w:t>83.91%</w:t>
            </w:r>
          </w:p>
        </w:tc>
      </w:tr>
      <w:tr>
        <w:trPr>
          <w:trHeight w:val="410" w:hRule="exact"/>
        </w:trPr>
        <w:tc>
          <w:tcPr>
            <w:tcW w:w="1752" w:type="dxa"/>
            <w:vMerge/>
            <w:tcBorders>
              <w:left w:val="single" w:sz="8" w:space="0" w:color="000000"/>
              <w:right w:val="single" w:sz="8" w:space="0" w:color="000000"/>
            </w:tcBorders>
          </w:tcPr>
          <w:p>
            <w:pP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7" w:right="0"/>
              <w:jc w:val="center"/>
              <w:rPr>
                <w:rFonts w:ascii="宋体" w:hAnsi="宋体" w:cs="宋体" w:eastAsia="宋体" w:hint="default"/>
                <w:sz w:val="22"/>
                <w:szCs w:val="22"/>
              </w:rPr>
            </w:pPr>
            <w:r>
              <w:rPr>
                <w:rFonts w:ascii="宋体" w:hAnsi="宋体" w:cs="宋体" w:eastAsia="宋体" w:hint="default"/>
                <w:sz w:val="22"/>
                <w:szCs w:val="22"/>
              </w:rPr>
              <w:t>销售人员</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sz w:val="22"/>
              </w:rPr>
              <w:t>125</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3" w:right="0"/>
              <w:jc w:val="center"/>
              <w:rPr>
                <w:rFonts w:ascii="Arial" w:hAnsi="Arial" w:cs="Arial" w:eastAsia="Arial" w:hint="default"/>
                <w:sz w:val="22"/>
                <w:szCs w:val="22"/>
              </w:rPr>
            </w:pPr>
            <w:r>
              <w:rPr>
                <w:rFonts w:ascii="Arial"/>
                <w:sz w:val="22"/>
              </w:rPr>
              <w:t>5.78%</w:t>
            </w:r>
          </w:p>
        </w:tc>
      </w:tr>
      <w:tr>
        <w:trPr>
          <w:trHeight w:val="413" w:hRule="exact"/>
        </w:trPr>
        <w:tc>
          <w:tcPr>
            <w:tcW w:w="1752" w:type="dxa"/>
            <w:vMerge/>
            <w:tcBorders>
              <w:left w:val="single" w:sz="8" w:space="0" w:color="000000"/>
              <w:right w:val="single" w:sz="8" w:space="0" w:color="000000"/>
            </w:tcBorders>
          </w:tcPr>
          <w:p>
            <w:pP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7" w:right="0"/>
              <w:jc w:val="center"/>
              <w:rPr>
                <w:rFonts w:ascii="宋体" w:hAnsi="宋体" w:cs="宋体" w:eastAsia="宋体" w:hint="default"/>
                <w:sz w:val="22"/>
                <w:szCs w:val="22"/>
              </w:rPr>
            </w:pPr>
            <w:r>
              <w:rPr>
                <w:rFonts w:ascii="宋体" w:hAnsi="宋体" w:cs="宋体" w:eastAsia="宋体" w:hint="default"/>
                <w:sz w:val="22"/>
                <w:szCs w:val="22"/>
              </w:rPr>
              <w:t>财务人员</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Arial" w:hAnsi="Arial" w:cs="Arial" w:eastAsia="Arial" w:hint="default"/>
                <w:sz w:val="22"/>
                <w:szCs w:val="22"/>
              </w:rPr>
            </w:pPr>
            <w:r>
              <w:rPr>
                <w:rFonts w:ascii="Arial"/>
                <w:sz w:val="22"/>
              </w:rPr>
              <w:t>27</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3" w:right="0"/>
              <w:jc w:val="center"/>
              <w:rPr>
                <w:rFonts w:ascii="Arial" w:hAnsi="Arial" w:cs="Arial" w:eastAsia="Arial" w:hint="default"/>
                <w:sz w:val="22"/>
                <w:szCs w:val="22"/>
              </w:rPr>
            </w:pPr>
            <w:r>
              <w:rPr>
                <w:rFonts w:ascii="Arial"/>
                <w:sz w:val="22"/>
              </w:rPr>
              <w:t>1.25%</w:t>
            </w:r>
          </w:p>
        </w:tc>
      </w:tr>
      <w:tr>
        <w:trPr>
          <w:trHeight w:val="413" w:hRule="exact"/>
        </w:trPr>
        <w:tc>
          <w:tcPr>
            <w:tcW w:w="1752" w:type="dxa"/>
            <w:vMerge/>
            <w:tcBorders>
              <w:left w:val="single" w:sz="8" w:space="0" w:color="000000"/>
              <w:bottom w:val="single" w:sz="8" w:space="0" w:color="000000"/>
              <w:right w:val="single" w:sz="8" w:space="0" w:color="000000"/>
            </w:tcBorders>
          </w:tcPr>
          <w:p>
            <w:pP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宋体" w:hAnsi="宋体" w:cs="宋体" w:eastAsia="宋体" w:hint="default"/>
                <w:sz w:val="22"/>
                <w:szCs w:val="22"/>
              </w:rPr>
            </w:pPr>
            <w:r>
              <w:rPr>
                <w:rFonts w:ascii="宋体" w:hAnsi="宋体" w:cs="宋体" w:eastAsia="宋体" w:hint="default"/>
                <w:sz w:val="22"/>
                <w:szCs w:val="22"/>
              </w:rPr>
              <w:t>管理人员及其他</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sz w:val="22"/>
              </w:rPr>
              <w:t>196</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3" w:right="0"/>
              <w:jc w:val="center"/>
              <w:rPr>
                <w:rFonts w:ascii="Arial" w:hAnsi="Arial" w:cs="Arial" w:eastAsia="Arial" w:hint="default"/>
                <w:sz w:val="22"/>
                <w:szCs w:val="22"/>
              </w:rPr>
            </w:pPr>
            <w:r>
              <w:rPr>
                <w:rFonts w:ascii="Arial"/>
                <w:sz w:val="22"/>
              </w:rPr>
              <w:t>9.06%</w:t>
            </w:r>
          </w:p>
        </w:tc>
      </w:tr>
      <w:tr>
        <w:trPr>
          <w:trHeight w:val="413" w:hRule="exact"/>
        </w:trPr>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425" w:right="0"/>
              <w:jc w:val="left"/>
              <w:rPr>
                <w:rFonts w:ascii="宋体" w:hAnsi="宋体" w:cs="宋体" w:eastAsia="宋体" w:hint="default"/>
                <w:sz w:val="22"/>
                <w:szCs w:val="22"/>
              </w:rPr>
            </w:pPr>
            <w:r>
              <w:rPr>
                <w:rFonts w:ascii="宋体" w:hAnsi="宋体" w:cs="宋体" w:eastAsia="宋体" w:hint="default"/>
                <w:b/>
                <w:bCs/>
                <w:sz w:val="22"/>
                <w:szCs w:val="22"/>
              </w:rPr>
              <w:t>文化程度</w:t>
            </w:r>
            <w:r>
              <w:rPr>
                <w:rFonts w:ascii="宋体" w:hAnsi="宋体" w:cs="宋体" w:eastAsia="宋体" w:hint="default"/>
                <w:sz w:val="22"/>
                <w:szCs w:val="22"/>
              </w:rPr>
            </w: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6" w:right="0"/>
              <w:jc w:val="center"/>
              <w:rPr>
                <w:rFonts w:ascii="宋体" w:hAnsi="宋体" w:cs="宋体" w:eastAsia="宋体" w:hint="default"/>
                <w:sz w:val="22"/>
                <w:szCs w:val="22"/>
              </w:rPr>
            </w:pPr>
            <w:r>
              <w:rPr>
                <w:rFonts w:ascii="宋体" w:hAnsi="宋体" w:cs="宋体" w:eastAsia="宋体" w:hint="default"/>
                <w:sz w:val="22"/>
                <w:szCs w:val="22"/>
              </w:rPr>
              <w:t>硕士研究生及以上学历</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sz w:val="22"/>
              </w:rPr>
              <w:t>172</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3" w:right="0"/>
              <w:jc w:val="center"/>
              <w:rPr>
                <w:rFonts w:ascii="Arial" w:hAnsi="Arial" w:cs="Arial" w:eastAsia="Arial" w:hint="default"/>
                <w:sz w:val="22"/>
                <w:szCs w:val="22"/>
              </w:rPr>
            </w:pPr>
            <w:r>
              <w:rPr>
                <w:rFonts w:ascii="Arial"/>
                <w:sz w:val="22"/>
              </w:rPr>
              <w:t>7.95%</w:t>
            </w:r>
          </w:p>
        </w:tc>
      </w:tr>
    </w:tbl>
    <w:p>
      <w:pPr>
        <w:spacing w:after="0" w:line="240" w:lineRule="auto"/>
        <w:jc w:val="center"/>
        <w:rPr>
          <w:rFonts w:ascii="Arial" w:hAnsi="Arial" w:cs="Arial" w:eastAsia="Arial" w:hint="default"/>
          <w:sz w:val="22"/>
          <w:szCs w:val="22"/>
        </w:rPr>
        <w:sectPr>
          <w:footerReference w:type="default" r:id="rId33"/>
          <w:pgSz w:w="11910" w:h="16840"/>
          <w:pgMar w:footer="1010" w:header="884" w:top="1140" w:bottom="1200" w:left="980" w:right="980"/>
          <w:pgNumType w:start="61"/>
        </w:sectPr>
      </w:pPr>
    </w:p>
    <w:p>
      <w:pPr>
        <w:spacing w:line="240" w:lineRule="auto" w:before="5"/>
        <w:rPr>
          <w:rFonts w:ascii="Times New Roman" w:hAnsi="Times New Roman" w:cs="Times New Roman" w:eastAsia="Times New Roman"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1752"/>
        <w:gridCol w:w="3589"/>
        <w:gridCol w:w="1752"/>
        <w:gridCol w:w="1755"/>
      </w:tblGrid>
      <w:tr>
        <w:trPr>
          <w:trHeight w:val="413" w:hRule="exact"/>
        </w:trPr>
        <w:tc>
          <w:tcPr>
            <w:tcW w:w="1752" w:type="dxa"/>
            <w:vMerge w:val="restart"/>
            <w:tcBorders>
              <w:top w:val="single" w:sz="8" w:space="0" w:color="000000"/>
              <w:left w:val="single" w:sz="8" w:space="0" w:color="000000"/>
              <w:right w:val="single" w:sz="8" w:space="0" w:color="000000"/>
            </w:tcBorders>
          </w:tcPr>
          <w:p>
            <w:pP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宋体" w:hAnsi="宋体" w:cs="宋体" w:eastAsia="宋体" w:hint="default"/>
                <w:sz w:val="22"/>
                <w:szCs w:val="22"/>
              </w:rPr>
            </w:pPr>
            <w:r>
              <w:rPr>
                <w:rFonts w:ascii="宋体" w:hAnsi="宋体" w:cs="宋体" w:eastAsia="宋体" w:hint="default"/>
                <w:sz w:val="22"/>
                <w:szCs w:val="22"/>
              </w:rPr>
              <w:t>大学本科学历</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Arial" w:hAnsi="Arial" w:cs="Arial" w:eastAsia="Arial" w:hint="default"/>
                <w:sz w:val="22"/>
                <w:szCs w:val="22"/>
              </w:rPr>
            </w:pPr>
            <w:r>
              <w:rPr>
                <w:rFonts w:ascii="Arial"/>
                <w:sz w:val="22"/>
              </w:rPr>
              <w:t>1688</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494" w:right="0"/>
              <w:jc w:val="left"/>
              <w:rPr>
                <w:rFonts w:ascii="Arial" w:hAnsi="Arial" w:cs="Arial" w:eastAsia="Arial" w:hint="default"/>
                <w:sz w:val="22"/>
                <w:szCs w:val="22"/>
              </w:rPr>
            </w:pPr>
            <w:r>
              <w:rPr>
                <w:rFonts w:ascii="Arial"/>
                <w:sz w:val="22"/>
              </w:rPr>
              <w:t>78.04%</w:t>
            </w:r>
          </w:p>
        </w:tc>
      </w:tr>
      <w:tr>
        <w:trPr>
          <w:trHeight w:val="410" w:hRule="exact"/>
        </w:trPr>
        <w:tc>
          <w:tcPr>
            <w:tcW w:w="1752" w:type="dxa"/>
            <w:vMerge/>
            <w:tcBorders>
              <w:left w:val="single" w:sz="8" w:space="0" w:color="000000"/>
              <w:right w:val="single" w:sz="8" w:space="0" w:color="000000"/>
            </w:tcBorders>
          </w:tcPr>
          <w:p>
            <w:pP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7" w:right="0"/>
              <w:jc w:val="center"/>
              <w:rPr>
                <w:rFonts w:ascii="宋体" w:hAnsi="宋体" w:cs="宋体" w:eastAsia="宋体" w:hint="default"/>
                <w:sz w:val="22"/>
                <w:szCs w:val="22"/>
              </w:rPr>
            </w:pPr>
            <w:r>
              <w:rPr>
                <w:rFonts w:ascii="宋体" w:hAnsi="宋体" w:cs="宋体" w:eastAsia="宋体" w:hint="default"/>
                <w:sz w:val="22"/>
                <w:szCs w:val="22"/>
              </w:rPr>
              <w:t>大专学历</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sz w:val="22"/>
              </w:rPr>
              <w:t>271</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494" w:right="0"/>
              <w:jc w:val="left"/>
              <w:rPr>
                <w:rFonts w:ascii="Arial" w:hAnsi="Arial" w:cs="Arial" w:eastAsia="Arial" w:hint="default"/>
                <w:sz w:val="22"/>
                <w:szCs w:val="22"/>
              </w:rPr>
            </w:pPr>
            <w:r>
              <w:rPr>
                <w:rFonts w:ascii="Arial"/>
                <w:sz w:val="22"/>
              </w:rPr>
              <w:t>12.53%</w:t>
            </w:r>
          </w:p>
        </w:tc>
      </w:tr>
      <w:tr>
        <w:trPr>
          <w:trHeight w:val="413" w:hRule="exact"/>
        </w:trPr>
        <w:tc>
          <w:tcPr>
            <w:tcW w:w="1752" w:type="dxa"/>
            <w:vMerge/>
            <w:tcBorders>
              <w:left w:val="single" w:sz="8" w:space="0" w:color="000000"/>
              <w:bottom w:val="single" w:sz="8" w:space="0" w:color="000000"/>
              <w:right w:val="single" w:sz="8" w:space="0" w:color="000000"/>
            </w:tcBorders>
          </w:tcPr>
          <w:p>
            <w:pP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宋体" w:hAnsi="宋体" w:cs="宋体" w:eastAsia="宋体" w:hint="default"/>
                <w:sz w:val="22"/>
                <w:szCs w:val="22"/>
              </w:rPr>
            </w:pPr>
            <w:r>
              <w:rPr>
                <w:rFonts w:ascii="宋体" w:hAnsi="宋体" w:cs="宋体" w:eastAsia="宋体" w:hint="default"/>
                <w:sz w:val="22"/>
                <w:szCs w:val="22"/>
              </w:rPr>
              <w:t>大专以下学历</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Arial" w:hAnsi="Arial" w:cs="Arial" w:eastAsia="Arial" w:hint="default"/>
                <w:sz w:val="22"/>
                <w:szCs w:val="22"/>
              </w:rPr>
            </w:pPr>
            <w:r>
              <w:rPr>
                <w:rFonts w:ascii="Arial"/>
                <w:sz w:val="22"/>
              </w:rPr>
              <w:t>32</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56" w:right="0"/>
              <w:jc w:val="left"/>
              <w:rPr>
                <w:rFonts w:ascii="Arial" w:hAnsi="Arial" w:cs="Arial" w:eastAsia="Arial" w:hint="default"/>
                <w:sz w:val="22"/>
                <w:szCs w:val="22"/>
              </w:rPr>
            </w:pPr>
            <w:r>
              <w:rPr>
                <w:rFonts w:ascii="Arial"/>
                <w:sz w:val="22"/>
              </w:rPr>
              <w:t>1.48%</w:t>
            </w:r>
          </w:p>
        </w:tc>
      </w:tr>
      <w:tr>
        <w:trPr>
          <w:trHeight w:val="413" w:hRule="exact"/>
        </w:trPr>
        <w:tc>
          <w:tcPr>
            <w:tcW w:w="175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2"/>
              <w:ind w:left="425" w:right="0"/>
              <w:jc w:val="left"/>
              <w:rPr>
                <w:rFonts w:ascii="宋体" w:hAnsi="宋体" w:cs="宋体" w:eastAsia="宋体" w:hint="default"/>
                <w:sz w:val="22"/>
                <w:szCs w:val="22"/>
              </w:rPr>
            </w:pPr>
            <w:r>
              <w:rPr>
                <w:rFonts w:ascii="宋体" w:hAnsi="宋体" w:cs="宋体" w:eastAsia="宋体" w:hint="default"/>
                <w:b/>
                <w:bCs/>
                <w:sz w:val="22"/>
                <w:szCs w:val="22"/>
              </w:rPr>
              <w:t>年龄分布</w:t>
            </w:r>
            <w:r>
              <w:rPr>
                <w:rFonts w:ascii="宋体" w:hAnsi="宋体" w:cs="宋体" w:eastAsia="宋体" w:hint="default"/>
                <w:sz w:val="22"/>
                <w:szCs w:val="22"/>
              </w:rPr>
            </w: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宋体" w:hAnsi="宋体" w:cs="宋体" w:eastAsia="宋体" w:hint="default"/>
                <w:sz w:val="22"/>
                <w:szCs w:val="22"/>
              </w:rPr>
            </w:pPr>
            <w:r>
              <w:rPr>
                <w:rFonts w:ascii="Arial" w:hAnsi="Arial" w:cs="Arial" w:eastAsia="Arial" w:hint="default"/>
                <w:sz w:val="22"/>
                <w:szCs w:val="22"/>
              </w:rPr>
              <w:t>50</w:t>
            </w:r>
            <w:r>
              <w:rPr>
                <w:rFonts w:ascii="Arial" w:hAnsi="Arial" w:cs="Arial" w:eastAsia="Arial" w:hint="default"/>
                <w:spacing w:val="-5"/>
                <w:sz w:val="22"/>
                <w:szCs w:val="22"/>
              </w:rPr>
              <w:t> </w:t>
            </w:r>
            <w:r>
              <w:rPr>
                <w:rFonts w:ascii="宋体" w:hAnsi="宋体" w:cs="宋体" w:eastAsia="宋体" w:hint="default"/>
                <w:sz w:val="22"/>
                <w:szCs w:val="22"/>
              </w:rPr>
              <w:t>岁以上</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w w:val="100"/>
                <w:sz w:val="22"/>
              </w:rPr>
              <w:t>7</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556" w:right="0"/>
              <w:jc w:val="left"/>
              <w:rPr>
                <w:rFonts w:ascii="Arial" w:hAnsi="Arial" w:cs="Arial" w:eastAsia="Arial" w:hint="default"/>
                <w:sz w:val="22"/>
                <w:szCs w:val="22"/>
              </w:rPr>
            </w:pPr>
            <w:r>
              <w:rPr>
                <w:rFonts w:ascii="Arial"/>
                <w:sz w:val="22"/>
              </w:rPr>
              <w:t>0.32%</w:t>
            </w:r>
          </w:p>
        </w:tc>
      </w:tr>
      <w:tr>
        <w:trPr>
          <w:trHeight w:val="410" w:hRule="exact"/>
        </w:trPr>
        <w:tc>
          <w:tcPr>
            <w:tcW w:w="1752" w:type="dxa"/>
            <w:vMerge/>
            <w:tcBorders>
              <w:left w:val="single" w:sz="8" w:space="0" w:color="000000"/>
              <w:right w:val="single" w:sz="8" w:space="0" w:color="000000"/>
            </w:tcBorders>
          </w:tcPr>
          <w:p>
            <w:pP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4" w:right="0"/>
              <w:jc w:val="center"/>
              <w:rPr>
                <w:rFonts w:ascii="宋体" w:hAnsi="宋体" w:cs="宋体" w:eastAsia="宋体" w:hint="default"/>
                <w:sz w:val="22"/>
                <w:szCs w:val="22"/>
              </w:rPr>
            </w:pPr>
            <w:r>
              <w:rPr>
                <w:rFonts w:ascii="Arial" w:hAnsi="Arial" w:cs="Arial" w:eastAsia="Arial" w:hint="default"/>
                <w:sz w:val="22"/>
                <w:szCs w:val="22"/>
              </w:rPr>
              <w:t>40 </w:t>
            </w:r>
            <w:r>
              <w:rPr>
                <w:rFonts w:ascii="宋体" w:hAnsi="宋体" w:cs="宋体" w:eastAsia="宋体" w:hint="default"/>
                <w:sz w:val="22"/>
                <w:szCs w:val="22"/>
              </w:rPr>
              <w:t>岁</w:t>
            </w:r>
            <w:r>
              <w:rPr>
                <w:rFonts w:ascii="Arial" w:hAnsi="Arial" w:cs="Arial" w:eastAsia="Arial" w:hint="default"/>
                <w:sz w:val="22"/>
                <w:szCs w:val="22"/>
              </w:rPr>
              <w:t>-49</w:t>
            </w:r>
            <w:r>
              <w:rPr>
                <w:rFonts w:ascii="Arial" w:hAnsi="Arial" w:cs="Arial" w:eastAsia="Arial" w:hint="default"/>
                <w:spacing w:val="-13"/>
                <w:sz w:val="22"/>
                <w:szCs w:val="22"/>
              </w:rPr>
              <w:t> </w:t>
            </w:r>
            <w:r>
              <w:rPr>
                <w:rFonts w:ascii="宋体" w:hAnsi="宋体" w:cs="宋体" w:eastAsia="宋体" w:hint="default"/>
                <w:sz w:val="22"/>
                <w:szCs w:val="22"/>
              </w:rPr>
              <w:t>岁</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sz w:val="22"/>
              </w:rPr>
              <w:t>72</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556" w:right="0"/>
              <w:jc w:val="left"/>
              <w:rPr>
                <w:rFonts w:ascii="Arial" w:hAnsi="Arial" w:cs="Arial" w:eastAsia="Arial" w:hint="default"/>
                <w:sz w:val="22"/>
                <w:szCs w:val="22"/>
              </w:rPr>
            </w:pPr>
            <w:r>
              <w:rPr>
                <w:rFonts w:ascii="Arial"/>
                <w:sz w:val="22"/>
              </w:rPr>
              <w:t>3.33%</w:t>
            </w:r>
          </w:p>
        </w:tc>
      </w:tr>
      <w:tr>
        <w:trPr>
          <w:trHeight w:val="413" w:hRule="exact"/>
        </w:trPr>
        <w:tc>
          <w:tcPr>
            <w:tcW w:w="1752" w:type="dxa"/>
            <w:vMerge/>
            <w:tcBorders>
              <w:left w:val="single" w:sz="8" w:space="0" w:color="000000"/>
              <w:right w:val="single" w:sz="8" w:space="0" w:color="000000"/>
            </w:tcBorders>
          </w:tcPr>
          <w:p>
            <w:pP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宋体" w:hAnsi="宋体" w:cs="宋体" w:eastAsia="宋体" w:hint="default"/>
                <w:sz w:val="22"/>
                <w:szCs w:val="22"/>
              </w:rPr>
            </w:pPr>
            <w:r>
              <w:rPr>
                <w:rFonts w:ascii="Arial" w:hAnsi="Arial" w:cs="Arial" w:eastAsia="Arial" w:hint="default"/>
                <w:sz w:val="22"/>
                <w:szCs w:val="22"/>
              </w:rPr>
              <w:t>30 </w:t>
            </w:r>
            <w:r>
              <w:rPr>
                <w:rFonts w:ascii="宋体" w:hAnsi="宋体" w:cs="宋体" w:eastAsia="宋体" w:hint="default"/>
                <w:sz w:val="22"/>
                <w:szCs w:val="22"/>
              </w:rPr>
              <w:t>岁</w:t>
            </w:r>
            <w:r>
              <w:rPr>
                <w:rFonts w:ascii="Arial" w:hAnsi="Arial" w:cs="Arial" w:eastAsia="Arial" w:hint="default"/>
                <w:sz w:val="22"/>
                <w:szCs w:val="22"/>
              </w:rPr>
              <w:t>-39</w:t>
            </w:r>
            <w:r>
              <w:rPr>
                <w:rFonts w:ascii="Arial" w:hAnsi="Arial" w:cs="Arial" w:eastAsia="Arial" w:hint="default"/>
                <w:spacing w:val="-13"/>
                <w:sz w:val="22"/>
                <w:szCs w:val="22"/>
              </w:rPr>
              <w:t> </w:t>
            </w:r>
            <w:r>
              <w:rPr>
                <w:rFonts w:ascii="宋体" w:hAnsi="宋体" w:cs="宋体" w:eastAsia="宋体" w:hint="default"/>
                <w:sz w:val="22"/>
                <w:szCs w:val="22"/>
              </w:rPr>
              <w:t>岁</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Arial" w:hAnsi="Arial" w:cs="Arial" w:eastAsia="Arial" w:hint="default"/>
                <w:sz w:val="22"/>
                <w:szCs w:val="22"/>
              </w:rPr>
            </w:pPr>
            <w:r>
              <w:rPr>
                <w:rFonts w:ascii="Arial"/>
                <w:sz w:val="22"/>
              </w:rPr>
              <w:t>652</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94" w:right="0"/>
              <w:jc w:val="left"/>
              <w:rPr>
                <w:rFonts w:ascii="Arial" w:hAnsi="Arial" w:cs="Arial" w:eastAsia="Arial" w:hint="default"/>
                <w:sz w:val="22"/>
                <w:szCs w:val="22"/>
              </w:rPr>
            </w:pPr>
            <w:r>
              <w:rPr>
                <w:rFonts w:ascii="Arial"/>
                <w:sz w:val="22"/>
              </w:rPr>
              <w:t>30.14%</w:t>
            </w:r>
          </w:p>
        </w:tc>
      </w:tr>
      <w:tr>
        <w:trPr>
          <w:trHeight w:val="413" w:hRule="exact"/>
        </w:trPr>
        <w:tc>
          <w:tcPr>
            <w:tcW w:w="1752" w:type="dxa"/>
            <w:vMerge/>
            <w:tcBorders>
              <w:left w:val="single" w:sz="8" w:space="0" w:color="000000"/>
              <w:bottom w:val="single" w:sz="8" w:space="0" w:color="000000"/>
              <w:right w:val="single" w:sz="8" w:space="0" w:color="000000"/>
            </w:tcBorders>
          </w:tcPr>
          <w:p>
            <w:pPr/>
          </w:p>
        </w:tc>
        <w:tc>
          <w:tcPr>
            <w:tcW w:w="3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宋体" w:hAnsi="宋体" w:cs="宋体" w:eastAsia="宋体" w:hint="default"/>
                <w:sz w:val="22"/>
                <w:szCs w:val="22"/>
              </w:rPr>
            </w:pPr>
            <w:r>
              <w:rPr>
                <w:rFonts w:ascii="Arial" w:hAnsi="Arial" w:cs="Arial" w:eastAsia="Arial" w:hint="default"/>
                <w:sz w:val="22"/>
                <w:szCs w:val="22"/>
              </w:rPr>
              <w:t>30</w:t>
            </w:r>
            <w:r>
              <w:rPr>
                <w:rFonts w:ascii="Arial" w:hAnsi="Arial" w:cs="Arial" w:eastAsia="Arial" w:hint="default"/>
                <w:spacing w:val="-5"/>
                <w:sz w:val="22"/>
                <w:szCs w:val="22"/>
              </w:rPr>
              <w:t> </w:t>
            </w:r>
            <w:r>
              <w:rPr>
                <w:rFonts w:ascii="宋体" w:hAnsi="宋体" w:cs="宋体" w:eastAsia="宋体" w:hint="default"/>
                <w:sz w:val="22"/>
                <w:szCs w:val="22"/>
              </w:rPr>
              <w:t>岁以下</w:t>
            </w:r>
          </w:p>
        </w:tc>
        <w:tc>
          <w:tcPr>
            <w:tcW w:w="1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sz w:val="22"/>
              </w:rPr>
              <w:t>1432</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494" w:right="0"/>
              <w:jc w:val="left"/>
              <w:rPr>
                <w:rFonts w:ascii="Arial" w:hAnsi="Arial" w:cs="Arial" w:eastAsia="Arial" w:hint="default"/>
                <w:sz w:val="22"/>
                <w:szCs w:val="22"/>
              </w:rPr>
            </w:pPr>
            <w:r>
              <w:rPr>
                <w:rFonts w:ascii="Arial"/>
                <w:sz w:val="22"/>
              </w:rPr>
              <w:t>66.20%</w:t>
            </w:r>
          </w:p>
        </w:tc>
      </w:tr>
    </w:tbl>
    <w:p>
      <w:pPr>
        <w:spacing w:after="0" w:line="240" w:lineRule="auto"/>
        <w:jc w:val="left"/>
        <w:rPr>
          <w:rFonts w:ascii="Arial" w:hAnsi="Arial" w:cs="Arial" w:eastAsia="Arial" w:hint="default"/>
          <w:sz w:val="22"/>
          <w:szCs w:val="22"/>
        </w:rPr>
        <w:sectPr>
          <w:pgSz w:w="11910" w:h="16840"/>
          <w:pgMar w:header="884" w:footer="1010" w:top="1140" w:bottom="12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Heading1"/>
        <w:spacing w:line="440" w:lineRule="exact"/>
        <w:ind w:left="518" w:right="518"/>
        <w:jc w:val="center"/>
        <w:rPr>
          <w:b w:val="0"/>
          <w:bCs w:val="0"/>
        </w:rPr>
      </w:pPr>
      <w:bookmarkStart w:name="_bookmark6" w:id="7"/>
      <w:bookmarkEnd w:id="7"/>
      <w:r>
        <w:rPr>
          <w:b w:val="0"/>
          <w:bCs w:val="0"/>
        </w:rPr>
      </w:r>
      <w:r>
        <w:rPr/>
        <w:t>第八节</w:t>
      </w:r>
      <w:r>
        <w:rPr>
          <w:spacing w:val="61"/>
        </w:rPr>
        <w:t> </w:t>
      </w:r>
      <w:r>
        <w:rPr/>
        <w:t>公司治理</w:t>
      </w:r>
      <w:r>
        <w:rPr>
          <w:b w:val="0"/>
          <w:bCs w:val="0"/>
        </w:rPr>
      </w:r>
    </w:p>
    <w:p>
      <w:pPr>
        <w:spacing w:line="240" w:lineRule="auto" w:before="6"/>
        <w:rPr>
          <w:rFonts w:ascii="微软雅黑" w:hAnsi="微软雅黑" w:cs="微软雅黑" w:eastAsia="微软雅黑" w:hint="default"/>
          <w:b/>
          <w:bCs/>
          <w:sz w:val="29"/>
          <w:szCs w:val="29"/>
        </w:rPr>
      </w:pPr>
    </w:p>
    <w:p>
      <w:pPr>
        <w:spacing w:line="355" w:lineRule="auto" w:before="0"/>
        <w:ind w:left="633" w:right="173" w:hanging="481"/>
        <w:jc w:val="left"/>
        <w:rPr>
          <w:rFonts w:ascii="宋体" w:hAnsi="宋体" w:cs="宋体" w:eastAsia="宋体" w:hint="default"/>
          <w:sz w:val="24"/>
          <w:szCs w:val="24"/>
        </w:rPr>
      </w:pPr>
      <w:r>
        <w:rPr>
          <w:rFonts w:ascii="宋体" w:hAnsi="宋体" w:cs="宋体" w:eastAsia="宋体" w:hint="default"/>
          <w:b/>
          <w:bCs/>
          <w:sz w:val="24"/>
          <w:szCs w:val="24"/>
        </w:rPr>
        <w:t>一、公司治理的基本状况</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报告期内，公司严格按照《公司法》、《证券法》、《上市公司治理准则》、《深圳证</w:t>
      </w:r>
    </w:p>
    <w:p>
      <w:pPr>
        <w:pStyle w:val="BodyText"/>
        <w:spacing w:line="290" w:lineRule="exact"/>
        <w:ind w:right="0"/>
        <w:jc w:val="left"/>
      </w:pPr>
      <w:r>
        <w:rPr/>
        <w:t>券交易所创业板股票上市规则</w:t>
      </w:r>
      <w:r>
        <w:rPr>
          <w:spacing w:val="-51"/>
        </w:rPr>
        <w:t>》</w:t>
      </w:r>
      <w:r>
        <w:rPr>
          <w:spacing w:val="-101"/>
        </w:rPr>
        <w:t>、</w:t>
      </w:r>
      <w:r>
        <w:rPr/>
        <w:t>《深圳证券交易所创业板上市公司规范运作指引</w:t>
      </w:r>
      <w:r>
        <w:rPr>
          <w:spacing w:val="-51"/>
        </w:rPr>
        <w:t>》</w:t>
      </w:r>
      <w:r>
        <w:rPr/>
        <w:t>等法律、</w:t>
      </w:r>
    </w:p>
    <w:p>
      <w:pPr>
        <w:pStyle w:val="BodyText"/>
        <w:spacing w:line="309" w:lineRule="auto" w:before="91"/>
        <w:ind w:right="174"/>
        <w:jc w:val="left"/>
      </w:pPr>
      <w:r>
        <w:rPr/>
        <w:t>法规和中国证监会有关法律法规等的要求，不断完善公司的法人治理结构，建立健全公司内 部管理和控制制度，规范公司运作，提高公司治理水平。</w:t>
      </w:r>
    </w:p>
    <w:p>
      <w:pPr>
        <w:pStyle w:val="BodyText"/>
        <w:spacing w:line="240" w:lineRule="auto" w:before="85"/>
        <w:ind w:right="0"/>
        <w:jc w:val="left"/>
      </w:pPr>
      <w:r>
        <w:rPr/>
        <w:t>公司治理与《公司法》和中国证监会相关规定的要求是否存在差异</w:t>
      </w:r>
    </w:p>
    <w:p>
      <w:pPr>
        <w:pStyle w:val="Heading3"/>
        <w:spacing w:line="348" w:lineRule="auto" w:before="154"/>
        <w:ind w:right="3269"/>
        <w:jc w:val="left"/>
        <w:rPr>
          <w:b w:val="0"/>
          <w:bCs w:val="0"/>
        </w:rPr>
      </w:pPr>
      <w:r>
        <w:rPr>
          <w:rFonts w:ascii="Arial" w:hAnsi="Arial" w:cs="Arial" w:eastAsia="Arial" w:hint="default"/>
          <w:b w:val="0"/>
          <w:bCs w:val="0"/>
        </w:rPr>
        <w:t>□ </w:t>
      </w:r>
      <w:r>
        <w:rPr>
          <w:rFonts w:ascii="宋体" w:hAnsi="宋体" w:cs="宋体" w:eastAsia="宋体" w:hint="default"/>
          <w:b w:val="0"/>
          <w:bCs w:val="0"/>
        </w:rPr>
        <w:t>是 </w:t>
      </w:r>
      <w:r>
        <w:rPr>
          <w:rFonts w:ascii="Arial" w:hAnsi="Arial" w:cs="Arial" w:eastAsia="Arial" w:hint="default"/>
          <w:b w:val="0"/>
          <w:bCs w:val="0"/>
        </w:rPr>
        <w:t>√</w:t>
      </w:r>
      <w:r>
        <w:rPr>
          <w:rFonts w:ascii="Arial" w:hAnsi="Arial" w:cs="Arial" w:eastAsia="Arial" w:hint="default"/>
          <w:b w:val="0"/>
          <w:bCs w:val="0"/>
          <w:spacing w:val="38"/>
        </w:rPr>
        <w:t> </w:t>
      </w:r>
      <w:r>
        <w:rPr>
          <w:rFonts w:ascii="宋体" w:hAnsi="宋体" w:cs="宋体" w:eastAsia="宋体" w:hint="default"/>
          <w:b w:val="0"/>
          <w:bCs w:val="0"/>
        </w:rPr>
        <w:t>否 </w:t>
      </w:r>
      <w:r>
        <w:rPr/>
        <w:t>二、报告期内召开的年度股东大会和临时股东大会的有关情况</w:t>
      </w:r>
      <w:r>
        <w:rPr>
          <w:w w:val="99"/>
        </w:rPr>
        <w:t> </w:t>
      </w:r>
      <w:r>
        <w:rPr>
          <w:rFonts w:ascii="Arial" w:hAnsi="Arial" w:cs="Arial" w:eastAsia="Arial" w:hint="default"/>
        </w:rPr>
        <w:t>1</w:t>
      </w:r>
      <w:r>
        <w:rPr/>
        <w:t>、本报告期年度股东大会情况</w:t>
      </w:r>
      <w:r>
        <w:rPr>
          <w:b w:val="0"/>
          <w:bCs w:val="0"/>
        </w:rPr>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5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770" w:right="31" w:hanging="735"/>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查询索引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562" w:right="452" w:hanging="107"/>
              <w:jc w:val="left"/>
              <w:rPr>
                <w:rFonts w:ascii="宋体" w:hAnsi="宋体" w:cs="宋体" w:eastAsia="宋体" w:hint="default"/>
                <w:sz w:val="21"/>
                <w:szCs w:val="21"/>
              </w:rPr>
            </w:pPr>
            <w:r>
              <w:rPr>
                <w:rFonts w:ascii="宋体" w:hAnsi="宋体" w:cs="宋体" w:eastAsia="宋体" w:hint="default"/>
                <w:sz w:val="21"/>
                <w:szCs w:val="21"/>
              </w:rPr>
              <w:t>会议决议刊登的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信息披露日期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7"/>
                <w:sz w:val="21"/>
                <w:szCs w:val="21"/>
              </w:rPr>
              <w:t> </w:t>
            </w:r>
            <w:r>
              <w:rPr>
                <w:rFonts w:ascii="宋体" w:hAnsi="宋体" w:cs="宋体" w:eastAsia="宋体" w:hint="default"/>
                <w:sz w:val="21"/>
                <w:szCs w:val="21"/>
              </w:rPr>
              <w:t>年年度股东大会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right="0"/>
              <w:jc w:val="center"/>
              <w:rPr>
                <w:rFonts w:ascii="Arial" w:hAnsi="Arial" w:cs="Arial" w:eastAsia="Arial" w:hint="default"/>
                <w:sz w:val="21"/>
                <w:szCs w:val="21"/>
              </w:rPr>
            </w:pPr>
            <w:hyperlink r:id="rId10">
              <w:r>
                <w:rPr>
                  <w:rFonts w:ascii="Arial"/>
                  <w:sz w:val="21"/>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pStyle w:val="Heading3"/>
        <w:spacing w:line="240" w:lineRule="auto" w:before="78"/>
        <w:ind w:right="0"/>
        <w:jc w:val="left"/>
        <w:rPr>
          <w:b w:val="0"/>
          <w:bCs w:val="0"/>
        </w:rPr>
      </w:pPr>
      <w:r>
        <w:rPr>
          <w:rFonts w:ascii="Arial" w:hAnsi="Arial" w:cs="Arial" w:eastAsia="Arial" w:hint="default"/>
        </w:rPr>
        <w:t>2</w:t>
      </w:r>
      <w:r>
        <w:rPr/>
        <w:t>、本报告期临时股东大会情况</w:t>
      </w:r>
      <w:r>
        <w:rPr>
          <w:b w:val="0"/>
          <w:bCs w:val="0"/>
        </w:rPr>
      </w:r>
    </w:p>
    <w:p>
      <w:pPr>
        <w:spacing w:line="240" w:lineRule="auto" w:before="11"/>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2835"/>
        <w:gridCol w:w="1949"/>
        <w:gridCol w:w="2393"/>
        <w:gridCol w:w="2393"/>
      </w:tblGrid>
      <w:tr>
        <w:trPr>
          <w:trHeight w:val="7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770" w:right="31" w:hanging="735"/>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查询索引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562" w:right="452" w:hanging="107"/>
              <w:jc w:val="left"/>
              <w:rPr>
                <w:rFonts w:ascii="宋体" w:hAnsi="宋体" w:cs="宋体" w:eastAsia="宋体" w:hint="default"/>
                <w:sz w:val="21"/>
                <w:szCs w:val="21"/>
              </w:rPr>
            </w:pPr>
            <w:r>
              <w:rPr>
                <w:rFonts w:ascii="宋体" w:hAnsi="宋体" w:cs="宋体" w:eastAsia="宋体" w:hint="default"/>
                <w:sz w:val="21"/>
                <w:szCs w:val="21"/>
              </w:rPr>
              <w:t>会议决议刊登的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信息披露日期</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1"/>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4"/>
                <w:sz w:val="21"/>
                <w:szCs w:val="21"/>
              </w:rPr>
              <w:t> </w:t>
            </w:r>
            <w:r>
              <w:rPr>
                <w:rFonts w:ascii="宋体" w:hAnsi="宋体" w:cs="宋体" w:eastAsia="宋体" w:hint="default"/>
                <w:sz w:val="21"/>
                <w:szCs w:val="21"/>
              </w:rPr>
              <w:t>年第一次临时股东大会</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6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right="0"/>
              <w:jc w:val="center"/>
              <w:rPr>
                <w:rFonts w:ascii="Arial" w:hAnsi="Arial" w:cs="Arial" w:eastAsia="Arial" w:hint="default"/>
                <w:sz w:val="21"/>
                <w:szCs w:val="21"/>
              </w:rPr>
            </w:pPr>
            <w:hyperlink r:id="rId10">
              <w:r>
                <w:rPr>
                  <w:rFonts w:ascii="Arial"/>
                  <w:sz w:val="21"/>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1"/>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4"/>
                <w:sz w:val="21"/>
                <w:szCs w:val="21"/>
              </w:rPr>
              <w:t> </w:t>
            </w:r>
            <w:r>
              <w:rPr>
                <w:rFonts w:ascii="宋体" w:hAnsi="宋体" w:cs="宋体" w:eastAsia="宋体" w:hint="default"/>
                <w:sz w:val="21"/>
                <w:szCs w:val="21"/>
              </w:rPr>
              <w:t>年第二次临时股东大会</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6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right="0"/>
              <w:jc w:val="center"/>
              <w:rPr>
                <w:rFonts w:ascii="Arial" w:hAnsi="Arial" w:cs="Arial" w:eastAsia="Arial" w:hint="default"/>
                <w:sz w:val="21"/>
                <w:szCs w:val="21"/>
              </w:rPr>
            </w:pPr>
            <w:hyperlink r:id="rId10">
              <w:r>
                <w:rPr>
                  <w:rFonts w:ascii="Arial"/>
                  <w:sz w:val="21"/>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08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1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101"/>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4"/>
                <w:sz w:val="21"/>
                <w:szCs w:val="21"/>
              </w:rPr>
              <w:t> </w:t>
            </w:r>
            <w:r>
              <w:rPr>
                <w:rFonts w:ascii="宋体" w:hAnsi="宋体" w:cs="宋体" w:eastAsia="宋体" w:hint="default"/>
                <w:sz w:val="21"/>
                <w:szCs w:val="21"/>
              </w:rPr>
              <w:t>年第三次临时股东大会</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6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right="0"/>
              <w:jc w:val="center"/>
              <w:rPr>
                <w:rFonts w:ascii="Arial" w:hAnsi="Arial" w:cs="Arial" w:eastAsia="Arial" w:hint="default"/>
                <w:sz w:val="21"/>
                <w:szCs w:val="21"/>
              </w:rPr>
            </w:pPr>
            <w:hyperlink r:id="rId10">
              <w:r>
                <w:rPr>
                  <w:rFonts w:ascii="Arial"/>
                  <w:sz w:val="21"/>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09</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8" w:type="dxa"/>
        <w:tblLayout w:type="fixed"/>
        <w:tblCellMar>
          <w:top w:w="0" w:type="dxa"/>
          <w:left w:w="0" w:type="dxa"/>
          <w:bottom w:w="0" w:type="dxa"/>
          <w:right w:w="0" w:type="dxa"/>
        </w:tblCellMar>
        <w:tblLook w:val="01E0"/>
      </w:tblPr>
      <w:tblGrid>
        <w:gridCol w:w="2850"/>
        <w:gridCol w:w="2129"/>
        <w:gridCol w:w="2268"/>
        <w:gridCol w:w="2408"/>
      </w:tblGrid>
      <w:tr>
        <w:trPr>
          <w:trHeight w:val="646"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63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83" w:right="280" w:firstLine="105"/>
              <w:jc w:val="left"/>
              <w:rPr>
                <w:rFonts w:ascii="宋体" w:hAnsi="宋体" w:cs="宋体" w:eastAsia="宋体" w:hint="default"/>
                <w:sz w:val="21"/>
                <w:szCs w:val="21"/>
              </w:rPr>
            </w:pPr>
            <w:r>
              <w:rPr>
                <w:rFonts w:ascii="宋体" w:hAnsi="宋体" w:cs="宋体" w:eastAsia="宋体" w:hint="default"/>
                <w:sz w:val="21"/>
                <w:szCs w:val="21"/>
              </w:rPr>
              <w:t>会议决议刊登的</w:t>
            </w:r>
            <w:r>
              <w:rPr>
                <w:rFonts w:ascii="宋体" w:hAnsi="宋体" w:cs="宋体" w:eastAsia="宋体" w:hint="default"/>
                <w:w w:val="100"/>
                <w:sz w:val="21"/>
                <w:szCs w:val="21"/>
              </w:rPr>
              <w:t> </w:t>
            </w:r>
            <w:r>
              <w:rPr>
                <w:rFonts w:ascii="宋体" w:hAnsi="宋体" w:cs="宋体" w:eastAsia="宋体" w:hint="default"/>
                <w:sz w:val="21"/>
                <w:szCs w:val="21"/>
              </w:rPr>
              <w:t>指定网站查询索引</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64" w:right="454" w:hanging="107"/>
              <w:jc w:val="left"/>
              <w:rPr>
                <w:rFonts w:ascii="宋体" w:hAnsi="宋体" w:cs="宋体" w:eastAsia="宋体" w:hint="default"/>
                <w:sz w:val="21"/>
                <w:szCs w:val="21"/>
              </w:rPr>
            </w:pPr>
            <w:r>
              <w:rPr>
                <w:rFonts w:ascii="宋体" w:hAnsi="宋体" w:cs="宋体" w:eastAsia="宋体" w:hint="default"/>
                <w:sz w:val="21"/>
                <w:szCs w:val="21"/>
              </w:rPr>
              <w:t>会议决议刊登的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信息披露日期</w:t>
            </w:r>
          </w:p>
        </w:tc>
      </w:tr>
      <w:tr>
        <w:trPr>
          <w:trHeight w:val="643"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第五届董事会第六次会议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643"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第五届董事会第七次会议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15</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17</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646"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第五届董事会第八次会议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84" w:footer="1010" w:top="1140" w:bottom="1200" w:left="980" w:right="980"/>
        </w:sectPr>
      </w:pPr>
    </w:p>
    <w:p>
      <w:pPr>
        <w:spacing w:line="240" w:lineRule="auto" w:before="6"/>
        <w:rPr>
          <w:rFonts w:ascii="宋体" w:hAnsi="宋体" w:cs="宋体" w:eastAsia="宋体" w:hint="default"/>
          <w:b/>
          <w:bCs/>
          <w:sz w:val="21"/>
          <w:szCs w:val="21"/>
        </w:rPr>
      </w:pPr>
    </w:p>
    <w:tbl>
      <w:tblPr>
        <w:tblW w:w="0" w:type="auto"/>
        <w:jc w:val="left"/>
        <w:tblInd w:w="128" w:type="dxa"/>
        <w:tblLayout w:type="fixed"/>
        <w:tblCellMar>
          <w:top w:w="0" w:type="dxa"/>
          <w:left w:w="0" w:type="dxa"/>
          <w:bottom w:w="0" w:type="dxa"/>
          <w:right w:w="0" w:type="dxa"/>
        </w:tblCellMar>
        <w:tblLook w:val="01E0"/>
      </w:tblPr>
      <w:tblGrid>
        <w:gridCol w:w="2850"/>
        <w:gridCol w:w="2129"/>
        <w:gridCol w:w="2268"/>
        <w:gridCol w:w="2408"/>
      </w:tblGrid>
      <w:tr>
        <w:trPr>
          <w:trHeight w:val="644"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第五届董事会第九次会议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13</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14</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646"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第五届董事会第十次会议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30</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643"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第五届董事会第十一次会议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29</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30</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763"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第五届董事会第十二次会议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13</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15</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646"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第五届董事会第十三次会议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644"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第五届董事会第十四次会议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15</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18</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643"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第五届董事会第十五次会议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646"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第五届董事会第十六次会议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643"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第五届董事会第十七次会议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646" w:hRule="exact"/>
        </w:trPr>
        <w:tc>
          <w:tcPr>
            <w:tcW w:w="2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第五届董事会第十八次会议</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3"/>
              <w:ind w:left="98" w:right="0"/>
              <w:jc w:val="left"/>
              <w:rPr>
                <w:rFonts w:ascii="Arial" w:hAnsi="Arial" w:cs="Arial" w:eastAsia="Arial" w:hint="default"/>
                <w:sz w:val="21"/>
                <w:szCs w:val="21"/>
              </w:rPr>
            </w:pPr>
            <w:hyperlink r:id="rId10">
              <w:r>
                <w:rPr>
                  <w:rFonts w:ascii="Arial"/>
                  <w:sz w:val="21"/>
                </w:rPr>
                <w:t>www.cninfo.com.cn</w:t>
              </w:r>
            </w:hyperlink>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spacing w:line="357" w:lineRule="auto" w:before="159"/>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四、年度报告重大差错责任追究制度的建立与执行情况</w:t>
      </w:r>
      <w:r>
        <w:rPr>
          <w:rFonts w:ascii="宋体" w:hAnsi="宋体" w:cs="宋体" w:eastAsia="宋体" w:hint="default"/>
          <w:b/>
          <w:bCs/>
          <w:w w:val="99"/>
          <w:sz w:val="24"/>
          <w:szCs w:val="24"/>
        </w:rPr>
        <w:t> </w:t>
      </w:r>
      <w:r>
        <w:rPr>
          <w:rFonts w:ascii="宋体" w:hAnsi="宋体" w:cs="宋体" w:eastAsia="宋体" w:hint="default"/>
          <w:spacing w:val="-6"/>
          <w:sz w:val="24"/>
          <w:szCs w:val="24"/>
        </w:rPr>
        <w:t>为了提高公司的规范运作水平，增强年报信息披露的真实性、准确性、完整性和及时性，</w:t>
      </w:r>
    </w:p>
    <w:p>
      <w:pPr>
        <w:pStyle w:val="BodyText"/>
        <w:spacing w:line="288" w:lineRule="exact"/>
        <w:ind w:right="0"/>
        <w:jc w:val="left"/>
      </w:pPr>
      <w:r>
        <w:rPr/>
        <w:t>提高年报信息披露的质量和透明度，公司董事会第四届第九次会议审议通过了《年报信息披</w:t>
      </w:r>
    </w:p>
    <w:p>
      <w:pPr>
        <w:pStyle w:val="BodyText"/>
        <w:spacing w:line="309" w:lineRule="auto" w:before="91"/>
        <w:ind w:right="174"/>
        <w:jc w:val="left"/>
      </w:pPr>
      <w:r>
        <w:rPr/>
        <w:t>露重大差错责任追究制度》。报告期内公司未发生重大会计差错更正、重大遗漏信息补充以 及业绩预告修正等情况。</w:t>
      </w:r>
    </w:p>
    <w:p>
      <w:pPr>
        <w:spacing w:line="357" w:lineRule="auto" w:before="84"/>
        <w:ind w:left="152" w:right="4254" w:firstLine="0"/>
        <w:jc w:val="left"/>
        <w:rPr>
          <w:rFonts w:ascii="宋体" w:hAnsi="宋体" w:cs="宋体" w:eastAsia="宋体" w:hint="default"/>
          <w:sz w:val="24"/>
          <w:szCs w:val="24"/>
        </w:rPr>
      </w:pPr>
      <w:r>
        <w:rPr>
          <w:rFonts w:ascii="宋体" w:hAnsi="宋体" w:cs="宋体" w:eastAsia="宋体" w:hint="default"/>
          <w:b/>
          <w:bCs/>
          <w:sz w:val="24"/>
          <w:szCs w:val="24"/>
        </w:rPr>
        <w:t>五、监事会工作情况</w:t>
      </w:r>
      <w:r>
        <w:rPr>
          <w:rFonts w:ascii="宋体" w:hAnsi="宋体" w:cs="宋体" w:eastAsia="宋体" w:hint="default"/>
          <w:b/>
          <w:bCs/>
          <w:w w:val="99"/>
          <w:sz w:val="24"/>
          <w:szCs w:val="24"/>
        </w:rPr>
        <w:t> </w:t>
      </w:r>
      <w:r>
        <w:rPr>
          <w:rFonts w:ascii="宋体" w:hAnsi="宋体" w:cs="宋体" w:eastAsia="宋体" w:hint="default"/>
          <w:sz w:val="24"/>
          <w:szCs w:val="24"/>
        </w:rPr>
        <w:t>监事会在报告期内的监督活动是否发现公司存在风险</w:t>
      </w:r>
    </w:p>
    <w:p>
      <w:pPr>
        <w:pStyle w:val="BodyText"/>
        <w:spacing w:line="338" w:lineRule="auto" w:before="34"/>
        <w:ind w:right="521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公司监事会对报告期内的监督事项无异议。</w:t>
      </w:r>
    </w:p>
    <w:p>
      <w:pPr>
        <w:spacing w:after="0" w:line="338" w:lineRule="auto"/>
        <w:jc w:val="left"/>
        <w:sectPr>
          <w:pgSz w:w="11910" w:h="16840"/>
          <w:pgMar w:header="884"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66"/>
        <w:ind w:left="518" w:right="518"/>
        <w:jc w:val="center"/>
        <w:rPr>
          <w:b w:val="0"/>
          <w:bCs w:val="0"/>
        </w:rPr>
      </w:pPr>
      <w:bookmarkStart w:name="_bookmark7" w:id="8"/>
      <w:bookmarkEnd w:id="8"/>
      <w:r>
        <w:rPr>
          <w:b w:val="0"/>
          <w:bCs w:val="0"/>
        </w:rPr>
      </w:r>
      <w:r>
        <w:rPr/>
        <w:t>第九节</w:t>
      </w:r>
      <w:r>
        <w:rPr>
          <w:spacing w:val="61"/>
        </w:rPr>
        <w:t> </w:t>
      </w:r>
      <w:r>
        <w:rPr/>
        <w:t>财务报告</w:t>
      </w:r>
      <w:r>
        <w:rPr>
          <w:b w:val="0"/>
          <w:bCs w:val="0"/>
        </w:rPr>
      </w:r>
    </w:p>
    <w:p>
      <w:pPr>
        <w:spacing w:line="240" w:lineRule="auto" w:before="1"/>
        <w:rPr>
          <w:rFonts w:ascii="微软雅黑" w:hAnsi="微软雅黑" w:cs="微软雅黑" w:eastAsia="微软雅黑" w:hint="default"/>
          <w:b/>
          <w:bCs/>
          <w:sz w:val="25"/>
          <w:szCs w:val="25"/>
        </w:rPr>
      </w:pPr>
    </w:p>
    <w:p>
      <w:pPr>
        <w:pStyle w:val="Heading3"/>
        <w:spacing w:line="240" w:lineRule="auto" w:before="26"/>
        <w:ind w:right="0"/>
        <w:jc w:val="left"/>
        <w:rPr>
          <w:b w:val="0"/>
          <w:bCs w:val="0"/>
        </w:rPr>
      </w:pP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BodyText"/>
        <w:spacing w:line="240" w:lineRule="auto" w:before="26"/>
        <w:ind w:left="0" w:right="182"/>
        <w:jc w:val="right"/>
      </w:pPr>
      <w:r>
        <w:rPr/>
        <w:pict>
          <v:shape style="position:absolute;margin-left:56.400002pt;margin-top:-39.404396pt;width:479.3pt;height:101.1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标准无保留审计意见</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24"/>
                            <w:szCs w:val="24"/>
                          </w:rPr>
                        </w:pPr>
                        <w:r>
                          <w:rPr>
                            <w:rFonts w:ascii="宋体" w:hAnsi="宋体" w:cs="宋体" w:eastAsia="宋体" w:hint="default"/>
                            <w:sz w:val="24"/>
                            <w:szCs w:val="24"/>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03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24</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中审华寅五洲会计师事务所（特殊普通合伙</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24"/>
                            <w:szCs w:val="24"/>
                          </w:rPr>
                        </w:pPr>
                        <w:r>
                          <w:rPr>
                            <w:rFonts w:ascii="宋体" w:hAnsi="宋体" w:cs="宋体" w:eastAsia="宋体" w:hint="default"/>
                            <w:sz w:val="24"/>
                            <w:szCs w:val="24"/>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Arial" w:hAnsi="Arial" w:cs="Arial" w:eastAsia="Arial" w:hint="default"/>
                            <w:sz w:val="24"/>
                            <w:szCs w:val="24"/>
                          </w:rPr>
                          <w:t>CHW </w:t>
                        </w:r>
                        <w:r>
                          <w:rPr>
                            <w:rFonts w:ascii="宋体" w:hAnsi="宋体" w:cs="宋体" w:eastAsia="宋体" w:hint="default"/>
                            <w:sz w:val="24"/>
                            <w:szCs w:val="24"/>
                          </w:rPr>
                          <w:t>政审字</w:t>
                        </w:r>
                        <w:r>
                          <w:rPr>
                            <w:rFonts w:ascii="Arial" w:hAnsi="Arial" w:cs="Arial" w:eastAsia="Arial" w:hint="default"/>
                            <w:sz w:val="24"/>
                            <w:szCs w:val="24"/>
                          </w:rPr>
                          <w:t>[2015]0079</w:t>
                        </w:r>
                        <w:r>
                          <w:rPr>
                            <w:rFonts w:ascii="Arial" w:hAnsi="Arial" w:cs="Arial" w:eastAsia="Arial" w:hint="default"/>
                            <w:spacing w:val="-17"/>
                            <w:sz w:val="24"/>
                            <w:szCs w:val="24"/>
                          </w:rPr>
                          <w:t> </w:t>
                        </w:r>
                        <w:r>
                          <w:rPr>
                            <w:rFonts w:ascii="宋体" w:hAnsi="宋体" w:cs="宋体" w:eastAsia="宋体" w:hint="default"/>
                            <w:sz w:val="24"/>
                            <w:szCs w:val="24"/>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易冬、李威</w:t>
                        </w:r>
                      </w:p>
                    </w:tc>
                  </w:tr>
                </w:tbl>
                <w:p>
                  <w:pPr/>
                </w:p>
              </w:txbxContent>
            </v:textbox>
            <w10:wrap type="none"/>
          </v:shape>
        </w:pict>
      </w:r>
      <w:r>
        <w:rPr/>
        <w:t>）</w:t>
      </w:r>
    </w:p>
    <w:p>
      <w:pPr>
        <w:spacing w:after="0" w:line="240" w:lineRule="auto"/>
        <w:jc w:val="right"/>
        <w:sectPr>
          <w:pgSz w:w="11910" w:h="16840"/>
          <w:pgMar w:header="884" w:footer="1010" w:top="1140" w:bottom="1200" w:left="980" w:right="980"/>
        </w:sectPr>
      </w:pPr>
    </w:p>
    <w:p>
      <w:pPr>
        <w:spacing w:line="240" w:lineRule="auto" w:before="12"/>
        <w:rPr>
          <w:rFonts w:ascii="宋体" w:hAnsi="宋体" w:cs="宋体" w:eastAsia="宋体" w:hint="default"/>
          <w:sz w:val="26"/>
          <w:szCs w:val="26"/>
        </w:rPr>
      </w:pPr>
    </w:p>
    <w:p>
      <w:pPr>
        <w:spacing w:before="14"/>
        <w:ind w:left="518" w:right="518" w:firstLine="0"/>
        <w:jc w:val="center"/>
        <w:rPr>
          <w:rFonts w:ascii="宋体" w:hAnsi="宋体" w:cs="宋体" w:eastAsia="宋体" w:hint="default"/>
          <w:sz w:val="28"/>
          <w:szCs w:val="28"/>
        </w:rPr>
      </w:pPr>
      <w:r>
        <w:rPr>
          <w:rFonts w:ascii="宋体" w:hAnsi="宋体" w:cs="宋体" w:eastAsia="宋体" w:hint="default"/>
          <w:b/>
          <w:bCs/>
          <w:sz w:val="28"/>
          <w:szCs w:val="28"/>
        </w:rPr>
        <w:t>审计报告正文</w:t>
      </w:r>
      <w:r>
        <w:rPr>
          <w:rFonts w:ascii="宋体" w:hAnsi="宋体" w:cs="宋体" w:eastAsia="宋体" w:hint="default"/>
          <w:sz w:val="28"/>
          <w:szCs w:val="28"/>
        </w:rPr>
      </w:r>
    </w:p>
    <w:p>
      <w:pPr>
        <w:pStyle w:val="BodyText"/>
        <w:spacing w:line="357" w:lineRule="auto" w:before="242"/>
        <w:ind w:left="633" w:right="253" w:hanging="481"/>
        <w:jc w:val="left"/>
      </w:pPr>
      <w:r>
        <w:rPr/>
        <w:t>北京华宇软件股份有限公司全体股东： 我们审计了后附的北京华宇软件股份有限公司（以下简称</w:t>
      </w:r>
      <w:r>
        <w:rPr>
          <w:rFonts w:ascii="Arial" w:hAnsi="Arial" w:cs="Arial" w:eastAsia="Arial" w:hint="default"/>
        </w:rPr>
        <w:t>“</w:t>
      </w:r>
      <w:r>
        <w:rPr/>
        <w:t>华宇软件公司</w:t>
      </w:r>
      <w:r>
        <w:rPr>
          <w:rFonts w:ascii="Arial" w:hAnsi="Arial" w:cs="Arial" w:eastAsia="Arial" w:hint="default"/>
        </w:rPr>
        <w:t>”</w:t>
      </w:r>
      <w:r>
        <w:rPr/>
        <w:t>）财务报表，</w:t>
      </w:r>
    </w:p>
    <w:p>
      <w:pPr>
        <w:pStyle w:val="BodyText"/>
        <w:spacing w:line="274" w:lineRule="exact"/>
        <w:ind w:right="0"/>
        <w:jc w:val="left"/>
      </w:pPr>
      <w:r>
        <w:rPr/>
        <w:t>包括</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日的合并及母公司资产负债表，</w:t>
      </w:r>
      <w:r>
        <w:rPr>
          <w:rFonts w:ascii="Arial" w:hAnsi="Arial" w:cs="Arial" w:eastAsia="Arial" w:hint="default"/>
        </w:rPr>
        <w:t>2014</w:t>
      </w:r>
      <w:r>
        <w:rPr/>
        <w:t>年度的合并及母公司利润表、合并</w:t>
      </w:r>
    </w:p>
    <w:p>
      <w:pPr>
        <w:pStyle w:val="BodyText"/>
        <w:spacing w:line="357" w:lineRule="auto" w:before="74"/>
        <w:ind w:left="633" w:right="0" w:hanging="481"/>
        <w:jc w:val="left"/>
      </w:pPr>
      <w:r>
        <w:rPr/>
        <w:t>及母公司现金流量表、合并及母公司股东权益变动表，以及财务报表附注。 一、管理层对财务报表的责任 </w:t>
      </w:r>
      <w:r>
        <w:rPr>
          <w:spacing w:val="-3"/>
        </w:rPr>
        <w:t>编制和公允列报财务报表是华宇软件公司管理层的责任，这种责任包括：（</w:t>
      </w:r>
      <w:r>
        <w:rPr>
          <w:rFonts w:ascii="Arial" w:hAnsi="Arial" w:cs="Arial" w:eastAsia="Arial" w:hint="default"/>
          <w:spacing w:val="-3"/>
        </w:rPr>
        <w:t>1</w:t>
      </w:r>
      <w:r>
        <w:rPr>
          <w:spacing w:val="-3"/>
        </w:rPr>
        <w:t>）按照企业</w:t>
      </w:r>
    </w:p>
    <w:p>
      <w:pPr>
        <w:pStyle w:val="BodyText"/>
        <w:spacing w:line="275" w:lineRule="exact"/>
        <w:ind w:right="0"/>
        <w:jc w:val="left"/>
      </w:pPr>
      <w:r>
        <w:rPr>
          <w:spacing w:val="-3"/>
        </w:rPr>
        <w:t>会计准则的规定编制财务报表，并使其实现公允反映；（</w:t>
      </w:r>
      <w:r>
        <w:rPr>
          <w:rFonts w:ascii="Arial" w:hAnsi="Arial" w:cs="Arial" w:eastAsia="Arial" w:hint="default"/>
          <w:spacing w:val="-3"/>
        </w:rPr>
        <w:t>2</w:t>
      </w:r>
      <w:r>
        <w:rPr>
          <w:spacing w:val="-3"/>
        </w:rPr>
        <w:t>）设计、执行和维护必要的内部控</w:t>
      </w:r>
    </w:p>
    <w:p>
      <w:pPr>
        <w:pStyle w:val="BodyText"/>
        <w:spacing w:line="357" w:lineRule="auto" w:before="74"/>
        <w:ind w:left="633" w:right="3534" w:hanging="481"/>
        <w:jc w:val="left"/>
      </w:pPr>
      <w:r>
        <w:rPr/>
        <w:t>制，以使财务报表不存在由于舞弊或错误导致的重大错报。 二、注册会计师的责任</w:t>
      </w:r>
    </w:p>
    <w:p>
      <w:pPr>
        <w:pStyle w:val="BodyText"/>
        <w:spacing w:line="309" w:lineRule="auto" w:before="36"/>
        <w:ind w:right="190" w:firstLine="480"/>
        <w:jc w:val="both"/>
      </w:pPr>
      <w:r>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09" w:lineRule="auto" w:before="84"/>
        <w:ind w:right="190"/>
        <w:jc w:val="both"/>
      </w:pPr>
      <w:r>
        <w:rPr/>
        <w:t>审计工作涉及实施审计程序，以获取有关财务报表金额和披露的审计证据。选择的审计程序 取决于注册会计师的判断，包括对由于舞弊或错误导致的财务报表重大错报风险的评估。在 进行风险评估时，注册会计师考虑与财务报表编制和公允列报相关的内部控制，以设计恰当 的审计程序，但目的并非对内部控制的有效性发表意见。审计工作还包括评价管理层选用会 计政策的恰当性和作出会计估计的合理性，以及评价财务报表的总体列报。</w:t>
      </w:r>
    </w:p>
    <w:p>
      <w:pPr>
        <w:pStyle w:val="BodyText"/>
        <w:spacing w:line="357" w:lineRule="auto" w:before="84"/>
        <w:ind w:left="633" w:right="173" w:hanging="481"/>
        <w:jc w:val="left"/>
      </w:pPr>
      <w:r>
        <w:rPr/>
        <w:t>我们相信，我们获取的审计证据是充分、适当的，为发表审计意见提供了基础。 三、审计意见 我们认为，华宇软件公司财务报表在所有重大方面按照企业会计准则的规定编制，公允</w:t>
      </w:r>
    </w:p>
    <w:p>
      <w:pPr>
        <w:pStyle w:val="BodyText"/>
        <w:spacing w:line="305" w:lineRule="exact"/>
        <w:ind w:right="0"/>
        <w:jc w:val="left"/>
      </w:pPr>
      <w:r>
        <w:rPr/>
        <w:t>反映了华宇软件公司</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日的合并及母公司财务状况以及</w:t>
      </w:r>
      <w:r>
        <w:rPr>
          <w:rFonts w:ascii="Arial" w:hAnsi="Arial" w:cs="Arial" w:eastAsia="Arial" w:hint="default"/>
        </w:rPr>
        <w:t>2014</w:t>
      </w:r>
      <w:r>
        <w:rPr/>
        <w:t>年度的合并及母公</w:t>
      </w:r>
    </w:p>
    <w:p>
      <w:pPr>
        <w:pStyle w:val="BodyText"/>
        <w:spacing w:line="357" w:lineRule="auto" w:before="75"/>
        <w:ind w:right="5934"/>
        <w:jc w:val="left"/>
      </w:pPr>
      <w:r>
        <w:rPr/>
        <w:t>司经营成果和现金流量。 </w:t>
      </w:r>
      <w:r>
        <w:rPr>
          <w:rFonts w:ascii="宋体" w:hAnsi="宋体" w:cs="宋体" w:eastAsia="宋体" w:hint="default"/>
          <w:b/>
          <w:bCs/>
        </w:rPr>
        <w:t>二、财务报表</w:t>
      </w:r>
      <w:r>
        <w:rPr>
          <w:rFonts w:ascii="宋体" w:hAnsi="宋体" w:cs="宋体" w:eastAsia="宋体" w:hint="default"/>
          <w:b/>
          <w:bCs/>
          <w:w w:val="99"/>
        </w:rPr>
        <w:t> </w:t>
      </w:r>
      <w:r>
        <w:rPr/>
        <w:t>财务附注中报表的单位为：人民币元</w:t>
      </w:r>
    </w:p>
    <w:p>
      <w:pPr>
        <w:spacing w:after="0" w:line="357" w:lineRule="auto"/>
        <w:jc w:val="left"/>
        <w:sectPr>
          <w:pgSz w:w="11910" w:h="16840"/>
          <w:pgMar w:header="884"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before="26"/>
        <w:ind w:right="0"/>
        <w:jc w:val="left"/>
        <w:rPr>
          <w:b w:val="0"/>
          <w:bCs w:val="0"/>
        </w:rPr>
      </w:pPr>
      <w:r>
        <w:rPr>
          <w:rFonts w:ascii="Arial" w:hAnsi="Arial" w:cs="Arial" w:eastAsia="Arial" w:hint="default"/>
        </w:rPr>
        <w:t>1</w:t>
      </w:r>
      <w:r>
        <w:rPr/>
        <w:t>、合并资产负债表</w:t>
      </w:r>
      <w:r>
        <w:rPr>
          <w:b w:val="0"/>
          <w:bCs w:val="0"/>
        </w:rPr>
      </w:r>
    </w:p>
    <w:p>
      <w:pPr>
        <w:spacing w:line="240" w:lineRule="auto" w:before="8"/>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编制单位：北京华宇软件股份有限公司</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日单位：元</w:t>
      </w:r>
    </w:p>
    <w:p>
      <w:pPr>
        <w:spacing w:line="240" w:lineRule="auto" w:before="8"/>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656"/>
        <w:gridCol w:w="2565"/>
        <w:gridCol w:w="2338"/>
      </w:tblGrid>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537,925,517.39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436,993,695.67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303,026,700.26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286,144,157.97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30,510,755.74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35,440,176.29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142,353.62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107,673.42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106,201,330.92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61,643,135.33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369,852,107.36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200,184,598.58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6,345,534.57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617,478.81</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1,354,004,299.86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1,021,330,916.07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30,025,518.99</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62,080,833.18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55,518,815.28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68,978,222.89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11,503,795.34</w:t>
            </w:r>
          </w:p>
        </w:tc>
      </w:tr>
    </w:tbl>
    <w:p>
      <w:pPr>
        <w:spacing w:after="0" w:line="240" w:lineRule="auto"/>
        <w:jc w:val="right"/>
        <w:rPr>
          <w:rFonts w:ascii="Arial" w:hAnsi="Arial" w:cs="Arial" w:eastAsia="Arial" w:hint="default"/>
          <w:sz w:val="18"/>
          <w:szCs w:val="18"/>
        </w:rPr>
        <w:sectPr>
          <w:pgSz w:w="11910" w:h="16840"/>
          <w:pgMar w:header="884"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6"/>
        <w:gridCol w:w="2565"/>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141,849,819.39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27,545,079.74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95,430,151.62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144,047,552.10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12,264,600.72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9,635,620.78</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24,181,002.80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8,264,204.06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434,810,149.59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256,515,067.30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1,788,814,449.45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1,277,845,983.37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2,739,000.00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118,364,657.35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79,846,769.05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453,385,479.85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173,188,961.14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2,068,718.97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1,571,808.02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39,403,795.90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13,323,465.63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5,412,464.40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3,729,285.68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6"/>
        <w:gridCol w:w="2565"/>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620,635,116.47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276,399,289.52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14,815,141.15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13,400,000.00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15,750.06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14,815,141.15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13,415,750.06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635,450,257.62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289,815,039.58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149,954,550.00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148,708,500.00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473,386,657.49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442,483,878.03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37,280,137.26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65"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458,586,631.58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333,512,382.66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1,119,207,976.33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961,984,897.95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34,156,215.50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26,046,045.84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1,153,364,191.83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988,030,943.79</w:t>
            </w:r>
          </w:p>
        </w:tc>
      </w:tr>
      <w:tr>
        <w:trPr>
          <w:trHeight w:val="40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1,788,814,449.45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1,277,845,983.37</w:t>
            </w:r>
          </w:p>
        </w:tc>
      </w:tr>
    </w:tbl>
    <w:p>
      <w:pPr>
        <w:spacing w:line="240" w:lineRule="auto" w:before="11"/>
        <w:rPr>
          <w:rFonts w:ascii="Times New Roman" w:hAnsi="Times New Roman" w:cs="Times New Roman" w:eastAsia="Times New Roman"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法定代表人：邵学主管会计工作负责人：王琰会计机构负责人：王琰</w:t>
      </w:r>
    </w:p>
    <w:p>
      <w:pPr>
        <w:spacing w:after="0"/>
        <w:jc w:val="left"/>
        <w:rPr>
          <w:rFonts w:ascii="宋体" w:hAnsi="宋体" w:cs="宋体" w:eastAsia="宋体" w:hint="default"/>
          <w:sz w:val="18"/>
          <w:szCs w:val="18"/>
        </w:rPr>
        <w:sectPr>
          <w:footerReference w:type="default" r:id="rId34"/>
          <w:pgSz w:w="11910" w:h="16840"/>
          <w:pgMar w:footer="1010" w:header="884" w:top="1140" w:bottom="1200" w:left="980" w:right="980"/>
          <w:pgNumType w:start="6"/>
        </w:sectPr>
      </w:pPr>
    </w:p>
    <w:p>
      <w:pPr>
        <w:spacing w:line="240" w:lineRule="auto" w:before="2"/>
        <w:rPr>
          <w:rFonts w:ascii="宋体" w:hAnsi="宋体" w:cs="宋体" w:eastAsia="宋体" w:hint="default"/>
          <w:sz w:val="18"/>
          <w:szCs w:val="18"/>
        </w:rPr>
      </w:pPr>
    </w:p>
    <w:p>
      <w:pPr>
        <w:spacing w:before="37"/>
        <w:ind w:left="152" w:right="0" w:firstLine="0"/>
        <w:jc w:val="left"/>
        <w:rPr>
          <w:rFonts w:ascii="宋体" w:hAnsi="宋体" w:cs="宋体" w:eastAsia="宋体" w:hint="default"/>
          <w:sz w:val="20"/>
          <w:szCs w:val="20"/>
        </w:rPr>
      </w:pPr>
      <w:r>
        <w:rPr>
          <w:rFonts w:ascii="Arial" w:hAnsi="Arial" w:cs="Arial" w:eastAsia="Arial" w:hint="default"/>
          <w:b/>
          <w:bCs/>
          <w:sz w:val="20"/>
          <w:szCs w:val="20"/>
        </w:rPr>
        <w:t>2</w:t>
      </w:r>
      <w:r>
        <w:rPr>
          <w:rFonts w:ascii="宋体" w:hAnsi="宋体" w:cs="宋体" w:eastAsia="宋体" w:hint="default"/>
          <w:b/>
          <w:bCs/>
          <w:sz w:val="20"/>
          <w:szCs w:val="20"/>
        </w:rPr>
        <w:t>、母公司资产负债表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2"/>
        <w:gridCol w:w="2424"/>
        <w:gridCol w:w="2482"/>
      </w:tblGrid>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240,859,373.40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343,591,073.07</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109,506,519.12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159,378,382.24</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235,450.36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7,981,718.32</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142,353.62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107,673.42</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6,306,966.79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13,943,023.82</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19,817,130.13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31,455,651.13</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129,159.51</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377,867,793.42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556,586,681.51</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341,642,999.85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205,328,045.15</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40,147,752.55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43,212,013.90</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750,000.00</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80,792,438.89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810,230.68</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83,373,484.57</w:t>
            </w:r>
          </w:p>
        </w:tc>
      </w:tr>
      <w:tr>
        <w:trPr>
          <w:trHeight w:val="404"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1,264,315.26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2,789,063.32</w:t>
            </w:r>
          </w:p>
        </w:tc>
      </w:tr>
    </w:tbl>
    <w:p>
      <w:pPr>
        <w:spacing w:after="0" w:line="240" w:lineRule="auto"/>
        <w:jc w:val="right"/>
        <w:rPr>
          <w:rFonts w:ascii="Arial" w:hAnsi="Arial" w:cs="Arial" w:eastAsia="Arial" w:hint="default"/>
          <w:sz w:val="18"/>
          <w:szCs w:val="18"/>
        </w:rPr>
        <w:sectPr>
          <w:pgSz w:w="11910" w:h="16840"/>
          <w:pgMar w:header="884"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18,440,612.68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4,543,278.70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482,288,119.23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340,806,116.32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860,155,912.65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897,392,797.83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25,368,530.31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50,213,136.69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14,954,789.83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21,106,592.66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117,658.08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137,184.37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783,980.32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663,125.93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546,802.58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1,041,361.69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41,771,761.12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73,161,401.34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13,415,141.15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13,400,000.00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13,415,141.15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13,400,000.00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55,186,902.27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86,561,401.34</w:t>
            </w:r>
          </w:p>
        </w:tc>
      </w:tr>
    </w:tbl>
    <w:p>
      <w:pPr>
        <w:spacing w:after="0" w:line="240" w:lineRule="auto"/>
        <w:jc w:val="right"/>
        <w:rPr>
          <w:rFonts w:ascii="Arial" w:hAnsi="Arial" w:cs="Arial" w:eastAsia="Arial" w:hint="default"/>
          <w:sz w:val="18"/>
          <w:szCs w:val="18"/>
        </w:rPr>
        <w:sectPr>
          <w:footerReference w:type="default" r:id="rId35"/>
          <w:pgSz w:w="11910" w:h="16840"/>
          <w:pgMar w:footer="1010" w:header="884" w:top="1140" w:bottom="1200" w:left="980" w:right="980"/>
          <w:pgNumType w:start="71"/>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149,954,550.00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148,708,500.00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497,593,185.39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466,690,405.93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37,280,137.26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37,280,137.26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120,141,137.73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158,152,353.30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804,969,010.38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810,831,396.49</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860,155,912.65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897,392,797.83</w:t>
            </w:r>
          </w:p>
        </w:tc>
      </w:tr>
    </w:tbl>
    <w:p>
      <w:pPr>
        <w:spacing w:line="240" w:lineRule="auto" w:before="4"/>
        <w:rPr>
          <w:rFonts w:ascii="Times New Roman" w:hAnsi="Times New Roman" w:cs="Times New Roman" w:eastAsia="Times New Roman" w:hint="default"/>
          <w:sz w:val="22"/>
          <w:szCs w:val="22"/>
        </w:rPr>
      </w:pPr>
    </w:p>
    <w:p>
      <w:pPr>
        <w:spacing w:before="37"/>
        <w:ind w:left="152" w:right="0" w:firstLine="0"/>
        <w:jc w:val="left"/>
        <w:rPr>
          <w:rFonts w:ascii="宋体" w:hAnsi="宋体" w:cs="宋体" w:eastAsia="宋体" w:hint="default"/>
          <w:sz w:val="20"/>
          <w:szCs w:val="20"/>
        </w:rPr>
      </w:pPr>
      <w:r>
        <w:rPr>
          <w:rFonts w:ascii="Arial" w:hAnsi="Arial" w:cs="Arial" w:eastAsia="Arial" w:hint="default"/>
          <w:b/>
          <w:bCs/>
          <w:sz w:val="20"/>
          <w:szCs w:val="20"/>
        </w:rPr>
        <w:t>3</w:t>
      </w:r>
      <w:r>
        <w:rPr>
          <w:rFonts w:ascii="宋体" w:hAnsi="宋体" w:cs="宋体" w:eastAsia="宋体" w:hint="default"/>
          <w:b/>
          <w:bCs/>
          <w:sz w:val="20"/>
          <w:szCs w:val="20"/>
        </w:rPr>
        <w:t>、合并利润表</w:t>
      </w:r>
      <w:r>
        <w:rPr>
          <w:rFonts w:ascii="宋体" w:hAnsi="宋体" w:cs="宋体" w:eastAsia="宋体" w:hint="default"/>
          <w:sz w:val="20"/>
          <w:szCs w:val="20"/>
        </w:rPr>
      </w:r>
    </w:p>
    <w:p>
      <w:pPr>
        <w:spacing w:line="240" w:lineRule="auto" w:before="4"/>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902,602,843.61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669,847,315.79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902,602,843.61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669,847,315.79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775,653,935.23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586,358,515.89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493,984,245.17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364,360,058.06</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11,326,552.25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5,808,498.55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69,961,760.42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54,723,791.57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197,128,283.45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157,594,945.32</w:t>
            </w:r>
          </w:p>
        </w:tc>
      </w:tr>
    </w:tbl>
    <w:p>
      <w:pPr>
        <w:spacing w:after="0" w:line="240" w:lineRule="auto"/>
        <w:jc w:val="right"/>
        <w:rPr>
          <w:rFonts w:ascii="Arial" w:hAnsi="Arial" w:cs="Arial" w:eastAsia="Arial" w:hint="default"/>
          <w:sz w:val="18"/>
          <w:szCs w:val="18"/>
        </w:rPr>
        <w:sectPr>
          <w:pgSz w:w="11910" w:h="16840"/>
          <w:pgMar w:header="884"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77"/>
        <w:gridCol w:w="2410"/>
        <w:gridCol w:w="2482"/>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-4,140,125.80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-7,503,150.08</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7,393,219.74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11,374,372.47</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25,518.99</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82"/>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126,974,427.37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83,488,799.90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43,079,716.73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32,297,068.79</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7,647.40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741,465.59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341,178.97</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481,713.98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56,223.20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169,312,678.51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115,444,689.72</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19,701,994.46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-6,672,228.44</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149,610,684.05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122,116,918.16</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147,380,514.39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120,210,161.30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2,230,169.66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1,906,756.86</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82"/>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重新计量设定受益计划净负债或净资产的变</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2" w:right="171" w:firstLine="90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权益法下在被投资单位不能重分类进损益的</w:t>
            </w:r>
            <w:r>
              <w:rPr>
                <w:rFonts w:ascii="宋体" w:hAnsi="宋体" w:cs="宋体" w:eastAsia="宋体" w:hint="default"/>
                <w:w w:val="100"/>
                <w:sz w:val="18"/>
                <w:szCs w:val="18"/>
              </w:rPr>
              <w:t> </w:t>
            </w:r>
            <w:r>
              <w:rPr>
                <w:rFonts w:ascii="宋体" w:hAnsi="宋体" w:cs="宋体" w:eastAsia="宋体" w:hint="default"/>
                <w:sz w:val="18"/>
                <w:szCs w:val="18"/>
              </w:rPr>
              <w:t>其他综合收益中享有的份额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2" w:right="171" w:firstLine="90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权益法下在被投资单位以后将重分类进损益</w:t>
            </w:r>
            <w:r>
              <w:rPr>
                <w:rFonts w:ascii="宋体" w:hAnsi="宋体" w:cs="宋体" w:eastAsia="宋体" w:hint="default"/>
                <w:w w:val="100"/>
                <w:sz w:val="18"/>
                <w:szCs w:val="18"/>
              </w:rPr>
              <w:t> </w:t>
            </w:r>
            <w:r>
              <w:rPr>
                <w:rFonts w:ascii="宋体" w:hAnsi="宋体" w:cs="宋体" w:eastAsia="宋体" w:hint="default"/>
                <w:sz w:val="18"/>
                <w:szCs w:val="18"/>
              </w:rPr>
              <w:t>的其他综合收益中享有的份额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11"/>
              <w:jc w:val="righ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现金流量套期损益的有效部分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149,610,684.05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122,116,918.16</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147,380,514.39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120,210,161.30</w:t>
            </w:r>
          </w:p>
        </w:tc>
      </w:tr>
    </w:tbl>
    <w:p>
      <w:pPr>
        <w:spacing w:after="0" w:line="240" w:lineRule="auto"/>
        <w:jc w:val="right"/>
        <w:rPr>
          <w:rFonts w:ascii="Arial" w:hAnsi="Arial" w:cs="Arial" w:eastAsia="Arial" w:hint="default"/>
          <w:sz w:val="18"/>
          <w:szCs w:val="18"/>
        </w:rPr>
        <w:sectPr>
          <w:pgSz w:w="11910" w:h="16840"/>
          <w:pgMar w:header="884"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2,230,169.66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1,906,756.86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0.99</w:t>
            </w:r>
            <w:r>
              <w:rPr>
                <w:rFonts w:ascii="Arial"/>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0.81</w:t>
            </w:r>
            <w:r>
              <w:rPr>
                <w:rFonts w:ascii="Arial"/>
                <w:sz w:val="18"/>
              </w:rPr>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0.97</w:t>
            </w:r>
            <w:r>
              <w:rPr>
                <w:rFonts w:ascii="Arial"/>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0.81</w:t>
            </w:r>
            <w:r>
              <w:rPr>
                <w:rFonts w:ascii="Arial"/>
                <w:sz w:val="18"/>
              </w:rPr>
            </w:r>
          </w:p>
        </w:tc>
      </w:tr>
    </w:tbl>
    <w:p>
      <w:pPr>
        <w:spacing w:line="614" w:lineRule="auto" w:before="49"/>
        <w:ind w:left="152" w:right="4374" w:firstLine="0"/>
        <w:jc w:val="left"/>
        <w:rPr>
          <w:rFonts w:ascii="宋体" w:hAnsi="宋体" w:cs="宋体" w:eastAsia="宋体" w:hint="default"/>
          <w:sz w:val="20"/>
          <w:szCs w:val="20"/>
        </w:rPr>
      </w:pPr>
      <w:r>
        <w:rPr>
          <w:rFonts w:ascii="宋体" w:hAnsi="宋体" w:cs="宋体" w:eastAsia="宋体" w:hint="default"/>
          <w:sz w:val="18"/>
          <w:szCs w:val="18"/>
        </w:rPr>
        <w:t>本期无发生同一控制下企业合并。 法定代表人：邵学主管会计工作负责人：王琰会计机构负责人：王琰 </w:t>
      </w:r>
      <w:r>
        <w:rPr>
          <w:rFonts w:ascii="Arial" w:hAnsi="Arial" w:cs="Arial" w:eastAsia="Arial"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spacing w:before="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47,515,701.63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166,051,669.50</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35,047,862.81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130,104,311.33</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146,672.43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758,326.00</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1,241,199.56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3,010,409.79</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28,579,838.88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31,338,800.17</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-2,711,316.45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-6,553,667.92</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5,941,748.48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9,128,762.29</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25,518.99</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1"/>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-20,704,785.09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-1,735,272.16</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731,643.96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11,326,658.46</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428,796.39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250,673.13</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330,591.74</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-20,401,937.52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9,340,713.17</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-4,696,987.42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-4,095,893.20</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-15,704,950.10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13,436,606.37</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1"/>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重新计量设定受益计划净负债或净资产的变</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2" w:right="160" w:firstLine="90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权益法下在被投资单位不能重分类进损益的</w:t>
            </w:r>
            <w:r>
              <w:rPr>
                <w:rFonts w:ascii="宋体" w:hAnsi="宋体" w:cs="宋体" w:eastAsia="宋体" w:hint="default"/>
                <w:w w:val="100"/>
                <w:sz w:val="18"/>
                <w:szCs w:val="18"/>
              </w:rPr>
              <w:t> </w:t>
            </w:r>
            <w:r>
              <w:rPr>
                <w:rFonts w:ascii="宋体" w:hAnsi="宋体" w:cs="宋体" w:eastAsia="宋体" w:hint="default"/>
                <w:sz w:val="18"/>
                <w:szCs w:val="18"/>
              </w:rPr>
              <w:t>其他综合收益中享有的份额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2" w:right="160" w:firstLine="90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权益法下在被投资单位以后将重分类进损益</w:t>
            </w:r>
            <w:r>
              <w:rPr>
                <w:rFonts w:ascii="宋体" w:hAnsi="宋体" w:cs="宋体" w:eastAsia="宋体" w:hint="default"/>
                <w:w w:val="100"/>
                <w:sz w:val="18"/>
                <w:szCs w:val="18"/>
              </w:rPr>
              <w:t> </w:t>
            </w:r>
            <w:r>
              <w:rPr>
                <w:rFonts w:ascii="宋体" w:hAnsi="宋体" w:cs="宋体" w:eastAsia="宋体" w:hint="default"/>
                <w:sz w:val="18"/>
                <w:szCs w:val="18"/>
              </w:rPr>
              <w:t>的其他综合收益中享有的份额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可供出售金融资产公允价值变动损益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现金流量套期损益的有效部分</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-15,704,950.10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13,436,606.37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-0.11</w:t>
            </w:r>
            <w:r>
              <w:rPr>
                <w:rFonts w:ascii="Arial"/>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0.09</w:t>
            </w:r>
            <w:r>
              <w:rPr>
                <w:rFonts w:ascii="Arial"/>
                <w:sz w:val="18"/>
              </w:rPr>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-0.11</w:t>
            </w:r>
            <w:r>
              <w:rPr>
                <w:rFonts w:ascii="Arial"/>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0.09</w:t>
            </w:r>
            <w:r>
              <w:rPr>
                <w:rFonts w:ascii="Arial"/>
                <w:sz w:val="18"/>
              </w:rPr>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Arial" w:hAnsi="Arial" w:cs="Arial" w:eastAsia="Arial" w:hint="default"/>
          <w:b/>
          <w:bCs/>
          <w:sz w:val="20"/>
          <w:szCs w:val="20"/>
        </w:rPr>
        <w:t>5</w:t>
      </w:r>
      <w:r>
        <w:rPr>
          <w:rFonts w:ascii="宋体" w:hAnsi="宋体" w:cs="宋体" w:eastAsia="宋体" w:hint="default"/>
          <w:b/>
          <w:bCs/>
          <w:sz w:val="20"/>
          <w:szCs w:val="20"/>
        </w:rPr>
        <w:t>、合并现金流量表</w:t>
      </w:r>
      <w:r>
        <w:rPr>
          <w:rFonts w:ascii="宋体" w:hAnsi="宋体" w:cs="宋体" w:eastAsia="宋体" w:hint="default"/>
          <w:sz w:val="20"/>
          <w:szCs w:val="20"/>
        </w:rPr>
      </w:r>
    </w:p>
    <w:p>
      <w:pPr>
        <w:spacing w:line="240" w:lineRule="auto" w:before="4"/>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1,317,359,113.47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688,712,292.87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71"/>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71"/>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3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 产净增加额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28,160,880.81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38,844,947.30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89,889,193.51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62,356,149.95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1,435,409,187.79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789,913,390.12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565,830,201.13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383,383,502.15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182,445,843.34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135,904,461.62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103,159,565.07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61,619,698.10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295,212,522.92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220,866,857.20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1,146,648,132.46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801,774,519.07</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288,761,055.33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-11,861,128.95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177,873.07</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177,873.07</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149,580,098.22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92,383,416.91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30,000,000.00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179,580,098.22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92,383,416.91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-179,402,225.15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-92,383,416.91</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22,531,458.95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18,992,340.98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5,880,000.00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7,750,000.00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24,531,458.95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20,992,340.98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22,449,465.47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29,746,000.00</w:t>
            </w:r>
          </w:p>
        </w:tc>
      </w:tr>
      <w:tr>
        <w:trPr>
          <w:trHeight w:val="40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77"/>
        <w:gridCol w:w="2410"/>
        <w:gridCol w:w="2482"/>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25,449,465.47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31,746,000.00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-918,006.52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-10,753,659.02</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108,440,823.66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-114,998,204.88</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406,756,231.46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521,754,436.34</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515,197,055.12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406,756,231.46</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spacing w:before="0"/>
        <w:ind w:left="152" w:right="0" w:firstLine="0"/>
        <w:jc w:val="left"/>
        <w:rPr>
          <w:rFonts w:ascii="宋体" w:hAnsi="宋体" w:cs="宋体" w:eastAsia="宋体" w:hint="default"/>
          <w:sz w:val="18"/>
          <w:szCs w:val="18"/>
        </w:rPr>
      </w:pPr>
      <w:r>
        <w:rPr>
          <w:rFonts w:ascii="Arial" w:hAnsi="Arial" w:cs="Arial" w:eastAsia="Arial" w:hint="default"/>
          <w:b/>
          <w:bCs/>
          <w:sz w:val="18"/>
          <w:szCs w:val="18"/>
        </w:rPr>
        <w:t>6</w:t>
      </w:r>
      <w:r>
        <w:rPr>
          <w:rFonts w:ascii="宋体" w:hAnsi="宋体" w:cs="宋体" w:eastAsia="宋体" w:hint="default"/>
          <w:b/>
          <w:bCs/>
          <w:sz w:val="18"/>
          <w:szCs w:val="18"/>
        </w:rPr>
        <w:t>、母公司现金流量表</w:t>
      </w:r>
      <w:r>
        <w:rPr>
          <w:rFonts w:ascii="宋体" w:hAnsi="宋体" w:cs="宋体" w:eastAsia="宋体" w:hint="default"/>
          <w:sz w:val="18"/>
          <w:szCs w:val="18"/>
        </w:rPr>
      </w:r>
    </w:p>
    <w:p>
      <w:pPr>
        <w:spacing w:before="10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2"/>
        <w:gridCol w:w="2424"/>
        <w:gridCol w:w="2482"/>
      </w:tblGrid>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90,813,118.30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168,690,264.63</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89,275.76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13,497,178.93</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12,469,249.82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29,430,223.45</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103,371,643.88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211,617,667.01</w:t>
            </w:r>
          </w:p>
        </w:tc>
      </w:tr>
      <w:tr>
        <w:trPr>
          <w:trHeight w:val="404"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39,786,169.83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111,706,129.73</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10,239,770.17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19,032,539.86</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1,797,756.96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14,134,953.74</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9,802,507.45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20,892,538.39</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61,626,204.41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165,766,161.72</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41,745,439.47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45,851,505.29</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1,703,066.08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21,853,302.73</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130,000,000.00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75,000,000.00</w:t>
            </w: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6,120,000.00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4"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137,823,066.08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96,853,302.73</w:t>
            </w:r>
          </w:p>
        </w:tc>
      </w:tr>
    </w:tbl>
    <w:p>
      <w:pPr>
        <w:spacing w:after="0" w:line="240" w:lineRule="auto"/>
        <w:jc w:val="right"/>
        <w:rPr>
          <w:rFonts w:ascii="Arial" w:hAnsi="Arial" w:cs="Arial" w:eastAsia="Arial" w:hint="default"/>
          <w:sz w:val="18"/>
          <w:szCs w:val="18"/>
        </w:rPr>
        <w:sectPr>
          <w:pgSz w:w="11910" w:h="16840"/>
          <w:pgMar w:header="884"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-137,823,066.08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-96,853,302.73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16,651,458.95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11,242,340.98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16,651,458.95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11,242,340.98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22,306,265.47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29,600,000.00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1,000,000.00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23,306,265.47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29,600,000.00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-6,654,806.52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-18,357,659.02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-102,732,433.13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-69,359,456.46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337,173,450.26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406,532,906.72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234,441,017.13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337,173,450.26</w:t>
            </w:r>
          </w:p>
        </w:tc>
      </w:tr>
    </w:tbl>
    <w:p>
      <w:pPr>
        <w:spacing w:after="0" w:line="240" w:lineRule="auto"/>
        <w:jc w:val="right"/>
        <w:rPr>
          <w:rFonts w:ascii="Arial" w:hAnsi="Arial" w:cs="Arial" w:eastAsia="Arial" w:hint="default"/>
          <w:sz w:val="18"/>
          <w:szCs w:val="18"/>
        </w:rPr>
        <w:sectPr>
          <w:pgSz w:w="11910" w:h="16840"/>
          <w:pgMar w:header="884" w:footer="1010" w:top="1140" w:bottom="1200" w:left="980" w:right="980"/>
        </w:sectPr>
      </w:pPr>
    </w:p>
    <w:p>
      <w:pPr>
        <w:spacing w:line="240" w:lineRule="auto" w:before="5"/>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0"/>
        <w:ind w:left="140" w:right="0" w:firstLine="0"/>
        <w:jc w:val="left"/>
        <w:rPr>
          <w:rFonts w:ascii="宋体" w:hAnsi="宋体" w:cs="宋体" w:eastAsia="宋体" w:hint="default"/>
          <w:sz w:val="20"/>
          <w:szCs w:val="20"/>
        </w:rPr>
      </w:pPr>
      <w:r>
        <w:rPr>
          <w:rFonts w:ascii="Arial" w:hAnsi="Arial" w:cs="Arial" w:eastAsia="Arial" w:hint="default"/>
          <w:b/>
          <w:bCs/>
          <w:sz w:val="20"/>
          <w:szCs w:val="20"/>
        </w:rPr>
        <w:t>7</w:t>
      </w:r>
      <w:r>
        <w:rPr>
          <w:rFonts w:ascii="宋体" w:hAnsi="宋体" w:cs="宋体" w:eastAsia="宋体" w:hint="default"/>
          <w:b/>
          <w:bCs/>
          <w:sz w:val="20"/>
          <w:szCs w:val="20"/>
        </w:rPr>
        <w:t>、合并所有者权益变动表</w:t>
      </w:r>
      <w:r>
        <w:rPr>
          <w:rFonts w:ascii="宋体" w:hAnsi="宋体" w:cs="宋体" w:eastAsia="宋体" w:hint="default"/>
          <w:sz w:val="20"/>
          <w:szCs w:val="20"/>
        </w:rPr>
      </w:r>
    </w:p>
    <w:p>
      <w:pPr>
        <w:spacing w:line="240" w:lineRule="auto" w:before="4"/>
        <w:rPr>
          <w:rFonts w:ascii="宋体" w:hAnsi="宋体" w:cs="宋体" w:eastAsia="宋体" w:hint="default"/>
          <w:b/>
          <w:bCs/>
          <w:sz w:val="23"/>
          <w:szCs w:val="23"/>
        </w:rPr>
      </w:pPr>
    </w:p>
    <w:p>
      <w:pPr>
        <w:spacing w:before="44"/>
        <w:ind w:left="0" w:right="69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696"/>
        <w:gridCol w:w="1275"/>
        <w:gridCol w:w="566"/>
        <w:gridCol w:w="566"/>
        <w:gridCol w:w="533"/>
        <w:gridCol w:w="1383"/>
        <w:gridCol w:w="566"/>
        <w:gridCol w:w="665"/>
        <w:gridCol w:w="540"/>
        <w:gridCol w:w="1265"/>
        <w:gridCol w:w="665"/>
        <w:gridCol w:w="1320"/>
        <w:gridCol w:w="1145"/>
        <w:gridCol w:w="1364"/>
      </w:tblGrid>
      <w:tr>
        <w:trPr>
          <w:trHeight w:val="402" w:hRule="exact"/>
        </w:trPr>
        <w:tc>
          <w:tcPr>
            <w:tcW w:w="2696" w:type="dxa"/>
            <w:vMerge w:val="restart"/>
            <w:tcBorders>
              <w:top w:val="single" w:sz="4" w:space="0" w:color="000000"/>
              <w:left w:val="single" w:sz="4" w:space="0" w:color="000000"/>
              <w:right w:val="single" w:sz="4" w:space="0" w:color="000000"/>
            </w:tcBorders>
            <w:shd w:val="clear" w:color="auto" w:fill="D2D2D2"/>
          </w:tcPr>
          <w:p>
            <w:pPr/>
          </w:p>
        </w:tc>
        <w:tc>
          <w:tcPr>
            <w:tcW w:w="1185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5"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9345"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5" w:type="dxa"/>
            <w:vMerge w:val="restart"/>
            <w:tcBorders>
              <w:top w:val="single" w:sz="4" w:space="0" w:color="000000"/>
              <w:left w:val="single" w:sz="4" w:space="0" w:color="000000"/>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
        </w:tc>
      </w:tr>
      <w:tr>
        <w:trPr>
          <w:trHeight w:val="220" w:hRule="exact"/>
        </w:trPr>
        <w:tc>
          <w:tcPr>
            <w:tcW w:w="26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345" w:type="dxa"/>
            <w:gridSpan w:val="11"/>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1364"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98" w:right="21" w:hanging="75"/>
              <w:jc w:val="left"/>
              <w:rPr>
                <w:rFonts w:ascii="宋体" w:hAnsi="宋体" w:cs="宋体" w:eastAsia="宋体" w:hint="default"/>
                <w:sz w:val="18"/>
                <w:szCs w:val="18"/>
              </w:rPr>
            </w:pPr>
            <w:r>
              <w:rPr>
                <w:rFonts w:ascii="宋体" w:hAnsi="宋体" w:cs="宋体" w:eastAsia="宋体" w:hint="default"/>
                <w:spacing w:val="-11"/>
                <w:sz w:val="18"/>
                <w:szCs w:val="18"/>
              </w:rPr>
              <w:t>减：库</w:t>
            </w:r>
            <w:r>
              <w:rPr>
                <w:rFonts w:ascii="宋体" w:hAnsi="宋体" w:cs="宋体" w:eastAsia="宋体" w:hint="default"/>
                <w:sz w:val="18"/>
                <w:szCs w:val="18"/>
              </w:rPr>
              <w:t>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86" w:right="8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4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2696" w:type="dxa"/>
            <w:vMerge w:val="restart"/>
            <w:tcBorders>
              <w:top w:val="nil" w:sz="6" w:space="0" w:color="auto"/>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666" w:type="dxa"/>
            <w:gridSpan w:val="3"/>
            <w:vMerge/>
            <w:tcBorders>
              <w:left w:val="single" w:sz="4" w:space="0" w:color="000000"/>
              <w:bottom w:val="single" w:sz="4" w:space="0" w:color="000000"/>
              <w:right w:val="single" w:sz="4" w:space="0" w:color="000000"/>
            </w:tcBorders>
            <w:shd w:val="clear" w:color="auto" w:fill="D2D2D2"/>
          </w:tcPr>
          <w:p>
            <w:pPr/>
          </w:p>
        </w:tc>
        <w:tc>
          <w:tcPr>
            <w:tcW w:w="13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tcBorders>
              <w:left w:val="single" w:sz="4" w:space="0" w:color="000000"/>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5" w:type="dxa"/>
            <w:vMerge/>
            <w:tcBorders>
              <w:left w:val="single" w:sz="4" w:space="0" w:color="000000"/>
              <w:bottom w:val="nil" w:sz="6" w:space="0" w:color="auto"/>
              <w:right w:val="single" w:sz="4" w:space="0" w:color="000000"/>
            </w:tcBorders>
            <w:shd w:val="clear" w:color="auto" w:fill="D2D2D2"/>
          </w:tcPr>
          <w:p>
            <w:pPr/>
          </w:p>
        </w:tc>
        <w:tc>
          <w:tcPr>
            <w:tcW w:w="1364"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696"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w w:val="95"/>
                <w:sz w:val="18"/>
                <w:szCs w:val="18"/>
              </w:rPr>
              <w:t>优先股</w:t>
            </w:r>
            <w:r>
              <w:rPr>
                <w:rFonts w:ascii="宋体" w:hAnsi="宋体" w:cs="宋体" w:eastAsia="宋体" w:hint="default"/>
                <w:sz w:val="18"/>
                <w:szCs w:val="18"/>
              </w:rPr>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w w:val="95"/>
                <w:sz w:val="18"/>
                <w:szCs w:val="18"/>
              </w:rPr>
              <w:t>永续债</w:t>
            </w:r>
            <w:r>
              <w:rPr>
                <w:rFonts w:ascii="宋体" w:hAnsi="宋体" w:cs="宋体" w:eastAsia="宋体" w:hint="default"/>
                <w:sz w:val="18"/>
                <w:szCs w:val="18"/>
              </w:rPr>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3"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
        </w:tc>
        <w:tc>
          <w:tcPr>
            <w:tcW w:w="1364"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1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148,708,500.0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13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442,483,878.03</w:t>
            </w:r>
          </w:p>
        </w:tc>
        <w:tc>
          <w:tcPr>
            <w:tcW w:w="566" w:type="dxa"/>
            <w:vMerge w:val="restart"/>
            <w:tcBorders>
              <w:top w:val="single" w:sz="18" w:space="0" w:color="D2D2D2"/>
              <w:left w:val="single" w:sz="4" w:space="0" w:color="000000"/>
              <w:right w:val="single" w:sz="4" w:space="0" w:color="000000"/>
            </w:tcBorders>
          </w:tcPr>
          <w:p>
            <w:pPr/>
          </w:p>
        </w:tc>
        <w:tc>
          <w:tcPr>
            <w:tcW w:w="665" w:type="dxa"/>
            <w:vMerge w:val="restart"/>
            <w:tcBorders>
              <w:top w:val="single" w:sz="18" w:space="0" w:color="D2D2D2"/>
              <w:left w:val="single" w:sz="4" w:space="0" w:color="000000"/>
              <w:right w:val="single" w:sz="4" w:space="0" w:color="000000"/>
            </w:tcBorders>
          </w:tcPr>
          <w:p>
            <w:pPr/>
          </w:p>
        </w:tc>
        <w:tc>
          <w:tcPr>
            <w:tcW w:w="540" w:type="dxa"/>
            <w:vMerge w:val="restart"/>
            <w:tcBorders>
              <w:top w:val="single" w:sz="18" w:space="0" w:color="D2D2D2"/>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Arial" w:hAnsi="Arial" w:cs="Arial" w:eastAsia="Arial" w:hint="default"/>
                <w:sz w:val="18"/>
                <w:szCs w:val="18"/>
              </w:rPr>
            </w:pPr>
            <w:r>
              <w:rPr>
                <w:rFonts w:ascii="Arial"/>
                <w:sz w:val="18"/>
              </w:rPr>
              <w:t>37,280,137.26</w:t>
            </w:r>
          </w:p>
        </w:tc>
        <w:tc>
          <w:tcPr>
            <w:tcW w:w="665" w:type="dxa"/>
            <w:vMerge w:val="restart"/>
            <w:tcBorders>
              <w:top w:val="single" w:sz="18" w:space="0" w:color="D2D2D2"/>
              <w:left w:val="single" w:sz="4" w:space="0" w:color="000000"/>
              <w:right w:val="single" w:sz="4" w:space="0" w:color="000000"/>
            </w:tcBorders>
          </w:tcPr>
          <w:p>
            <w:pP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left"/>
              <w:rPr>
                <w:rFonts w:ascii="Arial" w:hAnsi="Arial" w:cs="Arial" w:eastAsia="Arial" w:hint="default"/>
                <w:sz w:val="18"/>
                <w:szCs w:val="18"/>
              </w:rPr>
            </w:pPr>
            <w:r>
              <w:rPr>
                <w:rFonts w:ascii="Arial"/>
                <w:sz w:val="18"/>
              </w:rPr>
              <w:t>333,512,382.66</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26,046,045.8</w:t>
            </w:r>
          </w:p>
          <w:p>
            <w:pPr>
              <w:pStyle w:val="TableParagraph"/>
              <w:spacing w:line="240" w:lineRule="auto" w:before="105"/>
              <w:ind w:right="22"/>
              <w:jc w:val="right"/>
              <w:rPr>
                <w:rFonts w:ascii="Arial" w:hAnsi="Arial" w:cs="Arial" w:eastAsia="Arial" w:hint="default"/>
                <w:sz w:val="18"/>
                <w:szCs w:val="18"/>
              </w:rPr>
            </w:pPr>
            <w:r>
              <w:rPr>
                <w:rFonts w:ascii="Arial"/>
                <w:w w:val="99"/>
                <w:sz w:val="18"/>
              </w:rPr>
              <w:t>4</w:t>
            </w:r>
            <w:r>
              <w:rPr>
                <w:rFonts w:ascii="Arial"/>
                <w:sz w:val="18"/>
              </w:rPr>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Arial" w:hAnsi="Arial" w:cs="Arial" w:eastAsia="Arial" w:hint="default"/>
                <w:sz w:val="18"/>
                <w:szCs w:val="18"/>
              </w:rPr>
            </w:pPr>
            <w:r>
              <w:rPr>
                <w:rFonts w:ascii="Arial"/>
                <w:sz w:val="18"/>
              </w:rPr>
              <w:t>988,030,943.79</w:t>
            </w:r>
          </w:p>
        </w:tc>
      </w:tr>
      <w:tr>
        <w:trPr>
          <w:trHeight w:val="391"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5"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138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145" w:type="dxa"/>
            <w:vMerge/>
            <w:tcBorders>
              <w:left w:val="single" w:sz="4" w:space="0" w:color="000000"/>
              <w:right w:val="single" w:sz="4" w:space="0" w:color="000000"/>
            </w:tcBorders>
          </w:tcPr>
          <w:p>
            <w:pPr/>
          </w:p>
        </w:tc>
        <w:tc>
          <w:tcPr>
            <w:tcW w:w="1364" w:type="dxa"/>
            <w:vMerge/>
            <w:tcBorders>
              <w:left w:val="single" w:sz="4" w:space="0" w:color="000000"/>
              <w:right w:val="single" w:sz="4" w:space="0" w:color="000000"/>
            </w:tcBorders>
          </w:tcPr>
          <w:p>
            <w:pPr/>
          </w:p>
        </w:tc>
      </w:tr>
      <w:tr>
        <w:trPr>
          <w:trHeight w:val="161"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138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5"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5"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75"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148,708,500.0</w:t>
            </w:r>
          </w:p>
          <w:p>
            <w:pPr>
              <w:pStyle w:val="TableParagraph"/>
              <w:spacing w:line="240" w:lineRule="auto" w:before="103"/>
              <w:ind w:right="22"/>
              <w:jc w:val="right"/>
              <w:rPr>
                <w:rFonts w:ascii="Arial" w:hAnsi="Arial" w:cs="Arial" w:eastAsia="Arial" w:hint="default"/>
                <w:sz w:val="18"/>
                <w:szCs w:val="18"/>
              </w:rPr>
            </w:pPr>
            <w:r>
              <w:rPr>
                <w:rFonts w:ascii="Arial"/>
                <w:w w:val="99"/>
                <w:sz w:val="18"/>
              </w:rPr>
              <w:t>0</w:t>
            </w:r>
            <w:r>
              <w:rPr>
                <w:rFonts w:ascii="Arial"/>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13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Arial" w:hAnsi="Arial" w:cs="Arial" w:eastAsia="Arial" w:hint="default"/>
                <w:sz w:val="18"/>
                <w:szCs w:val="18"/>
              </w:rPr>
            </w:pPr>
            <w:r>
              <w:rPr>
                <w:rFonts w:ascii="Arial"/>
                <w:sz w:val="18"/>
              </w:rPr>
              <w:t>442,483,878.03</w:t>
            </w:r>
          </w:p>
        </w:tc>
        <w:tc>
          <w:tcPr>
            <w:tcW w:w="5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Arial" w:hAnsi="Arial" w:cs="Arial" w:eastAsia="Arial" w:hint="default"/>
                <w:sz w:val="18"/>
                <w:szCs w:val="18"/>
              </w:rPr>
            </w:pPr>
            <w:r>
              <w:rPr>
                <w:rFonts w:ascii="Arial"/>
                <w:sz w:val="18"/>
              </w:rPr>
              <w:t>37,280,137.26</w:t>
            </w:r>
          </w:p>
        </w:tc>
        <w:tc>
          <w:tcPr>
            <w:tcW w:w="665" w:type="dxa"/>
            <w:vMerge w:val="restart"/>
            <w:tcBorders>
              <w:top w:val="single" w:sz="4" w:space="0" w:color="000000"/>
              <w:left w:val="single" w:sz="4" w:space="0" w:color="000000"/>
              <w:right w:val="single" w:sz="4" w:space="0" w:color="000000"/>
            </w:tcBorders>
          </w:tcPr>
          <w:p>
            <w:pP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Arial" w:hAnsi="Arial" w:cs="Arial" w:eastAsia="Arial" w:hint="default"/>
                <w:sz w:val="18"/>
                <w:szCs w:val="18"/>
              </w:rPr>
            </w:pPr>
            <w:r>
              <w:rPr>
                <w:rFonts w:ascii="Arial"/>
                <w:sz w:val="18"/>
              </w:rPr>
              <w:t>333,512,382.66</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26,046,045.8</w:t>
            </w:r>
          </w:p>
          <w:p>
            <w:pPr>
              <w:pStyle w:val="TableParagraph"/>
              <w:spacing w:line="240" w:lineRule="auto" w:before="103"/>
              <w:ind w:right="22"/>
              <w:jc w:val="right"/>
              <w:rPr>
                <w:rFonts w:ascii="Arial" w:hAnsi="Arial" w:cs="Arial" w:eastAsia="Arial" w:hint="default"/>
                <w:sz w:val="18"/>
                <w:szCs w:val="18"/>
              </w:rPr>
            </w:pPr>
            <w:r>
              <w:rPr>
                <w:rFonts w:ascii="Arial"/>
                <w:w w:val="99"/>
                <w:sz w:val="18"/>
              </w:rPr>
              <w:t>4</w:t>
            </w:r>
            <w:r>
              <w:rPr>
                <w:rFonts w:ascii="Arial"/>
                <w:sz w:val="18"/>
              </w:rPr>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Arial" w:hAnsi="Arial" w:cs="Arial" w:eastAsia="Arial" w:hint="default"/>
                <w:sz w:val="18"/>
                <w:szCs w:val="18"/>
              </w:rPr>
            </w:pPr>
            <w:r>
              <w:rPr>
                <w:rFonts w:ascii="Arial"/>
                <w:sz w:val="18"/>
              </w:rPr>
              <w:t>988,030,943.79</w:t>
            </w:r>
          </w:p>
        </w:tc>
      </w:tr>
      <w:tr>
        <w:trPr>
          <w:trHeight w:val="392"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5"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138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145" w:type="dxa"/>
            <w:vMerge/>
            <w:tcBorders>
              <w:left w:val="single" w:sz="4" w:space="0" w:color="000000"/>
              <w:right w:val="single" w:sz="4" w:space="0" w:color="000000"/>
            </w:tcBorders>
          </w:tcPr>
          <w:p>
            <w:pPr/>
          </w:p>
        </w:tc>
        <w:tc>
          <w:tcPr>
            <w:tcW w:w="1364" w:type="dxa"/>
            <w:vMerge/>
            <w:tcBorders>
              <w:left w:val="single" w:sz="4" w:space="0" w:color="000000"/>
              <w:right w:val="single" w:sz="4" w:space="0" w:color="000000"/>
            </w:tcBorders>
          </w:tcPr>
          <w:p>
            <w:pPr/>
          </w:p>
        </w:tc>
      </w:tr>
      <w:tr>
        <w:trPr>
          <w:trHeight w:val="161"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138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6"/>
              <w:ind w:left="2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1,246,050.00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30,902,779.46</w:t>
            </w: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 w:right="0"/>
              <w:jc w:val="center"/>
              <w:rPr>
                <w:rFonts w:ascii="Arial" w:hAnsi="Arial" w:cs="Arial" w:eastAsia="Arial" w:hint="default"/>
                <w:sz w:val="18"/>
                <w:szCs w:val="18"/>
              </w:rPr>
            </w:pPr>
            <w:r>
              <w:rPr>
                <w:rFonts w:ascii="Arial"/>
                <w:sz w:val="18"/>
              </w:rPr>
              <w:t>125,074,248.92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Arial" w:hAnsi="Arial" w:cs="Arial" w:eastAsia="Arial" w:hint="default"/>
                <w:sz w:val="18"/>
                <w:szCs w:val="18"/>
              </w:rPr>
            </w:pPr>
            <w:r>
              <w:rPr>
                <w:rFonts w:ascii="Arial"/>
                <w:sz w:val="18"/>
              </w:rPr>
              <w:t>8,110,169.66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165,333,248.04</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5"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 w:right="0"/>
              <w:jc w:val="center"/>
              <w:rPr>
                <w:rFonts w:ascii="Arial" w:hAnsi="Arial" w:cs="Arial" w:eastAsia="Arial" w:hint="default"/>
                <w:sz w:val="18"/>
                <w:szCs w:val="18"/>
              </w:rPr>
            </w:pPr>
            <w:r>
              <w:rPr>
                <w:rFonts w:ascii="Arial"/>
                <w:sz w:val="18"/>
              </w:rPr>
              <w:t>147,380,514.39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2,230,169.66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149,610,684.05</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1,246,050.00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30,902,779.46</w:t>
            </w: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5,880,000.00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38,028,829.46</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．股东投入的普通股</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1,246,050.00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20,746,191.70</w:t>
            </w: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5,880,000.00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27,872,241.70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．其他权益工具持有者投入资本</w:t>
            </w:r>
          </w:p>
        </w:tc>
        <w:tc>
          <w:tcPr>
            <w:tcW w:w="1275"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3" w:right="39"/>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．股份支付计入所有者权益的金 额</w:t>
            </w:r>
          </w:p>
        </w:tc>
        <w:tc>
          <w:tcPr>
            <w:tcW w:w="1275"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10,156,587.76</w:t>
            </w: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10,156,587.76</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5"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center"/>
              <w:rPr>
                <w:rFonts w:ascii="Arial" w:hAnsi="Arial" w:cs="Arial" w:eastAsia="Arial" w:hint="default"/>
                <w:sz w:val="18"/>
                <w:szCs w:val="18"/>
              </w:rPr>
            </w:pPr>
            <w:r>
              <w:rPr>
                <w:rFonts w:ascii="Arial"/>
                <w:sz w:val="18"/>
              </w:rPr>
              <w:t>-22,306,265.47</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-22,306,265.47</w:t>
            </w:r>
          </w:p>
        </w:tc>
      </w:tr>
    </w:tbl>
    <w:p>
      <w:pPr>
        <w:spacing w:after="0" w:line="240" w:lineRule="auto"/>
        <w:jc w:val="right"/>
        <w:rPr>
          <w:rFonts w:ascii="Arial" w:hAnsi="Arial" w:cs="Arial" w:eastAsia="Arial" w:hint="default"/>
          <w:sz w:val="18"/>
          <w:szCs w:val="18"/>
        </w:rPr>
        <w:sectPr>
          <w:headerReference w:type="default" r:id="rId36"/>
          <w:footerReference w:type="default" r:id="rId37"/>
          <w:pgSz w:w="16840" w:h="11910" w:orient="landscape"/>
          <w:pgMar w:header="884" w:footer="1011" w:top="1100" w:bottom="1200" w:left="1300" w:right="740"/>
          <w:pgNumType w:start="7"/>
        </w:sectPr>
      </w:pP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4"/>
        <w:gridCol w:w="1276"/>
        <w:gridCol w:w="566"/>
        <w:gridCol w:w="566"/>
        <w:gridCol w:w="533"/>
        <w:gridCol w:w="1383"/>
        <w:gridCol w:w="566"/>
        <w:gridCol w:w="665"/>
        <w:gridCol w:w="540"/>
        <w:gridCol w:w="1265"/>
        <w:gridCol w:w="665"/>
        <w:gridCol w:w="1320"/>
        <w:gridCol w:w="1145"/>
        <w:gridCol w:w="1364"/>
      </w:tblGrid>
      <w:tr>
        <w:trPr>
          <w:trHeight w:val="413" w:hRule="exact"/>
        </w:trPr>
        <w:tc>
          <w:tcPr>
            <w:tcW w:w="269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27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1383"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
        </w:tc>
        <w:tc>
          <w:tcPr>
            <w:tcW w:w="12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1320" w:type="dxa"/>
            <w:tcBorders>
              <w:top w:val="single" w:sz="10" w:space="0" w:color="000000"/>
              <w:left w:val="single" w:sz="4" w:space="0" w:color="000000"/>
              <w:bottom w:val="single" w:sz="4" w:space="0" w:color="000000"/>
              <w:right w:val="single" w:sz="4" w:space="0" w:color="000000"/>
            </w:tcBorders>
          </w:tcPr>
          <w:p>
            <w:pPr/>
          </w:p>
        </w:tc>
        <w:tc>
          <w:tcPr>
            <w:tcW w:w="1145" w:type="dxa"/>
            <w:tcBorders>
              <w:top w:val="single" w:sz="10" w:space="0" w:color="000000"/>
              <w:left w:val="single" w:sz="4" w:space="0" w:color="000000"/>
              <w:bottom w:val="single" w:sz="4" w:space="0" w:color="000000"/>
              <w:right w:val="single" w:sz="4" w:space="0" w:color="000000"/>
            </w:tcBorders>
          </w:tcPr>
          <w:p>
            <w:pPr/>
          </w:p>
        </w:tc>
        <w:tc>
          <w:tcPr>
            <w:tcW w:w="1364"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．对所有者（或股东）的分配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center"/>
              <w:rPr>
                <w:rFonts w:ascii="Arial" w:hAnsi="Arial" w:cs="Arial" w:eastAsia="Arial" w:hint="default"/>
                <w:sz w:val="18"/>
                <w:szCs w:val="18"/>
              </w:rPr>
            </w:pPr>
            <w:r>
              <w:rPr>
                <w:rFonts w:ascii="Arial"/>
                <w:sz w:val="18"/>
              </w:rPr>
              <w:t>-22,306,265.47</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0" w:right="0"/>
              <w:jc w:val="left"/>
              <w:rPr>
                <w:rFonts w:ascii="Arial" w:hAnsi="Arial" w:cs="Arial" w:eastAsia="Arial" w:hint="default"/>
                <w:sz w:val="18"/>
                <w:szCs w:val="18"/>
              </w:rPr>
            </w:pPr>
            <w:r>
              <w:rPr>
                <w:rFonts w:ascii="Arial"/>
                <w:sz w:val="18"/>
              </w:rPr>
              <w:t>-22,306,265.47</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149,954,550.0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473,386,657.49</w:t>
            </w: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Arial" w:hAnsi="Arial" w:cs="Arial" w:eastAsia="Arial" w:hint="default"/>
                <w:sz w:val="18"/>
                <w:szCs w:val="18"/>
              </w:rPr>
            </w:pPr>
            <w:r>
              <w:rPr>
                <w:rFonts w:ascii="Arial"/>
                <w:sz w:val="18"/>
              </w:rPr>
              <w:t>37,280,137.26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 w:right="0"/>
              <w:jc w:val="center"/>
              <w:rPr>
                <w:rFonts w:ascii="Arial" w:hAnsi="Arial" w:cs="Arial" w:eastAsia="Arial" w:hint="default"/>
                <w:sz w:val="18"/>
                <w:szCs w:val="18"/>
              </w:rPr>
            </w:pPr>
            <w:r>
              <w:rPr>
                <w:rFonts w:ascii="Arial"/>
                <w:sz w:val="18"/>
              </w:rPr>
              <w:t>458,586,631.58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34,156,215.5</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1,153,364,191.8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3</w:t>
            </w:r>
            <w:r>
              <w:rPr>
                <w:rFonts w:ascii="Arial"/>
                <w:sz w:val="18"/>
              </w:rPr>
            </w:r>
          </w:p>
        </w:tc>
      </w:tr>
    </w:tbl>
    <w:p>
      <w:pPr>
        <w:spacing w:before="49"/>
        <w:ind w:left="0" w:right="755" w:firstLine="0"/>
        <w:jc w:val="right"/>
        <w:rPr>
          <w:rFonts w:ascii="宋体" w:hAnsi="宋体" w:cs="宋体" w:eastAsia="宋体" w:hint="default"/>
          <w:sz w:val="18"/>
          <w:szCs w:val="18"/>
        </w:rPr>
      </w:pPr>
      <w:r>
        <w:rPr/>
        <w:pict>
          <v:group style="position:absolute;margin-left:482.350006pt;margin-top:62.527725pt;width:.1pt;height:35.2pt;mso-position-horizontal-relative:page;mso-position-vertical-relative:paragraph;z-index:-742384" coordorigin="9647,1251" coordsize="2,704">
            <v:shape style="position:absolute;left:9647;top:1251;width:2;height:704" coordorigin="9647,1251" coordsize="0,704" path="m9647,1251l9647,1954e" filled="false" stroked="true" strokeweight="1.2pt" strokecolor="#d2d2d2">
              <v:path arrowok="t"/>
            </v:shape>
            <w10:wrap type="none"/>
          </v:group>
        </w:pict>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2694"/>
        <w:gridCol w:w="1264"/>
        <w:gridCol w:w="566"/>
        <w:gridCol w:w="566"/>
        <w:gridCol w:w="427"/>
        <w:gridCol w:w="1416"/>
        <w:gridCol w:w="566"/>
        <w:gridCol w:w="710"/>
        <w:gridCol w:w="566"/>
        <w:gridCol w:w="1277"/>
        <w:gridCol w:w="708"/>
        <w:gridCol w:w="1274"/>
        <w:gridCol w:w="1135"/>
        <w:gridCol w:w="1419"/>
      </w:tblGrid>
      <w:tr>
        <w:trPr>
          <w:trHeight w:val="403" w:hRule="exact"/>
        </w:trPr>
        <w:tc>
          <w:tcPr>
            <w:tcW w:w="2694" w:type="dxa"/>
            <w:vMerge w:val="restart"/>
            <w:tcBorders>
              <w:top w:val="single" w:sz="4" w:space="0" w:color="000000"/>
              <w:left w:val="single" w:sz="4" w:space="0" w:color="000000"/>
              <w:right w:val="single" w:sz="4" w:space="0" w:color="000000"/>
            </w:tcBorders>
            <w:shd w:val="clear" w:color="auto" w:fill="D2D2D2"/>
          </w:tcPr>
          <w:p>
            <w:pPr/>
          </w:p>
        </w:tc>
        <w:tc>
          <w:tcPr>
            <w:tcW w:w="1189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28" w:hRule="exact"/>
        </w:trPr>
        <w:tc>
          <w:tcPr>
            <w:tcW w:w="2694" w:type="dxa"/>
            <w:vMerge/>
            <w:tcBorders>
              <w:left w:val="single" w:sz="4" w:space="0" w:color="000000"/>
              <w:bottom w:val="nil" w:sz="6" w:space="0" w:color="auto"/>
              <w:right w:val="single" w:sz="4" w:space="0" w:color="000000"/>
            </w:tcBorders>
            <w:shd w:val="clear" w:color="auto" w:fill="D2D2D2"/>
          </w:tcPr>
          <w:p>
            <w:pPr/>
          </w:p>
        </w:tc>
        <w:tc>
          <w:tcPr>
            <w:tcW w:w="934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26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9344" w:type="dxa"/>
            <w:gridSpan w:val="11"/>
            <w:vMerge/>
            <w:tcBorders>
              <w:left w:val="single" w:sz="4" w:space="0" w:color="000000"/>
              <w:bottom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472"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694" w:type="dxa"/>
            <w:vMerge/>
            <w:tcBorders>
              <w:left w:val="single" w:sz="4" w:space="0" w:color="000000"/>
              <w:bottom w:val="nil" w:sz="6" w:space="0" w:color="auto"/>
              <w:right w:val="single" w:sz="4" w:space="0" w:color="000000"/>
            </w:tcBorders>
            <w:shd w:val="clear" w:color="auto" w:fill="D2D2D2"/>
          </w:tcPr>
          <w:p>
            <w:pPr/>
          </w:p>
        </w:tc>
        <w:tc>
          <w:tcPr>
            <w:tcW w:w="12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left="23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79" w:right="7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76" w:right="7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2694" w:type="dxa"/>
            <w:vMerge w:val="restart"/>
            <w:tcBorders>
              <w:top w:val="nil" w:sz="6" w:space="0" w:color="auto"/>
              <w:left w:val="single" w:sz="4" w:space="0" w:color="000000"/>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股本</w:t>
            </w:r>
          </w:p>
        </w:tc>
        <w:tc>
          <w:tcPr>
            <w:tcW w:w="1560"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2694" w:type="dxa"/>
            <w:vMerge/>
            <w:tcBorders>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w w:val="95"/>
                <w:sz w:val="18"/>
                <w:szCs w:val="18"/>
              </w:rPr>
              <w:t>优先股</w:t>
            </w:r>
            <w:r>
              <w:rPr>
                <w:rFonts w:ascii="宋体" w:hAnsi="宋体" w:cs="宋体" w:eastAsia="宋体" w:hint="default"/>
                <w:sz w:val="18"/>
                <w:szCs w:val="18"/>
              </w:rPr>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w w:val="95"/>
                <w:sz w:val="18"/>
                <w:szCs w:val="18"/>
              </w:rPr>
              <w:t>永续债</w:t>
            </w:r>
            <w:r>
              <w:rPr>
                <w:rFonts w:ascii="宋体" w:hAnsi="宋体" w:cs="宋体" w:eastAsia="宋体" w:hint="default"/>
                <w:sz w:val="18"/>
                <w:szCs w:val="18"/>
              </w:rPr>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18" w:space="0" w:color="FFFFFF"/>
              <w:right w:val="single" w:sz="4" w:space="0" w:color="000000"/>
            </w:tcBorders>
            <w:shd w:val="clear" w:color="auto" w:fill="D2D2D2"/>
          </w:tcPr>
          <w:p>
            <w:pPr/>
          </w:p>
        </w:tc>
        <w:tc>
          <w:tcPr>
            <w:tcW w:w="1135" w:type="dxa"/>
            <w:vMerge/>
            <w:tcBorders>
              <w:left w:val="single" w:sz="4" w:space="0" w:color="000000"/>
              <w:bottom w:val="single" w:sz="18" w:space="0" w:color="FFFFFF"/>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r>
      <w:tr>
        <w:trPr>
          <w:trHeight w:val="209"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26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135"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4" w:type="dxa"/>
            <w:vMerge w:val="restart"/>
            <w:tcBorders>
              <w:top w:val="single" w:sz="4" w:space="0" w:color="000000"/>
              <w:left w:val="single" w:sz="9" w:space="0" w:color="D2D2D2"/>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148,000,000.0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1" w:right="0"/>
              <w:jc w:val="left"/>
              <w:rPr>
                <w:rFonts w:ascii="Arial" w:hAnsi="Arial" w:cs="Arial" w:eastAsia="Arial" w:hint="default"/>
                <w:sz w:val="18"/>
                <w:szCs w:val="18"/>
              </w:rPr>
            </w:pPr>
            <w:r>
              <w:rPr>
                <w:rFonts w:ascii="Arial"/>
                <w:sz w:val="18"/>
              </w:rPr>
              <w:t>427,774,946.08</w:t>
            </w:r>
          </w:p>
        </w:tc>
        <w:tc>
          <w:tcPr>
            <w:tcW w:w="566" w:type="dxa"/>
            <w:vMerge w:val="restart"/>
            <w:tcBorders>
              <w:top w:val="single" w:sz="18" w:space="0" w:color="D2D2D2"/>
              <w:left w:val="single" w:sz="4" w:space="0" w:color="000000"/>
              <w:right w:val="single" w:sz="4" w:space="0" w:color="000000"/>
            </w:tcBorders>
          </w:tcPr>
          <w:p>
            <w:pPr/>
          </w:p>
        </w:tc>
        <w:tc>
          <w:tcPr>
            <w:tcW w:w="710" w:type="dxa"/>
            <w:vMerge w:val="restart"/>
            <w:tcBorders>
              <w:top w:val="single" w:sz="18" w:space="0" w:color="D2D2D2"/>
              <w:left w:val="single" w:sz="4" w:space="0" w:color="000000"/>
              <w:right w:val="single" w:sz="4" w:space="0" w:color="000000"/>
            </w:tcBorders>
          </w:tcPr>
          <w:p>
            <w:pPr/>
          </w:p>
        </w:tc>
        <w:tc>
          <w:tcPr>
            <w:tcW w:w="566" w:type="dxa"/>
            <w:vMerge w:val="restart"/>
            <w:tcBorders>
              <w:top w:val="single" w:sz="18" w:space="0" w:color="D2D2D2"/>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left"/>
              <w:rPr>
                <w:rFonts w:ascii="Arial" w:hAnsi="Arial" w:cs="Arial" w:eastAsia="Arial" w:hint="default"/>
                <w:sz w:val="18"/>
                <w:szCs w:val="18"/>
              </w:rPr>
            </w:pPr>
            <w:r>
              <w:rPr>
                <w:rFonts w:ascii="Arial"/>
                <w:sz w:val="18"/>
              </w:rPr>
              <w:t>35,936,476.62</w:t>
            </w:r>
          </w:p>
        </w:tc>
        <w:tc>
          <w:tcPr>
            <w:tcW w:w="708" w:type="dxa"/>
            <w:vMerge w:val="restart"/>
            <w:tcBorders>
              <w:top w:val="single" w:sz="18" w:space="0" w:color="D2D2D2"/>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244,245,882.0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16,389,288.9</w:t>
            </w:r>
          </w:p>
          <w:p>
            <w:pPr>
              <w:pStyle w:val="TableParagraph"/>
              <w:spacing w:line="240" w:lineRule="auto" w:before="105"/>
              <w:ind w:right="22"/>
              <w:jc w:val="right"/>
              <w:rPr>
                <w:rFonts w:ascii="Arial" w:hAnsi="Arial" w:cs="Arial" w:eastAsia="Arial" w:hint="default"/>
                <w:sz w:val="18"/>
                <w:szCs w:val="18"/>
              </w:rPr>
            </w:pPr>
            <w:r>
              <w:rPr>
                <w:rFonts w:ascii="Arial"/>
                <w:w w:val="99"/>
                <w:sz w:val="18"/>
              </w:rPr>
              <w:t>8</w:t>
            </w:r>
            <w:r>
              <w:rPr>
                <w:rFonts w:ascii="Arial"/>
                <w:sz w:val="18"/>
              </w:rPr>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7" w:right="0"/>
              <w:jc w:val="left"/>
              <w:rPr>
                <w:rFonts w:ascii="Arial" w:hAnsi="Arial" w:cs="Arial" w:eastAsia="Arial" w:hint="default"/>
                <w:sz w:val="18"/>
                <w:szCs w:val="18"/>
              </w:rPr>
            </w:pPr>
            <w:r>
              <w:rPr>
                <w:rFonts w:ascii="Arial"/>
                <w:sz w:val="18"/>
              </w:rPr>
              <w:t>872,346,593.68</w:t>
            </w:r>
          </w:p>
        </w:tc>
      </w:tr>
      <w:tr>
        <w:trPr>
          <w:trHeight w:val="394"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64"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r>
      <w:tr>
        <w:trPr>
          <w:trHeight w:val="161" w:hRule="exact"/>
        </w:trPr>
        <w:tc>
          <w:tcPr>
            <w:tcW w:w="2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4"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4"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64"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1011" w:top="1100" w:bottom="1200" w:left="1320" w:right="680"/>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4"/>
        <w:gridCol w:w="1276"/>
        <w:gridCol w:w="566"/>
        <w:gridCol w:w="566"/>
        <w:gridCol w:w="427"/>
        <w:gridCol w:w="1416"/>
        <w:gridCol w:w="566"/>
        <w:gridCol w:w="710"/>
        <w:gridCol w:w="566"/>
        <w:gridCol w:w="1277"/>
        <w:gridCol w:w="708"/>
        <w:gridCol w:w="1274"/>
        <w:gridCol w:w="1135"/>
        <w:gridCol w:w="1419"/>
      </w:tblGrid>
      <w:tr>
        <w:trPr>
          <w:trHeight w:val="413" w:hRule="exact"/>
        </w:trPr>
        <w:tc>
          <w:tcPr>
            <w:tcW w:w="269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7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141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148,000,000.0</w:t>
            </w:r>
          </w:p>
          <w:p>
            <w:pPr>
              <w:pStyle w:val="TableParagraph"/>
              <w:spacing w:line="240" w:lineRule="auto" w:before="102"/>
              <w:ind w:right="22"/>
              <w:jc w:val="right"/>
              <w:rPr>
                <w:rFonts w:ascii="Arial" w:hAnsi="Arial" w:cs="Arial" w:eastAsia="Arial" w:hint="default"/>
                <w:sz w:val="18"/>
                <w:szCs w:val="18"/>
              </w:rPr>
            </w:pPr>
            <w:r>
              <w:rPr>
                <w:rFonts w:ascii="Arial"/>
                <w:w w:val="99"/>
                <w:sz w:val="18"/>
              </w:rPr>
              <w:t>0</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427,774,946.08</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Arial" w:hAnsi="Arial" w:cs="Arial" w:eastAsia="Arial" w:hint="default"/>
                <w:sz w:val="18"/>
                <w:szCs w:val="18"/>
              </w:rPr>
            </w:pPr>
            <w:r>
              <w:rPr>
                <w:rFonts w:ascii="Arial"/>
                <w:sz w:val="18"/>
              </w:rPr>
              <w:t>35,936,476.62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244,245,882.0</w:t>
            </w:r>
          </w:p>
          <w:p>
            <w:pPr>
              <w:pStyle w:val="TableParagraph"/>
              <w:spacing w:line="240" w:lineRule="auto" w:before="102"/>
              <w:ind w:right="22"/>
              <w:jc w:val="right"/>
              <w:rPr>
                <w:rFonts w:ascii="Arial" w:hAnsi="Arial" w:cs="Arial" w:eastAsia="Arial" w:hint="default"/>
                <w:sz w:val="18"/>
                <w:szCs w:val="18"/>
              </w:rPr>
            </w:pPr>
            <w:r>
              <w:rPr>
                <w:rFonts w:ascii="Arial"/>
                <w:w w:val="99"/>
                <w:sz w:val="18"/>
              </w:rPr>
              <w:t>0</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16,389,288.9</w:t>
            </w:r>
          </w:p>
          <w:p>
            <w:pPr>
              <w:pStyle w:val="TableParagraph"/>
              <w:spacing w:line="240" w:lineRule="auto" w:before="102"/>
              <w:ind w:right="22"/>
              <w:jc w:val="right"/>
              <w:rPr>
                <w:rFonts w:ascii="Arial" w:hAnsi="Arial" w:cs="Arial" w:eastAsia="Arial" w:hint="default"/>
                <w:sz w:val="18"/>
                <w:szCs w:val="18"/>
              </w:rPr>
            </w:pPr>
            <w:r>
              <w:rPr>
                <w:rFonts w:ascii="Arial"/>
                <w:w w:val="99"/>
                <w:sz w:val="18"/>
              </w:rPr>
              <w:t>8</w:t>
            </w:r>
            <w:r>
              <w:rPr>
                <w:rFonts w:ascii="Arial"/>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872,346,593.68</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6"/>
              <w:ind w:left="2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708,500.00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14,708,931.95</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67" w:right="0"/>
              <w:jc w:val="center"/>
              <w:rPr>
                <w:rFonts w:ascii="Arial" w:hAnsi="Arial" w:cs="Arial" w:eastAsia="Arial" w:hint="default"/>
                <w:sz w:val="18"/>
                <w:szCs w:val="18"/>
              </w:rPr>
            </w:pPr>
            <w:r>
              <w:rPr>
                <w:rFonts w:ascii="Arial"/>
                <w:sz w:val="18"/>
              </w:rPr>
              <w:t>1,343,660.64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89,266,500.66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Arial" w:hAnsi="Arial" w:cs="Arial" w:eastAsia="Arial" w:hint="default"/>
                <w:sz w:val="18"/>
                <w:szCs w:val="18"/>
              </w:rPr>
            </w:pPr>
            <w:r>
              <w:rPr>
                <w:rFonts w:ascii="Arial"/>
                <w:sz w:val="18"/>
              </w:rPr>
              <w:t>9,656,756.86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115,684,350.11</w:t>
            </w:r>
          </w:p>
        </w:tc>
      </w:tr>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120,210,161.3</w:t>
            </w:r>
          </w:p>
          <w:p>
            <w:pPr>
              <w:pStyle w:val="TableParagraph"/>
              <w:spacing w:line="240" w:lineRule="auto" w:before="103"/>
              <w:ind w:right="22"/>
              <w:jc w:val="right"/>
              <w:rPr>
                <w:rFonts w:ascii="Arial" w:hAnsi="Arial" w:cs="Arial" w:eastAsia="Arial" w:hint="default"/>
                <w:sz w:val="18"/>
                <w:szCs w:val="18"/>
              </w:rPr>
            </w:pPr>
            <w:r>
              <w:rPr>
                <w:rFonts w:ascii="Arial"/>
                <w:w w:val="99"/>
                <w:sz w:val="18"/>
              </w:rPr>
              <w:t>0</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Arial" w:hAnsi="Arial" w:cs="Arial" w:eastAsia="Arial" w:hint="default"/>
                <w:sz w:val="18"/>
                <w:szCs w:val="18"/>
              </w:rPr>
            </w:pPr>
            <w:r>
              <w:rPr>
                <w:rFonts w:ascii="Arial"/>
                <w:sz w:val="18"/>
              </w:rPr>
              <w:t>1,906,756.86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122,116,918.16</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708,500.00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14,708,931.95</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7,750,000.00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23,167,431.95</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708,500.00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11,540,594.10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7,750,000.00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19,999,094.10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．其他权益工具持有者投入资本</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w w:val="90"/>
                <w:sz w:val="18"/>
                <w:szCs w:val="18"/>
              </w:rPr>
              <w:t>3</w:t>
            </w:r>
            <w:r>
              <w:rPr>
                <w:rFonts w:ascii="宋体" w:hAnsi="宋体" w:cs="宋体" w:eastAsia="宋体" w:hint="default"/>
                <w:w w:val="90"/>
                <w:sz w:val="18"/>
                <w:szCs w:val="18"/>
              </w:rPr>
              <w:t>．股份支付计入所有者权益的金额</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3,168,337.85</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3,168,337.85</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7" w:right="0"/>
              <w:jc w:val="center"/>
              <w:rPr>
                <w:rFonts w:ascii="Arial" w:hAnsi="Arial" w:cs="Arial" w:eastAsia="Arial" w:hint="default"/>
                <w:sz w:val="18"/>
                <w:szCs w:val="18"/>
              </w:rPr>
            </w:pPr>
            <w:r>
              <w:rPr>
                <w:rFonts w:ascii="Arial"/>
                <w:sz w:val="18"/>
              </w:rPr>
              <w:t>1,343,660.64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-30,943,660.64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-29,600,000.00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7" w:right="0"/>
              <w:jc w:val="center"/>
              <w:rPr>
                <w:rFonts w:ascii="Arial" w:hAnsi="Arial" w:cs="Arial" w:eastAsia="Arial" w:hint="default"/>
                <w:sz w:val="18"/>
                <w:szCs w:val="18"/>
              </w:rPr>
            </w:pPr>
            <w:r>
              <w:rPr>
                <w:rFonts w:ascii="Arial"/>
                <w:sz w:val="18"/>
              </w:rPr>
              <w:t>1,343,660.64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-1,343,660.64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．对所有者（或股东）的分配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-29,600,000.00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-29,600,000.00</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8"/>
          <w:pgSz w:w="16840" w:h="11910" w:orient="landscape"/>
          <w:pgMar w:footer="1011" w:header="884" w:top="1100" w:bottom="1200" w:left="1320" w:right="680"/>
          <w:pgNumType w:start="81"/>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4"/>
        <w:gridCol w:w="1276"/>
        <w:gridCol w:w="566"/>
        <w:gridCol w:w="566"/>
        <w:gridCol w:w="427"/>
        <w:gridCol w:w="1416"/>
        <w:gridCol w:w="566"/>
        <w:gridCol w:w="710"/>
        <w:gridCol w:w="566"/>
        <w:gridCol w:w="1277"/>
        <w:gridCol w:w="708"/>
        <w:gridCol w:w="1274"/>
        <w:gridCol w:w="1135"/>
        <w:gridCol w:w="1419"/>
      </w:tblGrid>
      <w:tr>
        <w:trPr>
          <w:trHeight w:val="413" w:hRule="exact"/>
        </w:trPr>
        <w:tc>
          <w:tcPr>
            <w:tcW w:w="269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27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141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148,708,500.0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Arial" w:hAnsi="Arial" w:cs="Arial" w:eastAsia="Arial" w:hint="default"/>
                <w:sz w:val="18"/>
                <w:szCs w:val="18"/>
              </w:rPr>
            </w:pPr>
            <w:r>
              <w:rPr>
                <w:rFonts w:ascii="Arial"/>
                <w:sz w:val="18"/>
              </w:rPr>
              <w:t>442,483,878.03</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Arial" w:hAnsi="Arial" w:cs="Arial" w:eastAsia="Arial" w:hint="default"/>
                <w:sz w:val="18"/>
                <w:szCs w:val="18"/>
              </w:rPr>
            </w:pPr>
            <w:r>
              <w:rPr>
                <w:rFonts w:ascii="Arial"/>
                <w:sz w:val="18"/>
              </w:rPr>
              <w:t>37,280,137.26</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333,512,382.6</w:t>
            </w:r>
          </w:p>
          <w:p>
            <w:pPr>
              <w:pStyle w:val="TableParagraph"/>
              <w:spacing w:line="240" w:lineRule="auto" w:before="105"/>
              <w:ind w:right="22"/>
              <w:jc w:val="right"/>
              <w:rPr>
                <w:rFonts w:ascii="Arial" w:hAnsi="Arial" w:cs="Arial" w:eastAsia="Arial" w:hint="default"/>
                <w:sz w:val="18"/>
                <w:szCs w:val="18"/>
              </w:rPr>
            </w:pPr>
            <w:r>
              <w:rPr>
                <w:rFonts w:ascii="Arial"/>
                <w:w w:val="99"/>
                <w:sz w:val="18"/>
              </w:rPr>
              <w:t>6</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26,046,045.8</w:t>
            </w:r>
          </w:p>
          <w:p>
            <w:pPr>
              <w:pStyle w:val="TableParagraph"/>
              <w:spacing w:line="240" w:lineRule="auto" w:before="105"/>
              <w:ind w:right="22"/>
              <w:jc w:val="right"/>
              <w:rPr>
                <w:rFonts w:ascii="Arial" w:hAnsi="Arial" w:cs="Arial" w:eastAsia="Arial" w:hint="default"/>
                <w:sz w:val="18"/>
                <w:szCs w:val="18"/>
              </w:rPr>
            </w:pPr>
            <w:r>
              <w:rPr>
                <w:rFonts w:ascii="Arial"/>
                <w:w w:val="99"/>
                <w:sz w:val="18"/>
              </w:rPr>
              <w:t>4</w:t>
            </w:r>
            <w:r>
              <w:rPr>
                <w:rFonts w:ascii="Arial"/>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37" w:right="0"/>
              <w:jc w:val="left"/>
              <w:rPr>
                <w:rFonts w:ascii="Arial" w:hAnsi="Arial" w:cs="Arial" w:eastAsia="Arial" w:hint="default"/>
                <w:sz w:val="18"/>
                <w:szCs w:val="18"/>
              </w:rPr>
            </w:pPr>
            <w:r>
              <w:rPr>
                <w:rFonts w:ascii="Arial"/>
                <w:sz w:val="18"/>
              </w:rPr>
              <w:t>988,030,943.79</w:t>
            </w:r>
          </w:p>
        </w:tc>
      </w:tr>
    </w:tbl>
    <w:p>
      <w:pPr>
        <w:spacing w:line="240" w:lineRule="auto" w:before="4"/>
        <w:rPr>
          <w:rFonts w:ascii="Times New Roman" w:hAnsi="Times New Roman" w:cs="Times New Roman" w:eastAsia="Times New Roman" w:hint="default"/>
          <w:sz w:val="22"/>
          <w:szCs w:val="22"/>
        </w:rPr>
      </w:pPr>
    </w:p>
    <w:p>
      <w:pPr>
        <w:spacing w:before="37"/>
        <w:ind w:left="120" w:right="0" w:firstLine="0"/>
        <w:jc w:val="left"/>
        <w:rPr>
          <w:rFonts w:ascii="宋体" w:hAnsi="宋体" w:cs="宋体" w:eastAsia="宋体" w:hint="default"/>
          <w:sz w:val="20"/>
          <w:szCs w:val="20"/>
        </w:rPr>
      </w:pPr>
      <w:r>
        <w:rPr>
          <w:rFonts w:ascii="Arial" w:hAnsi="Arial" w:cs="Arial" w:eastAsia="Arial" w:hint="default"/>
          <w:b/>
          <w:bCs/>
          <w:sz w:val="20"/>
          <w:szCs w:val="20"/>
        </w:rPr>
        <w:t>8</w:t>
      </w:r>
      <w:r>
        <w:rPr>
          <w:rFonts w:ascii="宋体" w:hAnsi="宋体" w:cs="宋体" w:eastAsia="宋体" w:hint="default"/>
          <w:b/>
          <w:bCs/>
          <w:sz w:val="20"/>
          <w:szCs w:val="20"/>
        </w:rPr>
        <w:t>、母公司所有者权益变动表</w:t>
      </w:r>
      <w:r>
        <w:rPr>
          <w:rFonts w:ascii="宋体" w:hAnsi="宋体" w:cs="宋体" w:eastAsia="宋体" w:hint="default"/>
          <w:sz w:val="20"/>
          <w:szCs w:val="20"/>
        </w:rPr>
      </w:r>
    </w:p>
    <w:p>
      <w:pPr>
        <w:spacing w:line="240" w:lineRule="auto" w:before="5"/>
        <w:rPr>
          <w:rFonts w:ascii="宋体" w:hAnsi="宋体" w:cs="宋体" w:eastAsia="宋体" w:hint="default"/>
          <w:b/>
          <w:bCs/>
          <w:sz w:val="23"/>
          <w:szCs w:val="23"/>
        </w:rPr>
      </w:pPr>
    </w:p>
    <w:p>
      <w:pPr>
        <w:spacing w:before="44"/>
        <w:ind w:left="0" w:right="89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522"/>
        <w:gridCol w:w="1428"/>
        <w:gridCol w:w="710"/>
        <w:gridCol w:w="665"/>
        <w:gridCol w:w="665"/>
        <w:gridCol w:w="1363"/>
        <w:gridCol w:w="708"/>
        <w:gridCol w:w="708"/>
        <w:gridCol w:w="569"/>
        <w:gridCol w:w="1418"/>
        <w:gridCol w:w="1560"/>
        <w:gridCol w:w="1416"/>
      </w:tblGrid>
      <w:tr>
        <w:trPr>
          <w:trHeight w:val="398" w:hRule="exact"/>
        </w:trPr>
        <w:tc>
          <w:tcPr>
            <w:tcW w:w="3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35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4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56" w:right="21"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8" w:right="9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3522" w:type="dxa"/>
            <w:vMerge/>
            <w:tcBorders>
              <w:left w:val="single" w:sz="4" w:space="0" w:color="000000"/>
              <w:bottom w:val="nil" w:sz="6" w:space="0" w:color="auto"/>
              <w:right w:val="single" w:sz="4" w:space="0" w:color="000000"/>
            </w:tcBorders>
            <w:shd w:val="clear" w:color="auto" w:fill="D2D2D2"/>
          </w:tcPr>
          <w:p>
            <w:pPr/>
          </w:p>
        </w:tc>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040" w:type="dxa"/>
            <w:gridSpan w:val="3"/>
            <w:vMerge/>
            <w:tcBorders>
              <w:left w:val="single" w:sz="4" w:space="0" w:color="000000"/>
              <w:bottom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3522" w:type="dxa"/>
            <w:vMerge w:val="restart"/>
            <w:tcBorders>
              <w:top w:val="nil" w:sz="6" w:space="0" w:color="auto"/>
              <w:left w:val="single" w:sz="4" w:space="0" w:color="000000"/>
              <w:right w:val="single" w:sz="4" w:space="0" w:color="000000"/>
            </w:tcBorders>
            <w:shd w:val="clear" w:color="auto" w:fill="D2D2D2"/>
          </w:tcPr>
          <w:p>
            <w:pPr/>
          </w:p>
        </w:tc>
        <w:tc>
          <w:tcPr>
            <w:tcW w:w="1428"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3"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522" w:type="dxa"/>
            <w:vMerge/>
            <w:tcBorders>
              <w:left w:val="single" w:sz="4" w:space="0" w:color="000000"/>
              <w:bottom w:val="single" w:sz="4" w:space="0" w:color="000000"/>
              <w:right w:val="single" w:sz="4" w:space="0" w:color="000000"/>
            </w:tcBorders>
            <w:shd w:val="clear" w:color="auto" w:fill="D2D2D2"/>
          </w:tcPr>
          <w:p>
            <w:pPr/>
          </w:p>
        </w:tc>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148,708,500.00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466,690,405.93</w:t>
            </w:r>
          </w:p>
        </w:tc>
        <w:tc>
          <w:tcPr>
            <w:tcW w:w="708" w:type="dxa"/>
            <w:tcBorders>
              <w:top w:val="single" w:sz="22" w:space="0" w:color="D2D2D2"/>
              <w:left w:val="single" w:sz="4" w:space="0" w:color="000000"/>
              <w:bottom w:val="single" w:sz="4" w:space="0" w:color="000000"/>
              <w:right w:val="single" w:sz="4" w:space="0" w:color="000000"/>
            </w:tcBorders>
          </w:tcPr>
          <w:p>
            <w:pPr/>
          </w:p>
        </w:tc>
        <w:tc>
          <w:tcPr>
            <w:tcW w:w="708" w:type="dxa"/>
            <w:tcBorders>
              <w:top w:val="single" w:sz="22" w:space="0" w:color="D2D2D2"/>
              <w:left w:val="single" w:sz="4" w:space="0" w:color="000000"/>
              <w:bottom w:val="single" w:sz="4" w:space="0" w:color="000000"/>
              <w:right w:val="single" w:sz="4" w:space="0" w:color="000000"/>
            </w:tcBorders>
          </w:tcPr>
          <w:p>
            <w:pPr/>
          </w:p>
        </w:tc>
        <w:tc>
          <w:tcPr>
            <w:tcW w:w="569" w:type="dxa"/>
            <w:tcBorders>
              <w:top w:val="single" w:sz="22" w:space="0" w:color="D2D2D2"/>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158,152,353.30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810,831,396.49</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148,708,500.00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466,690,405.93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158,152,353.30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810,831,396.49</w:t>
            </w:r>
          </w:p>
        </w:tc>
      </w:tr>
      <w:tr>
        <w:trPr>
          <w:trHeight w:val="401" w:hRule="exact"/>
        </w:trPr>
        <w:tc>
          <w:tcPr>
            <w:tcW w:w="3522"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428" w:type="dxa"/>
            <w:tcBorders>
              <w:top w:val="single" w:sz="4" w:space="0" w:color="000000"/>
              <w:left w:val="single" w:sz="22" w:space="0" w:color="D2D2D2"/>
              <w:bottom w:val="single" w:sz="4" w:space="0" w:color="000000"/>
              <w:right w:val="single" w:sz="4" w:space="0" w:color="000000"/>
            </w:tcBorders>
          </w:tcPr>
          <w:p>
            <w:pPr>
              <w:pStyle w:val="TableParagraph"/>
              <w:tabs>
                <w:tab w:pos="320" w:val="left" w:leader="none"/>
              </w:tabs>
              <w:spacing w:line="240" w:lineRule="auto" w:before="49"/>
              <w:ind w:left="-173" w:right="21"/>
              <w:jc w:val="right"/>
              <w:rPr>
                <w:rFonts w:ascii="Arial" w:hAnsi="Arial" w:cs="Arial" w:eastAsia="Arial" w:hint="default"/>
                <w:sz w:val="18"/>
                <w:szCs w:val="18"/>
              </w:rPr>
            </w:pPr>
            <w:r>
              <w:rPr>
                <w:rFonts w:ascii="宋体" w:hAnsi="宋体" w:cs="宋体" w:eastAsia="宋体" w:hint="default"/>
                <w:sz w:val="18"/>
                <w:szCs w:val="18"/>
              </w:rPr>
              <w:t>）</w:t>
              <w:tab/>
            </w:r>
            <w:r>
              <w:rPr>
                <w:rFonts w:ascii="Arial" w:hAnsi="Arial" w:cs="Arial" w:eastAsia="Arial" w:hint="default"/>
                <w:spacing w:val="-1"/>
                <w:sz w:val="18"/>
                <w:szCs w:val="18"/>
              </w:rPr>
              <w:t>1,246,050.00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30,902,779.46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-38,011,215.57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-5,862,386.11</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-15,704,950.10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-15,704,950.10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1,246,050.00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30,902,779.46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32,148,829.46</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．股东投入的普通股</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1,246,050.00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20,746,191.70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21,992,241.70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．其他权益工具持有者投入资本</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．股份支付计入所有者权益的金额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10,156,587.76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10,156,587.76</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28"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1011" w:top="1100" w:bottom="1200" w:left="1320" w:right="540"/>
        </w:sectPr>
      </w:pP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546"/>
        <w:gridCol w:w="1416"/>
        <w:gridCol w:w="710"/>
        <w:gridCol w:w="665"/>
        <w:gridCol w:w="665"/>
        <w:gridCol w:w="1363"/>
        <w:gridCol w:w="708"/>
        <w:gridCol w:w="708"/>
        <w:gridCol w:w="569"/>
        <w:gridCol w:w="1418"/>
        <w:gridCol w:w="1560"/>
        <w:gridCol w:w="1416"/>
      </w:tblGrid>
      <w:tr>
        <w:trPr>
          <w:trHeight w:val="413" w:hRule="exact"/>
        </w:trPr>
        <w:tc>
          <w:tcPr>
            <w:tcW w:w="354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6"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1363"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sz w:val="18"/>
              </w:rPr>
              <w:t>-22,306,265.47</w:t>
            </w:r>
          </w:p>
        </w:tc>
        <w:tc>
          <w:tcPr>
            <w:tcW w:w="14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sz w:val="18"/>
              </w:rPr>
              <w:t>-22,306,265.47</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-22,306,265.47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-22,306,265.47</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1" w:right="0"/>
              <w:jc w:val="left"/>
              <w:rPr>
                <w:rFonts w:ascii="Arial" w:hAnsi="Arial" w:cs="Arial" w:eastAsia="Arial" w:hint="default"/>
                <w:sz w:val="18"/>
                <w:szCs w:val="18"/>
              </w:rPr>
            </w:pPr>
            <w:r>
              <w:rPr>
                <w:rFonts w:ascii="Arial"/>
                <w:sz w:val="18"/>
              </w:rPr>
              <w:t>149,954,550.00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9" w:right="0"/>
              <w:jc w:val="left"/>
              <w:rPr>
                <w:rFonts w:ascii="Arial" w:hAnsi="Arial" w:cs="Arial" w:eastAsia="Arial" w:hint="default"/>
                <w:sz w:val="18"/>
                <w:szCs w:val="18"/>
              </w:rPr>
            </w:pPr>
            <w:r>
              <w:rPr>
                <w:rFonts w:ascii="Arial"/>
                <w:sz w:val="18"/>
              </w:rPr>
              <w:t>497,593,185.39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2" w:right="0"/>
              <w:jc w:val="left"/>
              <w:rPr>
                <w:rFonts w:ascii="Arial" w:hAnsi="Arial" w:cs="Arial" w:eastAsia="Arial" w:hint="default"/>
                <w:sz w:val="18"/>
                <w:szCs w:val="18"/>
              </w:rPr>
            </w:pPr>
            <w:r>
              <w:rPr>
                <w:rFonts w:ascii="Arial"/>
                <w:sz w:val="18"/>
              </w:rPr>
              <w:t>37,280,137.26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120,141,137.73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804,969,010.38</w:t>
            </w:r>
          </w:p>
        </w:tc>
      </w:tr>
    </w:tbl>
    <w:p>
      <w:pPr>
        <w:spacing w:before="49"/>
        <w:ind w:left="0" w:right="89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522"/>
        <w:gridCol w:w="1430"/>
        <w:gridCol w:w="665"/>
        <w:gridCol w:w="665"/>
        <w:gridCol w:w="665"/>
        <w:gridCol w:w="1406"/>
        <w:gridCol w:w="708"/>
        <w:gridCol w:w="708"/>
        <w:gridCol w:w="569"/>
        <w:gridCol w:w="1418"/>
        <w:gridCol w:w="1558"/>
        <w:gridCol w:w="1418"/>
      </w:tblGrid>
      <w:tr>
        <w:trPr>
          <w:trHeight w:val="398" w:hRule="exact"/>
        </w:trPr>
        <w:tc>
          <w:tcPr>
            <w:tcW w:w="3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35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59" w:right="19"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98" w:right="9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3522"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14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3522"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522" w:type="dxa"/>
            <w:vMerge/>
            <w:tcBorders>
              <w:left w:val="single" w:sz="4" w:space="0" w:color="000000"/>
              <w:bottom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148,000,000.00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451,981,473.98</w:t>
            </w:r>
          </w:p>
        </w:tc>
        <w:tc>
          <w:tcPr>
            <w:tcW w:w="708" w:type="dxa"/>
            <w:tcBorders>
              <w:top w:val="single" w:sz="18" w:space="0" w:color="D2D2D2"/>
              <w:left w:val="single" w:sz="4" w:space="0" w:color="000000"/>
              <w:bottom w:val="single" w:sz="4" w:space="0" w:color="000000"/>
              <w:right w:val="single" w:sz="4" w:space="0" w:color="000000"/>
            </w:tcBorders>
          </w:tcPr>
          <w:p>
            <w:pPr/>
          </w:p>
        </w:tc>
        <w:tc>
          <w:tcPr>
            <w:tcW w:w="708" w:type="dxa"/>
            <w:tcBorders>
              <w:top w:val="single" w:sz="18" w:space="0" w:color="D2D2D2"/>
              <w:left w:val="single" w:sz="4" w:space="0" w:color="000000"/>
              <w:bottom w:val="single" w:sz="4" w:space="0" w:color="000000"/>
              <w:right w:val="single" w:sz="4" w:space="0" w:color="000000"/>
            </w:tcBorders>
          </w:tcPr>
          <w:p>
            <w:pPr/>
          </w:p>
        </w:tc>
        <w:tc>
          <w:tcPr>
            <w:tcW w:w="569" w:type="dxa"/>
            <w:tcBorders>
              <w:top w:val="single" w:sz="18" w:space="0" w:color="D2D2D2"/>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35,936,476.62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175,659,407.57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811,577,358.17</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9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9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148,000,000.00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451,981,473.98</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35,936,476.62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175,659,407.57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811,577,358.17</w:t>
            </w:r>
          </w:p>
        </w:tc>
      </w:tr>
    </w:tbl>
    <w:p>
      <w:pPr>
        <w:spacing w:after="0" w:line="240" w:lineRule="auto"/>
        <w:jc w:val="right"/>
        <w:rPr>
          <w:rFonts w:ascii="Arial" w:hAnsi="Arial" w:cs="Arial" w:eastAsia="Arial" w:hint="default"/>
          <w:sz w:val="18"/>
          <w:szCs w:val="18"/>
        </w:rPr>
        <w:sectPr>
          <w:pgSz w:w="16840" w:h="11910" w:orient="landscape"/>
          <w:pgMar w:header="884" w:footer="1011" w:top="1100" w:bottom="1200" w:left="1320" w:right="540"/>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546"/>
        <w:gridCol w:w="1418"/>
        <w:gridCol w:w="665"/>
        <w:gridCol w:w="665"/>
        <w:gridCol w:w="665"/>
        <w:gridCol w:w="1406"/>
        <w:gridCol w:w="708"/>
        <w:gridCol w:w="708"/>
        <w:gridCol w:w="569"/>
        <w:gridCol w:w="1418"/>
        <w:gridCol w:w="1558"/>
        <w:gridCol w:w="1418"/>
      </w:tblGrid>
      <w:tr>
        <w:trPr>
          <w:trHeight w:val="413" w:hRule="exact"/>
        </w:trPr>
        <w:tc>
          <w:tcPr>
            <w:tcW w:w="3546" w:type="dxa"/>
            <w:tcBorders>
              <w:top w:val="single" w:sz="10"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4"/>
              <w:ind w:left="23" w:right="-35"/>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418" w:type="dxa"/>
            <w:tcBorders>
              <w:top w:val="single" w:sz="10" w:space="0" w:color="000000"/>
              <w:left w:val="single" w:sz="9" w:space="0" w:color="FFFFFF"/>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sz w:val="18"/>
              </w:rPr>
              <w:t>708,500.00</w:t>
            </w: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14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sz w:val="18"/>
              </w:rPr>
              <w:t>14,708,931.95</w:t>
            </w:r>
          </w:p>
        </w:tc>
        <w:tc>
          <w:tcPr>
            <w:tcW w:w="708"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sz w:val="18"/>
              </w:rPr>
              <w:t>1,343,660.64</w:t>
            </w:r>
          </w:p>
        </w:tc>
        <w:tc>
          <w:tcPr>
            <w:tcW w:w="15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sz w:val="18"/>
              </w:rPr>
              <w:t>-17,507,054.27</w:t>
            </w: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sz w:val="18"/>
              </w:rPr>
              <w:t>-745,961.68</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13,436,606.37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13,436,606.37</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708,500.00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14,708,931.95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15,417,431.95</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708,500.00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11,540,594.10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12,249,094.10</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．股份支付计入所有者权益的金额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3,168,337.85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3,168,337.85</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1,343,660.64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-30,943,660.64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-29,600,000.00</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1,343,660.64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-1,343,660.34</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-29,600,000.00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-29,600,000.00</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148,708,500.00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466,690,405.93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158,152,353.30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810,831,396.49</w:t>
            </w:r>
          </w:p>
        </w:tc>
      </w:tr>
    </w:tbl>
    <w:p>
      <w:pPr>
        <w:spacing w:after="0" w:line="240" w:lineRule="auto"/>
        <w:jc w:val="right"/>
        <w:rPr>
          <w:rFonts w:ascii="Arial" w:hAnsi="Arial" w:cs="Arial" w:eastAsia="Arial" w:hint="default"/>
          <w:sz w:val="18"/>
          <w:szCs w:val="18"/>
        </w:rPr>
        <w:sectPr>
          <w:pgSz w:w="16840" w:h="11910" w:orient="landscape"/>
          <w:pgMar w:header="884" w:footer="1011" w:top="1100" w:bottom="1200" w:left="1320" w:right="540"/>
        </w:sectPr>
      </w:pPr>
    </w:p>
    <w:p>
      <w:pPr>
        <w:spacing w:line="240" w:lineRule="auto" w:before="10"/>
        <w:rPr>
          <w:rFonts w:ascii="Times New Roman" w:hAnsi="Times New Roman" w:cs="Times New Roman" w:eastAsia="Times New Roman" w:hint="default"/>
          <w:sz w:val="18"/>
          <w:szCs w:val="18"/>
        </w:rPr>
      </w:pPr>
    </w:p>
    <w:p>
      <w:pPr>
        <w:pStyle w:val="Heading3"/>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55" w:lineRule="auto"/>
        <w:ind w:right="5694"/>
        <w:jc w:val="left"/>
      </w:pPr>
      <w:r>
        <w:rPr/>
        <w:t>（一）公司简介 公司名称：北京华宇软件股份有限公司</w:t>
      </w:r>
    </w:p>
    <w:p>
      <w:pPr>
        <w:pStyle w:val="BodyText"/>
        <w:spacing w:line="338" w:lineRule="auto" w:before="38"/>
        <w:ind w:right="2240"/>
        <w:jc w:val="left"/>
      </w:pPr>
      <w:r>
        <w:rPr/>
        <w:t>注册地址：北京市海淀区中关村东路</w:t>
      </w:r>
      <w:r>
        <w:rPr>
          <w:rFonts w:ascii="Arial" w:hAnsi="Arial" w:cs="Arial" w:eastAsia="Arial" w:hint="default"/>
        </w:rPr>
        <w:t>1</w:t>
      </w:r>
      <w:r>
        <w:rPr/>
        <w:t>号院清华科技园科技大厦</w:t>
      </w:r>
      <w:r>
        <w:rPr>
          <w:rFonts w:ascii="Arial" w:hAnsi="Arial" w:cs="Arial" w:eastAsia="Arial" w:hint="default"/>
        </w:rPr>
        <w:t>C</w:t>
      </w:r>
      <w:r>
        <w:rPr/>
        <w:t>座</w:t>
      </w:r>
      <w:r>
        <w:rPr>
          <w:rFonts w:ascii="Arial" w:hAnsi="Arial" w:cs="Arial" w:eastAsia="Arial" w:hint="default"/>
        </w:rPr>
        <w:t>25</w:t>
      </w:r>
      <w:r>
        <w:rPr/>
        <w:t>层 总部地址：北京</w:t>
      </w:r>
    </w:p>
    <w:p>
      <w:pPr>
        <w:pStyle w:val="BodyText"/>
        <w:spacing w:line="357" w:lineRule="auto" w:before="55"/>
        <w:ind w:right="6426"/>
        <w:jc w:val="left"/>
      </w:pPr>
      <w:r>
        <w:rPr/>
        <w:t>营业期限：长期 股本：人民币</w:t>
      </w:r>
      <w:r>
        <w:rPr>
          <w:rFonts w:ascii="Arial" w:hAnsi="Arial" w:cs="Arial" w:eastAsia="Arial" w:hint="default"/>
        </w:rPr>
        <w:t>149,954,550.00</w:t>
      </w:r>
      <w:r>
        <w:rPr/>
        <w:t>元</w:t>
      </w:r>
    </w:p>
    <w:p>
      <w:pPr>
        <w:pStyle w:val="BodyText"/>
        <w:spacing w:line="355" w:lineRule="auto" w:before="6"/>
        <w:ind w:right="3534"/>
        <w:jc w:val="left"/>
      </w:pPr>
      <w:r>
        <w:rPr/>
        <w:t>（二）公司的行业性质、经营范围及主要产品或提供的劳务 公司行业性质：信息技术行业。</w:t>
      </w:r>
    </w:p>
    <w:p>
      <w:pPr>
        <w:pStyle w:val="BodyText"/>
        <w:spacing w:line="304" w:lineRule="auto" w:before="38"/>
        <w:ind w:right="146"/>
        <w:jc w:val="both"/>
      </w:pPr>
      <w:r>
        <w:rPr/>
        <w:t>公司经营范围：第二类增值电信业务中的呼叫中心业务和信息服务业务（不含固定网电话信</w:t>
      </w:r>
      <w:r>
        <w:rPr>
          <w:spacing w:val="-91"/>
        </w:rPr>
        <w:t> </w:t>
      </w:r>
      <w:r>
        <w:rPr>
          <w:spacing w:val="-91"/>
        </w:rPr>
      </w:r>
      <w:r>
        <w:rPr>
          <w:spacing w:val="-2"/>
        </w:rPr>
        <w:t>息服务和互联网信息服务）（增值电信业务经营许可证有效期至</w:t>
      </w:r>
      <w:r>
        <w:rPr>
          <w:rFonts w:ascii="Arial" w:hAnsi="Arial" w:cs="Arial" w:eastAsia="Arial" w:hint="default"/>
          <w:spacing w:val="-2"/>
        </w:rPr>
        <w:t>2018</w:t>
      </w:r>
      <w:r>
        <w:rPr>
          <w:spacing w:val="-2"/>
        </w:rPr>
        <w:t>年</w:t>
      </w:r>
      <w:r>
        <w:rPr>
          <w:rFonts w:ascii="Arial" w:hAnsi="Arial" w:cs="Arial" w:eastAsia="Arial" w:hint="default"/>
          <w:spacing w:val="-2"/>
        </w:rPr>
        <w:t>09</w:t>
      </w:r>
      <w:r>
        <w:rPr>
          <w:spacing w:val="-2"/>
        </w:rPr>
        <w:t>月</w:t>
      </w:r>
      <w:r>
        <w:rPr>
          <w:rFonts w:ascii="Arial" w:hAnsi="Arial" w:cs="Arial" w:eastAsia="Arial" w:hint="default"/>
          <w:spacing w:val="-2"/>
        </w:rPr>
        <w:t>18</w:t>
      </w:r>
      <w:r>
        <w:rPr>
          <w:spacing w:val="-2"/>
        </w:rPr>
        <w:t>日）；计算机</w:t>
      </w:r>
      <w:r>
        <w:rPr>
          <w:spacing w:val="-104"/>
        </w:rPr>
        <w:t> </w:t>
      </w:r>
      <w:r>
        <w:rPr>
          <w:spacing w:val="-104"/>
        </w:rPr>
      </w:r>
      <w:r>
        <w:rPr/>
        <w:t>软硬件及外围设备、网络技术、应用电子技术开发、技术转让、技术服务、技术咨询、技术</w:t>
      </w:r>
      <w:r>
        <w:rPr>
          <w:spacing w:val="-91"/>
        </w:rPr>
        <w:t> </w:t>
      </w:r>
      <w:r>
        <w:rPr>
          <w:spacing w:val="-91"/>
        </w:rPr>
      </w:r>
      <w:r>
        <w:rPr/>
        <w:t>培训；制造及销售开发后的产品；电子商务服务；企业管理咨询；计算机网络系统集成、管</w:t>
      </w:r>
      <w:r>
        <w:rPr>
          <w:spacing w:val="-91"/>
        </w:rPr>
        <w:t> </w:t>
      </w:r>
      <w:r>
        <w:rPr>
          <w:spacing w:val="-91"/>
        </w:rPr>
      </w:r>
      <w:r>
        <w:rPr/>
        <w:t>理及维护；承接计算机网络工程及综合布线工程。</w:t>
      </w:r>
    </w:p>
    <w:p>
      <w:pPr>
        <w:pStyle w:val="BodyText"/>
        <w:spacing w:line="357" w:lineRule="auto" w:before="89"/>
        <w:ind w:left="578" w:right="0" w:hanging="426"/>
        <w:jc w:val="left"/>
      </w:pPr>
      <w:r>
        <w:rPr/>
        <w:t>（三）历史沿革 北京华宇软件股份有限公司（以下简称</w:t>
      </w:r>
      <w:r>
        <w:rPr>
          <w:rFonts w:ascii="Arial" w:hAnsi="Arial" w:cs="Arial" w:eastAsia="Arial" w:hint="default"/>
        </w:rPr>
        <w:t>“</w:t>
      </w:r>
      <w:r>
        <w:rPr/>
        <w:t>本公司</w:t>
      </w:r>
      <w:r>
        <w:rPr>
          <w:rFonts w:ascii="Arial" w:hAnsi="Arial" w:cs="Arial" w:eastAsia="Arial" w:hint="default"/>
        </w:rPr>
        <w:t>”</w:t>
      </w:r>
      <w:r>
        <w:rPr/>
        <w:t>）（原名</w:t>
      </w:r>
      <w:r>
        <w:rPr>
          <w:rFonts w:ascii="Arial" w:hAnsi="Arial" w:cs="Arial" w:eastAsia="Arial" w:hint="default"/>
        </w:rPr>
        <w:t>“</w:t>
      </w:r>
      <w:r>
        <w:rPr/>
        <w:t>北京清华紫光软件股份有限公</w:t>
      </w:r>
    </w:p>
    <w:p>
      <w:pPr>
        <w:pStyle w:val="BodyText"/>
        <w:spacing w:line="274" w:lineRule="exact"/>
        <w:ind w:right="0"/>
        <w:jc w:val="both"/>
      </w:pPr>
      <w:r>
        <w:rPr/>
        <w:t>司</w:t>
      </w:r>
      <w:r>
        <w:rPr>
          <w:rFonts w:ascii="Arial" w:hAnsi="Arial" w:cs="Arial" w:eastAsia="Arial" w:hint="default"/>
        </w:rPr>
        <w:t>”</w:t>
      </w:r>
      <w:r>
        <w:rPr/>
        <w:t>）系经北京市人民政府经济体制改革办公室于</w:t>
      </w:r>
      <w:r>
        <w:rPr>
          <w:rFonts w:ascii="Arial" w:hAnsi="Arial" w:cs="Arial" w:eastAsia="Arial" w:hint="default"/>
        </w:rPr>
        <w:t>2001</w:t>
      </w:r>
      <w:r>
        <w:rPr/>
        <w:t>年</w:t>
      </w:r>
      <w:r>
        <w:rPr>
          <w:rFonts w:ascii="Arial" w:hAnsi="Arial" w:cs="Arial" w:eastAsia="Arial" w:hint="default"/>
        </w:rPr>
        <w:t>6</w:t>
      </w:r>
      <w:r>
        <w:rPr/>
        <w:t>月</w:t>
      </w:r>
      <w:r>
        <w:rPr>
          <w:rFonts w:ascii="Arial" w:hAnsi="Arial" w:cs="Arial" w:eastAsia="Arial" w:hint="default"/>
        </w:rPr>
        <w:t>11</w:t>
      </w:r>
      <w:r>
        <w:rPr/>
        <w:t>日以京政体改股函</w:t>
      </w:r>
      <w:r>
        <w:rPr>
          <w:rFonts w:ascii="Arial" w:hAnsi="Arial" w:cs="Arial" w:eastAsia="Arial" w:hint="default"/>
        </w:rPr>
        <w:t>[2001]38</w:t>
      </w:r>
      <w:r>
        <w:rPr/>
        <w:t>号</w:t>
      </w:r>
    </w:p>
    <w:p>
      <w:pPr>
        <w:pStyle w:val="BodyText"/>
        <w:spacing w:line="309" w:lineRule="auto" w:before="74"/>
        <w:ind w:right="151"/>
        <w:jc w:val="both"/>
      </w:pPr>
      <w:r>
        <w:rPr/>
        <w:t>文批准，由清华紫光股份有限公司（以下简称紫光股份）作为主发起人，以原清华紫光软件</w:t>
      </w:r>
      <w:r>
        <w:rPr>
          <w:spacing w:val="-91"/>
        </w:rPr>
        <w:t> </w:t>
      </w:r>
      <w:r>
        <w:rPr>
          <w:spacing w:val="-91"/>
        </w:rPr>
      </w:r>
      <w:r>
        <w:rPr>
          <w:spacing w:val="6"/>
        </w:rPr>
        <w:t>中心净资产及部分现金作为出资，联合其他企业和自然人投入现金共同发起设立，成立于</w:t>
      </w:r>
      <w:r>
        <w:rPr>
          <w:spacing w:val="-84"/>
        </w:rPr>
        <w:t> </w:t>
      </w:r>
      <w:r>
        <w:rPr>
          <w:spacing w:val="-84"/>
        </w:rPr>
      </w:r>
      <w:r>
        <w:rPr>
          <w:rFonts w:ascii="Arial" w:hAnsi="Arial" w:cs="Arial" w:eastAsia="Arial" w:hint="default"/>
        </w:rPr>
        <w:t>2001</w:t>
      </w:r>
      <w:r>
        <w:rPr/>
        <w:t>年</w:t>
      </w:r>
      <w:r>
        <w:rPr>
          <w:rFonts w:ascii="Arial" w:hAnsi="Arial" w:cs="Arial" w:eastAsia="Arial" w:hint="default"/>
        </w:rPr>
        <w:t>6</w:t>
      </w:r>
      <w:r>
        <w:rPr/>
        <w:t>月</w:t>
      </w:r>
      <w:r>
        <w:rPr>
          <w:rFonts w:ascii="Arial" w:hAnsi="Arial" w:cs="Arial" w:eastAsia="Arial" w:hint="default"/>
        </w:rPr>
        <w:t>18</w:t>
      </w:r>
      <w:r>
        <w:rPr/>
        <w:t>日的股份有限公司。公司成立时注册资本</w:t>
      </w:r>
      <w:r>
        <w:rPr>
          <w:rFonts w:ascii="Arial" w:hAnsi="Arial" w:cs="Arial" w:eastAsia="Arial" w:hint="default"/>
        </w:rPr>
        <w:t>4,000</w:t>
      </w:r>
      <w:r>
        <w:rPr/>
        <w:t>万元。</w:t>
      </w:r>
    </w:p>
    <w:p>
      <w:pPr>
        <w:pStyle w:val="BodyText"/>
        <w:spacing w:line="292" w:lineRule="auto" w:before="59"/>
        <w:ind w:right="160" w:firstLine="425"/>
        <w:jc w:val="both"/>
      </w:pPr>
      <w:r>
        <w:rPr>
          <w:rFonts w:ascii="Arial" w:hAnsi="Arial" w:cs="Arial" w:eastAsia="Arial" w:hint="default"/>
          <w:spacing w:val="2"/>
        </w:rPr>
        <w:t>2003</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w:t>
      </w:r>
      <w:r>
        <w:rPr>
          <w:spacing w:val="2"/>
        </w:rPr>
        <w:t>日，根据清华大学校企改制的要求和公司股权变化，经北京市工商行政管</w:t>
      </w:r>
      <w:r>
        <w:rPr/>
        <w:t> 理局批准，公司更名为</w:t>
      </w:r>
      <w:r>
        <w:rPr>
          <w:rFonts w:ascii="Arial" w:hAnsi="Arial" w:cs="Arial" w:eastAsia="Arial" w:hint="default"/>
        </w:rPr>
        <w:t>“</w:t>
      </w:r>
      <w:r>
        <w:rPr/>
        <w:t>北京紫光华宇软件股份有限公司</w:t>
      </w:r>
      <w:r>
        <w:rPr>
          <w:rFonts w:ascii="Arial" w:hAnsi="Arial" w:cs="Arial" w:eastAsia="Arial" w:hint="default"/>
        </w:rPr>
        <w:t>”</w:t>
      </w:r>
      <w:r>
        <w:rPr/>
        <w:t>。</w:t>
      </w:r>
    </w:p>
    <w:p>
      <w:pPr>
        <w:pStyle w:val="BodyText"/>
        <w:spacing w:line="240" w:lineRule="auto" w:before="78"/>
        <w:ind w:left="578" w:right="0"/>
        <w:jc w:val="left"/>
      </w:pPr>
      <w:r>
        <w:rPr>
          <w:rFonts w:ascii="Arial" w:hAnsi="Arial" w:cs="Arial" w:eastAsia="Arial" w:hint="default"/>
          <w:spacing w:val="13"/>
        </w:rPr>
        <w:t>2007</w:t>
      </w:r>
      <w:r>
        <w:rPr>
          <w:spacing w:val="13"/>
        </w:rPr>
        <w:t>年根据公司股东大会审议通过的《</w:t>
      </w:r>
      <w:r>
        <w:rPr>
          <w:spacing w:val="-94"/>
        </w:rPr>
        <w:t> </w:t>
      </w:r>
      <w:r>
        <w:rPr>
          <w:rFonts w:ascii="Arial" w:hAnsi="Arial" w:cs="Arial" w:eastAsia="Arial" w:hint="default"/>
        </w:rPr>
        <w:t>2007 </w:t>
      </w:r>
      <w:r>
        <w:rPr>
          <w:rFonts w:ascii="Arial" w:hAnsi="Arial" w:cs="Arial" w:eastAsia="Arial" w:hint="default"/>
          <w:spacing w:val="13"/>
        </w:rPr>
        <w:t> </w:t>
      </w:r>
      <w:r>
        <w:rPr>
          <w:spacing w:val="16"/>
        </w:rPr>
        <w:t>年度利润分配方案》：公司以总股本</w:t>
      </w:r>
    </w:p>
    <w:p>
      <w:pPr>
        <w:pStyle w:val="BodyText"/>
        <w:spacing w:line="292" w:lineRule="auto" w:before="74"/>
        <w:ind w:right="151"/>
        <w:jc w:val="both"/>
      </w:pPr>
      <w:r>
        <w:rPr>
          <w:rFonts w:ascii="Arial" w:hAnsi="Arial" w:cs="Arial" w:eastAsia="Arial" w:hint="default"/>
        </w:rPr>
        <w:t>40,000,000</w:t>
      </w:r>
      <w:r>
        <w:rPr/>
        <w:t>股为基数，向全体股东每</w:t>
      </w:r>
      <w:r>
        <w:rPr>
          <w:rFonts w:ascii="Arial" w:hAnsi="Arial" w:cs="Arial" w:eastAsia="Arial" w:hint="default"/>
        </w:rPr>
        <w:t>10 </w:t>
      </w:r>
      <w:r>
        <w:rPr/>
        <w:t>股送</w:t>
      </w:r>
      <w:r>
        <w:rPr>
          <w:rFonts w:ascii="Arial" w:hAnsi="Arial" w:cs="Arial" w:eastAsia="Arial" w:hint="default"/>
        </w:rPr>
        <w:t>3 </w:t>
      </w:r>
      <w:r>
        <w:rPr>
          <w:spacing w:val="-4"/>
        </w:rPr>
        <w:t>股红股、派 </w:t>
      </w:r>
      <w:r>
        <w:rPr>
          <w:rFonts w:ascii="Arial" w:hAnsi="Arial" w:cs="Arial" w:eastAsia="Arial" w:hint="default"/>
        </w:rPr>
        <w:t>0.75</w:t>
      </w:r>
      <w:r>
        <w:rPr>
          <w:rFonts w:ascii="Arial" w:hAnsi="Arial" w:cs="Arial" w:eastAsia="Arial" w:hint="default"/>
          <w:spacing w:val="65"/>
        </w:rPr>
        <w:t> </w:t>
      </w:r>
      <w:r>
        <w:rPr/>
        <w:t>元人民币现金，分红前总股 本为</w:t>
      </w:r>
      <w:r>
        <w:rPr>
          <w:rFonts w:ascii="Arial" w:hAnsi="Arial" w:cs="Arial" w:eastAsia="Arial" w:hint="default"/>
        </w:rPr>
        <w:t>40,000,000</w:t>
      </w:r>
      <w:r>
        <w:rPr>
          <w:rFonts w:ascii="Arial" w:hAnsi="Arial" w:cs="Arial" w:eastAsia="Arial" w:hint="default"/>
          <w:spacing w:val="61"/>
        </w:rPr>
        <w:t> </w:t>
      </w:r>
      <w:r>
        <w:rPr/>
        <w:t>股，分红派息后总股本增至</w:t>
      </w:r>
      <w:r>
        <w:rPr>
          <w:rFonts w:ascii="Arial" w:hAnsi="Arial" w:cs="Arial" w:eastAsia="Arial" w:hint="default"/>
        </w:rPr>
        <w:t>52,000,000</w:t>
      </w:r>
      <w:r>
        <w:rPr>
          <w:rFonts w:ascii="Arial" w:hAnsi="Arial" w:cs="Arial" w:eastAsia="Arial" w:hint="default"/>
          <w:spacing w:val="60"/>
        </w:rPr>
        <w:t> </w:t>
      </w:r>
      <w:r>
        <w:rPr/>
        <w:t>股。该事项已由北京中达耀华信会</w:t>
      </w:r>
      <w:r>
        <w:rPr>
          <w:spacing w:val="-116"/>
        </w:rPr>
        <w:t> </w:t>
      </w:r>
      <w:r>
        <w:rPr>
          <w:spacing w:val="-116"/>
        </w:rPr>
      </w:r>
      <w:r>
        <w:rPr/>
        <w:t>计师事务所有限公司出具报告号为中达验字</w:t>
      </w:r>
      <w:r>
        <w:rPr>
          <w:rFonts w:ascii="Arial" w:hAnsi="Arial" w:cs="Arial" w:eastAsia="Arial" w:hint="default"/>
        </w:rPr>
        <w:t>[2008]</w:t>
      </w:r>
      <w:r>
        <w:rPr/>
        <w:t>第</w:t>
      </w:r>
      <w:r>
        <w:rPr>
          <w:rFonts w:ascii="Arial" w:hAnsi="Arial" w:cs="Arial" w:eastAsia="Arial" w:hint="default"/>
        </w:rPr>
        <w:t>B005</w:t>
      </w:r>
      <w:r>
        <w:rPr/>
        <w:t>号验资报告，工商登记变更已办理</w:t>
      </w:r>
      <w:r>
        <w:rPr>
          <w:spacing w:val="-116"/>
        </w:rPr>
        <w:t> </w:t>
      </w:r>
      <w:r>
        <w:rPr>
          <w:spacing w:val="-116"/>
        </w:rPr>
      </w:r>
      <w:r>
        <w:rPr/>
        <w:t>完毕，注册资本变更为</w:t>
      </w:r>
      <w:r>
        <w:rPr>
          <w:rFonts w:ascii="Arial" w:hAnsi="Arial" w:cs="Arial" w:eastAsia="Arial" w:hint="default"/>
        </w:rPr>
        <w:t>5,200</w:t>
      </w:r>
      <w:r>
        <w:rPr/>
        <w:t>万元。</w:t>
      </w:r>
    </w:p>
    <w:p>
      <w:pPr>
        <w:pStyle w:val="BodyText"/>
        <w:spacing w:line="295" w:lineRule="auto" w:before="75"/>
        <w:ind w:right="151" w:firstLine="425"/>
        <w:jc w:val="both"/>
      </w:pPr>
      <w:r>
        <w:rPr>
          <w:spacing w:val="2"/>
        </w:rPr>
        <w:t>公司于</w:t>
      </w:r>
      <w:r>
        <w:rPr>
          <w:rFonts w:ascii="Arial" w:hAnsi="Arial" w:cs="Arial" w:eastAsia="Arial" w:hint="default"/>
          <w:spacing w:val="2"/>
        </w:rPr>
        <w:t>2008</w:t>
      </w:r>
      <w:r>
        <w:rPr>
          <w:spacing w:val="2"/>
        </w:rPr>
        <w:t>年通过股东大会决议，以</w:t>
      </w:r>
      <w:r>
        <w:rPr>
          <w:rFonts w:ascii="Arial" w:hAnsi="Arial" w:cs="Arial" w:eastAsia="Arial" w:hint="default"/>
          <w:spacing w:val="2"/>
        </w:rPr>
        <w:t>9.1</w:t>
      </w:r>
      <w:r>
        <w:rPr>
          <w:spacing w:val="2"/>
        </w:rPr>
        <w:t>元</w:t>
      </w:r>
      <w:r>
        <w:rPr>
          <w:rFonts w:ascii="Arial" w:hAnsi="Arial" w:cs="Arial" w:eastAsia="Arial" w:hint="default"/>
          <w:spacing w:val="2"/>
        </w:rPr>
        <w:t>/</w:t>
      </w:r>
      <w:r>
        <w:rPr>
          <w:spacing w:val="2"/>
        </w:rPr>
        <w:t>股的价格向子公司广州紫光华宇信息技术有</w:t>
      </w:r>
      <w:r>
        <w:rPr/>
        <w:t> </w:t>
      </w:r>
      <w:r>
        <w:rPr>
          <w:spacing w:val="2"/>
        </w:rPr>
        <w:t>限公司的自然人股东任涛发行股份</w:t>
      </w:r>
      <w:r>
        <w:rPr>
          <w:rFonts w:ascii="Arial" w:hAnsi="Arial" w:cs="Arial" w:eastAsia="Arial" w:hint="default"/>
          <w:spacing w:val="2"/>
        </w:rPr>
        <w:t>350</w:t>
      </w:r>
      <w:r>
        <w:rPr>
          <w:spacing w:val="2"/>
        </w:rPr>
        <w:t>万股，作为本公司收购广州紫光华宇信息技术有限公</w:t>
      </w:r>
      <w:r>
        <w:rPr>
          <w:spacing w:val="-97"/>
        </w:rPr>
        <w:t> </w:t>
      </w:r>
      <w:r>
        <w:rPr>
          <w:spacing w:val="-97"/>
        </w:rPr>
      </w:r>
      <w:r>
        <w:rPr>
          <w:spacing w:val="3"/>
        </w:rPr>
        <w:t>司</w:t>
      </w:r>
      <w:r>
        <w:rPr>
          <w:rFonts w:ascii="Arial" w:hAnsi="Arial" w:cs="Arial" w:eastAsia="Arial" w:hint="default"/>
          <w:spacing w:val="3"/>
        </w:rPr>
        <w:t>49%</w:t>
      </w:r>
      <w:r>
        <w:rPr>
          <w:spacing w:val="3"/>
        </w:rPr>
        <w:t>股权的支付对价。该事项已于</w:t>
      </w:r>
      <w:r>
        <w:rPr>
          <w:rFonts w:ascii="Arial" w:hAnsi="Arial" w:cs="Arial" w:eastAsia="Arial" w:hint="default"/>
          <w:spacing w:val="3"/>
        </w:rPr>
        <w:t>2009</w:t>
      </w:r>
      <w:r>
        <w:rPr>
          <w:spacing w:val="3"/>
        </w:rPr>
        <w:t>年</w:t>
      </w:r>
      <w:r>
        <w:rPr>
          <w:rFonts w:ascii="Arial" w:hAnsi="Arial" w:cs="Arial" w:eastAsia="Arial" w:hint="default"/>
          <w:spacing w:val="3"/>
        </w:rPr>
        <w:t>3</w:t>
      </w:r>
      <w:r>
        <w:rPr>
          <w:spacing w:val="3"/>
        </w:rPr>
        <w:t>月</w:t>
      </w:r>
      <w:r>
        <w:rPr>
          <w:rFonts w:ascii="Arial" w:hAnsi="Arial" w:cs="Arial" w:eastAsia="Arial" w:hint="default"/>
          <w:spacing w:val="3"/>
        </w:rPr>
        <w:t>4</w:t>
      </w:r>
      <w:r>
        <w:rPr>
          <w:spacing w:val="3"/>
        </w:rPr>
        <w:t>日经中国证券业协会备案并取得中证协函</w:t>
      </w:r>
      <w:r>
        <w:rPr>
          <w:spacing w:val="-84"/>
        </w:rPr>
        <w:t> </w:t>
      </w:r>
      <w:r>
        <w:rPr>
          <w:spacing w:val="-84"/>
        </w:rPr>
      </w:r>
      <w:r>
        <w:rPr>
          <w:rFonts w:ascii="Arial" w:hAnsi="Arial" w:cs="Arial" w:eastAsia="Arial" w:hint="default"/>
          <w:spacing w:val="-1"/>
        </w:rPr>
        <w:t>[2009]74</w:t>
      </w:r>
      <w:r>
        <w:rPr>
          <w:spacing w:val="-1"/>
        </w:rPr>
        <w:t>号函，并由中建华会计师事务所有限责任公司出具了中建验字</w:t>
      </w:r>
      <w:r>
        <w:rPr>
          <w:rFonts w:ascii="Arial" w:hAnsi="Arial" w:cs="Arial" w:eastAsia="Arial" w:hint="default"/>
          <w:spacing w:val="-1"/>
        </w:rPr>
        <w:t>[2009]</w:t>
      </w:r>
      <w:r>
        <w:rPr>
          <w:spacing w:val="-1"/>
        </w:rPr>
        <w:t>第</w:t>
      </w:r>
      <w:r>
        <w:rPr>
          <w:rFonts w:ascii="Arial" w:hAnsi="Arial" w:cs="Arial" w:eastAsia="Arial" w:hint="default"/>
          <w:spacing w:val="-1"/>
        </w:rPr>
        <w:t>203</w:t>
      </w:r>
      <w:r>
        <w:rPr>
          <w:spacing w:val="-1"/>
        </w:rPr>
        <w:t>号验资报</w:t>
      </w:r>
      <w:r>
        <w:rPr/>
        <w:t> 告，增资事项的工商登记变更已办理完毕，注册资本变更为</w:t>
      </w:r>
      <w:r>
        <w:rPr>
          <w:rFonts w:ascii="Arial" w:hAnsi="Arial" w:cs="Arial" w:eastAsia="Arial" w:hint="default"/>
        </w:rPr>
        <w:t>5,550</w:t>
      </w:r>
      <w:r>
        <w:rPr/>
        <w:t>万元。</w:t>
      </w:r>
    </w:p>
    <w:p>
      <w:pPr>
        <w:spacing w:after="0" w:line="295" w:lineRule="auto"/>
        <w:jc w:val="both"/>
        <w:sectPr>
          <w:headerReference w:type="default" r:id="rId39"/>
          <w:footerReference w:type="default" r:id="rId40"/>
          <w:pgSz w:w="11910" w:h="16840"/>
          <w:pgMar w:header="884" w:footer="1010" w:top="1140" w:bottom="1200" w:left="980" w:right="980"/>
          <w:pgNumType w:start="85"/>
        </w:sectPr>
      </w:pPr>
    </w:p>
    <w:p>
      <w:pPr>
        <w:spacing w:line="240" w:lineRule="auto" w:before="1"/>
        <w:rPr>
          <w:rFonts w:ascii="宋体" w:hAnsi="宋体" w:cs="宋体" w:eastAsia="宋体" w:hint="default"/>
          <w:sz w:val="20"/>
          <w:szCs w:val="20"/>
        </w:rPr>
      </w:pPr>
    </w:p>
    <w:p>
      <w:pPr>
        <w:pStyle w:val="BodyText"/>
        <w:spacing w:line="292" w:lineRule="auto" w:before="26"/>
        <w:ind w:right="227" w:firstLine="425"/>
        <w:jc w:val="both"/>
      </w:pPr>
      <w:r>
        <w:rPr/>
        <w:t>公司根据</w:t>
      </w:r>
      <w:r>
        <w:rPr>
          <w:rFonts w:ascii="Arial" w:hAnsi="Arial" w:cs="Arial" w:eastAsia="Arial" w:hint="default"/>
        </w:rPr>
        <w:t>2009</w:t>
      </w:r>
      <w:r>
        <w:rPr/>
        <w:t>年第二次临时股东大会决议及修改后的公司章程并经中国证券监督管理委 员会于 </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16</w:t>
      </w:r>
      <w:r>
        <w:rPr/>
        <w:t>日签发的证监许可 </w:t>
      </w:r>
      <w:r>
        <w:rPr>
          <w:rFonts w:ascii="Arial" w:hAnsi="Arial" w:cs="Arial" w:eastAsia="Arial" w:hint="default"/>
        </w:rPr>
        <w:t>[2011]</w:t>
      </w:r>
      <w:r>
        <w:rPr>
          <w:rFonts w:ascii="Arial" w:hAnsi="Arial" w:cs="Arial" w:eastAsia="Arial" w:hint="default"/>
          <w:spacing w:val="-15"/>
        </w:rPr>
        <w:t> </w:t>
      </w:r>
      <w:r>
        <w:rPr>
          <w:rFonts w:ascii="Arial" w:hAnsi="Arial" w:cs="Arial" w:eastAsia="Arial" w:hint="default"/>
        </w:rPr>
        <w:t>1492</w:t>
      </w:r>
      <w:r>
        <w:rPr/>
        <w:t>号《关于核准北京紫光华宇软件股份有 限公司首次公开发行股票并在创业板上市的批复》，于</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10</w:t>
      </w:r>
      <w:r>
        <w:rPr/>
        <w:t>日以每股人民币</w:t>
      </w:r>
      <w:r>
        <w:rPr>
          <w:rFonts w:ascii="Arial" w:hAnsi="Arial" w:cs="Arial" w:eastAsia="Arial" w:hint="default"/>
        </w:rPr>
        <w:t>30.80</w:t>
      </w:r>
      <w:r>
        <w:rPr>
          <w:rFonts w:ascii="Arial" w:hAnsi="Arial" w:cs="Arial" w:eastAsia="Arial" w:hint="default"/>
          <w:spacing w:val="-23"/>
        </w:rPr>
        <w:t> </w:t>
      </w:r>
      <w:r>
        <w:rPr>
          <w:rFonts w:ascii="Arial" w:hAnsi="Arial" w:cs="Arial" w:eastAsia="Arial" w:hint="default"/>
          <w:spacing w:val="-23"/>
        </w:rPr>
      </w:r>
      <w:r>
        <w:rPr>
          <w:spacing w:val="2"/>
        </w:rPr>
        <w:t>元向社会公开发行人民币普通股（</w:t>
      </w:r>
      <w:r>
        <w:rPr>
          <w:rFonts w:ascii="Arial" w:hAnsi="Arial" w:cs="Arial" w:eastAsia="Arial" w:hint="default"/>
          <w:spacing w:val="2"/>
        </w:rPr>
        <w:t>A</w:t>
      </w:r>
      <w:r>
        <w:rPr>
          <w:spacing w:val="2"/>
        </w:rPr>
        <w:t>股）</w:t>
      </w:r>
      <w:r>
        <w:rPr>
          <w:rFonts w:ascii="Arial" w:hAnsi="Arial" w:cs="Arial" w:eastAsia="Arial" w:hint="default"/>
          <w:spacing w:val="2"/>
        </w:rPr>
        <w:t>18,500,000</w:t>
      </w:r>
      <w:r>
        <w:rPr>
          <w:spacing w:val="2"/>
        </w:rPr>
        <w:t>股，并由北京兴华会计师事务所有限责</w:t>
      </w:r>
      <w:r>
        <w:rPr>
          <w:spacing w:val="-111"/>
        </w:rPr>
        <w:t> </w:t>
      </w:r>
      <w:r>
        <w:rPr>
          <w:spacing w:val="-111"/>
        </w:rPr>
      </w:r>
      <w:r>
        <w:rPr>
          <w:spacing w:val="-2"/>
        </w:rPr>
        <w:t>任公司出具了（</w:t>
      </w:r>
      <w:r>
        <w:rPr>
          <w:rFonts w:ascii="Arial" w:hAnsi="Arial" w:cs="Arial" w:eastAsia="Arial" w:hint="default"/>
          <w:spacing w:val="-2"/>
        </w:rPr>
        <w:t>2011</w:t>
      </w:r>
      <w:r>
        <w:rPr>
          <w:spacing w:val="-2"/>
        </w:rPr>
        <w:t>）京会兴</w:t>
      </w:r>
      <w:r>
        <w:rPr>
          <w:rFonts w:ascii="Arial" w:hAnsi="Arial" w:cs="Arial" w:eastAsia="Arial" w:hint="default"/>
          <w:spacing w:val="-2"/>
        </w:rPr>
        <w:t>(</w:t>
      </w:r>
      <w:r>
        <w:rPr>
          <w:spacing w:val="-2"/>
        </w:rPr>
        <w:t>验</w:t>
      </w:r>
      <w:r>
        <w:rPr>
          <w:rFonts w:ascii="Arial" w:hAnsi="Arial" w:cs="Arial" w:eastAsia="Arial" w:hint="default"/>
          <w:spacing w:val="-2"/>
        </w:rPr>
        <w:t>)</w:t>
      </w:r>
      <w:r>
        <w:rPr>
          <w:spacing w:val="-2"/>
        </w:rPr>
        <w:t>字第</w:t>
      </w:r>
      <w:r>
        <w:rPr>
          <w:rFonts w:ascii="Arial" w:hAnsi="Arial" w:cs="Arial" w:eastAsia="Arial" w:hint="default"/>
          <w:spacing w:val="-2"/>
        </w:rPr>
        <w:t>7-017</w:t>
      </w:r>
      <w:r>
        <w:rPr>
          <w:spacing w:val="-2"/>
        </w:rPr>
        <w:t>号验资报告，增资事项的工商登记变更已办理完</w:t>
      </w:r>
      <w:r>
        <w:rPr>
          <w:spacing w:val="-110"/>
        </w:rPr>
        <w:t> </w:t>
      </w:r>
      <w:r>
        <w:rPr>
          <w:spacing w:val="-110"/>
        </w:rPr>
      </w:r>
      <w:r>
        <w:rPr/>
        <w:t>毕，注册资本变更为</w:t>
      </w:r>
      <w:r>
        <w:rPr>
          <w:rFonts w:ascii="Arial" w:hAnsi="Arial" w:cs="Arial" w:eastAsia="Arial" w:hint="default"/>
        </w:rPr>
        <w:t>7,400</w:t>
      </w:r>
      <w:r>
        <w:rPr/>
        <w:t>万元。</w:t>
      </w:r>
    </w:p>
    <w:p>
      <w:pPr>
        <w:pStyle w:val="BodyText"/>
        <w:spacing w:line="295" w:lineRule="auto" w:before="78"/>
        <w:ind w:right="108" w:firstLine="425"/>
        <w:jc w:val="both"/>
      </w:pPr>
      <w:r>
        <w:rPr/>
        <w:t>公司根据</w:t>
      </w:r>
      <w:r>
        <w:rPr>
          <w:rFonts w:ascii="Arial" w:hAnsi="Arial" w:cs="Arial" w:eastAsia="Arial" w:hint="default"/>
        </w:rPr>
        <w:t>2011</w:t>
      </w:r>
      <w:r>
        <w:rPr/>
        <w:t>年年度股东大会决议和修改后章程，以</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30</w:t>
      </w:r>
      <w:r>
        <w:rPr/>
        <w:t>日为转增基准日期， 以截止</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7,400</w:t>
      </w:r>
      <w:r>
        <w:rPr/>
        <w:t>万股为基数按每</w:t>
      </w:r>
      <w:r>
        <w:rPr>
          <w:rFonts w:ascii="Arial" w:hAnsi="Arial" w:cs="Arial" w:eastAsia="Arial" w:hint="default"/>
        </w:rPr>
        <w:t>10</w:t>
      </w:r>
      <w:r>
        <w:rPr/>
        <w:t>股转增</w:t>
      </w:r>
      <w:r>
        <w:rPr>
          <w:rFonts w:ascii="Arial" w:hAnsi="Arial" w:cs="Arial" w:eastAsia="Arial" w:hint="default"/>
        </w:rPr>
        <w:t>10</w:t>
      </w:r>
      <w:r>
        <w:rPr/>
        <w:t>股的比例，以资本公积 </w:t>
      </w:r>
      <w:r>
        <w:rPr>
          <w:spacing w:val="-3"/>
        </w:rPr>
        <w:t>向全体股东转增股份总额</w:t>
      </w:r>
      <w:r>
        <w:rPr>
          <w:rFonts w:ascii="Arial" w:hAnsi="Arial" w:cs="Arial" w:eastAsia="Arial" w:hint="default"/>
          <w:spacing w:val="-3"/>
        </w:rPr>
        <w:t>7,400</w:t>
      </w:r>
      <w:r>
        <w:rPr>
          <w:spacing w:val="-3"/>
        </w:rPr>
        <w:t>万股，每股面值</w:t>
      </w:r>
      <w:r>
        <w:rPr>
          <w:rFonts w:ascii="Arial" w:hAnsi="Arial" w:cs="Arial" w:eastAsia="Arial" w:hint="default"/>
          <w:spacing w:val="-3"/>
        </w:rPr>
        <w:t>1</w:t>
      </w:r>
      <w:r>
        <w:rPr>
          <w:spacing w:val="-3"/>
        </w:rPr>
        <w:t>元，共计增加股本</w:t>
      </w:r>
      <w:r>
        <w:rPr>
          <w:rFonts w:ascii="Arial" w:hAnsi="Arial" w:cs="Arial" w:eastAsia="Arial" w:hint="default"/>
          <w:spacing w:val="-3"/>
        </w:rPr>
        <w:t>7,400</w:t>
      </w:r>
      <w:r>
        <w:rPr>
          <w:spacing w:val="-3"/>
        </w:rPr>
        <w:t>万元，转增后公司总</w:t>
      </w:r>
      <w:r>
        <w:rPr>
          <w:spacing w:val="-87"/>
        </w:rPr>
        <w:t> </w:t>
      </w:r>
      <w:r>
        <w:rPr>
          <w:spacing w:val="-87"/>
        </w:rPr>
      </w:r>
      <w:r>
        <w:rPr/>
        <w:t>股本增加至</w:t>
      </w:r>
      <w:r>
        <w:rPr>
          <w:rFonts w:ascii="Arial" w:hAnsi="Arial" w:cs="Arial" w:eastAsia="Arial" w:hint="default"/>
        </w:rPr>
        <w:t>14,800</w:t>
      </w:r>
      <w:r>
        <w:rPr/>
        <w:t>万股。已由北京兴华会计师事务所有限责任公司出具了</w:t>
      </w:r>
      <w:r>
        <w:rPr>
          <w:rFonts w:ascii="Arial" w:hAnsi="Arial" w:cs="Arial" w:eastAsia="Arial" w:hint="default"/>
        </w:rPr>
        <w:t>[2012]</w:t>
      </w:r>
      <w:r>
        <w:rPr/>
        <w:t>京会兴验字</w:t>
      </w:r>
      <w:r>
        <w:rPr>
          <w:spacing w:val="-55"/>
        </w:rPr>
        <w:t> </w:t>
      </w:r>
      <w:r>
        <w:rPr>
          <w:spacing w:val="-55"/>
        </w:rPr>
      </w:r>
      <w:r>
        <w:rPr>
          <w:spacing w:val="-5"/>
          <w:w w:val="99"/>
        </w:rPr>
        <w:t>第</w:t>
      </w:r>
      <w:r>
        <w:rPr>
          <w:rFonts w:ascii="Arial" w:hAnsi="Arial" w:cs="Arial" w:eastAsia="Arial" w:hint="default"/>
          <w:spacing w:val="-5"/>
          <w:w w:val="99"/>
        </w:rPr>
        <w:t>07010054</w:t>
      </w:r>
      <w:r>
        <w:rPr>
          <w:spacing w:val="-5"/>
          <w:w w:val="99"/>
        </w:rPr>
        <w:t>号验资报告，增资事项的工商登记变更已办理完毕，注册资本变更为</w:t>
      </w:r>
      <w:r>
        <w:rPr>
          <w:rFonts w:ascii="Arial" w:hAnsi="Arial" w:cs="Arial" w:eastAsia="Arial" w:hint="default"/>
          <w:spacing w:val="-5"/>
          <w:w w:val="99"/>
        </w:rPr>
        <w:t>14,800</w:t>
      </w:r>
      <w:r>
        <w:rPr>
          <w:spacing w:val="-5"/>
          <w:w w:val="99"/>
        </w:rPr>
        <w:t>万元。</w:t>
      </w:r>
    </w:p>
    <w:p>
      <w:pPr>
        <w:pStyle w:val="BodyText"/>
        <w:spacing w:line="292" w:lineRule="auto" w:before="75"/>
        <w:ind w:right="228" w:firstLine="425"/>
        <w:jc w:val="both"/>
      </w:pPr>
      <w:r>
        <w:rPr>
          <w:rFonts w:ascii="Arial" w:hAnsi="Arial" w:cs="Arial" w:eastAsia="Arial" w:hint="default"/>
        </w:rPr>
        <w:t>2013</w:t>
      </w:r>
      <w:r>
        <w:rPr/>
        <w:t>年</w:t>
      </w:r>
      <w:r>
        <w:rPr>
          <w:rFonts w:ascii="Arial" w:hAnsi="Arial" w:cs="Arial" w:eastAsia="Arial" w:hint="default"/>
        </w:rPr>
        <w:t>1</w:t>
      </w:r>
      <w:r>
        <w:rPr/>
        <w:t>月</w:t>
      </w:r>
      <w:r>
        <w:rPr>
          <w:rFonts w:ascii="Arial" w:hAnsi="Arial" w:cs="Arial" w:eastAsia="Arial" w:hint="default"/>
        </w:rPr>
        <w:t>29</w:t>
      </w:r>
      <w:r>
        <w:rPr/>
        <w:t>日，根据第四届董事会第二十三次会议和</w:t>
      </w:r>
      <w:r>
        <w:rPr>
          <w:rFonts w:ascii="Arial" w:hAnsi="Arial" w:cs="Arial" w:eastAsia="Arial" w:hint="default"/>
        </w:rPr>
        <w:t>2013</w:t>
      </w:r>
      <w:r>
        <w:rPr/>
        <w:t>年第二次股东大会审议通过 的《关于变更公司名称的议案》，将公司名称</w:t>
      </w:r>
      <w:r>
        <w:rPr>
          <w:rFonts w:ascii="Arial" w:hAnsi="Arial" w:cs="Arial" w:eastAsia="Arial" w:hint="default"/>
        </w:rPr>
        <w:t>“</w:t>
      </w:r>
      <w:r>
        <w:rPr/>
        <w:t>北京紫光华宇软件股份有限公司</w:t>
      </w:r>
      <w:r>
        <w:rPr>
          <w:rFonts w:ascii="Arial" w:hAnsi="Arial" w:cs="Arial" w:eastAsia="Arial" w:hint="default"/>
        </w:rPr>
        <w:t>”</w:t>
      </w:r>
      <w:r>
        <w:rPr/>
        <w:t>变更为</w:t>
      </w:r>
      <w:r>
        <w:rPr>
          <w:rFonts w:ascii="Arial" w:hAnsi="Arial" w:cs="Arial" w:eastAsia="Arial" w:hint="default"/>
        </w:rPr>
        <w:t>“</w:t>
      </w:r>
      <w:r>
        <w:rPr/>
        <w:t>北京</w:t>
      </w:r>
      <w:r>
        <w:rPr>
          <w:spacing w:val="-83"/>
        </w:rPr>
        <w:t> </w:t>
      </w:r>
      <w:r>
        <w:rPr/>
        <w:t>华宇软件股份有限公司</w:t>
      </w:r>
      <w:r>
        <w:rPr>
          <w:rFonts w:ascii="Arial" w:hAnsi="Arial" w:cs="Arial" w:eastAsia="Arial" w:hint="default"/>
        </w:rPr>
        <w:t>”</w:t>
      </w:r>
      <w:r>
        <w:rPr>
          <w:rFonts w:ascii="Arial" w:hAnsi="Arial" w:cs="Arial" w:eastAsia="Arial" w:hint="default"/>
          <w:spacing w:val="39"/>
        </w:rPr>
        <w:t> </w:t>
      </w:r>
      <w:r>
        <w:rPr/>
        <w:t>变更事项的工商登记已办理完毕。</w:t>
      </w:r>
    </w:p>
    <w:p>
      <w:pPr>
        <w:pStyle w:val="BodyText"/>
        <w:spacing w:line="297" w:lineRule="auto" w:before="75"/>
        <w:ind w:right="229" w:firstLine="480"/>
        <w:jc w:val="both"/>
      </w:pPr>
      <w:r>
        <w:rPr/>
        <w:t>根据已经中国证券监督管理委员会审核无异议的《股票期权激励计划（草案）》（以下 </w:t>
      </w:r>
      <w:r>
        <w:rPr>
          <w:spacing w:val="2"/>
        </w:rPr>
        <w:t>简称</w:t>
      </w:r>
      <w:r>
        <w:rPr>
          <w:rFonts w:ascii="Arial" w:hAnsi="Arial" w:cs="Arial" w:eastAsia="Arial" w:hint="default"/>
          <w:spacing w:val="2"/>
        </w:rPr>
        <w:t>“</w:t>
      </w:r>
      <w:r>
        <w:rPr>
          <w:spacing w:val="2"/>
        </w:rPr>
        <w:t>《股票期权激励计划》</w:t>
      </w:r>
      <w:r>
        <w:rPr>
          <w:rFonts w:ascii="Arial" w:hAnsi="Arial" w:cs="Arial" w:eastAsia="Arial" w:hint="default"/>
          <w:spacing w:val="2"/>
        </w:rPr>
        <w:t>”</w:t>
      </w:r>
      <w:r>
        <w:rPr>
          <w:spacing w:val="2"/>
        </w:rPr>
        <w:t>）及《北京紫光华宇软件股份有限公司股票期权激励计划激励</w:t>
      </w:r>
      <w:r>
        <w:rPr>
          <w:spacing w:val="-102"/>
        </w:rPr>
        <w:t> </w:t>
      </w:r>
      <w:r>
        <w:rPr>
          <w:spacing w:val="-102"/>
        </w:rPr>
      </w:r>
      <w:r>
        <w:rPr/>
        <w:t>对象名单》，公司股票期权激励计划首次授予期权第一期行权条件已满足，经公司第五届董</w:t>
      </w:r>
      <w:r>
        <w:rPr>
          <w:spacing w:val="-91"/>
        </w:rPr>
        <w:t> </w:t>
      </w:r>
      <w:r>
        <w:rPr>
          <w:spacing w:val="-91"/>
        </w:rPr>
      </w:r>
      <w:r>
        <w:rPr/>
        <w:t>事会第三次会议审议通过，公司股票期权激励计划首次授予股票期权的</w:t>
      </w:r>
      <w:r>
        <w:rPr>
          <w:rFonts w:ascii="Arial" w:hAnsi="Arial" w:cs="Arial" w:eastAsia="Arial" w:hint="default"/>
        </w:rPr>
        <w:t>196</w:t>
      </w:r>
      <w:r>
        <w:rPr>
          <w:rFonts w:ascii="Arial" w:hAnsi="Arial" w:cs="Arial" w:eastAsia="Arial" w:hint="default"/>
          <w:spacing w:val="46"/>
        </w:rPr>
        <w:t> </w:t>
      </w:r>
      <w:r>
        <w:rPr/>
        <w:t>名激励对象（调 整后）在第一个行权期内可行权其所持股票期权的</w:t>
      </w:r>
      <w:r>
        <w:rPr>
          <w:rFonts w:ascii="Arial" w:hAnsi="Arial" w:cs="Arial" w:eastAsia="Arial" w:hint="default"/>
        </w:rPr>
        <w:t>20%</w:t>
      </w:r>
      <w:r>
        <w:rPr/>
        <w:t>，共计</w:t>
      </w:r>
      <w:r>
        <w:rPr>
          <w:rFonts w:ascii="Arial" w:hAnsi="Arial" w:cs="Arial" w:eastAsia="Arial" w:hint="default"/>
        </w:rPr>
        <w:t>102.45</w:t>
      </w:r>
      <w:r>
        <w:rPr/>
        <w:t>万份股票期权。第一个</w:t>
      </w:r>
      <w:r>
        <w:rPr>
          <w:spacing w:val="-103"/>
        </w:rPr>
        <w:t> </w:t>
      </w:r>
      <w:r>
        <w:rPr>
          <w:spacing w:val="-103"/>
        </w:rPr>
      </w:r>
      <w:r>
        <w:rPr>
          <w:spacing w:val="4"/>
        </w:rPr>
        <w:t>行权期自首次授权日起</w:t>
      </w:r>
      <w:r>
        <w:rPr>
          <w:rFonts w:ascii="Arial" w:hAnsi="Arial" w:cs="Arial" w:eastAsia="Arial" w:hint="default"/>
          <w:spacing w:val="4"/>
        </w:rPr>
        <w:t>12</w:t>
      </w:r>
      <w:r>
        <w:rPr>
          <w:spacing w:val="4"/>
        </w:rPr>
        <w:t>个月后的首个交易日起至首次授权日起</w:t>
      </w:r>
      <w:r>
        <w:rPr>
          <w:rFonts w:ascii="Arial" w:hAnsi="Arial" w:cs="Arial" w:eastAsia="Arial" w:hint="default"/>
          <w:spacing w:val="4"/>
        </w:rPr>
        <w:t>24</w:t>
      </w:r>
      <w:r>
        <w:rPr>
          <w:spacing w:val="4"/>
        </w:rPr>
        <w:t>个月内的最后一个交易</w:t>
      </w:r>
      <w:r>
        <w:rPr>
          <w:spacing w:val="-94"/>
        </w:rPr>
        <w:t> </w:t>
      </w:r>
      <w:r>
        <w:rPr>
          <w:spacing w:val="-94"/>
        </w:rPr>
      </w:r>
      <w:r>
        <w:rPr/>
        <w:t>日当日止，即本期期权可行权期自</w:t>
      </w:r>
      <w:r>
        <w:rPr>
          <w:rFonts w:ascii="Arial" w:hAnsi="Arial" w:cs="Arial" w:eastAsia="Arial" w:hint="default"/>
        </w:rPr>
        <w:t>2013</w:t>
      </w:r>
      <w:r>
        <w:rPr/>
        <w:t>年</w:t>
      </w:r>
      <w:r>
        <w:rPr>
          <w:rFonts w:ascii="Arial" w:hAnsi="Arial" w:cs="Arial" w:eastAsia="Arial" w:hint="default"/>
        </w:rPr>
        <w:t>8</w:t>
      </w:r>
      <w:r>
        <w:rPr/>
        <w:t>月</w:t>
      </w:r>
      <w:r>
        <w:rPr>
          <w:rFonts w:ascii="Arial" w:hAnsi="Arial" w:cs="Arial" w:eastAsia="Arial" w:hint="default"/>
        </w:rPr>
        <w:t>23</w:t>
      </w:r>
      <w:r>
        <w:rPr/>
        <w:t>日起至</w:t>
      </w:r>
      <w:r>
        <w:rPr>
          <w:rFonts w:ascii="Arial" w:hAnsi="Arial" w:cs="Arial" w:eastAsia="Arial" w:hint="default"/>
        </w:rPr>
        <w:t>2014</w:t>
      </w:r>
      <w:r>
        <w:rPr/>
        <w:t>年</w:t>
      </w:r>
      <w:r>
        <w:rPr>
          <w:rFonts w:ascii="Arial" w:hAnsi="Arial" w:cs="Arial" w:eastAsia="Arial" w:hint="default"/>
        </w:rPr>
        <w:t>8</w:t>
      </w:r>
      <w:r>
        <w:rPr/>
        <w:t>月</w:t>
      </w:r>
      <w:r>
        <w:rPr>
          <w:rFonts w:ascii="Arial" w:hAnsi="Arial" w:cs="Arial" w:eastAsia="Arial" w:hint="default"/>
        </w:rPr>
        <w:t>22</w:t>
      </w:r>
      <w:r>
        <w:rPr/>
        <w:t>日止，截至</w:t>
      </w:r>
      <w:r>
        <w:rPr>
          <w:rFonts w:ascii="Arial" w:hAnsi="Arial" w:cs="Arial" w:eastAsia="Arial" w:hint="default"/>
        </w:rPr>
        <w:t>2014</w:t>
      </w:r>
      <w:r>
        <w:rPr/>
        <w:t>年</w:t>
      </w:r>
      <w:r>
        <w:rPr>
          <w:rFonts w:ascii="Arial" w:hAnsi="Arial" w:cs="Arial" w:eastAsia="Arial" w:hint="default"/>
        </w:rPr>
        <w:t>12</w:t>
      </w:r>
      <w:r>
        <w:rPr/>
        <w:t>月 </w:t>
      </w:r>
      <w:r>
        <w:rPr>
          <w:rFonts w:ascii="Arial" w:hAnsi="Arial" w:cs="Arial" w:eastAsia="Arial" w:hint="default"/>
        </w:rPr>
        <w:t>31</w:t>
      </w:r>
      <w:r>
        <w:rPr/>
        <w:t>日，行权数量为</w:t>
      </w:r>
      <w:r>
        <w:rPr>
          <w:rFonts w:ascii="Arial" w:hAnsi="Arial" w:cs="Arial" w:eastAsia="Arial" w:hint="default"/>
        </w:rPr>
        <w:t>1,022,000.00</w:t>
      </w:r>
      <w:r>
        <w:rPr/>
        <w:t>股。公司股票期权激励计划首次授予期权第二个行权期及预</w:t>
      </w:r>
      <w:r>
        <w:rPr>
          <w:spacing w:val="-78"/>
        </w:rPr>
        <w:t> </w:t>
      </w:r>
      <w:r>
        <w:rPr>
          <w:spacing w:val="-78"/>
        </w:rPr>
      </w:r>
      <w:r>
        <w:rPr/>
        <w:t>留期权第一个行权期行权条件已满足，经公司第五届董事会第十五次会议审议通过，公司股</w:t>
      </w:r>
      <w:r>
        <w:rPr>
          <w:spacing w:val="-91"/>
        </w:rPr>
        <w:t> </w:t>
      </w:r>
      <w:r>
        <w:rPr>
          <w:spacing w:val="-91"/>
        </w:rPr>
      </w:r>
      <w:r>
        <w:rPr>
          <w:spacing w:val="3"/>
        </w:rPr>
        <w:t>票期权激励计划首次授予股票期权的 </w:t>
      </w:r>
      <w:r>
        <w:rPr>
          <w:rFonts w:ascii="Arial" w:hAnsi="Arial" w:cs="Arial" w:eastAsia="Arial" w:hint="default"/>
        </w:rPr>
        <w:t>193</w:t>
      </w:r>
      <w:r>
        <w:rPr>
          <w:rFonts w:ascii="Arial" w:hAnsi="Arial" w:cs="Arial" w:eastAsia="Arial" w:hint="default"/>
          <w:spacing w:val="39"/>
        </w:rPr>
        <w:t> </w:t>
      </w:r>
      <w:r>
        <w:rPr>
          <w:spacing w:val="3"/>
        </w:rPr>
        <w:t>名激励对象在第二个行权期内可行权其所持股票</w:t>
      </w:r>
      <w:r>
        <w:rPr/>
        <w:t> 期权的 </w:t>
      </w:r>
      <w:r>
        <w:rPr>
          <w:rFonts w:ascii="Arial" w:hAnsi="Arial" w:cs="Arial" w:eastAsia="Arial" w:hint="default"/>
        </w:rPr>
        <w:t>30%</w:t>
      </w:r>
      <w:r>
        <w:rPr/>
        <w:t>，共计 </w:t>
      </w:r>
      <w:r>
        <w:rPr>
          <w:rFonts w:ascii="Arial" w:hAnsi="Arial" w:cs="Arial" w:eastAsia="Arial" w:hint="default"/>
        </w:rPr>
        <w:t>151.5</w:t>
      </w:r>
      <w:r>
        <w:rPr>
          <w:rFonts w:ascii="Arial" w:hAnsi="Arial" w:cs="Arial" w:eastAsia="Arial" w:hint="default"/>
          <w:spacing w:val="52"/>
        </w:rPr>
        <w:t> </w:t>
      </w:r>
      <w:r>
        <w:rPr/>
        <w:t>万份股票期权及预留期权的</w:t>
      </w:r>
      <w:r>
        <w:rPr>
          <w:rFonts w:ascii="Arial" w:hAnsi="Arial" w:cs="Arial" w:eastAsia="Arial" w:hint="default"/>
        </w:rPr>
        <w:t>41</w:t>
      </w:r>
      <w:r>
        <w:rPr/>
        <w:t>名激励对象在第一个行权期内可行</w:t>
      </w:r>
      <w:r>
        <w:rPr>
          <w:spacing w:val="-118"/>
        </w:rPr>
        <w:t> </w:t>
      </w:r>
      <w:r>
        <w:rPr>
          <w:spacing w:val="-118"/>
        </w:rPr>
      </w:r>
      <w:r>
        <w:rPr>
          <w:spacing w:val="-1"/>
        </w:rPr>
        <w:t>权其所持股票期权的</w:t>
      </w:r>
      <w:r>
        <w:rPr>
          <w:rFonts w:ascii="Arial" w:hAnsi="Arial" w:cs="Arial" w:eastAsia="Arial" w:hint="default"/>
          <w:spacing w:val="-1"/>
        </w:rPr>
        <w:t>20%</w:t>
      </w:r>
      <w:r>
        <w:rPr>
          <w:spacing w:val="-1"/>
        </w:rPr>
        <w:t>，共</w:t>
      </w:r>
      <w:r>
        <w:rPr>
          <w:rFonts w:ascii="Arial" w:hAnsi="Arial" w:cs="Arial" w:eastAsia="Arial" w:hint="default"/>
          <w:spacing w:val="-1"/>
        </w:rPr>
        <w:t>10.4</w:t>
      </w:r>
      <w:r>
        <w:rPr>
          <w:spacing w:val="-1"/>
        </w:rPr>
        <w:t>万份，首次授予期权第二个行权期行权期限为：</w:t>
      </w:r>
      <w:r>
        <w:rPr>
          <w:rFonts w:ascii="Arial" w:hAnsi="Arial" w:cs="Arial" w:eastAsia="Arial" w:hint="default"/>
          <w:spacing w:val="-1"/>
        </w:rPr>
        <w:t>2014</w:t>
      </w:r>
      <w:r>
        <w:rPr>
          <w:spacing w:val="-1"/>
        </w:rPr>
        <w:t>年</w:t>
      </w:r>
      <w:r>
        <w:rPr>
          <w:rFonts w:ascii="Arial" w:hAnsi="Arial" w:cs="Arial" w:eastAsia="Arial" w:hint="default"/>
          <w:spacing w:val="-1"/>
        </w:rPr>
        <w:t>10</w:t>
      </w:r>
      <w:r>
        <w:rPr>
          <w:rFonts w:ascii="Arial" w:hAnsi="Arial" w:cs="Arial" w:eastAsia="Arial" w:hint="default"/>
          <w:spacing w:val="-62"/>
        </w:rPr>
        <w:t> </w:t>
      </w:r>
      <w:r>
        <w:rPr>
          <w:spacing w:val="3"/>
        </w:rPr>
        <w:t>月</w:t>
      </w:r>
      <w:r>
        <w:rPr>
          <w:rFonts w:ascii="Arial" w:hAnsi="Arial" w:cs="Arial" w:eastAsia="Arial" w:hint="default"/>
          <w:spacing w:val="3"/>
        </w:rPr>
        <w:t>31</w:t>
      </w:r>
      <w:r>
        <w:rPr>
          <w:spacing w:val="3"/>
        </w:rPr>
        <w:t>日起至</w:t>
      </w:r>
      <w:r>
        <w:rPr>
          <w:rFonts w:ascii="Arial" w:hAnsi="Arial" w:cs="Arial" w:eastAsia="Arial" w:hint="default"/>
          <w:spacing w:val="3"/>
        </w:rPr>
        <w:t>2015</w:t>
      </w:r>
      <w:r>
        <w:rPr>
          <w:spacing w:val="3"/>
        </w:rPr>
        <w:t>年</w:t>
      </w:r>
      <w:r>
        <w:rPr>
          <w:rFonts w:ascii="Arial" w:hAnsi="Arial" w:cs="Arial" w:eastAsia="Arial" w:hint="default"/>
          <w:spacing w:val="3"/>
        </w:rPr>
        <w:t>8</w:t>
      </w:r>
      <w:r>
        <w:rPr>
          <w:spacing w:val="3"/>
        </w:rPr>
        <w:t>月</w:t>
      </w:r>
      <w:r>
        <w:rPr>
          <w:rFonts w:ascii="Arial" w:hAnsi="Arial" w:cs="Arial" w:eastAsia="Arial" w:hint="default"/>
          <w:spacing w:val="3"/>
        </w:rPr>
        <w:t>21</w:t>
      </w:r>
      <w:r>
        <w:rPr>
          <w:spacing w:val="3"/>
        </w:rPr>
        <w:t>日止，预留期权第一个行权期行权期限为：</w:t>
      </w:r>
      <w:r>
        <w:rPr>
          <w:rFonts w:ascii="Arial" w:hAnsi="Arial" w:cs="Arial" w:eastAsia="Arial" w:hint="default"/>
          <w:spacing w:val="3"/>
        </w:rPr>
        <w:t>2014</w:t>
      </w:r>
      <w:r>
        <w:rPr>
          <w:spacing w:val="3"/>
        </w:rPr>
        <w:t>年</w:t>
      </w:r>
      <w:r>
        <w:rPr>
          <w:rFonts w:ascii="Arial" w:hAnsi="Arial" w:cs="Arial" w:eastAsia="Arial" w:hint="default"/>
          <w:spacing w:val="3"/>
        </w:rPr>
        <w:t>10</w:t>
      </w:r>
      <w:r>
        <w:rPr>
          <w:spacing w:val="3"/>
        </w:rPr>
        <w:t>月</w:t>
      </w:r>
      <w:r>
        <w:rPr>
          <w:rFonts w:ascii="Arial" w:hAnsi="Arial" w:cs="Arial" w:eastAsia="Arial" w:hint="default"/>
          <w:spacing w:val="3"/>
        </w:rPr>
        <w:t>31</w:t>
      </w:r>
      <w:r>
        <w:rPr>
          <w:spacing w:val="3"/>
        </w:rPr>
        <w:t>日起至</w:t>
      </w:r>
      <w:r>
        <w:rPr/>
        <w:t> </w:t>
      </w:r>
      <w:r>
        <w:rPr>
          <w:rFonts w:ascii="Arial" w:hAnsi="Arial" w:cs="Arial" w:eastAsia="Arial" w:hint="default"/>
        </w:rPr>
        <w:t>2015</w:t>
      </w:r>
      <w:r>
        <w:rPr/>
        <w:t>年</w:t>
      </w:r>
      <w:r>
        <w:rPr>
          <w:rFonts w:ascii="Arial" w:hAnsi="Arial" w:cs="Arial" w:eastAsia="Arial" w:hint="default"/>
        </w:rPr>
        <w:t>7</w:t>
      </w:r>
      <w:r>
        <w:rPr/>
        <w:t>月</w:t>
      </w:r>
      <w:r>
        <w:rPr>
          <w:rFonts w:ascii="Arial" w:hAnsi="Arial" w:cs="Arial" w:eastAsia="Arial" w:hint="default"/>
        </w:rPr>
        <w:t>15</w:t>
      </w:r>
      <w:r>
        <w:rPr/>
        <w:t>日止。截至</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日，首次授予期权第二个行权期行权数量为</w:t>
      </w:r>
      <w:r>
        <w:rPr>
          <w:rFonts w:ascii="Arial" w:hAnsi="Arial" w:cs="Arial" w:eastAsia="Arial" w:hint="default"/>
        </w:rPr>
        <w:t>878,950</w:t>
      </w:r>
      <w:r>
        <w:rPr>
          <w:rFonts w:ascii="Arial" w:hAnsi="Arial" w:cs="Arial" w:eastAsia="Arial" w:hint="default"/>
          <w:spacing w:val="-32"/>
        </w:rPr>
        <w:t> </w:t>
      </w:r>
      <w:r>
        <w:rPr>
          <w:rFonts w:ascii="Arial" w:hAnsi="Arial" w:cs="Arial" w:eastAsia="Arial" w:hint="default"/>
          <w:spacing w:val="-32"/>
        </w:rPr>
      </w:r>
      <w:r>
        <w:rPr/>
        <w:t>股，预留期权第一个行权期行权数量为</w:t>
      </w:r>
      <w:r>
        <w:rPr>
          <w:rFonts w:ascii="Arial" w:hAnsi="Arial" w:cs="Arial" w:eastAsia="Arial" w:hint="default"/>
        </w:rPr>
        <w:t>53,600</w:t>
      </w:r>
      <w:r>
        <w:rPr/>
        <w:t>股。</w:t>
      </w:r>
    </w:p>
    <w:p>
      <w:pPr>
        <w:pStyle w:val="BodyText"/>
        <w:spacing w:line="292" w:lineRule="auto" w:before="72"/>
        <w:ind w:right="226" w:firstLine="480"/>
        <w:jc w:val="both"/>
      </w:pPr>
      <w:r>
        <w:rPr>
          <w:spacing w:val="-1"/>
        </w:rPr>
        <w:t>截至</w:t>
      </w:r>
      <w:r>
        <w:rPr>
          <w:rFonts w:ascii="Arial" w:hAnsi="Arial" w:cs="Arial" w:eastAsia="Arial" w:hint="default"/>
          <w:spacing w:val="-1"/>
        </w:rPr>
        <w:t>2014</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日，首次授予期权及预留期权行权数量共计</w:t>
      </w:r>
      <w:r>
        <w:rPr>
          <w:rFonts w:ascii="Arial" w:hAnsi="Arial" w:cs="Arial" w:eastAsia="Arial" w:hint="default"/>
          <w:spacing w:val="-1"/>
        </w:rPr>
        <w:t>1,954,550.00</w:t>
      </w:r>
      <w:r>
        <w:rPr>
          <w:spacing w:val="-1"/>
        </w:rPr>
        <w:t>股，增资事</w:t>
      </w:r>
      <w:r>
        <w:rPr/>
        <w:t> 项公司尚未办理工商登记变更。</w:t>
      </w:r>
    </w:p>
    <w:p>
      <w:pPr>
        <w:spacing w:line="357" w:lineRule="auto" w:before="101"/>
        <w:ind w:left="578" w:right="6963" w:hanging="426"/>
        <w:jc w:val="left"/>
        <w:rPr>
          <w:rFonts w:ascii="宋体" w:hAnsi="宋体" w:cs="宋体" w:eastAsia="宋体" w:hint="default"/>
          <w:sz w:val="24"/>
          <w:szCs w:val="24"/>
        </w:rPr>
      </w:pPr>
      <w:r>
        <w:rPr>
          <w:rFonts w:ascii="宋体" w:hAnsi="宋体" w:cs="宋体" w:eastAsia="宋体" w:hint="default"/>
          <w:b/>
          <w:bCs/>
          <w:sz w:val="24"/>
          <w:szCs w:val="24"/>
        </w:rPr>
        <w:t>（四）财务报表的批准报出</w:t>
      </w:r>
      <w:r>
        <w:rPr>
          <w:rFonts w:ascii="宋体" w:hAnsi="宋体" w:cs="宋体" w:eastAsia="宋体" w:hint="default"/>
          <w:b/>
          <w:bCs/>
          <w:w w:val="99"/>
          <w:sz w:val="24"/>
          <w:szCs w:val="24"/>
        </w:rPr>
        <w:t> </w:t>
      </w:r>
      <w:r>
        <w:rPr>
          <w:rFonts w:ascii="宋体" w:hAnsi="宋体" w:cs="宋体" w:eastAsia="宋体" w:hint="default"/>
          <w:sz w:val="24"/>
          <w:szCs w:val="24"/>
        </w:rPr>
        <w:t>合并财务报表的范围：</w:t>
      </w:r>
    </w:p>
    <w:p>
      <w:pPr>
        <w:spacing w:after="0" w:line="357" w:lineRule="auto"/>
        <w:jc w:val="left"/>
        <w:rPr>
          <w:rFonts w:ascii="宋体" w:hAnsi="宋体" w:cs="宋体" w:eastAsia="宋体" w:hint="default"/>
          <w:sz w:val="24"/>
          <w:szCs w:val="24"/>
        </w:rPr>
        <w:sectPr>
          <w:pgSz w:w="11910" w:h="16840"/>
          <w:pgMar w:header="884" w:footer="1010" w:top="1140" w:bottom="120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09" w:lineRule="auto" w:before="26"/>
        <w:ind w:right="190" w:firstLine="480"/>
        <w:jc w:val="both"/>
      </w:pPr>
      <w:r>
        <w:rPr/>
        <w:t>除股份公司本部外，还包括北京亿信华辰软件有限责任公司、广州华宇信息技术有限公 司、北京华宇信息技术有限公司、华宇（大连）信息服务有限公司、华宇金信（北京）软件 有限公司（原航宇金信（北京）软件有限公司）、北京华宇信码技术有限公司</w:t>
      </w:r>
      <w:r>
        <w:rPr>
          <w:rFonts w:ascii="Arial" w:hAnsi="Arial" w:cs="Arial" w:eastAsia="Arial" w:hint="default"/>
        </w:rPr>
        <w:t>6</w:t>
      </w:r>
      <w:r>
        <w:rPr/>
        <w:t>家子公司。</w:t>
      </w:r>
    </w:p>
    <w:p>
      <w:pPr>
        <w:pStyle w:val="BodyText"/>
        <w:spacing w:line="240" w:lineRule="auto" w:before="59"/>
        <w:ind w:left="633" w:right="0"/>
        <w:jc w:val="left"/>
      </w:pPr>
      <w:r>
        <w:rPr/>
        <w:t>本公司财务报告由本公司董事会于</w:t>
      </w:r>
      <w:r>
        <w:rPr>
          <w:rFonts w:ascii="Arial" w:hAnsi="Arial" w:cs="Arial" w:eastAsia="Arial" w:hint="default"/>
        </w:rPr>
        <w:t>2015</w:t>
      </w:r>
      <w:r>
        <w:rPr/>
        <w:t>年</w:t>
      </w:r>
      <w:r>
        <w:rPr>
          <w:rFonts w:ascii="Arial" w:hAnsi="Arial" w:cs="Arial" w:eastAsia="Arial" w:hint="default"/>
        </w:rPr>
        <w:t>3</w:t>
      </w:r>
      <w:r>
        <w:rPr/>
        <w:t>月</w:t>
      </w:r>
      <w:r>
        <w:rPr>
          <w:rFonts w:ascii="Arial" w:hAnsi="Arial" w:cs="Arial" w:eastAsia="Arial" w:hint="default"/>
        </w:rPr>
        <w:t>24</w:t>
      </w:r>
      <w:r>
        <w:rPr/>
        <w:t>日批准报出。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t>四、财务报表的编制基础</w:t>
      </w:r>
      <w:r>
        <w:rPr>
          <w:b w:val="0"/>
          <w:bCs w:val="0"/>
        </w:rPr>
      </w:r>
    </w:p>
    <w:p>
      <w:pPr>
        <w:pStyle w:val="BodyText"/>
        <w:spacing w:line="338" w:lineRule="auto" w:before="154"/>
        <w:ind w:right="174"/>
        <w:jc w:val="left"/>
      </w:pPr>
      <w:r>
        <w:rPr>
          <w:rFonts w:ascii="Arial" w:hAnsi="Arial" w:cs="Arial" w:eastAsia="Arial" w:hint="default"/>
          <w:b/>
          <w:bCs/>
        </w:rPr>
        <w:t>1</w:t>
      </w:r>
      <w:r>
        <w:rPr>
          <w:rFonts w:ascii="宋体" w:hAnsi="宋体" w:cs="宋体" w:eastAsia="宋体" w:hint="default"/>
          <w:b/>
          <w:bCs/>
        </w:rPr>
        <w:t>、编制基础</w:t>
      </w:r>
      <w:r>
        <w:rPr>
          <w:rFonts w:ascii="宋体" w:hAnsi="宋体" w:cs="宋体" w:eastAsia="宋体" w:hint="default"/>
          <w:b/>
          <w:bCs/>
          <w:w w:val="99"/>
        </w:rPr>
        <w:t> </w:t>
      </w:r>
      <w:r>
        <w:rPr/>
        <w:t>本财务报表以本公司持续经营为基础列报，根据实际发生的交易和事项，按照财政部颁布的</w:t>
      </w:r>
    </w:p>
    <w:p>
      <w:pPr>
        <w:pStyle w:val="BodyText"/>
        <w:spacing w:line="292" w:lineRule="auto"/>
        <w:ind w:right="0"/>
        <w:jc w:val="left"/>
      </w:pPr>
      <w:r>
        <w:rPr>
          <w:spacing w:val="-2"/>
        </w:rPr>
        <w:t>《企业会计准则</w:t>
      </w:r>
      <w:r>
        <w:rPr>
          <w:rFonts w:ascii="Arial" w:hAnsi="Arial" w:cs="Arial" w:eastAsia="Arial" w:hint="default"/>
          <w:spacing w:val="-2"/>
        </w:rPr>
        <w:t>-</w:t>
      </w:r>
      <w:r>
        <w:rPr>
          <w:spacing w:val="-2"/>
        </w:rPr>
        <w:t>基本准则》和</w:t>
      </w:r>
      <w:r>
        <w:rPr>
          <w:rFonts w:ascii="Arial" w:hAnsi="Arial" w:cs="Arial" w:eastAsia="Arial" w:hint="default"/>
          <w:spacing w:val="-2"/>
        </w:rPr>
        <w:t>41</w:t>
      </w:r>
      <w:r>
        <w:rPr>
          <w:spacing w:val="-2"/>
        </w:rPr>
        <w:t>项具体会计准则、其后颁布的企业会计准则应用指南、企业</w:t>
      </w:r>
      <w:r>
        <w:rPr>
          <w:spacing w:val="-106"/>
        </w:rPr>
        <w:t> </w:t>
      </w:r>
      <w:r>
        <w:rPr>
          <w:spacing w:val="-106"/>
        </w:rPr>
      </w:r>
      <w:r>
        <w:rPr/>
        <w:t>会计准则解释及其他相关规定（以下简称</w:t>
      </w:r>
      <w:r>
        <w:rPr>
          <w:rFonts w:ascii="Arial" w:hAnsi="Arial" w:cs="Arial" w:eastAsia="Arial" w:hint="default"/>
        </w:rPr>
        <w:t>“</w:t>
      </w:r>
      <w:r>
        <w:rPr/>
        <w:t>企业会计准则</w:t>
      </w:r>
      <w:r>
        <w:rPr>
          <w:rFonts w:ascii="Arial" w:hAnsi="Arial" w:cs="Arial" w:eastAsia="Arial" w:hint="default"/>
        </w:rPr>
        <w:t>”</w:t>
      </w:r>
      <w:r>
        <w:rPr/>
        <w:t>）的规定进行确认和计量，在此基 础上编制财务报表。</w:t>
      </w:r>
    </w:p>
    <w:p>
      <w:pPr>
        <w:pStyle w:val="BodyText"/>
        <w:spacing w:line="338" w:lineRule="auto" w:before="101"/>
        <w:ind w:right="0"/>
        <w:jc w:val="left"/>
      </w:pPr>
      <w:r>
        <w:rPr>
          <w:rFonts w:ascii="Arial" w:hAnsi="Arial" w:cs="Arial" w:eastAsia="Arial" w:hint="default"/>
          <w:b/>
          <w:bCs/>
        </w:rPr>
        <w:t>2</w:t>
      </w:r>
      <w:r>
        <w:rPr>
          <w:rFonts w:ascii="宋体" w:hAnsi="宋体" w:cs="宋体" w:eastAsia="宋体" w:hint="default"/>
          <w:b/>
          <w:bCs/>
        </w:rPr>
        <w:t>、持续经营</w:t>
      </w:r>
      <w:r>
        <w:rPr>
          <w:rFonts w:ascii="宋体" w:hAnsi="宋体" w:cs="宋体" w:eastAsia="宋体" w:hint="default"/>
          <w:b/>
          <w:bCs/>
          <w:w w:val="99"/>
        </w:rPr>
        <w:t> </w:t>
      </w:r>
      <w:r>
        <w:rPr/>
        <w:t>从公司目前获知的信息，综合考虑宏观政策风险、市场经营风险、企业目前或长期的盈利能</w:t>
      </w:r>
    </w:p>
    <w:p>
      <w:pPr>
        <w:pStyle w:val="BodyText"/>
        <w:spacing w:line="295" w:lineRule="auto"/>
        <w:ind w:right="147"/>
        <w:jc w:val="left"/>
      </w:pPr>
      <w:r>
        <w:rPr/>
        <w:t>力、偿债能力、财务资源支持等因素，本公司认为不存在对公司未来</w:t>
      </w:r>
      <w:r>
        <w:rPr>
          <w:rFonts w:ascii="Arial" w:hAnsi="Arial" w:cs="Arial" w:eastAsia="Arial" w:hint="default"/>
        </w:rPr>
        <w:t>12</w:t>
      </w:r>
      <w:r>
        <w:rPr/>
        <w:t>个月持续经营能力产 生重大怀疑的事项或情况，以持续经营为基础编制财务报表是合理的。</w:t>
      </w:r>
    </w:p>
    <w:p>
      <w:pPr>
        <w:pStyle w:val="Heading3"/>
        <w:spacing w:line="240" w:lineRule="auto" w:before="96"/>
        <w:ind w:right="0"/>
        <w:jc w:val="left"/>
        <w:rPr>
          <w:b w:val="0"/>
          <w:bCs w:val="0"/>
        </w:rPr>
      </w:pPr>
      <w:r>
        <w:rPr/>
        <w:t>五、重要会计政策及会计估计</w:t>
      </w:r>
      <w:r>
        <w:rPr>
          <w:b w:val="0"/>
          <w:bCs w:val="0"/>
        </w:rPr>
      </w:r>
    </w:p>
    <w:p>
      <w:pPr>
        <w:spacing w:line="240" w:lineRule="auto" w:before="0"/>
        <w:rPr>
          <w:rFonts w:ascii="宋体" w:hAnsi="宋体" w:cs="宋体" w:eastAsia="宋体" w:hint="default"/>
          <w:b/>
          <w:bCs/>
          <w:sz w:val="24"/>
          <w:szCs w:val="24"/>
        </w:rPr>
      </w:pPr>
    </w:p>
    <w:p>
      <w:pPr>
        <w:pStyle w:val="BodyText"/>
        <w:spacing w:line="324" w:lineRule="auto" w:before="214"/>
        <w:ind w:right="174"/>
        <w:jc w:val="left"/>
      </w:pPr>
      <w:r>
        <w:rPr>
          <w:rFonts w:ascii="Arial" w:hAnsi="Arial" w:cs="Arial" w:eastAsia="Arial" w:hint="default"/>
          <w:b/>
          <w:bCs/>
        </w:rPr>
        <w:t>1</w:t>
      </w:r>
      <w:r>
        <w:rPr>
          <w:rFonts w:ascii="宋体" w:hAnsi="宋体" w:cs="宋体" w:eastAsia="宋体" w:hint="default"/>
          <w:b/>
          <w:bCs/>
        </w:rPr>
        <w:t>、遵循企业会计准则的声明</w:t>
      </w:r>
      <w:r>
        <w:rPr>
          <w:rFonts w:ascii="宋体" w:hAnsi="宋体" w:cs="宋体" w:eastAsia="宋体" w:hint="default"/>
          <w:b/>
          <w:bCs/>
          <w:w w:val="99"/>
        </w:rPr>
        <w:t> </w:t>
      </w:r>
      <w:r>
        <w:rPr/>
        <w:t>公司所编制的财务报表符合企业会计准则的要求，真实、完整地反映了报告期公司的财务状 况、经营成果、现金流量等有关信息。</w:t>
      </w:r>
    </w:p>
    <w:p>
      <w:pPr>
        <w:spacing w:line="338" w:lineRule="auto" w:before="70"/>
        <w:ind w:left="152" w:right="2973" w:firstLine="0"/>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b/>
          <w:bCs/>
          <w:sz w:val="24"/>
          <w:szCs w:val="24"/>
        </w:rPr>
        <w:t>、会计期间</w:t>
      </w:r>
      <w:r>
        <w:rPr>
          <w:rFonts w:ascii="宋体" w:hAnsi="宋体" w:cs="宋体" w:eastAsia="宋体" w:hint="default"/>
          <w:b/>
          <w:bCs/>
          <w:w w:val="99"/>
          <w:sz w:val="24"/>
          <w:szCs w:val="24"/>
        </w:rPr>
        <w:t> </w:t>
      </w:r>
      <w:r>
        <w:rPr>
          <w:rFonts w:ascii="宋体" w:hAnsi="宋体" w:cs="宋体" w:eastAsia="宋体" w:hint="default"/>
          <w:sz w:val="24"/>
          <w:szCs w:val="24"/>
        </w:rPr>
        <w:t>采用公历年制，自公历每年</w:t>
      </w:r>
      <w:r>
        <w:rPr>
          <w:rFonts w:ascii="Arial" w:hAnsi="Arial" w:cs="Arial" w:eastAsia="Arial" w:hint="default"/>
          <w:sz w:val="24"/>
          <w:szCs w:val="24"/>
        </w:rPr>
        <w:t>1</w:t>
      </w:r>
      <w:r>
        <w:rPr>
          <w:rFonts w:ascii="宋体" w:hAnsi="宋体" w:cs="宋体" w:eastAsia="宋体" w:hint="default"/>
          <w:sz w:val="24"/>
          <w:szCs w:val="24"/>
        </w:rPr>
        <w:t>月</w:t>
      </w:r>
      <w:r>
        <w:rPr>
          <w:rFonts w:ascii="Arial" w:hAnsi="Arial" w:cs="Arial" w:eastAsia="Arial" w:hint="default"/>
          <w:sz w:val="24"/>
          <w:szCs w:val="24"/>
        </w:rPr>
        <w:t>1</w:t>
      </w:r>
      <w:r>
        <w:rPr>
          <w:rFonts w:ascii="宋体" w:hAnsi="宋体" w:cs="宋体" w:eastAsia="宋体" w:hint="default"/>
          <w:sz w:val="24"/>
          <w:szCs w:val="24"/>
        </w:rPr>
        <w:t>日至</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日为一个会计年度。 </w:t>
      </w:r>
      <w:r>
        <w:rPr>
          <w:rFonts w:ascii="Arial" w:hAnsi="Arial" w:cs="Arial" w:eastAsia="Arial" w:hint="default"/>
          <w:b/>
          <w:bCs/>
          <w:sz w:val="24"/>
          <w:szCs w:val="24"/>
        </w:rPr>
        <w:t>3</w:t>
      </w:r>
      <w:r>
        <w:rPr>
          <w:rFonts w:ascii="宋体" w:hAnsi="宋体" w:cs="宋体" w:eastAsia="宋体" w:hint="default"/>
          <w:b/>
          <w:bCs/>
          <w:sz w:val="24"/>
          <w:szCs w:val="24"/>
        </w:rPr>
        <w:t>、营业周期</w:t>
      </w:r>
      <w:r>
        <w:rPr>
          <w:rFonts w:ascii="宋体" w:hAnsi="宋体" w:cs="宋体" w:eastAsia="宋体" w:hint="default"/>
          <w:sz w:val="24"/>
          <w:szCs w:val="24"/>
        </w:rPr>
      </w:r>
    </w:p>
    <w:p>
      <w:pPr>
        <w:pStyle w:val="BodyText"/>
        <w:spacing w:line="309" w:lineRule="auto" w:before="27"/>
        <w:ind w:right="174"/>
        <w:jc w:val="left"/>
      </w:pPr>
      <w:r>
        <w:rPr/>
        <w:t>正常营业周期是指本公司从购买用于加工的资产起至实现现金或现金等价物的期间。本公司 以</w:t>
      </w:r>
      <w:r>
        <w:rPr>
          <w:rFonts w:ascii="Arial" w:hAnsi="Arial" w:cs="Arial" w:eastAsia="Arial" w:hint="default"/>
        </w:rPr>
        <w:t>12</w:t>
      </w:r>
      <w:r>
        <w:rPr/>
        <w:t>个月作为一个营业周期，并以其作为资产和负债的流动性划分标准。</w:t>
      </w:r>
    </w:p>
    <w:p>
      <w:pPr>
        <w:spacing w:line="338" w:lineRule="auto" w:before="59"/>
        <w:ind w:left="152" w:right="6654" w:firstLine="0"/>
        <w:jc w:val="left"/>
        <w:rPr>
          <w:rFonts w:ascii="宋体" w:hAnsi="宋体" w:cs="宋体" w:eastAsia="宋体" w:hint="default"/>
          <w:sz w:val="24"/>
          <w:szCs w:val="24"/>
        </w:rPr>
      </w:pPr>
      <w:r>
        <w:rPr>
          <w:rFonts w:ascii="Arial" w:hAnsi="Arial" w:cs="Arial" w:eastAsia="Arial" w:hint="default"/>
          <w:b/>
          <w:bCs/>
          <w:sz w:val="24"/>
          <w:szCs w:val="24"/>
        </w:rPr>
        <w:t>4</w:t>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z w:val="24"/>
          <w:szCs w:val="24"/>
        </w:rPr>
        <w:t>本公司记账本位币为人民币。</w:t>
      </w:r>
    </w:p>
    <w:p>
      <w:pPr>
        <w:pStyle w:val="Heading3"/>
        <w:spacing w:line="240" w:lineRule="auto" w:before="55"/>
        <w:ind w:right="0"/>
        <w:jc w:val="left"/>
        <w:rPr>
          <w:b w:val="0"/>
          <w:bCs w:val="0"/>
        </w:rPr>
      </w:pPr>
      <w:r>
        <w:rPr>
          <w:rFonts w:ascii="Arial" w:hAnsi="Arial" w:cs="Arial" w:eastAsia="Arial" w:hint="default"/>
        </w:rPr>
        <w:t>5</w:t>
      </w:r>
      <w:r>
        <w:rPr/>
        <w:t>、同一控制下和非同一控制下企业合并的会计处理方法</w:t>
      </w:r>
      <w:r>
        <w:rPr>
          <w:b w:val="0"/>
          <w:bCs w:val="0"/>
        </w:rPr>
      </w:r>
    </w:p>
    <w:p>
      <w:pPr>
        <w:pStyle w:val="BodyText"/>
        <w:spacing w:line="338" w:lineRule="auto" w:before="137"/>
        <w:ind w:right="174"/>
        <w:jc w:val="left"/>
      </w:pPr>
      <w:r>
        <w:rPr/>
        <w:t>（</w:t>
      </w:r>
      <w:r>
        <w:rPr>
          <w:rFonts w:ascii="Arial" w:hAnsi="Arial" w:cs="Arial" w:eastAsia="Arial" w:hint="default"/>
        </w:rPr>
        <w:t>1</w:t>
      </w:r>
      <w:r>
        <w:rPr/>
        <w:t>）同一控制下企业合并 公司在企业合并中取得的资产和负债，按照合并日在被合并方最终控制方合并财务报表中的</w:t>
      </w:r>
    </w:p>
    <w:p>
      <w:pPr>
        <w:spacing w:after="0" w:line="338" w:lineRule="auto"/>
        <w:jc w:val="left"/>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309" w:lineRule="auto" w:before="26"/>
        <w:ind w:right="191"/>
        <w:jc w:val="both"/>
      </w:pPr>
      <w:r>
        <w:rPr/>
        <w:t>账面价值计量。在合并中本公司取得的净资产账面价值与支付的合并对价账面价值（或发行 股份面值总额）的差额，调整资本公积中的股本溢价；资本公积中的股本溢价不足冲减的， 调整留存收益。</w:t>
      </w:r>
    </w:p>
    <w:p>
      <w:pPr>
        <w:pStyle w:val="BodyText"/>
        <w:spacing w:line="333" w:lineRule="auto" w:before="84"/>
        <w:ind w:right="174"/>
        <w:jc w:val="left"/>
      </w:pPr>
      <w:r>
        <w:rPr/>
        <w:t>被合并各方采用的会计政策与本公司不一致的，被合并方在合并日按照本公司的会计政策进 行调整，并在此基础上按照调整后的账面价值确认。 合并方为进行企业合并发生的各项直接相关费用，包括为进行企业合并而支付的审计费用、</w:t>
      </w:r>
    </w:p>
    <w:p>
      <w:pPr>
        <w:pStyle w:val="BodyText"/>
        <w:spacing w:line="333" w:lineRule="auto"/>
        <w:ind w:right="174"/>
        <w:jc w:val="left"/>
      </w:pPr>
      <w:r>
        <w:rPr/>
        <w:t>评估费用、法律服务费用等，于发生时计入当期损益。 企业合并中发行权益性证券所发生的手续费、佣金等，抵减权益性证券溢价收入，溢价收入 不足冲减的，冲减留存收益。</w:t>
      </w:r>
    </w:p>
    <w:p>
      <w:pPr>
        <w:pStyle w:val="BodyText"/>
        <w:spacing w:line="319" w:lineRule="auto" w:before="60"/>
        <w:ind w:right="174"/>
        <w:jc w:val="left"/>
      </w:pPr>
      <w:r>
        <w:rPr/>
        <w:t>（</w:t>
      </w:r>
      <w:r>
        <w:rPr>
          <w:rFonts w:ascii="Arial" w:hAnsi="Arial" w:cs="Arial" w:eastAsia="Arial" w:hint="default"/>
        </w:rPr>
        <w:t>2</w:t>
      </w:r>
      <w:r>
        <w:rPr/>
        <w:t>）非同一控制下的企业合并 本公司在购买日为取得对被购买方的控制权而付出的资产、发生或承担的负债以及发行的权 益性证券的公允价值，为企业合并发生的审计、法律服务、评估咨询等中介费用以及其他管 理费用于发生时计入当期损益。本公司在购买日对作为企业合并对价付出的资产、发生或承</w:t>
      </w:r>
    </w:p>
    <w:p>
      <w:pPr>
        <w:pStyle w:val="BodyText"/>
        <w:spacing w:line="333" w:lineRule="auto" w:before="12"/>
        <w:ind w:right="174"/>
        <w:jc w:val="left"/>
      </w:pPr>
      <w:r>
        <w:rPr/>
        <w:t>担的负债按照公允价值计量，公允价值与其账面价值的差额，计入当期损益。 本公司对合并成本大于合并中取得的被购买方可辨认净资产公允价值份额的差额，确认为商 誉；本公司对合并成本小于合并中取得的被购买方可辨认净资产公允价值份额时，应对取得</w:t>
      </w:r>
    </w:p>
    <w:p>
      <w:pPr>
        <w:pStyle w:val="BodyText"/>
        <w:spacing w:line="309" w:lineRule="auto"/>
        <w:ind w:right="189"/>
        <w:jc w:val="both"/>
      </w:pPr>
      <w:r>
        <w:rPr/>
        <w:t>的被购买方各项可辨认资产、负债及或有负债的公允价值以及合并成本的计量进行复核；经 复核后合并成本仍小于合并中取得的被购买方可辨认净资产公允价值份额的，其差额计入当 期损益。</w:t>
      </w:r>
    </w:p>
    <w:p>
      <w:pPr>
        <w:pStyle w:val="BodyText"/>
        <w:spacing w:line="309" w:lineRule="auto" w:before="84"/>
        <w:ind w:right="153"/>
        <w:jc w:val="both"/>
      </w:pPr>
      <w:r>
        <w:rPr/>
        <w:t>企业合并中取得的被合并方除无形资产外的其他各项资产（不仅限于被合并方原已确认的资 产），其所带来的经济利益很可能流入本公司且公允价值能够可靠计量的，单独确认并按公 </w:t>
      </w:r>
      <w:r>
        <w:rPr>
          <w:spacing w:val="-5"/>
        </w:rPr>
        <w:t>允价值计量；公允价值能够可靠计量的无形资产，单独确认为无形资产并按照公允价值计量；</w:t>
      </w:r>
      <w:r>
        <w:rPr>
          <w:spacing w:val="-117"/>
        </w:rPr>
        <w:t> </w:t>
      </w:r>
      <w:r>
        <w:rPr>
          <w:spacing w:val="-117"/>
        </w:rPr>
      </w:r>
      <w:r>
        <w:rPr/>
        <w:t>取得的被购买方除或有负债以外的其他各项负债，履行有关义务很可能导致经济利益流出本 </w:t>
      </w:r>
      <w:r>
        <w:rPr>
          <w:spacing w:val="-5"/>
        </w:rPr>
        <w:t>公司且公允价值能够可靠计量的，单独确认并按照公允价值计量；取得的被购买方或有负债，</w:t>
      </w:r>
      <w:r>
        <w:rPr>
          <w:spacing w:val="-117"/>
        </w:rPr>
        <w:t> </w:t>
      </w:r>
      <w:r>
        <w:rPr>
          <w:spacing w:val="-117"/>
        </w:rPr>
      </w:r>
      <w:r>
        <w:rPr/>
        <w:t>其公允价值能够可靠计量的，单独确认为负债并按照公允价值计量。</w:t>
      </w:r>
    </w:p>
    <w:p>
      <w:pPr>
        <w:pStyle w:val="BodyText"/>
        <w:spacing w:line="309" w:lineRule="auto" w:before="84"/>
        <w:ind w:right="174"/>
        <w:jc w:val="left"/>
      </w:pPr>
      <w:r>
        <w:rPr/>
        <w:t>企业合并形成母子公司关系的，母公司编制购买日的合并资产负债表，因企业合并取得的被 购买方各项可辨认资产、负债及或有负债以公允价值列示。</w:t>
      </w:r>
    </w:p>
    <w:p>
      <w:pPr>
        <w:pStyle w:val="BodyText"/>
        <w:spacing w:line="319" w:lineRule="auto" w:before="82"/>
        <w:ind w:right="174"/>
        <w:jc w:val="left"/>
      </w:pPr>
      <w:r>
        <w:rPr>
          <w:rFonts w:ascii="Arial" w:hAnsi="Arial" w:cs="Arial" w:eastAsia="Arial" w:hint="default"/>
          <w:b/>
          <w:bCs/>
        </w:rPr>
        <w:t>6</w:t>
      </w:r>
      <w:r>
        <w:rPr>
          <w:rFonts w:ascii="宋体" w:hAnsi="宋体" w:cs="宋体" w:eastAsia="宋体" w:hint="default"/>
          <w:b/>
          <w:bCs/>
        </w:rPr>
        <w:t>、合并财务报表的编制方法</w:t>
      </w:r>
      <w:r>
        <w:rPr>
          <w:rFonts w:ascii="宋体" w:hAnsi="宋体" w:cs="宋体" w:eastAsia="宋体" w:hint="default"/>
          <w:b/>
          <w:bCs/>
          <w:w w:val="99"/>
        </w:rPr>
        <w:t> </w:t>
      </w:r>
      <w:r>
        <w:rPr/>
        <w:t>合并财务报表的合并范围以控制为基础予以确定。母公司应当将其所控制的全部主体（包括 企业、被投资单位中可分割的部分，以及企业所控制的结构化主体等）纳入合并财务报表的 合并范围。</w:t>
      </w:r>
    </w:p>
    <w:p>
      <w:pPr>
        <w:pStyle w:val="BodyText"/>
        <w:spacing w:line="240" w:lineRule="auto" w:before="75"/>
        <w:ind w:right="0"/>
        <w:jc w:val="left"/>
      </w:pPr>
      <w:r>
        <w:rPr/>
        <w:t>企业持有被投资方半数或以下的表决权，但综合考虑下列事实和情况后，判断企业持有的表</w:t>
      </w:r>
    </w:p>
    <w:p>
      <w:pPr>
        <w:spacing w:after="0" w:line="240" w:lineRule="auto"/>
        <w:jc w:val="left"/>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240" w:lineRule="auto" w:before="26"/>
        <w:ind w:right="99"/>
        <w:jc w:val="left"/>
      </w:pPr>
      <w:r>
        <w:rPr/>
        <w:t>决权足以使其目前有能力主导被投资方相关活动的，视为企业对被投资方拥有权力：</w:t>
      </w:r>
    </w:p>
    <w:p>
      <w:pPr>
        <w:pStyle w:val="BodyText"/>
        <w:spacing w:line="292" w:lineRule="auto" w:before="154"/>
        <w:ind w:right="99" w:firstLine="708"/>
        <w:jc w:val="left"/>
      </w:pPr>
      <w:r>
        <w:rPr>
          <w:spacing w:val="-3"/>
        </w:rPr>
        <w:t>（</w:t>
      </w:r>
      <w:r>
        <w:rPr>
          <w:rFonts w:ascii="Arial" w:hAnsi="Arial" w:cs="Arial" w:eastAsia="Arial" w:hint="default"/>
          <w:spacing w:val="-3"/>
        </w:rPr>
        <w:t>1</w:t>
      </w:r>
      <w:r>
        <w:rPr>
          <w:spacing w:val="-3"/>
        </w:rPr>
        <w:t>）企业持有的表决权相对于其他投资方持有的表决权份额的大小，以及其他投资方</w:t>
      </w:r>
      <w:r>
        <w:rPr/>
        <w:t> 持有表决权的分散程度。</w:t>
      </w:r>
    </w:p>
    <w:p>
      <w:pPr>
        <w:pStyle w:val="BodyText"/>
        <w:spacing w:line="292" w:lineRule="auto" w:before="101"/>
        <w:ind w:right="99" w:firstLine="708"/>
        <w:jc w:val="left"/>
      </w:pPr>
      <w:r>
        <w:rPr>
          <w:spacing w:val="-3"/>
        </w:rPr>
        <w:t>（</w:t>
      </w:r>
      <w:r>
        <w:rPr>
          <w:rFonts w:ascii="Arial" w:hAnsi="Arial" w:cs="Arial" w:eastAsia="Arial" w:hint="default"/>
          <w:spacing w:val="-3"/>
        </w:rPr>
        <w:t>2</w:t>
      </w:r>
      <w:r>
        <w:rPr>
          <w:spacing w:val="-3"/>
        </w:rPr>
        <w:t>）企业和其他投资方持有的被投资方的潜在表决权，如可转换公司债券、可执行认</w:t>
      </w:r>
      <w:r>
        <w:rPr/>
        <w:t> 股权证等。</w:t>
      </w:r>
    </w:p>
    <w:p>
      <w:pPr>
        <w:pStyle w:val="BodyText"/>
        <w:spacing w:line="240" w:lineRule="auto" w:before="98"/>
        <w:ind w:left="861" w:right="99"/>
        <w:jc w:val="left"/>
      </w:pPr>
      <w:r>
        <w:rPr/>
        <w:t>（</w:t>
      </w:r>
      <w:r>
        <w:rPr>
          <w:rFonts w:ascii="Arial" w:hAnsi="Arial" w:cs="Arial" w:eastAsia="Arial" w:hint="default"/>
        </w:rPr>
        <w:t>3</w:t>
      </w:r>
      <w:r>
        <w:rPr/>
        <w:t>）其他合同安排产生的权利。</w:t>
      </w:r>
    </w:p>
    <w:p>
      <w:pPr>
        <w:pStyle w:val="BodyText"/>
        <w:spacing w:line="324" w:lineRule="auto" w:before="137"/>
        <w:ind w:right="96" w:firstLine="708"/>
        <w:jc w:val="left"/>
      </w:pPr>
      <w:r>
        <w:rPr/>
        <w:t>（</w:t>
      </w:r>
      <w:r>
        <w:rPr>
          <w:rFonts w:ascii="Arial" w:hAnsi="Arial" w:cs="Arial" w:eastAsia="Arial" w:hint="default"/>
        </w:rPr>
        <w:t>4</w:t>
      </w:r>
      <w:r>
        <w:rPr/>
        <w:t>）企业应考虑被投资方以往的表决权行使情况等其他相关事实和情况。 </w:t>
      </w:r>
      <w:r>
        <w:rPr>
          <w:spacing w:val="-2"/>
        </w:rPr>
        <w:t>当表决权不能对被投资方的回报产生重大影响时，如仅与被投资方的日常行政管理活动有关，</w:t>
      </w:r>
      <w:r>
        <w:rPr/>
        <w:t> 并且被投资方的相关活动由合同安排所决定，本公司需要评估这些合同安排，以评价其享有</w:t>
      </w:r>
    </w:p>
    <w:p>
      <w:pPr>
        <w:pStyle w:val="BodyText"/>
        <w:spacing w:line="333" w:lineRule="auto" w:before="7"/>
        <w:ind w:right="254"/>
        <w:jc w:val="left"/>
      </w:pPr>
      <w:r>
        <w:rPr/>
        <w:t>的权利是否足够使其拥有对被投资方的权力。 本公司可能难以判断其享有的权利是否足以使其拥有对被投资方的权力。在这种情况下，本 公司应当考虑其具有实际能力以单方面主导被投资方相关活动的证据，从而判断其是否拥有</w:t>
      </w:r>
    </w:p>
    <w:p>
      <w:pPr>
        <w:pStyle w:val="BodyText"/>
        <w:spacing w:line="312" w:lineRule="exact"/>
        <w:ind w:right="99"/>
        <w:jc w:val="left"/>
      </w:pPr>
      <w:r>
        <w:rPr/>
        <w:t>对被投资方的权力。本公司应考虑的因素包括但不限于下列事项：</w:t>
      </w:r>
    </w:p>
    <w:p>
      <w:pPr>
        <w:pStyle w:val="BodyText"/>
        <w:spacing w:line="240" w:lineRule="auto" w:before="154"/>
        <w:ind w:left="719" w:right="99"/>
        <w:jc w:val="left"/>
      </w:pPr>
      <w:r>
        <w:rPr/>
        <w:t>（</w:t>
      </w:r>
      <w:r>
        <w:rPr>
          <w:rFonts w:ascii="Arial" w:hAnsi="Arial" w:cs="Arial" w:eastAsia="Arial" w:hint="default"/>
        </w:rPr>
        <w:t>1</w:t>
      </w:r>
      <w:r>
        <w:rPr/>
        <w:t>）本公司能否任命或批准被投资方的关键管理人员。</w:t>
      </w:r>
    </w:p>
    <w:p>
      <w:pPr>
        <w:pStyle w:val="BodyText"/>
        <w:spacing w:line="240" w:lineRule="auto" w:before="137"/>
        <w:ind w:left="719" w:right="99"/>
        <w:jc w:val="left"/>
      </w:pPr>
      <w:r>
        <w:rPr/>
        <w:t>（</w:t>
      </w:r>
      <w:r>
        <w:rPr>
          <w:rFonts w:ascii="Arial" w:hAnsi="Arial" w:cs="Arial" w:eastAsia="Arial" w:hint="default"/>
        </w:rPr>
        <w:t>2</w:t>
      </w:r>
      <w:r>
        <w:rPr/>
        <w:t>）本公司能否出于其自身利益决定或否决被投资方的重大交易。</w:t>
      </w:r>
    </w:p>
    <w:p>
      <w:pPr>
        <w:pStyle w:val="BodyText"/>
        <w:spacing w:line="292" w:lineRule="auto" w:before="135"/>
        <w:ind w:right="274" w:firstLine="566"/>
        <w:jc w:val="left"/>
      </w:pPr>
      <w:r>
        <w:rPr/>
        <w:t>（</w:t>
      </w:r>
      <w:r>
        <w:rPr>
          <w:rFonts w:ascii="Arial" w:hAnsi="Arial" w:cs="Arial" w:eastAsia="Arial" w:hint="default"/>
        </w:rPr>
        <w:t>3</w:t>
      </w:r>
      <w:r>
        <w:rPr/>
        <w:t>）本公司能否掌控被投资方董事会等类似权力机构成员的任命程序，或者从其他表 决权持有人手中获得代理权。</w:t>
      </w:r>
    </w:p>
    <w:p>
      <w:pPr>
        <w:pStyle w:val="BodyText"/>
        <w:spacing w:line="292" w:lineRule="auto" w:before="101"/>
        <w:ind w:right="99" w:firstLine="566"/>
        <w:jc w:val="left"/>
      </w:pPr>
      <w:r>
        <w:rPr/>
        <w:t>（</w:t>
      </w:r>
      <w:r>
        <w:rPr>
          <w:rFonts w:ascii="Arial" w:hAnsi="Arial" w:cs="Arial" w:eastAsia="Arial" w:hint="default"/>
        </w:rPr>
        <w:t>4</w:t>
      </w:r>
      <w:r>
        <w:rPr/>
        <w:t>）本公司与被投资方的关键管理人员或董事会等类似权力机构中的多数成员是否存 在关联方关系。</w:t>
      </w:r>
    </w:p>
    <w:p>
      <w:pPr>
        <w:pStyle w:val="BodyText"/>
        <w:spacing w:line="309" w:lineRule="auto" w:before="101"/>
        <w:ind w:right="270"/>
        <w:jc w:val="both"/>
      </w:pPr>
      <w:r>
        <w:rPr/>
        <w:t>本公司与被投资方之间存在某种特殊关系的，在评价本公司是否拥有对被投资方的权力时， 应当适当考虑这种特殊关系的影响。特殊关系通常包括：被投资方的关键管理人员是企业的 现任或前任职工、被投资方的经营依赖于本公司、被投资方活动的重大部分有本公司参与其 中或者是以本公司的名义进行、本公司自被投资方承担可变回报的风险或享有可变回报的收 益远超过其持有的表决权或其他类似权利的比例等。</w:t>
      </w:r>
    </w:p>
    <w:p>
      <w:pPr>
        <w:pStyle w:val="BodyText"/>
        <w:spacing w:line="309" w:lineRule="auto" w:before="84"/>
        <w:ind w:right="233" w:firstLine="420"/>
        <w:jc w:val="both"/>
      </w:pPr>
      <w:r>
        <w:rPr>
          <w:spacing w:val="2"/>
        </w:rPr>
        <w:t>本公司在判断是否控制被投资方时，应当确定其自身是以主要责任人还是代理人的身份 </w:t>
      </w:r>
      <w:r>
        <w:rPr/>
        <w:t>行使决策权，在其他方拥有决策权的情况下，还需要确定其他方是否以其代理人的身份代为</w:t>
      </w:r>
      <w:r>
        <w:rPr>
          <w:spacing w:val="-91"/>
        </w:rPr>
        <w:t> </w:t>
      </w:r>
      <w:r>
        <w:rPr>
          <w:spacing w:val="-91"/>
        </w:rPr>
      </w:r>
      <w:r>
        <w:rPr/>
        <w:t>行使决策权。</w:t>
      </w:r>
    </w:p>
    <w:p>
      <w:pPr>
        <w:pStyle w:val="BodyText"/>
        <w:spacing w:line="304" w:lineRule="auto" w:before="84"/>
        <w:ind w:right="233" w:firstLine="420"/>
        <w:jc w:val="both"/>
      </w:pPr>
      <w:r>
        <w:rPr>
          <w:spacing w:val="2"/>
        </w:rPr>
        <w:t>本公司通常应当对是否控制被投资方整体进行判断。但极个别情况下，有确凿证据表明 </w:t>
      </w:r>
      <w:r>
        <w:rPr/>
        <w:t>同时满足下列条件并且符合相关法律法规规定的，本公司应当将被投资方的一部分（以下简</w:t>
      </w:r>
      <w:r>
        <w:rPr>
          <w:spacing w:val="-91"/>
        </w:rPr>
        <w:t> </w:t>
      </w:r>
      <w:r>
        <w:rPr>
          <w:spacing w:val="-91"/>
        </w:rPr>
      </w:r>
      <w:r>
        <w:rPr>
          <w:spacing w:val="2"/>
        </w:rPr>
        <w:t>称</w:t>
      </w:r>
      <w:r>
        <w:rPr>
          <w:rFonts w:ascii="Arial" w:hAnsi="Arial" w:cs="Arial" w:eastAsia="Arial" w:hint="default"/>
          <w:spacing w:val="2"/>
        </w:rPr>
        <w:t>“</w:t>
      </w:r>
      <w:r>
        <w:rPr>
          <w:spacing w:val="2"/>
        </w:rPr>
        <w:t>该部分</w:t>
      </w:r>
      <w:r>
        <w:rPr>
          <w:rFonts w:ascii="Arial" w:hAnsi="Arial" w:cs="Arial" w:eastAsia="Arial" w:hint="default"/>
          <w:spacing w:val="2"/>
        </w:rPr>
        <w:t>”</w:t>
      </w:r>
      <w:r>
        <w:rPr>
          <w:spacing w:val="2"/>
        </w:rPr>
        <w:t>）视为被投资方可分割的部分（单独主体），进而判断是否控制该部分（单独主</w:t>
      </w:r>
      <w:r>
        <w:rPr>
          <w:spacing w:val="-109"/>
        </w:rPr>
        <w:t> </w:t>
      </w:r>
      <w:r>
        <w:rPr>
          <w:spacing w:val="-109"/>
        </w:rPr>
      </w:r>
      <w:r>
        <w:rPr/>
        <w:t>体）。</w:t>
      </w:r>
    </w:p>
    <w:p>
      <w:pPr>
        <w:pStyle w:val="BodyText"/>
        <w:spacing w:line="240" w:lineRule="auto" w:before="89"/>
        <w:ind w:left="633" w:right="99"/>
        <w:jc w:val="left"/>
      </w:pPr>
      <w:r>
        <w:rPr>
          <w:rFonts w:ascii="Arial" w:hAnsi="Arial" w:cs="Arial" w:eastAsia="Arial" w:hint="default"/>
          <w:spacing w:val="-3"/>
        </w:rPr>
        <w:t>1</w:t>
      </w:r>
      <w:r>
        <w:rPr>
          <w:spacing w:val="-3"/>
        </w:rPr>
        <w:t>、该部分的资产是偿付该部分负债或该部分其他权益的唯一来源，不能用于偿还该部分</w:t>
      </w:r>
    </w:p>
    <w:p>
      <w:pPr>
        <w:spacing w:after="0" w:line="240" w:lineRule="auto"/>
        <w:jc w:val="left"/>
        <w:sectPr>
          <w:pgSz w:w="11910" w:h="16840"/>
          <w:pgMar w:header="884" w:footer="1010" w:top="1140" w:bottom="1200" w:left="980" w:right="900"/>
        </w:sectPr>
      </w:pPr>
    </w:p>
    <w:p>
      <w:pPr>
        <w:spacing w:line="240" w:lineRule="auto" w:before="1"/>
        <w:rPr>
          <w:rFonts w:ascii="宋体" w:hAnsi="宋体" w:cs="宋体" w:eastAsia="宋体" w:hint="default"/>
          <w:sz w:val="20"/>
          <w:szCs w:val="20"/>
        </w:rPr>
      </w:pPr>
    </w:p>
    <w:p>
      <w:pPr>
        <w:pStyle w:val="BodyText"/>
        <w:spacing w:line="240" w:lineRule="auto" w:before="26"/>
        <w:ind w:right="99"/>
        <w:jc w:val="left"/>
      </w:pPr>
      <w:r>
        <w:rPr/>
        <w:t>以外的被投资方的其他负债；</w:t>
      </w:r>
    </w:p>
    <w:p>
      <w:pPr>
        <w:pStyle w:val="BodyText"/>
        <w:spacing w:line="292" w:lineRule="auto" w:before="154"/>
        <w:ind w:right="232" w:firstLine="480"/>
        <w:jc w:val="both"/>
      </w:pPr>
      <w:r>
        <w:rPr>
          <w:rFonts w:ascii="Arial" w:hAnsi="Arial" w:cs="Arial" w:eastAsia="Arial" w:hint="default"/>
          <w:spacing w:val="-3"/>
        </w:rPr>
        <w:t>2</w:t>
      </w:r>
      <w:r>
        <w:rPr>
          <w:spacing w:val="-3"/>
        </w:rPr>
        <w:t>、除与该部分相关的各方外，其他方不享有与该部分资产相关的权利，也不享有与该部</w:t>
      </w:r>
      <w:r>
        <w:rPr/>
        <w:t> 分资产剩余现金流量相关的权利。</w:t>
      </w:r>
    </w:p>
    <w:p>
      <w:pPr>
        <w:pStyle w:val="BodyText"/>
        <w:spacing w:line="309" w:lineRule="auto" w:before="101"/>
        <w:ind w:right="99" w:firstLine="420"/>
        <w:jc w:val="left"/>
      </w:pPr>
      <w:r>
        <w:rPr>
          <w:spacing w:val="-1"/>
        </w:rPr>
        <w:t>所有纳入合并财务报表合并范围的子公司所采用的会计政策、会计期间应与本公司一致。</w:t>
      </w:r>
      <w:r>
        <w:rPr/>
        <w:t> 如果子公司采用的会计政策、会计期间与本公司不一致的，在编制合并报表时，按本公司的</w:t>
      </w:r>
      <w:r>
        <w:rPr>
          <w:spacing w:val="-91"/>
        </w:rPr>
        <w:t> </w:t>
      </w:r>
      <w:r>
        <w:rPr>
          <w:spacing w:val="-91"/>
        </w:rPr>
      </w:r>
      <w:r>
        <w:rPr>
          <w:spacing w:val="-5"/>
        </w:rPr>
        <w:t>会计政策、会计期间进行必要的调整。合并财务报表以母公司和其子公司的财务报表为基础，</w:t>
      </w:r>
      <w:r>
        <w:rPr>
          <w:spacing w:val="-117"/>
        </w:rPr>
        <w:t> </w:t>
      </w:r>
      <w:r>
        <w:rPr>
          <w:spacing w:val="-117"/>
        </w:rPr>
      </w:r>
      <w:r>
        <w:rPr/>
        <w:t>根据其他有关资料，在抵销母公司与子公司、子公司相互之间发生的内部交易后，由母公司</w:t>
      </w:r>
      <w:r>
        <w:rPr>
          <w:spacing w:val="-87"/>
        </w:rPr>
        <w:t> </w:t>
      </w:r>
      <w:r>
        <w:rPr>
          <w:spacing w:val="-87"/>
        </w:rPr>
      </w:r>
      <w:r>
        <w:rPr/>
        <w:t>编制。</w:t>
      </w:r>
    </w:p>
    <w:p>
      <w:pPr>
        <w:pStyle w:val="BodyText"/>
        <w:spacing w:line="292" w:lineRule="auto" w:before="82"/>
        <w:ind w:right="234" w:firstLine="420"/>
        <w:jc w:val="both"/>
      </w:pPr>
      <w:r>
        <w:rPr/>
        <w:t>母公司向子公司出售资产所发生的未实现内部交易损益，全额抵销</w:t>
      </w:r>
      <w:r>
        <w:rPr>
          <w:rFonts w:ascii="Arial" w:hAnsi="Arial" w:cs="Arial" w:eastAsia="Arial" w:hint="default"/>
        </w:rPr>
        <w:t>“</w:t>
      </w:r>
      <w:r>
        <w:rPr/>
        <w:t>归属于母公司所有者 的净利润</w:t>
      </w:r>
      <w:r>
        <w:rPr>
          <w:rFonts w:ascii="Arial" w:hAnsi="Arial" w:cs="Arial" w:eastAsia="Arial" w:hint="default"/>
        </w:rPr>
        <w:t>”</w:t>
      </w:r>
      <w:r>
        <w:rPr/>
        <w:t>。</w:t>
      </w:r>
    </w:p>
    <w:p>
      <w:pPr>
        <w:pStyle w:val="BodyText"/>
        <w:spacing w:line="309" w:lineRule="auto" w:before="78"/>
        <w:ind w:right="233" w:firstLine="420"/>
        <w:jc w:val="both"/>
      </w:pPr>
      <w:r>
        <w:rPr>
          <w:spacing w:val="2"/>
        </w:rPr>
        <w:t>子公司向母公司出售资产所发生的未实现内部交易损益，按照母公司对该子公司的分配 </w:t>
      </w:r>
      <w:r>
        <w:rPr/>
        <w:t>比例在</w:t>
      </w:r>
      <w:r>
        <w:rPr>
          <w:rFonts w:ascii="Arial" w:hAnsi="Arial" w:cs="Arial" w:eastAsia="Arial" w:hint="default"/>
        </w:rPr>
        <w:t>“</w:t>
      </w:r>
      <w:r>
        <w:rPr/>
        <w:t>归属于母公司所有者的净利润</w:t>
      </w:r>
      <w:r>
        <w:rPr>
          <w:rFonts w:ascii="Arial" w:hAnsi="Arial" w:cs="Arial" w:eastAsia="Arial" w:hint="default"/>
        </w:rPr>
        <w:t>”</w:t>
      </w:r>
      <w:r>
        <w:rPr/>
        <w:t>和</w:t>
      </w:r>
      <w:r>
        <w:rPr>
          <w:rFonts w:ascii="Arial" w:hAnsi="Arial" w:cs="Arial" w:eastAsia="Arial" w:hint="default"/>
        </w:rPr>
        <w:t>“</w:t>
      </w:r>
      <w:r>
        <w:rPr/>
        <w:t>少数股东损益</w:t>
      </w:r>
      <w:r>
        <w:rPr>
          <w:rFonts w:ascii="Arial" w:hAnsi="Arial" w:cs="Arial" w:eastAsia="Arial" w:hint="default"/>
        </w:rPr>
        <w:t>”</w:t>
      </w:r>
      <w:r>
        <w:rPr/>
        <w:t>之间分配抵销。</w:t>
      </w:r>
    </w:p>
    <w:p>
      <w:pPr>
        <w:pStyle w:val="BodyText"/>
        <w:spacing w:line="309" w:lineRule="auto" w:before="59"/>
        <w:ind w:right="233" w:firstLine="420"/>
        <w:jc w:val="both"/>
      </w:pPr>
      <w:r>
        <w:rPr>
          <w:spacing w:val="2"/>
        </w:rPr>
        <w:t>子公司之间出售资产所发生的未实现内部交易损益，按照母公司对出售方子公司的分配 </w:t>
      </w:r>
      <w:r>
        <w:rPr/>
        <w:t>比例在</w:t>
      </w:r>
      <w:r>
        <w:rPr>
          <w:rFonts w:ascii="Arial" w:hAnsi="Arial" w:cs="Arial" w:eastAsia="Arial" w:hint="default"/>
        </w:rPr>
        <w:t>“</w:t>
      </w:r>
      <w:r>
        <w:rPr/>
        <w:t>归属于母公司所有者的净利润</w:t>
      </w:r>
      <w:r>
        <w:rPr>
          <w:rFonts w:ascii="Arial" w:hAnsi="Arial" w:cs="Arial" w:eastAsia="Arial" w:hint="default"/>
        </w:rPr>
        <w:t>”</w:t>
      </w:r>
      <w:r>
        <w:rPr/>
        <w:t>和</w:t>
      </w:r>
      <w:r>
        <w:rPr>
          <w:rFonts w:ascii="Arial" w:hAnsi="Arial" w:cs="Arial" w:eastAsia="Arial" w:hint="default"/>
        </w:rPr>
        <w:t>“</w:t>
      </w:r>
      <w:r>
        <w:rPr/>
        <w:t>少数股东损益</w:t>
      </w:r>
      <w:r>
        <w:rPr>
          <w:rFonts w:ascii="Arial" w:hAnsi="Arial" w:cs="Arial" w:eastAsia="Arial" w:hint="default"/>
        </w:rPr>
        <w:t>”</w:t>
      </w:r>
      <w:r>
        <w:rPr/>
        <w:t>之间分配抵销。</w:t>
      </w:r>
    </w:p>
    <w:p>
      <w:pPr>
        <w:pStyle w:val="BodyText"/>
        <w:spacing w:line="302" w:lineRule="auto" w:before="59"/>
        <w:ind w:right="233" w:firstLine="420"/>
        <w:jc w:val="both"/>
      </w:pPr>
      <w:r>
        <w:rPr>
          <w:spacing w:val="2"/>
        </w:rPr>
        <w:t>子公司持有母公司的长期股权投资，视为企业集团的库存股，作为所有者权益的减项， 在合并资产负债表中所有者权益项目下以</w:t>
      </w:r>
      <w:r>
        <w:rPr>
          <w:rFonts w:ascii="Arial" w:hAnsi="Arial" w:cs="Arial" w:eastAsia="Arial" w:hint="default"/>
          <w:spacing w:val="2"/>
        </w:rPr>
        <w:t>“</w:t>
      </w:r>
      <w:r>
        <w:rPr>
          <w:spacing w:val="2"/>
        </w:rPr>
        <w:t>减：库存股</w:t>
      </w:r>
      <w:r>
        <w:rPr>
          <w:rFonts w:ascii="Arial" w:hAnsi="Arial" w:cs="Arial" w:eastAsia="Arial" w:hint="default"/>
          <w:spacing w:val="2"/>
        </w:rPr>
        <w:t>”</w:t>
      </w:r>
      <w:r>
        <w:rPr>
          <w:spacing w:val="2"/>
        </w:rPr>
        <w:t>项目列示。子公司相互之间持有的长</w:t>
      </w:r>
      <w:r>
        <w:rPr>
          <w:spacing w:val="-97"/>
        </w:rPr>
        <w:t> </w:t>
      </w:r>
      <w:r>
        <w:rPr>
          <w:spacing w:val="-97"/>
        </w:rPr>
      </w:r>
      <w:r>
        <w:rPr/>
        <w:t>期股权投资，将长期股权投资与其对应的子公司所有者权益中所享有的份额相互抵销。</w:t>
      </w:r>
    </w:p>
    <w:p>
      <w:pPr>
        <w:pStyle w:val="BodyText"/>
        <w:spacing w:line="309" w:lineRule="auto" w:before="91"/>
        <w:ind w:right="233" w:firstLine="420"/>
        <w:jc w:val="both"/>
      </w:pPr>
      <w:r>
        <w:rPr>
          <w:spacing w:val="2"/>
        </w:rPr>
        <w:t>因抵销未实现内部销售损益导致合并资产负债表中资产、负债的账面价值与其在所属纳 </w:t>
      </w:r>
      <w:r>
        <w:rPr/>
        <w:t>税主体的计税基础之间产生暂时性差异的，在合并资产负债表中确认递延所得税资产或递延</w:t>
      </w:r>
      <w:r>
        <w:rPr>
          <w:spacing w:val="-91"/>
        </w:rPr>
        <w:t> </w:t>
      </w:r>
      <w:r>
        <w:rPr>
          <w:spacing w:val="-91"/>
        </w:rPr>
      </w:r>
      <w:r>
        <w:rPr/>
        <w:t>所得税负债，同时调整合并利润表中的所得税费用，但与直接计入所有者权益的交易或事项</w:t>
      </w:r>
      <w:r>
        <w:rPr>
          <w:spacing w:val="-91"/>
        </w:rPr>
        <w:t> </w:t>
      </w:r>
      <w:r>
        <w:rPr>
          <w:spacing w:val="-91"/>
        </w:rPr>
      </w:r>
      <w:r>
        <w:rPr/>
        <w:t>及企业合并相关的递延所得税除外。</w:t>
      </w:r>
    </w:p>
    <w:p>
      <w:pPr>
        <w:pStyle w:val="BodyText"/>
        <w:spacing w:line="300" w:lineRule="auto" w:before="84"/>
        <w:ind w:right="233" w:firstLine="420"/>
        <w:jc w:val="both"/>
      </w:pPr>
      <w:r>
        <w:rPr>
          <w:spacing w:val="-2"/>
        </w:rPr>
        <w:t>少数股东权益，在合并资产负债表中所有者权益项目下以</w:t>
      </w:r>
      <w:r>
        <w:rPr>
          <w:rFonts w:ascii="Arial" w:hAnsi="Arial" w:cs="Arial" w:eastAsia="Arial" w:hint="default"/>
          <w:spacing w:val="-2"/>
        </w:rPr>
        <w:t>“</w:t>
      </w:r>
      <w:r>
        <w:rPr>
          <w:spacing w:val="-2"/>
        </w:rPr>
        <w:t>少数股东权益</w:t>
      </w:r>
      <w:r>
        <w:rPr>
          <w:rFonts w:ascii="Arial" w:hAnsi="Arial" w:cs="Arial" w:eastAsia="Arial" w:hint="default"/>
          <w:spacing w:val="-2"/>
        </w:rPr>
        <w:t>”</w:t>
      </w:r>
      <w:r>
        <w:rPr>
          <w:spacing w:val="-2"/>
        </w:rPr>
        <w:t>项目列示。少数</w:t>
      </w:r>
      <w:r>
        <w:rPr/>
        <w:t> </w:t>
      </w:r>
      <w:r>
        <w:rPr>
          <w:spacing w:val="2"/>
        </w:rPr>
        <w:t>股东损益，在合并利润表中净利润项目下以</w:t>
      </w:r>
      <w:r>
        <w:rPr>
          <w:rFonts w:ascii="Arial" w:hAnsi="Arial" w:cs="Arial" w:eastAsia="Arial" w:hint="default"/>
          <w:spacing w:val="2"/>
        </w:rPr>
        <w:t>“</w:t>
      </w:r>
      <w:r>
        <w:rPr>
          <w:spacing w:val="2"/>
        </w:rPr>
        <w:t>少数股东损益</w:t>
      </w:r>
      <w:r>
        <w:rPr>
          <w:rFonts w:ascii="Arial" w:hAnsi="Arial" w:cs="Arial" w:eastAsia="Arial" w:hint="default"/>
          <w:spacing w:val="2"/>
        </w:rPr>
        <w:t>”</w:t>
      </w:r>
      <w:r>
        <w:rPr>
          <w:spacing w:val="2"/>
        </w:rPr>
        <w:t>项目列示。子公司少数股东分担</w:t>
      </w:r>
      <w:r>
        <w:rPr>
          <w:spacing w:val="-97"/>
        </w:rPr>
        <w:t> </w:t>
      </w:r>
      <w:r>
        <w:rPr>
          <w:spacing w:val="-97"/>
        </w:rPr>
      </w:r>
      <w:r>
        <w:rPr/>
        <w:t>的当期亏损超过了少数股东在该子公司期初所有者权益中所享有份额而形成的余额，冲减少</w:t>
      </w:r>
      <w:r>
        <w:rPr>
          <w:spacing w:val="-91"/>
        </w:rPr>
        <w:t> </w:t>
      </w:r>
      <w:r>
        <w:rPr>
          <w:spacing w:val="-91"/>
        </w:rPr>
      </w:r>
      <w:r>
        <w:rPr/>
        <w:t>数股东权益。</w:t>
      </w:r>
    </w:p>
    <w:p>
      <w:pPr>
        <w:pStyle w:val="BodyText"/>
        <w:spacing w:line="309" w:lineRule="auto" w:before="91"/>
        <w:ind w:right="233" w:firstLine="420"/>
        <w:jc w:val="right"/>
      </w:pPr>
      <w:r>
        <w:rPr>
          <w:spacing w:val="2"/>
        </w:rPr>
        <w:t>在报告期内因同一控制下企业合并增加的子公司以及业务，调整合并资产负债表的期初 </w:t>
      </w:r>
      <w:r>
        <w:rPr/>
        <w:t>数，并将该子公司以及业务合并当期期初至报告期末的收入、费用、利润纳入合并利润表，</w:t>
      </w:r>
      <w:r>
        <w:rPr>
          <w:spacing w:val="-106"/>
        </w:rPr>
        <w:t> </w:t>
      </w:r>
      <w:r>
        <w:rPr>
          <w:spacing w:val="-106"/>
        </w:rPr>
      </w:r>
      <w:r>
        <w:rPr/>
        <w:t>将该子公司以及业务合并当期期初至报告期末的现金流量纳入合并现金流量表，同时对比较</w:t>
      </w:r>
      <w:r>
        <w:rPr>
          <w:spacing w:val="-106"/>
        </w:rPr>
        <w:t> </w:t>
      </w:r>
      <w:r>
        <w:rPr>
          <w:spacing w:val="-106"/>
        </w:rPr>
      </w:r>
      <w:r>
        <w:rPr/>
        <w:t>报表的相关项目进行调整，视同合并后的报告主体自最终控制方开始控制时点起一直存在。</w:t>
      </w:r>
    </w:p>
    <w:p>
      <w:pPr>
        <w:pStyle w:val="BodyText"/>
        <w:spacing w:line="309" w:lineRule="auto" w:before="84"/>
        <w:ind w:right="233" w:firstLine="420"/>
        <w:jc w:val="both"/>
      </w:pPr>
      <w:r>
        <w:rPr>
          <w:spacing w:val="2"/>
        </w:rPr>
        <w:t>因非同一控制下企业合并或其他方式增加的子公司以及业务，不调整合并资产负债表的 </w:t>
      </w:r>
      <w:r>
        <w:rPr/>
        <w:t>期初数，将该子公司以及业务购买日至报告期末的收入、费用、利润纳入合并利润表，将该</w:t>
      </w:r>
      <w:r>
        <w:rPr>
          <w:spacing w:val="-91"/>
        </w:rPr>
        <w:t> </w:t>
      </w:r>
      <w:r>
        <w:rPr>
          <w:spacing w:val="-91"/>
        </w:rPr>
      </w:r>
      <w:r>
        <w:rPr/>
        <w:t>子公司以及业务购买日至报告期末的现金流量纳入合并现金流量表。通过多次交易分步实现</w:t>
      </w:r>
      <w:r>
        <w:rPr>
          <w:spacing w:val="-91"/>
        </w:rPr>
        <w:t> </w:t>
      </w:r>
      <w:r>
        <w:rPr>
          <w:spacing w:val="-91"/>
        </w:rPr>
      </w:r>
      <w:r>
        <w:rPr/>
        <w:t>非同一控制下企业合并时，对于购买日之前持有的被购买方股权，本公司按照该股权在购买</w:t>
      </w:r>
    </w:p>
    <w:p>
      <w:pPr>
        <w:spacing w:after="0" w:line="309" w:lineRule="auto"/>
        <w:jc w:val="both"/>
        <w:sectPr>
          <w:footerReference w:type="default" r:id="rId41"/>
          <w:pgSz w:w="11910" w:h="16840"/>
          <w:pgMar w:footer="1010" w:header="884" w:top="1140" w:bottom="1200" w:left="980" w:right="900"/>
          <w:pgNumType w:start="90"/>
        </w:sectPr>
      </w:pPr>
    </w:p>
    <w:p>
      <w:pPr>
        <w:spacing w:line="240" w:lineRule="auto" w:before="1"/>
        <w:rPr>
          <w:rFonts w:ascii="宋体" w:hAnsi="宋体" w:cs="宋体" w:eastAsia="宋体" w:hint="default"/>
          <w:sz w:val="20"/>
          <w:szCs w:val="20"/>
        </w:rPr>
      </w:pPr>
    </w:p>
    <w:p>
      <w:pPr>
        <w:pStyle w:val="BodyText"/>
        <w:spacing w:line="309" w:lineRule="auto" w:before="26"/>
        <w:ind w:right="105"/>
        <w:jc w:val="left"/>
      </w:pPr>
      <w:r>
        <w:rPr/>
        <w:t>日的公允价值进行重新计量，公允价值与其账面价值的差额计入当期投资收益。购买日之前</w:t>
      </w:r>
      <w:r>
        <w:rPr>
          <w:spacing w:val="-91"/>
        </w:rPr>
        <w:t> </w:t>
      </w:r>
      <w:r>
        <w:rPr>
          <w:spacing w:val="-91"/>
        </w:rPr>
      </w:r>
      <w:r>
        <w:rPr>
          <w:spacing w:val="-3"/>
        </w:rPr>
        <w:t>持有的被购买方的股权涉及其他综合收益以及其他所有者权益变动</w:t>
      </w:r>
      <w:r>
        <w:rPr>
          <w:spacing w:val="-3"/>
          <w:sz w:val="21"/>
          <w:szCs w:val="21"/>
        </w:rPr>
        <w:t>的，与其相关的其他综合收</w:t>
      </w:r>
      <w:r>
        <w:rPr>
          <w:spacing w:val="-3"/>
        </w:rPr>
        <w:t>益、</w:t>
      </w:r>
      <w:r>
        <w:rPr>
          <w:spacing w:val="-76"/>
        </w:rPr>
        <w:t> </w:t>
      </w:r>
      <w:r>
        <w:rPr>
          <w:spacing w:val="-76"/>
        </w:rPr>
      </w:r>
      <w:r>
        <w:rPr/>
        <w:t>其他所有者权益转为购买日所属当期投资收益，由于被投资方重新计量设定受益计划净负债</w:t>
      </w:r>
      <w:r>
        <w:rPr>
          <w:spacing w:val="-91"/>
        </w:rPr>
        <w:t> </w:t>
      </w:r>
      <w:r>
        <w:rPr>
          <w:spacing w:val="-91"/>
        </w:rPr>
      </w:r>
      <w:r>
        <w:rPr/>
        <w:t>或净资产变动而产生的其他综合收益除外。</w:t>
      </w:r>
    </w:p>
    <w:p>
      <w:pPr>
        <w:pStyle w:val="BodyText"/>
        <w:spacing w:line="309" w:lineRule="auto" w:before="144"/>
        <w:ind w:right="216" w:firstLine="420"/>
        <w:jc w:val="left"/>
      </w:pPr>
      <w:r>
        <w:rPr>
          <w:spacing w:val="2"/>
        </w:rPr>
        <w:t>本公司在报告期内处置子公司以及业务，不调整合并资产负债表的期初数；将该子公司 </w:t>
      </w:r>
      <w:r>
        <w:rPr/>
        <w:t>以及业务期初至处置日的收入、费用、利润纳入合并利润表；将该子公司期初至处置日的现</w:t>
      </w:r>
      <w:r>
        <w:rPr>
          <w:spacing w:val="-91"/>
        </w:rPr>
        <w:t> </w:t>
      </w:r>
      <w:r>
        <w:rPr>
          <w:spacing w:val="-91"/>
        </w:rPr>
      </w:r>
      <w:r>
        <w:rPr>
          <w:spacing w:val="-2"/>
        </w:rPr>
        <w:t>金流量纳入合并现金流量表。因处置部分股权投资或其他原因丧失了对原有子公司控制权的，</w:t>
      </w:r>
      <w:r>
        <w:rPr/>
        <w:t> 对于处置后的剩余股权投资，本公司按照其在丧失控制权日的公允价值进行重新计量。处置</w:t>
      </w:r>
      <w:r>
        <w:rPr>
          <w:spacing w:val="-91"/>
        </w:rPr>
        <w:t> </w:t>
      </w:r>
      <w:r>
        <w:rPr>
          <w:spacing w:val="-91"/>
        </w:rPr>
      </w:r>
      <w:r>
        <w:rPr/>
        <w:t>股权取得的对价与剩余股权公允价值之和，减去按原持股比例计算应享有原有子公司自购买</w:t>
      </w:r>
      <w:r>
        <w:rPr>
          <w:spacing w:val="-88"/>
        </w:rPr>
        <w:t> </w:t>
      </w:r>
      <w:r>
        <w:rPr>
          <w:spacing w:val="-88"/>
        </w:rPr>
      </w:r>
      <w:r>
        <w:rPr/>
        <w:t>日或合并日开始持续计算的净资产的份额之间的差额，计入丧失控制权当期的投资收益，同</w:t>
      </w:r>
      <w:r>
        <w:rPr>
          <w:spacing w:val="-91"/>
        </w:rPr>
        <w:t> </w:t>
      </w:r>
      <w:r>
        <w:rPr>
          <w:spacing w:val="-91"/>
        </w:rPr>
      </w:r>
      <w:r>
        <w:rPr/>
        <w:t>时冲减商誉。与原有子公司股权投资相关的其他综合收益、其他所有者权益等，在丧失控制</w:t>
      </w:r>
      <w:r>
        <w:rPr>
          <w:spacing w:val="-91"/>
        </w:rPr>
        <w:t> </w:t>
      </w:r>
      <w:r>
        <w:rPr>
          <w:spacing w:val="-91"/>
        </w:rPr>
      </w:r>
      <w:r>
        <w:rPr/>
        <w:t>权时转为当期投资收益。</w:t>
      </w:r>
    </w:p>
    <w:p>
      <w:pPr>
        <w:pStyle w:val="BodyText"/>
        <w:spacing w:line="309" w:lineRule="auto" w:before="142"/>
        <w:ind w:right="352" w:firstLine="566"/>
        <w:jc w:val="both"/>
      </w:pPr>
      <w:r>
        <w:rPr>
          <w:spacing w:val="-2"/>
        </w:rPr>
        <w:t>本公司通过多次交易分步处置对子公司股权投资直至丧失控制权的，如果处置对子公司</w:t>
      </w:r>
      <w:r>
        <w:rPr/>
        <w:t> 股权投资直至丧失控制权的各项交易属于一揽子交易的，则将各项交易作为一项处置子公司</w:t>
      </w:r>
      <w:r>
        <w:rPr>
          <w:spacing w:val="-91"/>
        </w:rPr>
        <w:t> </w:t>
      </w:r>
      <w:r>
        <w:rPr>
          <w:spacing w:val="-91"/>
        </w:rPr>
      </w:r>
      <w:r>
        <w:rPr/>
        <w:t>并丧失控制权的交易进行会计处理；但是，在丧失控制权之前每一次处置价款与处置投资对</w:t>
      </w:r>
      <w:r>
        <w:rPr>
          <w:spacing w:val="-91"/>
        </w:rPr>
        <w:t> </w:t>
      </w:r>
      <w:r>
        <w:rPr>
          <w:spacing w:val="-91"/>
        </w:rPr>
      </w:r>
      <w:r>
        <w:rPr/>
        <w:t>应的享有该子公司净资产份额的差额，在合并财务报表中确认为其他综合收益，在丧失控制</w:t>
      </w:r>
      <w:r>
        <w:rPr>
          <w:spacing w:val="-87"/>
        </w:rPr>
        <w:t> </w:t>
      </w:r>
      <w:r>
        <w:rPr>
          <w:spacing w:val="-87"/>
        </w:rPr>
      </w:r>
      <w:r>
        <w:rPr/>
        <w:t>权时一并转入丧失控制权当期的损益。</w:t>
      </w:r>
    </w:p>
    <w:p>
      <w:pPr>
        <w:pStyle w:val="BodyText"/>
        <w:spacing w:line="309" w:lineRule="auto" w:before="142"/>
        <w:ind w:right="353" w:firstLine="566"/>
        <w:jc w:val="both"/>
      </w:pPr>
      <w:r>
        <w:rPr>
          <w:spacing w:val="4"/>
        </w:rPr>
        <w:t>本公司因购买少数股权新取得的长期股权投资与按照新增持股比例计算应享有子公司</w:t>
      </w:r>
      <w:r>
        <w:rPr/>
        <w:t> 的可辨认净资产份额之间的差额，以及在不丧失控制权的情况下因部分处置对子公司的股权</w:t>
      </w:r>
      <w:r>
        <w:rPr>
          <w:spacing w:val="-91"/>
        </w:rPr>
        <w:t> </w:t>
      </w:r>
      <w:r>
        <w:rPr>
          <w:spacing w:val="-91"/>
        </w:rPr>
      </w:r>
      <w:r>
        <w:rPr/>
        <w:t>投资而取得的处置价款与处置长期股权投资相对应享有子公司净资产份额的差额，均调整合</w:t>
      </w:r>
      <w:r>
        <w:rPr>
          <w:spacing w:val="-91"/>
        </w:rPr>
        <w:t> </w:t>
      </w:r>
      <w:r>
        <w:rPr>
          <w:spacing w:val="-91"/>
        </w:rPr>
      </w:r>
      <w:r>
        <w:rPr>
          <w:spacing w:val="-5"/>
        </w:rPr>
        <w:t>并资产负债表中的资本公积的股本溢价，资本公积中的股本溢价不足冲减的，调整留存收益。</w:t>
      </w:r>
    </w:p>
    <w:p>
      <w:pPr>
        <w:spacing w:line="240" w:lineRule="auto" w:before="8"/>
        <w:rPr>
          <w:rFonts w:ascii="宋体" w:hAnsi="宋体" w:cs="宋体" w:eastAsia="宋体" w:hint="default"/>
          <w:sz w:val="24"/>
          <w:szCs w:val="24"/>
        </w:rPr>
      </w:pPr>
    </w:p>
    <w:p>
      <w:pPr>
        <w:pStyle w:val="Heading3"/>
        <w:spacing w:line="240" w:lineRule="auto"/>
        <w:ind w:right="105"/>
        <w:jc w:val="left"/>
        <w:rPr>
          <w:b w:val="0"/>
          <w:bCs w:val="0"/>
        </w:rPr>
      </w:pPr>
      <w:r>
        <w:rPr>
          <w:rFonts w:ascii="Arial" w:hAnsi="Arial" w:cs="Arial" w:eastAsia="Arial" w:hint="default"/>
        </w:rPr>
        <w:t>7</w:t>
      </w:r>
      <w:r>
        <w:rPr/>
        <w:t>、合营安排分类及共同经营会计处理方法</w:t>
      </w:r>
      <w:r>
        <w:rPr>
          <w:b w:val="0"/>
          <w:bCs w:val="0"/>
        </w:rPr>
      </w:r>
    </w:p>
    <w:p>
      <w:pPr>
        <w:spacing w:line="240" w:lineRule="auto" w:before="9"/>
        <w:rPr>
          <w:rFonts w:ascii="宋体" w:hAnsi="宋体" w:cs="宋体" w:eastAsia="宋体" w:hint="default"/>
          <w:b/>
          <w:bCs/>
          <w:sz w:val="28"/>
          <w:szCs w:val="28"/>
        </w:rPr>
      </w:pPr>
    </w:p>
    <w:p>
      <w:pPr>
        <w:pStyle w:val="BodyText"/>
        <w:spacing w:line="307" w:lineRule="auto"/>
        <w:ind w:right="105"/>
        <w:jc w:val="left"/>
      </w:pPr>
      <w:r>
        <w:rPr/>
        <w:t>合营安排，是指一项由两个或两个以上的参与方共同控制的安排。本公司根据在合营安排中 享有的权利和承担的义务，将合营安排分为共同经营和合营企业。共同经营，是指本公司享 有该安排相关资产且承担该安排相关负债的合营安排。合营企业，是指本公司仅对该安排的 净资产享有权利的合营安排。 </w:t>
      </w:r>
      <w:r>
        <w:rPr>
          <w:spacing w:val="-2"/>
        </w:rPr>
        <w:t>本公司对合营企业的投资采用权益法核算，按照本附注第九节五、</w:t>
      </w:r>
      <w:r>
        <w:rPr>
          <w:rFonts w:ascii="Arial" w:hAnsi="Arial" w:cs="Arial" w:eastAsia="Arial" w:hint="default"/>
          <w:spacing w:val="-2"/>
        </w:rPr>
        <w:t>14</w:t>
      </w:r>
      <w:r>
        <w:rPr>
          <w:spacing w:val="-2"/>
        </w:rPr>
        <w:t>、</w:t>
      </w:r>
      <w:r>
        <w:rPr>
          <w:rFonts w:ascii="Arial" w:hAnsi="Arial" w:cs="Arial" w:eastAsia="Arial" w:hint="default"/>
          <w:spacing w:val="-2"/>
        </w:rPr>
        <w:t>“</w:t>
      </w:r>
      <w:r>
        <w:rPr>
          <w:spacing w:val="-2"/>
        </w:rPr>
        <w:t>权益法核算的长期股</w:t>
      </w:r>
      <w:r>
        <w:rPr>
          <w:spacing w:val="-105"/>
        </w:rPr>
        <w:t> </w:t>
      </w:r>
      <w:r>
        <w:rPr>
          <w:spacing w:val="-105"/>
        </w:rPr>
      </w:r>
      <w:r>
        <w:rPr/>
        <w:t>权投资</w:t>
      </w:r>
      <w:r>
        <w:rPr>
          <w:rFonts w:ascii="Arial" w:hAnsi="Arial" w:cs="Arial" w:eastAsia="Arial" w:hint="default"/>
        </w:rPr>
        <w:t>”</w:t>
      </w:r>
      <w:r>
        <w:rPr/>
        <w:t>中所述的会计政策处理。</w:t>
      </w:r>
    </w:p>
    <w:p>
      <w:pPr>
        <w:pStyle w:val="BodyText"/>
        <w:spacing w:line="309" w:lineRule="auto" w:before="119"/>
        <w:ind w:right="355" w:firstLine="480"/>
        <w:jc w:val="both"/>
      </w:pPr>
      <w:r>
        <w:rPr/>
        <w:t>本公司作为合营方对共同经营，确认本公司单独持有的资产、单独所承担的负债，以及 按本公司份额确认共同持有的资产和共同承担的负债；确认出售本公司享有的共同经营产出</w:t>
      </w:r>
      <w:r>
        <w:rPr>
          <w:spacing w:val="-88"/>
        </w:rPr>
        <w:t> </w:t>
      </w:r>
      <w:r>
        <w:rPr>
          <w:spacing w:val="-88"/>
        </w:rPr>
      </w:r>
      <w:r>
        <w:rPr/>
        <w:t>份额所产生的收入；按本公司份额确认共同经营因出售产出所产生的收入；确认本公司单独</w:t>
      </w:r>
    </w:p>
    <w:p>
      <w:pPr>
        <w:spacing w:after="0" w:line="309" w:lineRule="auto"/>
        <w:jc w:val="both"/>
        <w:sectPr>
          <w:pgSz w:w="11910" w:h="16840"/>
          <w:pgMar w:header="884" w:footer="1010" w:top="1140" w:bottom="1200" w:left="980" w:right="780"/>
        </w:sectPr>
      </w:pPr>
    </w:p>
    <w:p>
      <w:pPr>
        <w:spacing w:line="240" w:lineRule="auto" w:before="1"/>
        <w:rPr>
          <w:rFonts w:ascii="宋体" w:hAnsi="宋体" w:cs="宋体" w:eastAsia="宋体" w:hint="default"/>
          <w:sz w:val="20"/>
          <w:szCs w:val="20"/>
        </w:rPr>
      </w:pPr>
    </w:p>
    <w:p>
      <w:pPr>
        <w:pStyle w:val="BodyText"/>
        <w:spacing w:line="400" w:lineRule="auto" w:before="26"/>
        <w:ind w:left="633" w:right="253" w:hanging="481"/>
        <w:jc w:val="left"/>
      </w:pPr>
      <w:r>
        <w:rPr/>
        <w:t>所发生的费用，以及按本公司份额确认共同经营发生的费用。 当本公司作为合营方向共同经营投出或出售资产（该资产不构成业务，下同）、或者自</w:t>
      </w:r>
    </w:p>
    <w:p>
      <w:pPr>
        <w:pStyle w:val="BodyText"/>
        <w:spacing w:line="245" w:lineRule="exact"/>
        <w:ind w:right="0"/>
        <w:jc w:val="both"/>
      </w:pPr>
      <w:r>
        <w:rPr/>
        <w:t>共同经营购买资产时，在该等资产出售给第三方之前，本公司仅确认因该交易产生的损益中</w:t>
      </w:r>
    </w:p>
    <w:p>
      <w:pPr>
        <w:pStyle w:val="BodyText"/>
        <w:spacing w:line="302" w:lineRule="auto" w:before="91"/>
        <w:ind w:right="99"/>
        <w:jc w:val="left"/>
      </w:pPr>
      <w:r>
        <w:rPr/>
        <w:t>归属于共同经营其他参与方的部分。该等资产发生符合《企业会计准则第</w:t>
      </w:r>
      <w:r>
        <w:rPr>
          <w:rFonts w:ascii="Arial" w:hAnsi="Arial" w:cs="Arial" w:eastAsia="Arial" w:hint="default"/>
        </w:rPr>
        <w:t>8</w:t>
      </w:r>
      <w:r>
        <w:rPr/>
        <w:t>号</w:t>
      </w:r>
      <w:r>
        <w:rPr>
          <w:rFonts w:ascii="Arial" w:hAnsi="Arial" w:cs="Arial" w:eastAsia="Arial" w:hint="default"/>
        </w:rPr>
        <w:t>——</w:t>
      </w:r>
      <w:r>
        <w:rPr/>
        <w:t>资产减值》</w:t>
      </w:r>
      <w:r>
        <w:rPr>
          <w:spacing w:val="-99"/>
        </w:rPr>
        <w:t> </w:t>
      </w:r>
      <w:r>
        <w:rPr/>
        <w:t>等规定的资产减值损失的，对于由本公司向共同经营投出或出售资产的情况，本公司全额确</w:t>
      </w:r>
      <w:r>
        <w:rPr/>
        <w:t> 认该损失；对于本公司自共同经营购买资产的情况，本公司按承担的份额确认该损失。</w:t>
      </w: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r>
        <w:rPr>
          <w:rFonts w:ascii="Arial" w:hAnsi="Arial" w:cs="Arial" w:eastAsia="Arial" w:hint="default"/>
        </w:rPr>
        <w:t>8</w:t>
      </w:r>
      <w:r>
        <w:rPr/>
        <w:t>、现金及现金等价物的确定标准</w:t>
      </w:r>
      <w:r>
        <w:rPr>
          <w:b w:val="0"/>
          <w:bCs w:val="0"/>
        </w:rPr>
      </w:r>
    </w:p>
    <w:p>
      <w:pPr>
        <w:spacing w:line="240" w:lineRule="auto" w:before="9"/>
        <w:rPr>
          <w:rFonts w:ascii="宋体" w:hAnsi="宋体" w:cs="宋体" w:eastAsia="宋体" w:hint="default"/>
          <w:b/>
          <w:bCs/>
          <w:sz w:val="28"/>
          <w:szCs w:val="28"/>
        </w:rPr>
      </w:pPr>
    </w:p>
    <w:p>
      <w:pPr>
        <w:pStyle w:val="BodyText"/>
        <w:spacing w:line="309" w:lineRule="auto"/>
        <w:ind w:right="271"/>
        <w:jc w:val="both"/>
      </w:pPr>
      <w:r>
        <w:rPr/>
        <w:t>现金为公司库存现金、可以随时用于支付的存款及其他货币资金；现金等价物为公司持有的 期限短（从购买日起三个月内到期）、流动性强、易于转换为已知金额现金、价值变动风险 很小的投资。</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r>
        <w:rPr>
          <w:rFonts w:ascii="Arial" w:hAnsi="Arial" w:cs="Arial" w:eastAsia="Arial" w:hint="default"/>
        </w:rPr>
        <w:t>9</w:t>
      </w:r>
      <w:r>
        <w:rPr/>
        <w:t>、外币业务和外币报表折算</w:t>
      </w:r>
      <w:r>
        <w:rPr>
          <w:b w:val="0"/>
          <w:bCs w:val="0"/>
        </w:rPr>
      </w:r>
    </w:p>
    <w:p>
      <w:pPr>
        <w:spacing w:line="240" w:lineRule="auto" w:before="8"/>
        <w:rPr>
          <w:rFonts w:ascii="宋体" w:hAnsi="宋体" w:cs="宋体" w:eastAsia="宋体" w:hint="default"/>
          <w:b/>
          <w:bCs/>
          <w:sz w:val="28"/>
          <w:szCs w:val="28"/>
        </w:rPr>
      </w:pPr>
    </w:p>
    <w:p>
      <w:pPr>
        <w:pStyle w:val="BodyText"/>
        <w:spacing w:line="240" w:lineRule="auto"/>
        <w:ind w:right="0"/>
        <w:jc w:val="both"/>
      </w:pPr>
      <w:r>
        <w:rPr>
          <w:rFonts w:ascii="Arial" w:hAnsi="Arial" w:cs="Arial" w:eastAsia="Arial" w:hint="default"/>
        </w:rPr>
        <w:t>1</w:t>
      </w:r>
      <w:r>
        <w:rPr/>
        <w:t>、外币业务</w:t>
      </w:r>
    </w:p>
    <w:p>
      <w:pPr>
        <w:pStyle w:val="BodyText"/>
        <w:spacing w:line="400" w:lineRule="auto" w:before="194"/>
        <w:ind w:left="573" w:right="99"/>
        <w:jc w:val="left"/>
      </w:pPr>
      <w:r>
        <w:rPr/>
        <w:t>外币业务按交易发生日的即期汇率作为折算汇率折算为人民币入账。 </w:t>
      </w:r>
      <w:r>
        <w:rPr>
          <w:spacing w:val="2"/>
        </w:rPr>
        <w:t>外币货币性项目余额按资产负债表日国家外汇管理局公布的基准汇率折算为人民币，所</w:t>
      </w:r>
      <w:r>
        <w:rPr/>
      </w:r>
    </w:p>
    <w:p>
      <w:pPr>
        <w:pStyle w:val="BodyText"/>
        <w:spacing w:line="245" w:lineRule="exact"/>
        <w:ind w:right="0"/>
        <w:jc w:val="both"/>
      </w:pPr>
      <w:r>
        <w:rPr/>
        <w:t>产生的汇兑差额除属于与购建符合资本化条件的资产相关，在购建期间专门外币资金借款产</w:t>
      </w:r>
    </w:p>
    <w:p>
      <w:pPr>
        <w:pStyle w:val="BodyText"/>
        <w:spacing w:line="309" w:lineRule="auto" w:before="91"/>
        <w:ind w:right="239"/>
        <w:jc w:val="both"/>
      </w:pPr>
      <w:r>
        <w:rPr/>
        <w:t>生的汇兑损益按借款费用资本化的原则处理外，其余均直接计入当期损益。以历史成本计量</w:t>
      </w:r>
      <w:r>
        <w:rPr>
          <w:spacing w:val="-91"/>
        </w:rPr>
        <w:t> </w:t>
      </w:r>
      <w:r>
        <w:rPr>
          <w:spacing w:val="-91"/>
        </w:rPr>
      </w:r>
      <w:r>
        <w:rPr/>
        <w:t>的外币非货币性项目，仍采用交易发生日即期汇率折算，不改变其记账本位币金额。以公允</w:t>
      </w:r>
      <w:r>
        <w:rPr>
          <w:spacing w:val="-91"/>
        </w:rPr>
        <w:t> </w:t>
      </w:r>
      <w:r>
        <w:rPr>
          <w:spacing w:val="-91"/>
        </w:rPr>
      </w:r>
      <w:r>
        <w:rPr/>
        <w:t>价值计量的外币非货币性项目，采用公允价值确定日的即期汇率折算，由此产生的汇兑差额</w:t>
      </w:r>
      <w:r>
        <w:rPr>
          <w:spacing w:val="-91"/>
        </w:rPr>
        <w:t> </w:t>
      </w:r>
      <w:r>
        <w:rPr>
          <w:spacing w:val="-91"/>
        </w:rPr>
      </w:r>
      <w:r>
        <w:rPr/>
        <w:t>计入当期损益或其他综合收益。</w:t>
      </w:r>
    </w:p>
    <w:p>
      <w:pPr>
        <w:pStyle w:val="BodyText"/>
        <w:spacing w:line="381" w:lineRule="auto" w:before="142"/>
        <w:ind w:left="573" w:right="99"/>
        <w:jc w:val="left"/>
      </w:pPr>
      <w:r>
        <w:rPr>
          <w:rFonts w:ascii="Arial" w:hAnsi="Arial" w:cs="Arial" w:eastAsia="Arial" w:hint="default"/>
        </w:rPr>
        <w:t>2</w:t>
      </w:r>
      <w:r>
        <w:rPr/>
        <w:t>、外币财务报表的折算 </w:t>
      </w:r>
      <w:r>
        <w:rPr>
          <w:spacing w:val="2"/>
        </w:rPr>
        <w:t>将公司境外经营子公司、合营企业、联营企业和分支机构通过合并报表、权益法核算等</w:t>
      </w:r>
      <w:r>
        <w:rPr/>
      </w:r>
    </w:p>
    <w:p>
      <w:pPr>
        <w:pStyle w:val="BodyText"/>
        <w:spacing w:line="264" w:lineRule="exact"/>
        <w:ind w:right="0"/>
        <w:jc w:val="both"/>
      </w:pPr>
      <w:r>
        <w:rPr>
          <w:spacing w:val="-2"/>
        </w:rPr>
        <w:t>纳入到公司的财务报表中时，需要将公司境外经营的财务报表折算为以公司记账本位币反映。</w:t>
      </w:r>
    </w:p>
    <w:p>
      <w:pPr>
        <w:pStyle w:val="BodyText"/>
        <w:spacing w:line="307" w:lineRule="auto" w:before="91"/>
        <w:ind w:right="235"/>
        <w:jc w:val="both"/>
      </w:pPr>
      <w:r>
        <w:rPr/>
        <w:t>在对公司境外经营财务报表进行折算前，应当调整境外经营的会计期间和会计政策，使之与</w:t>
      </w:r>
      <w:r>
        <w:rPr>
          <w:spacing w:val="-88"/>
        </w:rPr>
        <w:t> </w:t>
      </w:r>
      <w:r>
        <w:rPr>
          <w:spacing w:val="-88"/>
        </w:rPr>
      </w:r>
      <w:r>
        <w:rPr/>
        <w:t>公司会计期间和会计政策相一致，根据调整后的会计政策及会计期间编制相应货币（记账本</w:t>
      </w:r>
      <w:r>
        <w:rPr>
          <w:spacing w:val="-91"/>
        </w:rPr>
        <w:t> </w:t>
      </w:r>
      <w:r>
        <w:rPr>
          <w:spacing w:val="-91"/>
        </w:rPr>
      </w:r>
      <w:r>
        <w:rPr/>
        <w:t>位币以外的货币）的财务报表，再按照以下方法对境外经营财务报表进行折算。资产负债表</w:t>
      </w:r>
      <w:r>
        <w:rPr>
          <w:spacing w:val="-91"/>
        </w:rPr>
        <w:t> </w:t>
      </w:r>
      <w:r>
        <w:rPr>
          <w:spacing w:val="-91"/>
        </w:rPr>
      </w:r>
      <w:r>
        <w:rPr>
          <w:spacing w:val="2"/>
        </w:rPr>
        <w:t>中的资产和负债项目，采用资产负债表日的即期汇率折算，所有者权益项目除</w:t>
      </w:r>
      <w:r>
        <w:rPr>
          <w:rFonts w:ascii="Arial" w:hAnsi="Arial" w:cs="Arial" w:eastAsia="Arial" w:hint="default"/>
          <w:spacing w:val="2"/>
        </w:rPr>
        <w:t>“</w:t>
      </w:r>
      <w:r>
        <w:rPr>
          <w:spacing w:val="2"/>
        </w:rPr>
        <w:t>未分配利润</w:t>
      </w:r>
      <w:r>
        <w:rPr>
          <w:rFonts w:ascii="Arial" w:hAnsi="Arial" w:cs="Arial" w:eastAsia="Arial" w:hint="default"/>
          <w:spacing w:val="2"/>
        </w:rPr>
        <w:t>”</w:t>
      </w:r>
      <w:r>
        <w:rPr>
          <w:rFonts w:ascii="Arial" w:hAnsi="Arial" w:cs="Arial" w:eastAsia="Arial" w:hint="default"/>
          <w:spacing w:val="-43"/>
        </w:rPr>
        <w:t> </w:t>
      </w:r>
      <w:r>
        <w:rPr/>
        <w:t>项目外，其他项目采用发生时的即期汇率折算；利润表中的收入和费用项目，采用交易发生</w:t>
      </w:r>
      <w:r>
        <w:rPr>
          <w:spacing w:val="-91"/>
        </w:rPr>
        <w:t> </w:t>
      </w:r>
      <w:r>
        <w:rPr>
          <w:spacing w:val="-91"/>
        </w:rPr>
      </w:r>
      <w:r>
        <w:rPr/>
        <w:t>日的即期汇率折算；产生的外币财务报表折算差额，在编制合并财务报表时，在合并资产负</w:t>
      </w:r>
      <w:r>
        <w:rPr>
          <w:spacing w:val="-91"/>
        </w:rPr>
        <w:t> </w:t>
      </w:r>
      <w:r>
        <w:rPr>
          <w:spacing w:val="-91"/>
        </w:rPr>
      </w:r>
      <w:r>
        <w:rPr/>
        <w:t>债表中所有者权益项目下单独作为</w:t>
      </w:r>
      <w:r>
        <w:rPr>
          <w:rFonts w:ascii="Arial" w:hAnsi="Arial" w:cs="Arial" w:eastAsia="Arial" w:hint="default"/>
        </w:rPr>
        <w:t>“</w:t>
      </w:r>
      <w:r>
        <w:rPr/>
        <w:t>外币报表折算差额</w:t>
      </w:r>
      <w:r>
        <w:rPr>
          <w:rFonts w:ascii="Arial" w:hAnsi="Arial" w:cs="Arial" w:eastAsia="Arial" w:hint="default"/>
        </w:rPr>
        <w:t>”</w:t>
      </w:r>
      <w:r>
        <w:rPr/>
        <w:t>项目列示。</w:t>
      </w:r>
    </w:p>
    <w:p>
      <w:pPr>
        <w:spacing w:after="0" w:line="307" w:lineRule="auto"/>
        <w:jc w:val="both"/>
        <w:sectPr>
          <w:pgSz w:w="11910" w:h="16840"/>
          <w:pgMar w:header="884" w:footer="1010" w:top="1140" w:bottom="1200" w:left="980" w:right="900"/>
        </w:sectPr>
      </w:pPr>
    </w:p>
    <w:p>
      <w:pPr>
        <w:spacing w:line="240" w:lineRule="auto" w:before="1"/>
        <w:rPr>
          <w:rFonts w:ascii="宋体" w:hAnsi="宋体" w:cs="宋体" w:eastAsia="宋体" w:hint="default"/>
          <w:sz w:val="20"/>
          <w:szCs w:val="20"/>
        </w:rPr>
      </w:pPr>
    </w:p>
    <w:p>
      <w:pPr>
        <w:pStyle w:val="Heading3"/>
        <w:spacing w:line="240" w:lineRule="auto" w:before="26"/>
        <w:ind w:right="99"/>
        <w:jc w:val="left"/>
        <w:rPr>
          <w:b w:val="0"/>
          <w:bCs w:val="0"/>
        </w:rPr>
      </w:pPr>
      <w:r>
        <w:rPr>
          <w:rFonts w:ascii="Arial" w:hAnsi="Arial" w:cs="Arial" w:eastAsia="Arial" w:hint="default"/>
        </w:rPr>
        <w:t>10</w:t>
      </w:r>
      <w:r>
        <w:rPr/>
        <w:t>、金融工具</w:t>
      </w:r>
      <w:r>
        <w:rPr>
          <w:b w:val="0"/>
          <w:bCs w:val="0"/>
        </w:rPr>
      </w:r>
    </w:p>
    <w:p>
      <w:pPr>
        <w:spacing w:line="240" w:lineRule="auto" w:before="8"/>
        <w:rPr>
          <w:rFonts w:ascii="宋体" w:hAnsi="宋体" w:cs="宋体" w:eastAsia="宋体" w:hint="default"/>
          <w:b/>
          <w:bCs/>
          <w:sz w:val="28"/>
          <w:szCs w:val="28"/>
        </w:rPr>
      </w:pPr>
    </w:p>
    <w:p>
      <w:pPr>
        <w:pStyle w:val="BodyText"/>
        <w:spacing w:line="381" w:lineRule="auto"/>
        <w:ind w:right="2654"/>
        <w:jc w:val="left"/>
      </w:pPr>
      <w:r>
        <w:rPr>
          <w:rFonts w:ascii="Arial" w:hAnsi="Arial" w:cs="Arial" w:eastAsia="Arial" w:hint="default"/>
        </w:rPr>
        <w:t>1</w:t>
      </w:r>
      <w:r>
        <w:rPr/>
        <w:t>、金融工具的分类： 管理层按照取得持有金融资产和承担金融负债的目的，将其划分为：</w:t>
      </w:r>
    </w:p>
    <w:p>
      <w:pPr>
        <w:pStyle w:val="BodyText"/>
        <w:spacing w:line="292" w:lineRule="auto" w:before="70"/>
        <w:ind w:right="99"/>
        <w:jc w:val="left"/>
      </w:pPr>
      <w:r>
        <w:rPr>
          <w:rFonts w:ascii="Arial" w:hAnsi="Arial" w:cs="Arial" w:eastAsia="Arial" w:hint="default"/>
          <w:spacing w:val="2"/>
        </w:rPr>
        <w:t>A</w:t>
      </w:r>
      <w:r>
        <w:rPr>
          <w:spacing w:val="2"/>
        </w:rPr>
        <w:t>、以公允价值计量且其变动计入当期损益的金融资产或金融负债，包括交易性金融资产或</w:t>
      </w:r>
      <w:r>
        <w:rPr>
          <w:spacing w:val="-104"/>
        </w:rPr>
        <w:t> </w:t>
      </w:r>
      <w:r>
        <w:rPr>
          <w:spacing w:val="-104"/>
        </w:rPr>
      </w:r>
      <w:r>
        <w:rPr/>
        <w:t>交易性金融负债、指定为以公允价值计量且其变动计入当期损益的金融资产或金融负债；</w:t>
      </w:r>
    </w:p>
    <w:p>
      <w:pPr>
        <w:pStyle w:val="BodyText"/>
        <w:spacing w:line="381" w:lineRule="auto" w:before="158"/>
        <w:ind w:right="6120"/>
        <w:jc w:val="left"/>
      </w:pPr>
      <w:r>
        <w:rPr>
          <w:rFonts w:ascii="Arial" w:hAnsi="Arial" w:cs="Arial" w:eastAsia="Arial" w:hint="default"/>
        </w:rPr>
        <w:t>B</w:t>
      </w:r>
      <w:r>
        <w:rPr/>
        <w:t>、持有至到期投资；</w:t>
      </w:r>
      <w:r>
        <w:rPr>
          <w:w w:val="100"/>
        </w:rPr>
        <w:t> </w:t>
      </w:r>
      <w:r>
        <w:rPr>
          <w:rFonts w:ascii="Arial" w:hAnsi="Arial" w:cs="Arial" w:eastAsia="Arial" w:hint="default"/>
        </w:rPr>
        <w:t>C</w:t>
      </w:r>
      <w:r>
        <w:rPr/>
        <w:t>、应收款项； </w:t>
      </w:r>
      <w:r>
        <w:rPr>
          <w:rFonts w:ascii="Arial" w:hAnsi="Arial" w:cs="Arial" w:eastAsia="Arial" w:hint="default"/>
        </w:rPr>
        <w:t>D</w:t>
      </w:r>
      <w:r>
        <w:rPr/>
        <w:t>、可供出售金融资产； </w:t>
      </w:r>
      <w:r>
        <w:rPr>
          <w:rFonts w:ascii="Arial" w:hAnsi="Arial" w:cs="Arial" w:eastAsia="Arial" w:hint="default"/>
        </w:rPr>
        <w:t>E</w:t>
      </w:r>
      <w:r>
        <w:rPr/>
        <w:t>、其他金融负债。 </w:t>
      </w:r>
      <w:r>
        <w:rPr>
          <w:rFonts w:ascii="Arial" w:hAnsi="Arial" w:cs="Arial" w:eastAsia="Arial" w:hint="default"/>
        </w:rPr>
        <w:t>2</w:t>
      </w:r>
      <w:r>
        <w:rPr/>
        <w:t>、金融工具的确认依据和计量标准</w:t>
      </w:r>
    </w:p>
    <w:p>
      <w:pPr>
        <w:pStyle w:val="BodyText"/>
        <w:spacing w:line="381" w:lineRule="auto" w:before="36"/>
        <w:ind w:left="573" w:right="99" w:hanging="421"/>
        <w:jc w:val="left"/>
      </w:pPr>
      <w:r>
        <w:rPr/>
        <w:t>（</w:t>
      </w:r>
      <w:r>
        <w:rPr>
          <w:rFonts w:ascii="Arial" w:hAnsi="Arial" w:cs="Arial" w:eastAsia="Arial" w:hint="default"/>
        </w:rPr>
        <w:t>1</w:t>
      </w:r>
      <w:r>
        <w:rPr/>
        <w:t>）以公允价值计量且其变动计入当期损益的金融资产（金融负债） </w:t>
      </w:r>
      <w:r>
        <w:rPr>
          <w:spacing w:val="2"/>
        </w:rPr>
        <w:t>取得时以公允价值（扣除已宣告但尚未发放的现金股利或已到付息期但尚未领取的债券</w:t>
      </w:r>
      <w:r>
        <w:rPr/>
      </w:r>
    </w:p>
    <w:p>
      <w:pPr>
        <w:pStyle w:val="BodyText"/>
        <w:spacing w:line="264" w:lineRule="exact"/>
        <w:ind w:right="99"/>
        <w:jc w:val="left"/>
      </w:pPr>
      <w:r>
        <w:rPr/>
        <w:t>利息）作为初始确认金额，相关的交易费用计入当期损益。</w:t>
      </w:r>
    </w:p>
    <w:p>
      <w:pPr>
        <w:pStyle w:val="BodyText"/>
        <w:spacing w:line="240" w:lineRule="auto" w:before="212"/>
        <w:ind w:left="573" w:right="0"/>
        <w:jc w:val="left"/>
      </w:pPr>
      <w:r>
        <w:rPr/>
        <w:t>持有期间将取得的利息或现金股利确认为投资收益，期末将公允价值变动计入当期损益。</w:t>
      </w:r>
    </w:p>
    <w:p>
      <w:pPr>
        <w:pStyle w:val="BodyText"/>
        <w:spacing w:line="309" w:lineRule="auto" w:before="211"/>
        <w:ind w:right="99"/>
        <w:jc w:val="left"/>
      </w:pPr>
      <w:r>
        <w:rPr/>
        <w:t>处置时，其公允价值与初始入账金额之间的差额确认为投资收益，同时调整公允价值变动收</w:t>
      </w:r>
      <w:r>
        <w:rPr>
          <w:spacing w:val="-91"/>
        </w:rPr>
        <w:t> </w:t>
      </w:r>
      <w:r>
        <w:rPr>
          <w:spacing w:val="-91"/>
        </w:rPr>
      </w:r>
      <w:r>
        <w:rPr/>
        <w:t>益。</w:t>
      </w:r>
    </w:p>
    <w:p>
      <w:pPr>
        <w:pStyle w:val="BodyText"/>
        <w:spacing w:line="381" w:lineRule="auto" w:before="142"/>
        <w:ind w:left="678" w:right="99" w:hanging="527"/>
        <w:jc w:val="left"/>
      </w:pPr>
      <w:r>
        <w:rPr/>
        <w:t>（</w:t>
      </w:r>
      <w:r>
        <w:rPr>
          <w:rFonts w:ascii="Arial" w:hAnsi="Arial" w:cs="Arial" w:eastAsia="Arial" w:hint="default"/>
        </w:rPr>
        <w:t>2</w:t>
      </w:r>
      <w:r>
        <w:rPr/>
        <w:t>）持有至到期投资 </w:t>
      </w:r>
      <w:r>
        <w:rPr>
          <w:spacing w:val="-1"/>
        </w:rPr>
        <w:t>取得时按公允价值（扣除已到付息期但尚未领取的债券利息）和相关交易费用之和作为</w:t>
      </w:r>
    </w:p>
    <w:p>
      <w:pPr>
        <w:pStyle w:val="BodyText"/>
        <w:spacing w:line="264" w:lineRule="exact"/>
        <w:ind w:right="99"/>
        <w:jc w:val="left"/>
      </w:pPr>
      <w:r>
        <w:rPr/>
        <w:t>初始确认金额。</w:t>
      </w:r>
    </w:p>
    <w:p>
      <w:pPr>
        <w:pStyle w:val="BodyText"/>
        <w:spacing w:line="309" w:lineRule="auto" w:before="212"/>
        <w:ind w:right="99" w:firstLine="420"/>
        <w:jc w:val="left"/>
      </w:pPr>
      <w:r>
        <w:rPr>
          <w:spacing w:val="2"/>
        </w:rPr>
        <w:t>持有期间按照摊余成本和实际利率计算确认利息收入，计入投资收益。实际利率在取得 </w:t>
      </w:r>
      <w:r>
        <w:rPr/>
        <w:t>时确定，在该预期存续期间或适用的更短期间内保持不变。</w:t>
      </w:r>
    </w:p>
    <w:p>
      <w:pPr>
        <w:pStyle w:val="BodyText"/>
        <w:spacing w:line="240" w:lineRule="auto" w:before="142"/>
        <w:ind w:left="573" w:right="99"/>
        <w:jc w:val="left"/>
      </w:pPr>
      <w:r>
        <w:rPr/>
        <w:t>处置时，将所取得价款与该投资账面价值之间的差额计入投资收益。</w:t>
      </w:r>
    </w:p>
    <w:p>
      <w:pPr>
        <w:pStyle w:val="BodyText"/>
        <w:spacing w:line="381" w:lineRule="auto" w:before="211"/>
        <w:ind w:left="573" w:right="99" w:hanging="421"/>
        <w:jc w:val="left"/>
      </w:pPr>
      <w:r>
        <w:rPr/>
        <w:t>（</w:t>
      </w:r>
      <w:r>
        <w:rPr>
          <w:rFonts w:ascii="Arial" w:hAnsi="Arial" w:cs="Arial" w:eastAsia="Arial" w:hint="default"/>
        </w:rPr>
        <w:t>3</w:t>
      </w:r>
      <w:r>
        <w:rPr/>
        <w:t>）应收款项 </w:t>
      </w:r>
      <w:r>
        <w:rPr>
          <w:spacing w:val="2"/>
        </w:rPr>
        <w:t>本公司对外销售商品或提供劳务形成的应收债权，以及公司持有的其他企业的不包括在</w:t>
      </w:r>
      <w:r>
        <w:rPr/>
      </w:r>
    </w:p>
    <w:p>
      <w:pPr>
        <w:pStyle w:val="BodyText"/>
        <w:spacing w:line="264" w:lineRule="exact"/>
        <w:ind w:right="99"/>
        <w:jc w:val="left"/>
      </w:pPr>
      <w:r>
        <w:rPr>
          <w:spacing w:val="-5"/>
        </w:rPr>
        <w:t>活跃市场上有报价的债务工具的债权，包括：应收账款、其他应收款、应收票据、预付账款、</w:t>
      </w:r>
    </w:p>
    <w:p>
      <w:pPr>
        <w:pStyle w:val="BodyText"/>
        <w:spacing w:line="309" w:lineRule="auto" w:before="91"/>
        <w:ind w:right="99"/>
        <w:jc w:val="left"/>
      </w:pPr>
      <w:r>
        <w:rPr/>
        <w:t>长期应收款等，以向购货方应收的合同或协议价款作为初始确认金额；具有融资性质的，按</w:t>
      </w:r>
      <w:r>
        <w:rPr>
          <w:spacing w:val="-91"/>
        </w:rPr>
        <w:t> </w:t>
      </w:r>
      <w:r>
        <w:rPr>
          <w:spacing w:val="-91"/>
        </w:rPr>
      </w:r>
      <w:r>
        <w:rPr/>
        <w:t>其现值进行初始确认。</w:t>
      </w:r>
    </w:p>
    <w:p>
      <w:pPr>
        <w:pStyle w:val="BodyText"/>
        <w:spacing w:line="240" w:lineRule="auto" w:before="142"/>
        <w:ind w:left="573" w:right="99"/>
        <w:jc w:val="left"/>
      </w:pPr>
      <w:r>
        <w:rPr/>
        <w:t>收回或处置时，将取得的价款与该应收账款项账面价值之间的差额计入当期损益。</w:t>
      </w:r>
    </w:p>
    <w:p>
      <w:pPr>
        <w:spacing w:after="0" w:line="240" w:lineRule="auto"/>
        <w:jc w:val="left"/>
        <w:sectPr>
          <w:pgSz w:w="11910" w:h="16840"/>
          <w:pgMar w:header="884" w:footer="1010" w:top="1140" w:bottom="1200" w:left="980" w:right="900"/>
        </w:sectPr>
      </w:pPr>
    </w:p>
    <w:p>
      <w:pPr>
        <w:spacing w:line="240" w:lineRule="auto" w:before="1"/>
        <w:rPr>
          <w:rFonts w:ascii="宋体" w:hAnsi="宋体" w:cs="宋体" w:eastAsia="宋体" w:hint="default"/>
          <w:sz w:val="20"/>
          <w:szCs w:val="20"/>
        </w:rPr>
      </w:pPr>
    </w:p>
    <w:p>
      <w:pPr>
        <w:pStyle w:val="BodyText"/>
        <w:spacing w:line="381" w:lineRule="auto" w:before="26"/>
        <w:ind w:left="573" w:right="99" w:hanging="421"/>
        <w:jc w:val="left"/>
      </w:pPr>
      <w:r>
        <w:rPr/>
        <w:t>（</w:t>
      </w:r>
      <w:r>
        <w:rPr>
          <w:rFonts w:ascii="Arial" w:hAnsi="Arial" w:cs="Arial" w:eastAsia="Arial" w:hint="default"/>
        </w:rPr>
        <w:t>4</w:t>
      </w:r>
      <w:r>
        <w:rPr/>
        <w:t>）可供出金融资产 </w:t>
      </w:r>
      <w:r>
        <w:rPr>
          <w:spacing w:val="2"/>
        </w:rPr>
        <w:t>取得时按公允价值（扣除已宣告但尚未发放的现金股利或已到付息期但尚未领取的债券</w:t>
      </w:r>
      <w:r>
        <w:rPr/>
      </w:r>
    </w:p>
    <w:p>
      <w:pPr>
        <w:pStyle w:val="BodyText"/>
        <w:spacing w:line="264" w:lineRule="exact"/>
        <w:ind w:right="99"/>
        <w:jc w:val="left"/>
      </w:pPr>
      <w:r>
        <w:rPr/>
        <w:t>利息）和相关交易费用之和作为初始确认金额。</w:t>
      </w:r>
    </w:p>
    <w:p>
      <w:pPr>
        <w:pStyle w:val="BodyText"/>
        <w:spacing w:line="309" w:lineRule="auto" w:before="211"/>
        <w:ind w:right="233" w:firstLine="420"/>
        <w:jc w:val="both"/>
      </w:pPr>
      <w:r>
        <w:rPr>
          <w:spacing w:val="2"/>
        </w:rPr>
        <w:t>持有期间将取得的利息或现金股利确认为投资收益。采用公允价值进行后续计量，公允 </w:t>
      </w:r>
      <w:r>
        <w:rPr/>
        <w:t>价值变动形成的利得或损失，除减值损失和外币货币性金融资产与摊余成本相关的汇兑差额</w:t>
      </w:r>
      <w:r>
        <w:rPr>
          <w:spacing w:val="-91"/>
        </w:rPr>
        <w:t> </w:t>
      </w:r>
      <w:r>
        <w:rPr>
          <w:spacing w:val="-91"/>
        </w:rPr>
      </w:r>
      <w:r>
        <w:rPr/>
        <w:t>计入当期损益外，确认为其他综合收益，在该金融资产终止确认时转出，计入当期损益。但</w:t>
      </w:r>
      <w:r>
        <w:rPr>
          <w:spacing w:val="-91"/>
        </w:rPr>
        <w:t> </w:t>
      </w:r>
      <w:r>
        <w:rPr>
          <w:spacing w:val="-91"/>
        </w:rPr>
      </w:r>
      <w:r>
        <w:rPr/>
        <w:t>是，在活跃市场中没有报价且其公允价值不能可靠计量的权益工具投资，以及与该权益工具</w:t>
      </w:r>
      <w:r>
        <w:rPr>
          <w:spacing w:val="-91"/>
        </w:rPr>
        <w:t> </w:t>
      </w:r>
      <w:r>
        <w:rPr>
          <w:spacing w:val="-91"/>
        </w:rPr>
      </w:r>
      <w:r>
        <w:rPr/>
        <w:t>挂钩并须通过交付该权益工具结算的衍生金融资产，按照成本进行后续计量。</w:t>
      </w:r>
    </w:p>
    <w:p>
      <w:pPr>
        <w:pStyle w:val="BodyText"/>
        <w:spacing w:line="309" w:lineRule="auto" w:before="142"/>
        <w:ind w:right="219" w:firstLine="314"/>
        <w:jc w:val="left"/>
      </w:pPr>
      <w:r>
        <w:rPr>
          <w:spacing w:val="-1"/>
        </w:rPr>
        <w:t>处置时，将取得的价款与该金融资产账面价值之间的差额，计入投资损益；同时，将原计</w:t>
      </w:r>
      <w:r>
        <w:rPr/>
        <w:t> 入其他综合收益的公允价值变动累计额对应处置部分的金额转出，计入当期损益。</w:t>
      </w:r>
    </w:p>
    <w:p>
      <w:pPr>
        <w:pStyle w:val="BodyText"/>
        <w:spacing w:line="381" w:lineRule="auto" w:before="142"/>
        <w:ind w:left="678" w:right="448" w:hanging="527"/>
        <w:jc w:val="left"/>
      </w:pPr>
      <w:r>
        <w:rPr/>
        <w:t>（</w:t>
      </w:r>
      <w:r>
        <w:rPr>
          <w:rFonts w:ascii="Arial" w:hAnsi="Arial" w:cs="Arial" w:eastAsia="Arial" w:hint="default"/>
        </w:rPr>
        <w:t>5</w:t>
      </w:r>
      <w:r>
        <w:rPr/>
        <w:t>）其他金融负债 按其公允价值和相关交易费用之和作为初始确认金额。采用摊余成本进行后续计量。</w:t>
      </w:r>
    </w:p>
    <w:p>
      <w:pPr>
        <w:pStyle w:val="BodyText"/>
        <w:spacing w:line="381" w:lineRule="auto" w:before="70"/>
        <w:ind w:left="573" w:right="99" w:hanging="421"/>
        <w:jc w:val="left"/>
      </w:pPr>
      <w:r>
        <w:rPr>
          <w:rFonts w:ascii="Arial" w:hAnsi="Arial" w:cs="Arial" w:eastAsia="Arial" w:hint="default"/>
        </w:rPr>
        <w:t>3</w:t>
      </w:r>
      <w:r>
        <w:rPr/>
        <w:t>、金融资产转移的确认依据和计量方法 </w:t>
      </w:r>
      <w:r>
        <w:rPr>
          <w:spacing w:val="2"/>
        </w:rPr>
        <w:t>满足下列条件之一的金融资产，予以终止确认：①收取该金融资产现金流量的合同权利</w:t>
      </w:r>
      <w:r>
        <w:rPr/>
      </w:r>
    </w:p>
    <w:p>
      <w:pPr>
        <w:pStyle w:val="BodyText"/>
        <w:spacing w:line="264" w:lineRule="exact"/>
        <w:ind w:right="99"/>
        <w:jc w:val="left"/>
      </w:pPr>
      <w:r>
        <w:rPr/>
        <w:t>终止；②该金融资产已转移，且将金融资产所有权上几乎所有的风险和报酬转移给转入方；</w:t>
      </w:r>
    </w:p>
    <w:p>
      <w:pPr>
        <w:pStyle w:val="BodyText"/>
        <w:spacing w:line="309" w:lineRule="auto" w:before="91"/>
        <w:ind w:right="99"/>
        <w:jc w:val="left"/>
      </w:pPr>
      <w:r>
        <w:rPr/>
        <w:t>③该金融资产已转移，虽然企业既没有转移也没有保留金融资产所有权上几乎所有的风险和</w:t>
      </w:r>
      <w:r>
        <w:rPr>
          <w:spacing w:val="-91"/>
        </w:rPr>
        <w:t> </w:t>
      </w:r>
      <w:r>
        <w:rPr>
          <w:spacing w:val="-91"/>
        </w:rPr>
      </w:r>
      <w:r>
        <w:rPr/>
        <w:t>报酬，但是放弃了对该金融资产控制。</w:t>
      </w:r>
    </w:p>
    <w:p>
      <w:pPr>
        <w:pStyle w:val="BodyText"/>
        <w:spacing w:line="309" w:lineRule="auto" w:before="142"/>
        <w:ind w:right="233" w:firstLine="420"/>
        <w:jc w:val="both"/>
      </w:pPr>
      <w:r>
        <w:rPr>
          <w:spacing w:val="2"/>
        </w:rPr>
        <w:t>若本公司既没有转移也没有保留金融资产所有权上几乎所有的风险和报酬，且未放弃对 </w:t>
      </w:r>
      <w:r>
        <w:rPr/>
        <w:t>该金融资产的控制的，则按照继续涉入所转移金融资产的程度确认有关金融资产，并相应确</w:t>
      </w:r>
      <w:r>
        <w:rPr>
          <w:spacing w:val="-91"/>
        </w:rPr>
        <w:t> </w:t>
      </w:r>
      <w:r>
        <w:rPr>
          <w:spacing w:val="-91"/>
        </w:rPr>
      </w:r>
      <w:r>
        <w:rPr/>
        <w:t>认有关负债。继续涉入所转移金融资产的程度，是指该金融资产价值变动使企业面临的风险</w:t>
      </w:r>
      <w:r>
        <w:rPr>
          <w:spacing w:val="-91"/>
        </w:rPr>
        <w:t> </w:t>
      </w:r>
      <w:r>
        <w:rPr>
          <w:spacing w:val="-91"/>
        </w:rPr>
      </w:r>
      <w:r>
        <w:rPr/>
        <w:t>水平。</w:t>
      </w:r>
    </w:p>
    <w:p>
      <w:pPr>
        <w:pStyle w:val="BodyText"/>
        <w:spacing w:line="309" w:lineRule="auto" w:before="142"/>
        <w:ind w:right="99" w:firstLine="420"/>
        <w:jc w:val="left"/>
      </w:pPr>
      <w:r>
        <w:rPr>
          <w:spacing w:val="-1"/>
        </w:rPr>
        <w:t>在判断金融资产转移是否满足上述金融资产终止确认条件时，采用实质重于形式的原则。</w:t>
      </w:r>
      <w:r>
        <w:rPr/>
        <w:t> 本公司将金融资产转移区分为金融资产整体转移和部分转移。金融资产整体转移满足终止确</w:t>
      </w:r>
      <w:r>
        <w:rPr>
          <w:spacing w:val="-91"/>
        </w:rPr>
        <w:t> </w:t>
      </w:r>
      <w:r>
        <w:rPr>
          <w:spacing w:val="-91"/>
        </w:rPr>
      </w:r>
      <w:r>
        <w:rPr/>
        <w:t>认条件的，将下列两项金额的差额计入当期损益：</w:t>
      </w:r>
    </w:p>
    <w:p>
      <w:pPr>
        <w:pStyle w:val="BodyText"/>
        <w:spacing w:line="240" w:lineRule="auto" w:before="142"/>
        <w:ind w:right="99"/>
        <w:jc w:val="left"/>
      </w:pPr>
      <w:r>
        <w:rPr/>
        <w:t>（</w:t>
      </w:r>
      <w:r>
        <w:rPr>
          <w:rFonts w:ascii="Arial" w:hAnsi="Arial" w:cs="Arial" w:eastAsia="Arial" w:hint="default"/>
        </w:rPr>
        <w:t>1</w:t>
      </w:r>
      <w:r>
        <w:rPr/>
        <w:t>）所转移金融资产的账面价值；</w:t>
      </w:r>
    </w:p>
    <w:p>
      <w:pPr>
        <w:pStyle w:val="BodyText"/>
        <w:spacing w:line="292" w:lineRule="auto" w:before="194"/>
        <w:ind w:right="99"/>
        <w:jc w:val="left"/>
      </w:pPr>
      <w:r>
        <w:rPr>
          <w:spacing w:val="-3"/>
        </w:rPr>
        <w:t>（</w:t>
      </w:r>
      <w:r>
        <w:rPr>
          <w:rFonts w:ascii="Arial" w:hAnsi="Arial" w:cs="Arial" w:eastAsia="Arial" w:hint="default"/>
          <w:spacing w:val="-3"/>
        </w:rPr>
        <w:t>2</w:t>
      </w:r>
      <w:r>
        <w:rPr>
          <w:spacing w:val="-3"/>
        </w:rPr>
        <w:t>）因转移而收到的对价与原计入其他综合收益的公允价值变动累计额（涉及转移的金融资</w:t>
      </w:r>
      <w:r>
        <w:rPr>
          <w:spacing w:val="-93"/>
        </w:rPr>
        <w:t> </w:t>
      </w:r>
      <w:r>
        <w:rPr>
          <w:spacing w:val="-93"/>
        </w:rPr>
      </w:r>
      <w:r>
        <w:rPr/>
        <w:t>产为可供出售金融资产的情形）之和。</w:t>
      </w:r>
    </w:p>
    <w:p>
      <w:pPr>
        <w:pStyle w:val="BodyText"/>
        <w:spacing w:line="309" w:lineRule="auto" w:before="158"/>
        <w:ind w:right="233" w:firstLine="420"/>
        <w:jc w:val="both"/>
      </w:pPr>
      <w:r>
        <w:rPr>
          <w:spacing w:val="2"/>
        </w:rPr>
        <w:t>金融资产部分转移满足终止确认条件的，将所转移的金融资产整体的账面价值，在终止 </w:t>
      </w:r>
      <w:r>
        <w:rPr/>
        <w:t>确认部分和未终止确认部分之间，按照各自的相对公允价值进行分摊，并将下列两项金额的</w:t>
      </w:r>
      <w:r>
        <w:rPr>
          <w:spacing w:val="-91"/>
        </w:rPr>
        <w:t> </w:t>
      </w:r>
      <w:r>
        <w:rPr>
          <w:spacing w:val="-91"/>
        </w:rPr>
      </w:r>
      <w:r>
        <w:rPr/>
        <w:t>差额计入当期损益：</w:t>
      </w:r>
    </w:p>
    <w:p>
      <w:pPr>
        <w:spacing w:after="0" w:line="309" w:lineRule="auto"/>
        <w:jc w:val="both"/>
        <w:sectPr>
          <w:pgSz w:w="11910" w:h="16840"/>
          <w:pgMar w:header="884" w:footer="1010" w:top="1140" w:bottom="1200" w:left="980" w:right="900"/>
        </w:sectPr>
      </w:pPr>
    </w:p>
    <w:p>
      <w:pPr>
        <w:spacing w:line="240" w:lineRule="auto" w:before="1"/>
        <w:rPr>
          <w:rFonts w:ascii="宋体" w:hAnsi="宋体" w:cs="宋体" w:eastAsia="宋体" w:hint="default"/>
          <w:sz w:val="20"/>
          <w:szCs w:val="20"/>
        </w:rPr>
      </w:pPr>
    </w:p>
    <w:p>
      <w:pPr>
        <w:pStyle w:val="BodyText"/>
        <w:spacing w:line="240" w:lineRule="auto" w:before="26"/>
        <w:ind w:right="99"/>
        <w:jc w:val="left"/>
      </w:pPr>
      <w:r>
        <w:rPr/>
        <w:t>（</w:t>
      </w:r>
      <w:r>
        <w:rPr>
          <w:rFonts w:ascii="Arial" w:hAnsi="Arial" w:cs="Arial" w:eastAsia="Arial" w:hint="default"/>
        </w:rPr>
        <w:t>1</w:t>
      </w:r>
      <w:r>
        <w:rPr/>
        <w:t>）终止确认部分的账面价值；</w:t>
      </w:r>
    </w:p>
    <w:p>
      <w:pPr>
        <w:pStyle w:val="BodyText"/>
        <w:spacing w:line="292" w:lineRule="auto" w:before="194"/>
        <w:ind w:right="99"/>
        <w:jc w:val="left"/>
      </w:pPr>
      <w:r>
        <w:rPr>
          <w:spacing w:val="-3"/>
        </w:rPr>
        <w:t>（</w:t>
      </w:r>
      <w:r>
        <w:rPr>
          <w:rFonts w:ascii="Arial" w:hAnsi="Arial" w:cs="Arial" w:eastAsia="Arial" w:hint="default"/>
          <w:spacing w:val="-3"/>
        </w:rPr>
        <w:t>2</w:t>
      </w:r>
      <w:r>
        <w:rPr>
          <w:spacing w:val="-3"/>
        </w:rPr>
        <w:t>）终止确认部分的对价，与原计入其他综合收益的公允价值变动累计额中对应终止确认部</w:t>
      </w:r>
      <w:r>
        <w:rPr>
          <w:spacing w:val="-93"/>
        </w:rPr>
        <w:t> </w:t>
      </w:r>
      <w:r>
        <w:rPr>
          <w:spacing w:val="-93"/>
        </w:rPr>
      </w:r>
      <w:r>
        <w:rPr/>
        <w:t>分的金额（涉及转移的金融资产为可供出售金融资产的情形）之和。</w:t>
      </w:r>
    </w:p>
    <w:p>
      <w:pPr>
        <w:pStyle w:val="BodyText"/>
        <w:spacing w:line="240" w:lineRule="auto" w:before="158"/>
        <w:ind w:right="99"/>
        <w:jc w:val="left"/>
      </w:pPr>
      <w:r>
        <w:rPr/>
        <w:t>金融资产不满足终止确认条件的</w:t>
      </w:r>
      <w:r>
        <w:rPr>
          <w:spacing w:val="-101"/>
        </w:rPr>
        <w:t>，</w:t>
      </w:r>
      <w:r>
        <w:rPr/>
        <w:t>继续确认该金融资产</w:t>
      </w:r>
      <w:r>
        <w:rPr>
          <w:spacing w:val="-101"/>
        </w:rPr>
        <w:t>，</w:t>
      </w:r>
      <w:r>
        <w:rPr/>
        <w:t>所收到的对价确认为一</w:t>
      </w:r>
      <w:r>
        <w:rPr>
          <w:spacing w:val="2"/>
        </w:rPr>
        <w:t>项</w:t>
      </w:r>
      <w:r>
        <w:rPr/>
        <w:t>金融负债。</w:t>
      </w:r>
    </w:p>
    <w:p>
      <w:pPr>
        <w:pStyle w:val="BodyText"/>
        <w:spacing w:line="381" w:lineRule="auto" w:before="91"/>
        <w:ind w:left="467" w:right="899" w:hanging="315"/>
        <w:jc w:val="left"/>
      </w:pPr>
      <w:r>
        <w:rPr>
          <w:rFonts w:ascii="Arial" w:hAnsi="Arial" w:cs="Arial" w:eastAsia="Arial" w:hint="default"/>
        </w:rPr>
        <w:t>4</w:t>
      </w:r>
      <w:r>
        <w:rPr/>
        <w:t>、金融资产和金融负债公允价值的确定方法 本公司采用公允价值计量的金融资产和金融负债全部直接参考活跃市场中的报价。</w:t>
      </w:r>
    </w:p>
    <w:p>
      <w:pPr>
        <w:pStyle w:val="BodyText"/>
        <w:spacing w:line="381" w:lineRule="auto" w:before="70"/>
        <w:ind w:left="573" w:right="99" w:hanging="421"/>
        <w:jc w:val="left"/>
      </w:pPr>
      <w:r>
        <w:rPr>
          <w:rFonts w:ascii="Arial" w:hAnsi="Arial" w:cs="Arial" w:eastAsia="Arial" w:hint="default"/>
        </w:rPr>
        <w:t>5</w:t>
      </w:r>
      <w:r>
        <w:rPr/>
        <w:t>、金融资产（不含应收款项）减值损失的计量 </w:t>
      </w:r>
      <w:r>
        <w:rPr>
          <w:spacing w:val="2"/>
        </w:rPr>
        <w:t>本公司在每个资产负债表日对以公允价值计量且其变动计入当期损益的金融资产以外的</w:t>
      </w:r>
      <w:r>
        <w:rPr/>
      </w:r>
    </w:p>
    <w:p>
      <w:pPr>
        <w:pStyle w:val="BodyText"/>
        <w:spacing w:line="264" w:lineRule="exact"/>
        <w:ind w:right="99"/>
        <w:jc w:val="left"/>
      </w:pPr>
      <w:r>
        <w:rPr/>
        <w:t>金融资产的账面价值进行检查，以判断是否有客观证据表明金融资产已由于一项或多项事件</w:t>
      </w:r>
    </w:p>
    <w:p>
      <w:pPr>
        <w:pStyle w:val="BodyText"/>
        <w:spacing w:line="309" w:lineRule="auto" w:before="91"/>
        <w:ind w:right="99"/>
        <w:jc w:val="left"/>
      </w:pPr>
      <w:r>
        <w:rPr/>
        <w:t>的发生而出现减值。减值事项是指在该资产初始确认后实际发生的、对该金融资产的预期未</w:t>
      </w:r>
      <w:r>
        <w:rPr>
          <w:spacing w:val="-91"/>
        </w:rPr>
        <w:t> </w:t>
      </w:r>
      <w:r>
        <w:rPr>
          <w:spacing w:val="-91"/>
        </w:rPr>
      </w:r>
      <w:r>
        <w:rPr/>
        <w:t>来现金流量有影响的，且公司能对该影响进行可靠计量的事项。</w:t>
      </w:r>
    </w:p>
    <w:p>
      <w:pPr>
        <w:pStyle w:val="BodyText"/>
        <w:spacing w:line="400" w:lineRule="auto" w:before="142"/>
        <w:ind w:left="467" w:right="2099" w:hanging="315"/>
        <w:jc w:val="left"/>
      </w:pPr>
      <w:r>
        <w:rPr/>
        <w:t>①持有至到期投资 持有至到期投资减值损失的计量比照应收款项减值损失计量方法处理。</w:t>
      </w:r>
    </w:p>
    <w:p>
      <w:pPr>
        <w:pStyle w:val="BodyText"/>
        <w:spacing w:line="400" w:lineRule="auto" w:before="50"/>
        <w:ind w:left="573" w:right="99" w:hanging="421"/>
        <w:jc w:val="left"/>
      </w:pPr>
      <w:r>
        <w:rPr/>
        <w:t>②可供出售金融资产 </w:t>
      </w:r>
      <w:r>
        <w:rPr>
          <w:spacing w:val="-1"/>
        </w:rPr>
        <w:t>期末如果可供出售金融资产的公允价值发生较大幅度下降，或在综合考虑各相关因素后，</w:t>
      </w:r>
    </w:p>
    <w:p>
      <w:pPr>
        <w:pStyle w:val="BodyText"/>
        <w:spacing w:line="245" w:lineRule="exact"/>
        <w:ind w:right="99"/>
        <w:jc w:val="left"/>
      </w:pPr>
      <w:r>
        <w:rPr/>
        <w:t>预期这种下降趋势属于非暂时性的，就认定其已发生减值，将原直接计入其他综合收益的因</w:t>
      </w:r>
    </w:p>
    <w:p>
      <w:pPr>
        <w:pStyle w:val="BodyText"/>
        <w:spacing w:line="309" w:lineRule="auto" w:before="91"/>
        <w:ind w:right="99"/>
        <w:jc w:val="left"/>
      </w:pPr>
      <w:r>
        <w:rPr/>
        <w:t>公允价值下降形成的累计损失一并转出，确认减值损失。可供出售权益工具投资发生的减值</w:t>
      </w:r>
      <w:r>
        <w:rPr>
          <w:spacing w:val="-91"/>
        </w:rPr>
        <w:t> </w:t>
      </w:r>
      <w:r>
        <w:rPr>
          <w:spacing w:val="-91"/>
        </w:rPr>
      </w:r>
      <w:r>
        <w:rPr/>
        <w:t>损失一经确认，不得通过损益转回。</w:t>
      </w:r>
    </w:p>
    <w:p>
      <w:pPr>
        <w:spacing w:line="240" w:lineRule="auto" w:before="2"/>
        <w:rPr>
          <w:rFonts w:ascii="宋体" w:hAnsi="宋体" w:cs="宋体" w:eastAsia="宋体" w:hint="default"/>
          <w:sz w:val="21"/>
          <w:szCs w:val="21"/>
        </w:rPr>
      </w:pPr>
    </w:p>
    <w:p>
      <w:pPr>
        <w:pStyle w:val="Heading3"/>
        <w:spacing w:line="240" w:lineRule="auto"/>
        <w:ind w:right="99"/>
        <w:jc w:val="left"/>
        <w:rPr>
          <w:b w:val="0"/>
          <w:bCs w:val="0"/>
        </w:rPr>
      </w:pPr>
      <w:r>
        <w:rPr>
          <w:rFonts w:ascii="Arial" w:hAnsi="Arial" w:cs="Arial" w:eastAsia="Arial" w:hint="default"/>
        </w:rPr>
        <w:t>11</w:t>
      </w:r>
      <w:r>
        <w:rPr/>
        <w:t>、应收款项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9"/>
        <w:jc w:val="left"/>
        <w:rPr>
          <w:b w:val="0"/>
          <w:bCs w:val="0"/>
        </w:rPr>
      </w:pPr>
      <w:r>
        <w:rPr/>
        <w:t>（</w:t>
      </w:r>
      <w:r>
        <w:rPr>
          <w:rFonts w:ascii="Arial" w:hAnsi="Arial" w:cs="Arial" w:eastAsia="Arial" w:hint="default"/>
        </w:rPr>
        <w:t>1</w:t>
      </w:r>
      <w:r>
        <w:rPr/>
        <w:t>）单项金额重大并单独计提坏账准备的应收款项</w:t>
      </w:r>
      <w:r>
        <w:rPr>
          <w:b w:val="0"/>
          <w:bCs w:val="0"/>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单项金额重大的应收账款是指期末余额 </w:t>
            </w:r>
            <w:r>
              <w:rPr>
                <w:rFonts w:ascii="Arial" w:hAnsi="Arial" w:cs="Arial" w:eastAsia="Arial" w:hint="default"/>
                <w:sz w:val="18"/>
                <w:szCs w:val="18"/>
              </w:rPr>
              <w:t>100</w:t>
            </w:r>
            <w:r>
              <w:rPr>
                <w:rFonts w:ascii="Arial" w:hAnsi="Arial" w:cs="Arial" w:eastAsia="Arial" w:hint="default"/>
                <w:spacing w:val="-6"/>
                <w:sz w:val="18"/>
                <w:szCs w:val="18"/>
              </w:rPr>
              <w:t> </w:t>
            </w:r>
            <w:r>
              <w:rPr>
                <w:rFonts w:ascii="宋体" w:hAnsi="宋体" w:cs="宋体" w:eastAsia="宋体" w:hint="default"/>
                <w:sz w:val="18"/>
                <w:szCs w:val="18"/>
              </w:rPr>
              <w:t>万元及以上的 应收账款。</w:t>
            </w:r>
          </w:p>
        </w:tc>
      </w:tr>
      <w:tr>
        <w:trPr>
          <w:trHeight w:val="354" w:hRule="exact"/>
        </w:trPr>
        <w:tc>
          <w:tcPr>
            <w:tcW w:w="4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w:t>
            </w:r>
          </w:p>
        </w:tc>
      </w:tr>
      <w:tr>
        <w:trPr>
          <w:trHeight w:val="311" w:hRule="exact"/>
        </w:trPr>
        <w:tc>
          <w:tcPr>
            <w:tcW w:w="4783" w:type="dxa"/>
            <w:tcBorders>
              <w:top w:val="nil" w:sz="6" w:space="0" w:color="auto"/>
              <w:left w:val="single" w:sz="4" w:space="0" w:color="000000"/>
              <w:bottom w:val="nil" w:sz="6" w:space="0" w:color="auto"/>
              <w:right w:val="single" w:sz="4" w:space="0" w:color="000000"/>
            </w:tcBorders>
            <w:shd w:val="clear" w:color="auto" w:fill="D2D2D2"/>
          </w:tcPr>
          <w:p>
            <w:pPr/>
          </w:p>
        </w:tc>
        <w:tc>
          <w:tcPr>
            <w:tcW w:w="478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测试未发生减值的金融资产，包括在具有类似信用风险特征</w:t>
            </w:r>
          </w:p>
        </w:tc>
      </w:tr>
      <w:tr>
        <w:trPr>
          <w:trHeight w:val="313" w:hRule="exact"/>
        </w:trPr>
        <w:tc>
          <w:tcPr>
            <w:tcW w:w="4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的金融资产组合中进行减值测试。单项测试已确认减值损失</w:t>
            </w:r>
          </w:p>
        </w:tc>
      </w:tr>
      <w:tr>
        <w:trPr>
          <w:trHeight w:val="311" w:hRule="exact"/>
        </w:trPr>
        <w:tc>
          <w:tcPr>
            <w:tcW w:w="4783" w:type="dxa"/>
            <w:tcBorders>
              <w:top w:val="nil" w:sz="6" w:space="0" w:color="auto"/>
              <w:left w:val="single" w:sz="4" w:space="0" w:color="000000"/>
              <w:bottom w:val="nil" w:sz="6" w:space="0" w:color="auto"/>
              <w:right w:val="single" w:sz="4" w:space="0" w:color="000000"/>
            </w:tcBorders>
            <w:shd w:val="clear" w:color="auto" w:fill="D2D2D2"/>
          </w:tcPr>
          <w:p>
            <w:pPr/>
          </w:p>
        </w:tc>
        <w:tc>
          <w:tcPr>
            <w:tcW w:w="478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w:t>
            </w:r>
          </w:p>
        </w:tc>
      </w:tr>
      <w:tr>
        <w:trPr>
          <w:trHeight w:val="360" w:hRule="exact"/>
        </w:trPr>
        <w:tc>
          <w:tcPr>
            <w:tcW w:w="4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组合中进行减值测试。</w:t>
            </w:r>
          </w:p>
        </w:tc>
      </w:tr>
    </w:tbl>
    <w:p>
      <w:pPr>
        <w:spacing w:line="240" w:lineRule="auto" w:before="8"/>
        <w:rPr>
          <w:rFonts w:ascii="宋体" w:hAnsi="宋体" w:cs="宋体" w:eastAsia="宋体" w:hint="default"/>
          <w:b/>
          <w:bCs/>
          <w:sz w:val="19"/>
          <w:szCs w:val="19"/>
        </w:rPr>
      </w:pPr>
    </w:p>
    <w:p>
      <w:pPr>
        <w:spacing w:before="37"/>
        <w:ind w:left="152"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2</w:t>
      </w:r>
      <w:r>
        <w:rPr>
          <w:rFonts w:ascii="宋体" w:hAnsi="宋体" w:cs="宋体" w:eastAsia="宋体" w:hint="default"/>
          <w:b/>
          <w:bCs/>
          <w:sz w:val="20"/>
          <w:szCs w:val="20"/>
        </w:rPr>
        <w:t>）按信用风险特征组合计提坏账准备的应收款项</w:t>
      </w:r>
      <w:r>
        <w:rPr>
          <w:rFonts w:ascii="宋体" w:hAnsi="宋体" w:cs="宋体" w:eastAsia="宋体" w:hint="default"/>
          <w:sz w:val="20"/>
          <w:szCs w:val="20"/>
        </w:rPr>
      </w:r>
    </w:p>
    <w:p>
      <w:pPr>
        <w:spacing w:line="240" w:lineRule="auto" w:before="12"/>
        <w:rPr>
          <w:rFonts w:ascii="宋体" w:hAnsi="宋体" w:cs="宋体" w:eastAsia="宋体" w:hint="default"/>
          <w:b/>
          <w:bCs/>
          <w:sz w:val="25"/>
          <w:szCs w:val="25"/>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05pt;mso-position-horizontal-relative:char;mso-position-vertical-relative:line" coordorigin="0,0" coordsize="9581,421">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6e" filled="false" stroked="true" strokeweight=".48pt" strokecolor="#000000">
                <v:path arrowok="t"/>
              </v:shape>
            </v:group>
            <v:group style="position:absolute;left:10;top:411;width:4775;height:2" coordorigin="10,411" coordsize="4775,2">
              <v:shape style="position:absolute;left:10;top:411;width:4775;height:2" coordorigin="10,411" coordsize="4775,0" path="m10,411l4784,411e" filled="false" stroked="true" strokeweight=".48004pt" strokecolor="#000000">
                <v:path arrowok="t"/>
              </v:shape>
            </v:group>
            <v:group style="position:absolute;left:4789;top:5;width:2;height:411" coordorigin="4789,5" coordsize="2,411">
              <v:shape style="position:absolute;left:4789;top:5;width:2;height:411" coordorigin="4789,5" coordsize="0,411" path="m4789,5l4789,416e" filled="false" stroked="true" strokeweight=".48001pt" strokecolor="#000000">
                <v:path arrowok="t"/>
              </v:shape>
            </v:group>
            <v:group style="position:absolute;left:4794;top:411;width:4777;height:2" coordorigin="4794,411" coordsize="4777,2">
              <v:shape style="position:absolute;left:4794;top:411;width:4777;height:2" coordorigin="4794,411" coordsize="4777,0" path="m4794,411l9571,411e" filled="false" stroked="true" strokeweight=".48004pt" strokecolor="#000000">
                <v:path arrowok="t"/>
              </v:shape>
            </v:group>
            <v:group style="position:absolute;left:9576;top:5;width:2;height:411" coordorigin="9576,5" coordsize="2,411">
              <v:shape style="position:absolute;left:9576;top:5;width:2;height:411" coordorigin="9576,5" coordsize="0,411" path="m9576,5l9576,416e" filled="false" stroked="true" strokeweight=".47998pt" strokecolor="#000000">
                <v:path arrowok="t"/>
              </v:shape>
              <v:shape style="position:absolute;left:6;top:10;width:4783;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组合名称</w:t>
                      </w:r>
                    </w:p>
                  </w:txbxContent>
                </v:textbox>
                <w10:wrap type="none"/>
              </v:shape>
              <v:shape style="position:absolute;left:4789;top:10;width:4787;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坏账准备计提方法</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884" w:footer="1010" w:top="1140" w:bottom="1200" w:left="980" w:right="900"/>
        </w:sectPr>
      </w:pPr>
    </w:p>
    <w:p>
      <w:pPr>
        <w:spacing w:line="240" w:lineRule="auto" w:before="1"/>
        <w:rPr>
          <w:rFonts w:ascii="宋体" w:hAnsi="宋体" w:cs="宋体" w:eastAsia="宋体" w:hint="default"/>
          <w:b/>
          <w:bCs/>
          <w:sz w:val="21"/>
          <w:szCs w:val="21"/>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5;top:10;width:4785;height:404" type="#_x0000_t202" filled="false" stroked="false">
                <v:textbox inset="0,0,0,0">
                  <w:txbxContent>
                    <w:p>
                      <w:pPr>
                        <w:spacing w:before="54"/>
                        <w:ind w:left="28" w:right="0" w:firstLine="0"/>
                        <w:jc w:val="left"/>
                        <w:rPr>
                          <w:rFonts w:ascii="宋体" w:hAnsi="宋体" w:cs="宋体" w:eastAsia="宋体" w:hint="default"/>
                          <w:sz w:val="18"/>
                          <w:szCs w:val="18"/>
                        </w:rPr>
                      </w:pPr>
                      <w:r>
                        <w:rPr>
                          <w:rFonts w:ascii="宋体" w:hAnsi="宋体" w:cs="宋体" w:eastAsia="宋体" w:hint="default"/>
                          <w:sz w:val="18"/>
                          <w:szCs w:val="18"/>
                        </w:rPr>
                        <w:t>账龄组合</w:t>
                      </w:r>
                    </w:p>
                  </w:txbxContent>
                </v:textbox>
                <w10:wrap type="none"/>
              </v:shape>
              <v:shape style="position:absolute;left:4789;top:10;width:4787;height:404" type="#_x0000_t202" filled="false" stroked="false">
                <v:textbox inset="0,0,0,0">
                  <w:txbxContent>
                    <w:p>
                      <w:pPr>
                        <w:spacing w:before="54"/>
                        <w:ind w:left="28" w:right="0" w:firstLine="0"/>
                        <w:jc w:val="left"/>
                        <w:rPr>
                          <w:rFonts w:ascii="宋体" w:hAnsi="宋体" w:cs="宋体" w:eastAsia="宋体" w:hint="default"/>
                          <w:sz w:val="18"/>
                          <w:szCs w:val="18"/>
                        </w:rPr>
                      </w:pPr>
                      <w:r>
                        <w:rPr>
                          <w:rFonts w:ascii="宋体" w:hAnsi="宋体" w:cs="宋体" w:eastAsia="宋体" w:hint="default"/>
                          <w:sz w:val="18"/>
                          <w:szCs w:val="18"/>
                        </w:rPr>
                        <w:t>账龄分析法</w:t>
                      </w:r>
                    </w:p>
                  </w:txbxContent>
                </v:textbox>
                <w10:wrap type="none"/>
              </v:shape>
            </v:group>
          </v:group>
        </w:pict>
      </w:r>
      <w:r>
        <w:rPr>
          <w:rFonts w:ascii="宋体" w:hAnsi="宋体" w:cs="宋体" w:eastAsia="宋体" w:hint="default"/>
          <w:position w:val="-7"/>
          <w:sz w:val="20"/>
          <w:szCs w:val="20"/>
        </w:rPr>
      </w:r>
    </w:p>
    <w:p>
      <w:pPr>
        <w:spacing w:before="45"/>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3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2" w:right="6534"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31"/>
          <w:sz w:val="18"/>
          <w:szCs w:val="18"/>
        </w:rPr>
        <w:t> </w:t>
      </w:r>
      <w:r>
        <w:rPr>
          <w:rFonts w:ascii="宋体" w:hAnsi="宋体" w:cs="宋体" w:eastAsia="宋体" w:hint="default"/>
          <w:sz w:val="18"/>
          <w:szCs w:val="18"/>
        </w:rPr>
        <w:t>不适用 组合中，采用其他方法计提坏账准备的：</w:t>
      </w:r>
    </w:p>
    <w:p>
      <w:pPr>
        <w:spacing w:before="43"/>
        <w:ind w:left="152" w:right="0"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3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6"/>
          <w:szCs w:val="26"/>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3</w:t>
      </w:r>
      <w:r>
        <w:rPr>
          <w:rFonts w:ascii="宋体" w:hAnsi="宋体" w:cs="宋体" w:eastAsia="宋体" w:hint="default"/>
          <w:b/>
          <w:bCs/>
          <w:sz w:val="20"/>
          <w:szCs w:val="20"/>
        </w:rPr>
        <w:t>）单项金额不重大但单独计提坏账准备的应收款项</w:t>
      </w:r>
      <w:r>
        <w:rPr>
          <w:rFonts w:ascii="宋体" w:hAnsi="宋体" w:cs="宋体" w:eastAsia="宋体" w:hint="default"/>
          <w:sz w:val="20"/>
          <w:szCs w:val="20"/>
        </w:rPr>
      </w:r>
    </w:p>
    <w:p>
      <w:pPr>
        <w:spacing w:line="240" w:lineRule="auto" w:before="4"/>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本公司对于单项金额虽不重大但有客观证据表明其发生了减 值的，如：与对方存在争议或涉及诉讼、仲裁的应收款项、 已有明显迹象表明债务人很可能无法履行还款义务的应收款 项等。</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w:t>
            </w:r>
          </w:p>
        </w:tc>
      </w:tr>
    </w:tbl>
    <w:p>
      <w:pPr>
        <w:spacing w:line="240" w:lineRule="auto" w:before="7"/>
        <w:rPr>
          <w:rFonts w:ascii="宋体" w:hAnsi="宋体" w:cs="宋体" w:eastAsia="宋体" w:hint="default"/>
          <w:b/>
          <w:bCs/>
          <w:sz w:val="21"/>
          <w:szCs w:val="21"/>
        </w:rPr>
      </w:pPr>
    </w:p>
    <w:p>
      <w:pPr>
        <w:pStyle w:val="Heading3"/>
        <w:spacing w:line="240" w:lineRule="auto" w:before="26"/>
        <w:ind w:right="0"/>
        <w:jc w:val="left"/>
        <w:rPr>
          <w:b w:val="0"/>
          <w:bCs w:val="0"/>
        </w:rPr>
      </w:pPr>
      <w:r>
        <w:rPr>
          <w:rFonts w:ascii="Arial" w:hAnsi="Arial" w:cs="Arial" w:eastAsia="Arial" w:hint="default"/>
        </w:rPr>
        <w:t>12</w:t>
      </w:r>
      <w:r>
        <w:rPr/>
        <w:t>、存货</w:t>
      </w:r>
      <w:r>
        <w:rPr>
          <w:b w:val="0"/>
          <w:bCs w:val="0"/>
        </w:rPr>
      </w:r>
    </w:p>
    <w:p>
      <w:pPr>
        <w:spacing w:line="240" w:lineRule="auto" w:before="8"/>
        <w:rPr>
          <w:rFonts w:ascii="宋体" w:hAnsi="宋体" w:cs="宋体" w:eastAsia="宋体" w:hint="default"/>
          <w:b/>
          <w:bCs/>
          <w:sz w:val="28"/>
          <w:szCs w:val="28"/>
        </w:rPr>
      </w:pPr>
    </w:p>
    <w:p>
      <w:pPr>
        <w:pStyle w:val="BodyText"/>
        <w:spacing w:line="381" w:lineRule="auto"/>
        <w:ind w:left="573" w:right="2153" w:hanging="421"/>
        <w:jc w:val="left"/>
      </w:pPr>
      <w:r>
        <w:rPr>
          <w:rFonts w:ascii="Arial" w:hAnsi="Arial" w:cs="Arial" w:eastAsia="Arial" w:hint="default"/>
        </w:rPr>
        <w:t>1</w:t>
      </w:r>
      <w:r>
        <w:rPr/>
        <w:t>、存货的分类： 本公司存货分为：在途材料、原材料、发出商品、生产成本等种类；</w:t>
      </w:r>
    </w:p>
    <w:p>
      <w:pPr>
        <w:pStyle w:val="BodyText"/>
        <w:spacing w:line="381" w:lineRule="auto" w:before="70"/>
        <w:ind w:left="573" w:right="3353" w:hanging="421"/>
        <w:jc w:val="left"/>
      </w:pPr>
      <w:r>
        <w:rPr>
          <w:rFonts w:ascii="Arial" w:hAnsi="Arial" w:cs="Arial" w:eastAsia="Arial" w:hint="default"/>
        </w:rPr>
        <w:t>2</w:t>
      </w:r>
      <w:r>
        <w:rPr/>
        <w:t>、存货的计价方法： 取得时按实际成本计价，存货发出采用个别计价法核算；</w:t>
      </w:r>
    </w:p>
    <w:p>
      <w:pPr>
        <w:pStyle w:val="BodyText"/>
        <w:spacing w:line="381" w:lineRule="auto" w:before="70"/>
        <w:ind w:left="573" w:right="0" w:hanging="421"/>
        <w:jc w:val="left"/>
      </w:pPr>
      <w:r>
        <w:rPr>
          <w:rFonts w:ascii="Arial" w:hAnsi="Arial" w:cs="Arial" w:eastAsia="Arial" w:hint="default"/>
        </w:rPr>
        <w:t>3</w:t>
      </w:r>
      <w:r>
        <w:rPr/>
        <w:t>、存货可变现净值的确定依据及存货跌价准备的计提方法： </w:t>
      </w:r>
      <w:r>
        <w:rPr>
          <w:spacing w:val="2"/>
        </w:rPr>
        <w:t>期末在对存货进行全面清查的基础上，按照存货的成本与可变现净值孰低的原则提取或</w:t>
      </w:r>
      <w:r>
        <w:rPr/>
      </w:r>
    </w:p>
    <w:p>
      <w:pPr>
        <w:pStyle w:val="BodyText"/>
        <w:spacing w:line="264" w:lineRule="exact"/>
        <w:ind w:right="0"/>
        <w:jc w:val="left"/>
      </w:pPr>
      <w:r>
        <w:rPr/>
        <w:t>调整存货跌价准备。</w:t>
      </w:r>
    </w:p>
    <w:p>
      <w:pPr>
        <w:pStyle w:val="BodyText"/>
        <w:spacing w:line="309" w:lineRule="auto" w:before="212"/>
        <w:ind w:right="0" w:firstLine="420"/>
        <w:jc w:val="left"/>
      </w:pPr>
      <w:r>
        <w:rPr>
          <w:spacing w:val="2"/>
        </w:rPr>
        <w:t>期末按照单个存货项目计提存货跌价准备；但对于数量繁多、单价较低的存货，按照存 </w:t>
      </w:r>
      <w:r>
        <w:rPr/>
        <w:t>货类别计提存货跌价准备。</w:t>
      </w:r>
    </w:p>
    <w:p>
      <w:pPr>
        <w:spacing w:after="0" w:line="309" w:lineRule="auto"/>
        <w:jc w:val="left"/>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309" w:lineRule="auto" w:before="26"/>
        <w:ind w:right="233" w:firstLine="420"/>
        <w:jc w:val="both"/>
      </w:pPr>
      <w:r>
        <w:rPr>
          <w:spacing w:val="2"/>
        </w:rPr>
        <w:t>以前减记存货价值的影响因素已经消失的，减记的金额予以恢复，并在原已计提的存货 </w:t>
      </w:r>
      <w:r>
        <w:rPr/>
        <w:t>跌价准备金额内转回，转回的金额计入当期损益。</w:t>
      </w:r>
    </w:p>
    <w:p>
      <w:pPr>
        <w:pStyle w:val="BodyText"/>
        <w:spacing w:line="381" w:lineRule="auto" w:before="142"/>
        <w:ind w:left="467" w:right="99" w:hanging="315"/>
        <w:jc w:val="left"/>
      </w:pPr>
      <w:r>
        <w:rPr>
          <w:rFonts w:ascii="Arial" w:hAnsi="Arial" w:cs="Arial" w:eastAsia="Arial" w:hint="default"/>
        </w:rPr>
        <w:t>4</w:t>
      </w:r>
      <w:r>
        <w:rPr/>
        <w:t>、存货盘存制度 存货盘存制度采用永续盘存制，资产负债表日，对存货进行全面盘点，盘盈、盘亏结果，</w:t>
      </w:r>
    </w:p>
    <w:p>
      <w:pPr>
        <w:pStyle w:val="BodyText"/>
        <w:spacing w:line="264" w:lineRule="exact"/>
        <w:ind w:right="0"/>
        <w:jc w:val="both"/>
      </w:pPr>
      <w:r>
        <w:rPr/>
        <w:t>在期末结账前处理完毕，计入当期损益。经股东大会或董事会批准后差额作相应处理。</w:t>
      </w:r>
    </w:p>
    <w:p>
      <w:pPr>
        <w:spacing w:line="240" w:lineRule="auto" w:before="12"/>
        <w:rPr>
          <w:rFonts w:ascii="宋体" w:hAnsi="宋体" w:cs="宋体" w:eastAsia="宋体" w:hint="default"/>
          <w:sz w:val="29"/>
          <w:szCs w:val="29"/>
        </w:rPr>
      </w:pPr>
    </w:p>
    <w:p>
      <w:pPr>
        <w:pStyle w:val="Heading3"/>
        <w:spacing w:line="511" w:lineRule="auto"/>
        <w:ind w:right="7178"/>
        <w:jc w:val="left"/>
        <w:rPr>
          <w:rFonts w:ascii="宋体" w:hAnsi="宋体" w:cs="宋体" w:eastAsia="宋体" w:hint="default"/>
          <w:b w:val="0"/>
          <w:bCs w:val="0"/>
        </w:rPr>
      </w:pPr>
      <w:r>
        <w:rPr>
          <w:rFonts w:ascii="Arial" w:hAnsi="Arial" w:cs="Arial" w:eastAsia="Arial" w:hint="default"/>
        </w:rPr>
        <w:t>13</w:t>
      </w:r>
      <w:r>
        <w:rPr/>
        <w:t>、划分为持有待售资产</w:t>
      </w:r>
      <w:r>
        <w:rPr>
          <w:w w:val="99"/>
        </w:rPr>
        <w:t> </w:t>
      </w:r>
      <w:r>
        <w:rPr>
          <w:rFonts w:ascii="宋体" w:hAnsi="宋体" w:cs="宋体" w:eastAsia="宋体" w:hint="default"/>
          <w:b w:val="0"/>
          <w:bCs w:val="0"/>
        </w:rPr>
        <w:t>不适用</w:t>
      </w:r>
    </w:p>
    <w:p>
      <w:pPr>
        <w:pStyle w:val="Heading3"/>
        <w:spacing w:line="240" w:lineRule="auto" w:before="120"/>
        <w:ind w:right="0"/>
        <w:jc w:val="both"/>
        <w:rPr>
          <w:b w:val="0"/>
          <w:bCs w:val="0"/>
        </w:rPr>
      </w:pPr>
      <w:r>
        <w:rPr>
          <w:rFonts w:ascii="Arial" w:hAnsi="Arial" w:cs="Arial" w:eastAsia="Arial" w:hint="default"/>
        </w:rPr>
        <w:t>14</w:t>
      </w:r>
      <w:r>
        <w:rPr/>
        <w:t>、长期股权投资</w:t>
      </w:r>
      <w:r>
        <w:rPr>
          <w:b w:val="0"/>
          <w:bCs w:val="0"/>
        </w:rPr>
      </w:r>
    </w:p>
    <w:p>
      <w:pPr>
        <w:spacing w:line="240" w:lineRule="auto" w:before="8"/>
        <w:rPr>
          <w:rFonts w:ascii="宋体" w:hAnsi="宋体" w:cs="宋体" w:eastAsia="宋体" w:hint="default"/>
          <w:b/>
          <w:bCs/>
          <w:sz w:val="28"/>
          <w:szCs w:val="28"/>
        </w:rPr>
      </w:pPr>
    </w:p>
    <w:p>
      <w:pPr>
        <w:pStyle w:val="BodyText"/>
        <w:spacing w:line="240" w:lineRule="auto"/>
        <w:ind w:right="0"/>
        <w:jc w:val="both"/>
      </w:pPr>
      <w:r>
        <w:rPr>
          <w:rFonts w:ascii="Arial" w:hAnsi="Arial" w:cs="Arial" w:eastAsia="Arial" w:hint="default"/>
        </w:rPr>
        <w:t>1</w:t>
      </w:r>
      <w:r>
        <w:rPr/>
        <w:t>、投资成本的初始计量：</w:t>
      </w:r>
    </w:p>
    <w:p>
      <w:pPr>
        <w:pStyle w:val="BodyText"/>
        <w:spacing w:line="240" w:lineRule="auto" w:before="137"/>
        <w:ind w:right="0"/>
        <w:jc w:val="both"/>
      </w:pPr>
      <w:r>
        <w:rPr/>
        <w:t>①企业合并中形成的长期股权投资</w:t>
      </w:r>
    </w:p>
    <w:p>
      <w:pPr>
        <w:pStyle w:val="BodyText"/>
        <w:spacing w:line="304" w:lineRule="auto" w:before="154"/>
        <w:ind w:right="239"/>
        <w:jc w:val="both"/>
      </w:pPr>
      <w:r>
        <w:rPr>
          <w:rFonts w:ascii="Arial" w:hAnsi="Arial" w:cs="Arial" w:eastAsia="Arial" w:hint="default"/>
          <w:spacing w:val="2"/>
        </w:rPr>
        <w:t>A</w:t>
      </w:r>
      <w:r>
        <w:rPr>
          <w:spacing w:val="2"/>
        </w:rPr>
        <w:t>．如果是同一控制下的企业合并，公司以支付现金、转让非现金资产或承担债务方式作为</w:t>
      </w:r>
      <w:r>
        <w:rPr>
          <w:spacing w:val="-104"/>
        </w:rPr>
        <w:t> </w:t>
      </w:r>
      <w:r>
        <w:rPr>
          <w:spacing w:val="-104"/>
        </w:rPr>
      </w:r>
      <w:r>
        <w:rPr/>
        <w:t>合并对价的，在合并日按照取得被合并方所有者权益在最终控制方合并财务报表中的账面价</w:t>
      </w:r>
      <w:r>
        <w:rPr>
          <w:spacing w:val="-91"/>
        </w:rPr>
        <w:t> </w:t>
      </w:r>
      <w:r>
        <w:rPr>
          <w:spacing w:val="-91"/>
        </w:rPr>
      </w:r>
      <w:r>
        <w:rPr/>
        <w:t>值的份额作为长期股权投资的初始投资成本。长期股权投资初始投资成本与支付的合并对价</w:t>
      </w:r>
      <w:r>
        <w:rPr>
          <w:spacing w:val="-91"/>
        </w:rPr>
        <w:t> </w:t>
      </w:r>
      <w:r>
        <w:rPr>
          <w:spacing w:val="-91"/>
        </w:rPr>
      </w:r>
      <w:r>
        <w:rPr/>
        <w:t>之间的差额，调整资本公积；资本公积不足冲减的，调整留存收益。</w:t>
      </w:r>
    </w:p>
    <w:p>
      <w:pPr>
        <w:pStyle w:val="BodyText"/>
        <w:spacing w:line="309" w:lineRule="auto" w:before="86"/>
        <w:ind w:right="237" w:firstLine="480"/>
        <w:jc w:val="both"/>
      </w:pPr>
      <w:r>
        <w:rPr/>
        <w:t>合并方以发行权益性证券作为合并对价的，在合并日按照取得被合并方所有者权益在最 终控制方合并财务报表中的账面价值的份额作为长期股权投资的初始投资成本。按照发行股</w:t>
      </w:r>
      <w:r>
        <w:rPr>
          <w:spacing w:val="-91"/>
        </w:rPr>
        <w:t> </w:t>
      </w:r>
      <w:r>
        <w:rPr>
          <w:spacing w:val="-91"/>
        </w:rPr>
      </w:r>
      <w:r>
        <w:rPr/>
        <w:t>份的面值总额作为股本，长期股权投资初始投资成本与所发行股份面值总额之间的差额，调</w:t>
      </w:r>
      <w:r>
        <w:rPr>
          <w:spacing w:val="-91"/>
        </w:rPr>
        <w:t> </w:t>
      </w:r>
      <w:r>
        <w:rPr>
          <w:spacing w:val="-91"/>
        </w:rPr>
      </w:r>
      <w:r>
        <w:rPr/>
        <w:t>整资本公积；资本公积不足冲减的，调整留存收益。</w:t>
      </w:r>
    </w:p>
    <w:p>
      <w:pPr>
        <w:pStyle w:val="BodyText"/>
        <w:spacing w:line="309" w:lineRule="auto" w:before="84"/>
        <w:ind w:right="240" w:firstLine="480"/>
        <w:jc w:val="both"/>
      </w:pPr>
      <w:r>
        <w:rPr/>
        <w:t>合并发生的各项直接相关费用，包括为进行合并而支付的审计费用、评估费用、法律服 务费用等，于发生时计入当期损益。</w:t>
      </w:r>
    </w:p>
    <w:p>
      <w:pPr>
        <w:pStyle w:val="BodyText"/>
        <w:spacing w:line="300" w:lineRule="auto" w:before="85"/>
        <w:ind w:right="236" w:firstLine="480"/>
        <w:jc w:val="both"/>
      </w:pPr>
      <w:r>
        <w:rPr/>
        <w:t>购买方作为合并对价发行的权益性证券直接相关的的交易费用，应当冲减资本公积</w:t>
      </w:r>
      <w:r>
        <w:rPr>
          <w:rFonts w:ascii="Arial" w:hAnsi="Arial" w:cs="Arial" w:eastAsia="Arial" w:hint="default"/>
        </w:rPr>
        <w:t>—</w:t>
      </w:r>
      <w:r>
        <w:rPr/>
        <w:t>资 本溢价或股本溢价，资本公积</w:t>
      </w:r>
      <w:r>
        <w:rPr>
          <w:rFonts w:ascii="Arial" w:hAnsi="Arial" w:cs="Arial" w:eastAsia="Arial" w:hint="default"/>
        </w:rPr>
        <w:t>—</w:t>
      </w:r>
      <w:r>
        <w:rPr/>
        <w:t>资本溢价或股本溢价不足冲减的，依次冲减盈余公积和未分</w:t>
      </w:r>
      <w:r>
        <w:rPr>
          <w:spacing w:val="-89"/>
        </w:rPr>
        <w:t> </w:t>
      </w:r>
      <w:r>
        <w:rPr>
          <w:spacing w:val="-89"/>
        </w:rPr>
      </w:r>
      <w:r>
        <w:rPr/>
        <w:t>配利润；购买方作为合并对价发行的债务性证券直接相关的交易费用，计入债务性证券的初</w:t>
      </w:r>
      <w:r>
        <w:rPr>
          <w:spacing w:val="-90"/>
        </w:rPr>
        <w:t> </w:t>
      </w:r>
      <w:r>
        <w:rPr>
          <w:spacing w:val="-90"/>
        </w:rPr>
      </w:r>
      <w:r>
        <w:rPr/>
        <w:t>始确认金额。</w:t>
      </w:r>
    </w:p>
    <w:p>
      <w:pPr>
        <w:pStyle w:val="BodyText"/>
        <w:spacing w:line="309" w:lineRule="auto" w:before="94"/>
        <w:ind w:right="240" w:firstLine="480"/>
        <w:jc w:val="both"/>
      </w:pPr>
      <w:r>
        <w:rPr/>
        <w:t>通过多次交易分步取得同一控制下被投资单位的股权，最终形成企业合并的，判断多次 交易是否属于</w:t>
      </w:r>
      <w:r>
        <w:rPr>
          <w:rFonts w:ascii="Arial" w:hAnsi="Arial" w:cs="Arial" w:eastAsia="Arial" w:hint="default"/>
        </w:rPr>
        <w:t>“</w:t>
      </w:r>
      <w:r>
        <w:rPr/>
        <w:t>一揽子交易</w:t>
      </w:r>
      <w:r>
        <w:rPr>
          <w:rFonts w:ascii="Arial" w:hAnsi="Arial" w:cs="Arial" w:eastAsia="Arial" w:hint="default"/>
        </w:rPr>
        <w:t>”</w:t>
      </w:r>
      <w:r>
        <w:rPr/>
        <w:t>，并根据不同情况分别作出处理。</w:t>
      </w:r>
    </w:p>
    <w:p>
      <w:pPr>
        <w:pStyle w:val="BodyText"/>
        <w:spacing w:line="309" w:lineRule="auto" w:before="59"/>
        <w:ind w:left="333" w:right="99" w:firstLine="240"/>
        <w:jc w:val="left"/>
      </w:pPr>
      <w:r>
        <w:rPr>
          <w:spacing w:val="-1"/>
        </w:rPr>
        <w:t>①属于一揽子交易的，合并方应当将各项交易作为一项取得控制权的交易进行会计处理。</w:t>
      </w:r>
      <w:r>
        <w:rPr/>
        <w:t> 通过多次交易分步实现的企业合并，各项交易的条款、条件以及经济影响符合以下一种或 多种情况，通常表明应将多次交易作为一揽子交易进行会计处理</w:t>
      </w:r>
      <w:r>
        <w:rPr>
          <w:rFonts w:ascii="Arial" w:hAnsi="Arial" w:cs="Arial" w:eastAsia="Arial" w:hint="default"/>
        </w:rPr>
        <w:t>:</w:t>
      </w:r>
      <w:r>
        <w:rPr>
          <w:rFonts w:ascii="Arial" w:hAnsi="Arial" w:cs="Arial" w:eastAsia="Arial" w:hint="default"/>
          <w:spacing w:val="-2"/>
        </w:rPr>
        <w:t> </w:t>
      </w:r>
      <w:r>
        <w:rPr>
          <w:rFonts w:ascii="Arial" w:hAnsi="Arial" w:cs="Arial" w:eastAsia="Arial" w:hint="default"/>
        </w:rPr>
        <w:t>a</w:t>
      </w:r>
      <w:r>
        <w:rPr/>
        <w:t>、这些交易是同时或者</w:t>
      </w:r>
    </w:p>
    <w:p>
      <w:pPr>
        <w:spacing w:after="0" w:line="309" w:lineRule="auto"/>
        <w:jc w:val="left"/>
        <w:sectPr>
          <w:pgSz w:w="11910" w:h="16840"/>
          <w:pgMar w:header="884" w:footer="1010" w:top="1140" w:bottom="1200" w:left="980" w:right="900"/>
        </w:sectPr>
      </w:pPr>
    </w:p>
    <w:p>
      <w:pPr>
        <w:spacing w:line="240" w:lineRule="auto" w:before="1"/>
        <w:rPr>
          <w:rFonts w:ascii="宋体" w:hAnsi="宋体" w:cs="宋体" w:eastAsia="宋体" w:hint="default"/>
          <w:sz w:val="20"/>
          <w:szCs w:val="20"/>
        </w:rPr>
      </w:pPr>
    </w:p>
    <w:p>
      <w:pPr>
        <w:pStyle w:val="BodyText"/>
        <w:spacing w:line="292" w:lineRule="auto" w:before="26"/>
        <w:ind w:left="333" w:right="151"/>
        <w:jc w:val="both"/>
      </w:pPr>
      <w:r>
        <w:rPr>
          <w:spacing w:val="-2"/>
        </w:rPr>
        <w:t>在考虑了彼此影响的情况下订立的</w:t>
      </w:r>
      <w:r>
        <w:rPr>
          <w:rFonts w:ascii="Arial" w:hAnsi="Arial" w:cs="Arial" w:eastAsia="Arial" w:hint="default"/>
          <w:spacing w:val="-2"/>
        </w:rPr>
        <w:t>;b</w:t>
      </w:r>
      <w:r>
        <w:rPr>
          <w:spacing w:val="-2"/>
        </w:rPr>
        <w:t>、这些交易整体才能达成一项完整的商业结果</w:t>
      </w:r>
      <w:r>
        <w:rPr>
          <w:rFonts w:ascii="Arial" w:hAnsi="Arial" w:cs="Arial" w:eastAsia="Arial" w:hint="default"/>
          <w:spacing w:val="-2"/>
        </w:rPr>
        <w:t>;</w:t>
      </w:r>
      <w:r>
        <w:rPr>
          <w:rFonts w:ascii="Arial" w:hAnsi="Arial" w:cs="Arial" w:eastAsia="Arial" w:hint="default"/>
          <w:spacing w:val="9"/>
        </w:rPr>
        <w:t> </w:t>
      </w:r>
      <w:r>
        <w:rPr>
          <w:rFonts w:ascii="Arial" w:hAnsi="Arial" w:cs="Arial" w:eastAsia="Arial" w:hint="default"/>
          <w:spacing w:val="-14"/>
        </w:rPr>
        <w:t>c</w:t>
      </w:r>
      <w:r>
        <w:rPr>
          <w:spacing w:val="-14"/>
        </w:rPr>
        <w:t>、一项</w:t>
      </w:r>
      <w:r>
        <w:rPr>
          <w:spacing w:val="-117"/>
        </w:rPr>
        <w:t> </w:t>
      </w:r>
      <w:r>
        <w:rPr>
          <w:spacing w:val="-117"/>
        </w:rPr>
      </w:r>
      <w:r>
        <w:rPr>
          <w:spacing w:val="-3"/>
        </w:rPr>
        <w:t>交易的发生取决于至少一项其他交易的发生</w:t>
      </w:r>
      <w:r>
        <w:rPr>
          <w:rFonts w:ascii="Arial" w:hAnsi="Arial" w:cs="Arial" w:eastAsia="Arial" w:hint="default"/>
          <w:spacing w:val="-3"/>
        </w:rPr>
        <w:t>;d</w:t>
      </w:r>
      <w:r>
        <w:rPr>
          <w:spacing w:val="-3"/>
        </w:rPr>
        <w:t>、一项交易单独看是不经济的，但是和其他交</w:t>
      </w:r>
      <w:r>
        <w:rPr>
          <w:spacing w:val="-101"/>
        </w:rPr>
        <w:t> </w:t>
      </w:r>
      <w:r>
        <w:rPr>
          <w:spacing w:val="-101"/>
        </w:rPr>
      </w:r>
      <w:r>
        <w:rPr/>
        <w:t>易一并考虑时是经济的。</w:t>
      </w:r>
    </w:p>
    <w:p>
      <w:pPr>
        <w:pStyle w:val="BodyText"/>
        <w:spacing w:line="316" w:lineRule="auto" w:before="101"/>
        <w:ind w:right="0"/>
        <w:jc w:val="left"/>
      </w:pPr>
      <w:r>
        <w:rPr/>
        <w:t>②不属于</w:t>
      </w:r>
      <w:r>
        <w:rPr>
          <w:rFonts w:ascii="Arial" w:hAnsi="Arial" w:cs="Arial" w:eastAsia="Arial" w:hint="default"/>
        </w:rPr>
        <w:t>“</w:t>
      </w:r>
      <w:r>
        <w:rPr/>
        <w:t>一揽子交易</w:t>
      </w:r>
      <w:r>
        <w:rPr>
          <w:rFonts w:ascii="Arial" w:hAnsi="Arial" w:cs="Arial" w:eastAsia="Arial" w:hint="default"/>
        </w:rPr>
        <w:t>”</w:t>
      </w:r>
      <w:r>
        <w:rPr/>
        <w:t>的，在取得控制权日，合并方应按照以下步骤进行会计处理： </w:t>
      </w:r>
      <w:r>
        <w:rPr>
          <w:rFonts w:ascii="Arial" w:hAnsi="Arial" w:cs="Arial" w:eastAsia="Arial" w:hint="default"/>
          <w:spacing w:val="-3"/>
        </w:rPr>
        <w:t>a</w:t>
      </w:r>
      <w:r>
        <w:rPr>
          <w:spacing w:val="-3"/>
        </w:rPr>
        <w:t>、确定同一控制下企业合并形成的长期股权投资的初始投资成本。在合并日，根据合并后应</w:t>
      </w:r>
      <w:r>
        <w:rPr>
          <w:spacing w:val="-96"/>
        </w:rPr>
        <w:t> </w:t>
      </w:r>
      <w:r>
        <w:rPr>
          <w:spacing w:val="-96"/>
        </w:rPr>
      </w:r>
      <w:r>
        <w:rPr/>
        <w:t>享有被合并方净资产在最终控制方合并财务报表中的账面价值的份额，确定长期股权投资的</w:t>
      </w:r>
    </w:p>
    <w:p>
      <w:pPr>
        <w:pStyle w:val="BodyText"/>
        <w:spacing w:line="240" w:lineRule="auto" w:before="14"/>
        <w:ind w:right="0"/>
        <w:jc w:val="both"/>
      </w:pPr>
      <w:r>
        <w:rPr/>
        <w:t>初始投资成本。</w:t>
      </w:r>
    </w:p>
    <w:p>
      <w:pPr>
        <w:pStyle w:val="BodyText"/>
        <w:spacing w:line="304" w:lineRule="auto" w:before="151"/>
        <w:ind w:right="153"/>
        <w:jc w:val="both"/>
      </w:pPr>
      <w:r>
        <w:rPr>
          <w:rFonts w:ascii="Arial" w:hAnsi="Arial" w:cs="Arial" w:eastAsia="Arial" w:hint="default"/>
          <w:spacing w:val="-3"/>
        </w:rPr>
        <w:t>b</w:t>
      </w:r>
      <w:r>
        <w:rPr>
          <w:spacing w:val="-3"/>
        </w:rPr>
        <w:t>、长期股权投资初始投资成本与合并对价账面价值之间的差额的处理。合并日长期股权投资</w:t>
      </w:r>
      <w:r>
        <w:rPr>
          <w:spacing w:val="-93"/>
        </w:rPr>
        <w:t> </w:t>
      </w:r>
      <w:r>
        <w:rPr>
          <w:spacing w:val="-93"/>
        </w:rPr>
      </w:r>
      <w:r>
        <w:rPr/>
        <w:t>的初始投资成本，与达到合并前的长期股权投资账面价值加上合并日进一步取得股份新支付</w:t>
      </w:r>
      <w:r>
        <w:rPr>
          <w:spacing w:val="-88"/>
        </w:rPr>
        <w:t> </w:t>
      </w:r>
      <w:r>
        <w:rPr>
          <w:spacing w:val="-88"/>
        </w:rPr>
      </w:r>
      <w:r>
        <w:rPr>
          <w:spacing w:val="-5"/>
        </w:rPr>
        <w:t>对价的账面价值之和的差额，调整资本公积（资本溢价或股本溢价）；资本公积不足冲减的，</w:t>
      </w:r>
      <w:r>
        <w:rPr/>
        <w:t> 依次冲减盈余公积和未分配利润。</w:t>
      </w:r>
    </w:p>
    <w:p>
      <w:pPr>
        <w:pStyle w:val="BodyText"/>
        <w:spacing w:line="307" w:lineRule="auto" w:before="89"/>
        <w:ind w:right="153"/>
        <w:jc w:val="both"/>
      </w:pPr>
      <w:r>
        <w:rPr>
          <w:rFonts w:ascii="Arial" w:hAnsi="Arial" w:cs="Arial" w:eastAsia="Arial" w:hint="default"/>
          <w:spacing w:val="-2"/>
        </w:rPr>
        <w:t>c</w:t>
      </w:r>
      <w:r>
        <w:rPr>
          <w:spacing w:val="-2"/>
        </w:rPr>
        <w:t>、合并日之前持有的股权投资，因采用权益法核算或金融工具确认和计量准则核算而确认的</w:t>
      </w:r>
      <w:r>
        <w:rPr/>
        <w:t> 其他综合收益，暂不进行会计处理，直至处置该项投资时采用与被投资单位直接处置相关资</w:t>
      </w:r>
      <w:r>
        <w:rPr>
          <w:spacing w:val="-91"/>
        </w:rPr>
        <w:t> </w:t>
      </w:r>
      <w:r>
        <w:rPr>
          <w:spacing w:val="-91"/>
        </w:rPr>
      </w:r>
      <w:r>
        <w:rPr/>
        <w:t>产或负债相同的基础进行会计处理；因采用权益法核算而确认的被投资单位净资产中除净损</w:t>
      </w:r>
      <w:r>
        <w:rPr>
          <w:spacing w:val="-91"/>
        </w:rPr>
        <w:t> </w:t>
      </w:r>
      <w:r>
        <w:rPr>
          <w:spacing w:val="-91"/>
        </w:rPr>
      </w:r>
      <w:r>
        <w:rPr/>
        <w:t>益、其他综合收益和利润分配以外的所有者权益其他变动，暂不进行会计处理，直至处置该</w:t>
      </w:r>
      <w:r>
        <w:rPr>
          <w:spacing w:val="-91"/>
        </w:rPr>
        <w:t> </w:t>
      </w:r>
      <w:r>
        <w:rPr>
          <w:spacing w:val="-91"/>
        </w:rPr>
      </w:r>
      <w:r>
        <w:rPr/>
        <w:t>项投资时转入当期损益。其中，处置后的剩余股权采用成本法或权益法核算的，其他综合收</w:t>
      </w:r>
      <w:r>
        <w:rPr>
          <w:spacing w:val="-89"/>
        </w:rPr>
        <w:t> </w:t>
      </w:r>
      <w:r>
        <w:rPr>
          <w:spacing w:val="-89"/>
        </w:rPr>
      </w:r>
      <w:r>
        <w:rPr/>
        <w:t>益和其他所有者权益应按比例结转，处置后的剩余股权改按金融工具进行会计处理的，其他</w:t>
      </w:r>
      <w:r>
        <w:rPr>
          <w:spacing w:val="-91"/>
        </w:rPr>
        <w:t> </w:t>
      </w:r>
      <w:r>
        <w:rPr>
          <w:spacing w:val="-91"/>
        </w:rPr>
      </w:r>
      <w:r>
        <w:rPr/>
        <w:t>综合收益和其他所有者权益应全部结转。</w:t>
      </w:r>
    </w:p>
    <w:p>
      <w:pPr>
        <w:pStyle w:val="BodyText"/>
        <w:spacing w:line="302" w:lineRule="auto" w:before="86"/>
        <w:ind w:right="153"/>
        <w:jc w:val="both"/>
      </w:pPr>
      <w:r>
        <w:rPr>
          <w:rFonts w:ascii="Arial" w:hAnsi="Arial" w:cs="Arial" w:eastAsia="Arial" w:hint="default"/>
          <w:spacing w:val="-3"/>
        </w:rPr>
        <w:t>d</w:t>
      </w:r>
      <w:r>
        <w:rPr>
          <w:spacing w:val="-3"/>
        </w:rPr>
        <w:t>、编制合并财务报表。合并方在达到合并之前持有的长期股权投资，在取得日与合并方与被</w:t>
      </w:r>
      <w:r>
        <w:rPr>
          <w:spacing w:val="-96"/>
        </w:rPr>
        <w:t> </w:t>
      </w:r>
      <w:r>
        <w:rPr>
          <w:spacing w:val="-96"/>
        </w:rPr>
      </w:r>
      <w:r>
        <w:rPr/>
        <w:t>合并方同处于同一方最终控制之日孰晚日与合并日之间已确认有关损益、其他综合收益和其</w:t>
      </w:r>
      <w:r>
        <w:rPr>
          <w:spacing w:val="-91"/>
        </w:rPr>
        <w:t> </w:t>
      </w:r>
      <w:r>
        <w:rPr>
          <w:spacing w:val="-91"/>
        </w:rPr>
      </w:r>
      <w:r>
        <w:rPr/>
        <w:t>他所有者权益变动，应分别冲减比较报表期间的期初留存收益或当期损益。</w:t>
      </w:r>
    </w:p>
    <w:p>
      <w:pPr>
        <w:pStyle w:val="BodyText"/>
        <w:spacing w:line="302" w:lineRule="auto" w:before="91"/>
        <w:ind w:right="157"/>
        <w:jc w:val="both"/>
      </w:pPr>
      <w:r>
        <w:rPr>
          <w:rFonts w:ascii="Arial" w:hAnsi="Arial" w:cs="Arial" w:eastAsia="Arial" w:hint="default"/>
          <w:spacing w:val="2"/>
        </w:rPr>
        <w:t>B</w:t>
      </w:r>
      <w:r>
        <w:rPr>
          <w:spacing w:val="2"/>
        </w:rPr>
        <w:t>、非同一控制下企业合并形成的长期股权投资，以企业合并成本作为初始投资成本。企业</w:t>
      </w:r>
      <w:r>
        <w:rPr>
          <w:spacing w:val="-104"/>
        </w:rPr>
        <w:t> </w:t>
      </w:r>
      <w:r>
        <w:rPr>
          <w:spacing w:val="-104"/>
        </w:rPr>
      </w:r>
      <w:r>
        <w:rPr/>
        <w:t>合并成本包括购买日购买方为取得被购买方的控制权而付出的资产、发生或承担的负债、发</w:t>
      </w:r>
      <w:r>
        <w:rPr>
          <w:spacing w:val="-90"/>
        </w:rPr>
        <w:t> </w:t>
      </w:r>
      <w:r>
        <w:rPr>
          <w:spacing w:val="-90"/>
        </w:rPr>
      </w:r>
      <w:r>
        <w:rPr/>
        <w:t>行的权益性证券的公允价值之和。</w:t>
      </w:r>
    </w:p>
    <w:p>
      <w:pPr>
        <w:pStyle w:val="BodyText"/>
        <w:spacing w:line="302" w:lineRule="auto" w:before="91"/>
        <w:ind w:right="153"/>
        <w:jc w:val="both"/>
      </w:pPr>
      <w:r>
        <w:rPr>
          <w:rFonts w:ascii="Arial" w:hAnsi="Arial" w:cs="Arial" w:eastAsia="Arial" w:hint="default"/>
        </w:rPr>
        <w:t>1.</w:t>
      </w:r>
      <w:r>
        <w:rPr>
          <w:rFonts w:ascii="Arial" w:hAnsi="Arial" w:cs="Arial" w:eastAsia="Arial" w:hint="default"/>
          <w:spacing w:val="24"/>
        </w:rPr>
        <w:t> </w:t>
      </w:r>
      <w:r>
        <w:rPr>
          <w:spacing w:val="2"/>
        </w:rPr>
        <w:t>购买方为企业合并而发生的审计费用、评估费用、法律服务费用等中介费用以及其他相</w:t>
      </w:r>
      <w:r>
        <w:rPr>
          <w:spacing w:val="2"/>
          <w:w w:val="100"/>
        </w:rPr>
        <w:t> </w:t>
      </w:r>
      <w:r>
        <w:rPr/>
        <w:t>关管理费用于发生时计入当期损益；购买方作为合并对价发行的权益性证券或债务性证券的</w:t>
      </w:r>
      <w:r>
        <w:rPr>
          <w:spacing w:val="-91"/>
        </w:rPr>
        <w:t> </w:t>
      </w:r>
      <w:r>
        <w:rPr>
          <w:spacing w:val="-91"/>
        </w:rPr>
      </w:r>
      <w:r>
        <w:rPr/>
        <w:t>交易费用，计入权益性证券或债务性证券的初始确认金额。</w:t>
      </w:r>
    </w:p>
    <w:p>
      <w:pPr>
        <w:pStyle w:val="BodyText"/>
        <w:spacing w:line="309" w:lineRule="auto" w:before="91"/>
        <w:ind w:right="0" w:firstLine="480"/>
        <w:jc w:val="left"/>
      </w:pPr>
      <w:r>
        <w:rPr/>
        <w:t>通过多次交易分步实现的非同一控制下企业合并，以购买日之前所持所持被购买方的股 权投资的账面价值与购买日新增投资成本之和，作为该项投资的的初始投资成本。</w:t>
      </w:r>
    </w:p>
    <w:p>
      <w:pPr>
        <w:pStyle w:val="BodyText"/>
        <w:spacing w:line="357" w:lineRule="auto" w:before="82"/>
        <w:ind w:left="633" w:right="0"/>
        <w:jc w:val="left"/>
      </w:pPr>
      <w:r>
        <w:rPr/>
        <w:t>②其他方式取得的长期股权投资 以支付现金取得的长期股权投资，按照实际支付的购买价款作为初始投资成本。初始投</w:t>
      </w:r>
    </w:p>
    <w:p>
      <w:pPr>
        <w:pStyle w:val="BodyText"/>
        <w:spacing w:line="288" w:lineRule="exact"/>
        <w:ind w:right="0"/>
        <w:jc w:val="both"/>
      </w:pPr>
      <w:r>
        <w:rPr/>
        <w:t>资成本包括与取得长期股权投资直接相关的费用、税金及其他必要支出。</w:t>
      </w:r>
    </w:p>
    <w:p>
      <w:pPr>
        <w:spacing w:after="0" w:line="288" w:lineRule="exact"/>
        <w:jc w:val="both"/>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309" w:lineRule="auto" w:before="26"/>
        <w:ind w:right="239" w:firstLine="480"/>
        <w:jc w:val="both"/>
      </w:pPr>
      <w:r>
        <w:rPr/>
        <w:t>以发行权益性证券取得的长期股权投资，按照发行权益性证券的公允价值作为初始投资 成本。为发行权益性证券支付给有关证券承销机构等的手续费、佣金等与证券发行直接相关</w:t>
      </w:r>
      <w:r>
        <w:rPr>
          <w:spacing w:val="-91"/>
        </w:rPr>
        <w:t> </w:t>
      </w:r>
      <w:r>
        <w:rPr>
          <w:spacing w:val="-91"/>
        </w:rPr>
      </w:r>
      <w:r>
        <w:rPr/>
        <w:t>的费用，不构成取得长期股权投资的成本。该部分费用应自所发行证券的溢价发行收入中扣</w:t>
      </w:r>
      <w:r>
        <w:rPr>
          <w:spacing w:val="-91"/>
        </w:rPr>
        <w:t> </w:t>
      </w:r>
      <w:r>
        <w:rPr>
          <w:spacing w:val="-91"/>
        </w:rPr>
      </w:r>
      <w:r>
        <w:rPr/>
        <w:t>除，溢价收入不足冲减的，应依次冲减盈余公积和未分配利润。</w:t>
      </w:r>
    </w:p>
    <w:p>
      <w:pPr>
        <w:pStyle w:val="BodyText"/>
        <w:spacing w:line="309" w:lineRule="auto" w:before="84"/>
        <w:ind w:right="236" w:firstLine="480"/>
        <w:jc w:val="both"/>
      </w:pPr>
      <w:r>
        <w:rPr/>
        <w:t>通过非货币性资产交换取得的长期股权投资，如非货币性资产交换具有商业实质或换出 资产的公允价值能够可靠计量的情况下，换入的长期股权投资按照换出资产的公允价值和应</w:t>
      </w:r>
      <w:r>
        <w:rPr>
          <w:spacing w:val="-89"/>
        </w:rPr>
        <w:t> </w:t>
      </w:r>
      <w:r>
        <w:rPr>
          <w:spacing w:val="-89"/>
        </w:rPr>
      </w:r>
      <w:r>
        <w:rPr/>
        <w:t>支付的相关税费作为初始投资成本；不满足上述前提的非货币性资产交换，换入的长期股权</w:t>
      </w:r>
      <w:r>
        <w:rPr>
          <w:spacing w:val="-91"/>
        </w:rPr>
        <w:t> </w:t>
      </w:r>
      <w:r>
        <w:rPr>
          <w:spacing w:val="-91"/>
        </w:rPr>
      </w:r>
      <w:r>
        <w:rPr/>
        <w:t>投资以换出资产的账面价值和应支付的相关税费作为初始投资成本。</w:t>
      </w:r>
    </w:p>
    <w:p>
      <w:pPr>
        <w:pStyle w:val="BodyText"/>
        <w:spacing w:line="309" w:lineRule="auto" w:before="85"/>
        <w:ind w:right="239" w:firstLine="480"/>
        <w:jc w:val="both"/>
      </w:pPr>
      <w:r>
        <w:rPr/>
        <w:t>通过债务重组取得的长期股权投资，企业应当将享有股份的公允价值确认为投资成本， 重组债权的账面余额与股份的公允价值之间的差额，计入当期损益。企业已对债权计提减值</w:t>
      </w:r>
      <w:r>
        <w:rPr>
          <w:spacing w:val="-91"/>
        </w:rPr>
        <w:t> </w:t>
      </w:r>
      <w:r>
        <w:rPr>
          <w:spacing w:val="-91"/>
        </w:rPr>
      </w:r>
      <w:r>
        <w:rPr/>
        <w:t>准备的，应当先将该差额冲减减值准备，减值准备不足以冲减的部分，计入当期损益。</w:t>
      </w:r>
    </w:p>
    <w:p>
      <w:pPr>
        <w:pStyle w:val="BodyText"/>
        <w:spacing w:line="240" w:lineRule="auto" w:before="82"/>
        <w:ind w:right="99"/>
        <w:jc w:val="left"/>
      </w:pPr>
      <w:r>
        <w:rPr>
          <w:rFonts w:ascii="Arial" w:hAnsi="Arial" w:cs="Arial" w:eastAsia="Arial" w:hint="default"/>
        </w:rPr>
        <w:t>2</w:t>
      </w:r>
      <w:r>
        <w:rPr/>
        <w:t>、后续计量及损益确认：</w:t>
      </w:r>
    </w:p>
    <w:p>
      <w:pPr>
        <w:pStyle w:val="BodyText"/>
        <w:spacing w:line="240" w:lineRule="auto" w:before="137"/>
        <w:ind w:right="99"/>
        <w:jc w:val="left"/>
      </w:pPr>
      <w:r>
        <w:rPr/>
        <w:t>①后续计量</w:t>
      </w:r>
    </w:p>
    <w:p>
      <w:pPr>
        <w:pStyle w:val="BodyText"/>
        <w:spacing w:line="309" w:lineRule="auto" w:before="154"/>
        <w:ind w:right="237" w:firstLine="480"/>
        <w:jc w:val="both"/>
      </w:pPr>
      <w:r>
        <w:rPr/>
        <w:t>本公司对子公司投资采用成本法核算，按照初始投资成本计价。追加或收回投资时调整 长期股权投资的成本。</w:t>
      </w:r>
    </w:p>
    <w:p>
      <w:pPr>
        <w:pStyle w:val="BodyText"/>
        <w:spacing w:line="309" w:lineRule="auto" w:before="84"/>
        <w:ind w:right="96" w:firstLine="480"/>
        <w:jc w:val="left"/>
      </w:pPr>
      <w:r>
        <w:rPr/>
        <w:t>本公司对被投资单位具有共同控制或重大影响的长期股权投资，采用权益法核算，除非 投资符合持有待售资产的条件。长期股权投资的初始投资成本大于投资时应享有被投资单位</w:t>
      </w:r>
      <w:r>
        <w:rPr>
          <w:spacing w:val="-91"/>
        </w:rPr>
        <w:t> </w:t>
      </w:r>
      <w:r>
        <w:rPr>
          <w:spacing w:val="-91"/>
        </w:rPr>
      </w:r>
      <w:r>
        <w:rPr/>
        <w:t>可辨认净资产公允价值份额的，不调整长期股权投资的初始投资成本；长期股权投资的初始</w:t>
      </w:r>
      <w:r>
        <w:rPr>
          <w:spacing w:val="-91"/>
        </w:rPr>
        <w:t> </w:t>
      </w:r>
      <w:r>
        <w:rPr>
          <w:spacing w:val="-91"/>
        </w:rPr>
      </w:r>
      <w:r>
        <w:rPr>
          <w:spacing w:val="-2"/>
        </w:rPr>
        <w:t>投资成本小于投资时应享有被投资单位可辨认净资产公允价值份额的，其差额计入当期损益，</w:t>
      </w:r>
      <w:r>
        <w:rPr/>
        <w:t> 同时调整长期股权投资的成本。</w:t>
      </w:r>
    </w:p>
    <w:p>
      <w:pPr>
        <w:pStyle w:val="BodyText"/>
        <w:spacing w:line="307" w:lineRule="auto" w:before="84"/>
        <w:ind w:right="232" w:firstLine="480"/>
        <w:jc w:val="both"/>
      </w:pPr>
      <w:r>
        <w:rPr/>
        <w:t>本公司因追加投资等原因能够对被投资单位施加重大影响或实施共同控制但不构成控制 </w:t>
      </w:r>
      <w:r>
        <w:rPr>
          <w:spacing w:val="-6"/>
        </w:rPr>
        <w:t>的，按照《企业会计准则第</w:t>
      </w:r>
      <w:r>
        <w:rPr>
          <w:spacing w:val="-78"/>
        </w:rPr>
        <w:t> </w:t>
      </w:r>
      <w:r>
        <w:rPr>
          <w:rFonts w:ascii="Arial" w:hAnsi="Arial" w:cs="Arial" w:eastAsia="Arial" w:hint="default"/>
        </w:rPr>
        <w:t>22</w:t>
      </w:r>
      <w:r>
        <w:rPr>
          <w:rFonts w:ascii="Arial" w:hAnsi="Arial" w:cs="Arial" w:eastAsia="Arial" w:hint="default"/>
          <w:spacing w:val="-25"/>
        </w:rPr>
        <w:t> </w:t>
      </w:r>
      <w:r>
        <w:rPr/>
        <w:t>号</w:t>
      </w:r>
      <w:r>
        <w:rPr>
          <w:rFonts w:ascii="Arial" w:hAnsi="Arial" w:cs="Arial" w:eastAsia="Arial" w:hint="default"/>
        </w:rPr>
        <w:t>——</w:t>
      </w:r>
      <w:r>
        <w:rPr/>
        <w:t>金融工具确认和计量》确定的原持有的股权投资的公允 价值加上新增投资成本之和，作为改按权益法核算的初始投资成本。原持有的股权投资分类</w:t>
      </w:r>
      <w:r>
        <w:rPr>
          <w:spacing w:val="-91"/>
        </w:rPr>
        <w:t> </w:t>
      </w:r>
      <w:r>
        <w:rPr>
          <w:spacing w:val="-91"/>
        </w:rPr>
      </w:r>
      <w:r>
        <w:rPr/>
        <w:t>为可供出售金融资产的，其公允价值与账面价值之间的差额，以及原计入其他综合收益的累</w:t>
      </w:r>
      <w:r>
        <w:rPr>
          <w:spacing w:val="-91"/>
        </w:rPr>
        <w:t> </w:t>
      </w:r>
      <w:r>
        <w:rPr>
          <w:spacing w:val="-91"/>
        </w:rPr>
      </w:r>
      <w:r>
        <w:rPr/>
        <w:t>计公允价值变动转入改按权益法核算的当期损益。</w:t>
      </w:r>
    </w:p>
    <w:p>
      <w:pPr>
        <w:pStyle w:val="BodyText"/>
        <w:spacing w:line="307" w:lineRule="auto" w:before="86"/>
        <w:ind w:right="234" w:firstLine="480"/>
        <w:jc w:val="both"/>
      </w:pPr>
      <w:r>
        <w:rPr/>
        <w:t>本公司因追加投资等原因能够对非同一控制下的被投资单位实施控制的，在编制个别财 务报表时，按照原持有的股权投资账面价值加上新增投资成本之和，作为改按成本法核算的</w:t>
      </w:r>
      <w:r>
        <w:rPr>
          <w:spacing w:val="-91"/>
        </w:rPr>
        <w:t> </w:t>
      </w:r>
      <w:r>
        <w:rPr>
          <w:spacing w:val="-91"/>
        </w:rPr>
      </w:r>
      <w:r>
        <w:rPr/>
        <w:t>初始投资成本。购买日之前持有的股权投资因采用权益法核算而确认的其他综合收益，应当</w:t>
      </w:r>
      <w:r>
        <w:rPr>
          <w:spacing w:val="-91"/>
        </w:rPr>
        <w:t> </w:t>
      </w:r>
      <w:r>
        <w:rPr>
          <w:spacing w:val="-91"/>
        </w:rPr>
      </w:r>
      <w:r>
        <w:rPr/>
        <w:t>在处置该项投资时采用与被投资单位直接处置相关资产或负债相同的基础进行会计处理。购</w:t>
      </w:r>
      <w:r>
        <w:rPr>
          <w:spacing w:val="-89"/>
        </w:rPr>
        <w:t> </w:t>
      </w:r>
      <w:r>
        <w:rPr>
          <w:spacing w:val="-89"/>
        </w:rPr>
      </w:r>
      <w:r>
        <w:rPr>
          <w:spacing w:val="-3"/>
        </w:rPr>
        <w:t>买日之前持有的股权投资按照《企业会计准则第</w:t>
      </w:r>
      <w:r>
        <w:rPr>
          <w:spacing w:val="-50"/>
        </w:rPr>
        <w:t> </w:t>
      </w:r>
      <w:r>
        <w:rPr>
          <w:rFonts w:ascii="Arial" w:hAnsi="Arial" w:cs="Arial" w:eastAsia="Arial" w:hint="default"/>
        </w:rPr>
        <w:t>22</w:t>
      </w:r>
      <w:r>
        <w:rPr>
          <w:rFonts w:ascii="Arial" w:hAnsi="Arial" w:cs="Arial" w:eastAsia="Arial" w:hint="default"/>
          <w:spacing w:val="3"/>
        </w:rPr>
        <w:t> </w:t>
      </w:r>
      <w:r>
        <w:rPr>
          <w:spacing w:val="-4"/>
        </w:rPr>
        <w:t>号</w:t>
      </w:r>
      <w:r>
        <w:rPr>
          <w:rFonts w:ascii="Arial" w:hAnsi="Arial" w:cs="Arial" w:eastAsia="Arial" w:hint="default"/>
          <w:spacing w:val="-4"/>
        </w:rPr>
        <w:t>——</w:t>
      </w:r>
      <w:r>
        <w:rPr>
          <w:spacing w:val="-4"/>
        </w:rPr>
        <w:t>金融工具确认和计量》的有关规定</w:t>
      </w:r>
      <w:r>
        <w:rPr/>
        <w:t> 进行会计处理的，原计入其他综合收益的累计公允价值变动应当在改按成本法核算时转入当</w:t>
      </w:r>
      <w:r>
        <w:rPr>
          <w:spacing w:val="-91"/>
        </w:rPr>
        <w:t> </w:t>
      </w:r>
      <w:r>
        <w:rPr>
          <w:spacing w:val="-91"/>
        </w:rPr>
      </w:r>
      <w:r>
        <w:rPr/>
        <w:t>期损益。</w:t>
      </w:r>
    </w:p>
    <w:p>
      <w:pPr>
        <w:pStyle w:val="BodyText"/>
        <w:spacing w:line="240" w:lineRule="auto" w:before="84"/>
        <w:ind w:left="633" w:right="99"/>
        <w:jc w:val="left"/>
      </w:pPr>
      <w:r>
        <w:rPr/>
        <w:t>本公司因处置部分股权投资等原因丧失了对被投资单位的共同控制或重大影响的，处置</w:t>
      </w:r>
    </w:p>
    <w:p>
      <w:pPr>
        <w:spacing w:after="0" w:line="240" w:lineRule="auto"/>
        <w:jc w:val="left"/>
        <w:sectPr>
          <w:pgSz w:w="11910" w:h="16840"/>
          <w:pgMar w:header="884" w:footer="1010" w:top="1140" w:bottom="1200" w:left="980" w:right="900"/>
        </w:sectPr>
      </w:pPr>
    </w:p>
    <w:p>
      <w:pPr>
        <w:spacing w:line="240" w:lineRule="auto" w:before="1"/>
        <w:rPr>
          <w:rFonts w:ascii="宋体" w:hAnsi="宋体" w:cs="宋体" w:eastAsia="宋体" w:hint="default"/>
          <w:sz w:val="20"/>
          <w:szCs w:val="20"/>
        </w:rPr>
      </w:pPr>
    </w:p>
    <w:p>
      <w:pPr>
        <w:pStyle w:val="BodyText"/>
        <w:spacing w:line="304" w:lineRule="auto" w:before="26"/>
        <w:ind w:right="151"/>
        <w:jc w:val="both"/>
      </w:pPr>
      <w:r>
        <w:rPr/>
        <w:t>后的剩余股权应当改按《企业会计准则第</w:t>
      </w:r>
      <w:r>
        <w:rPr>
          <w:spacing w:val="-71"/>
        </w:rPr>
        <w:t> </w:t>
      </w:r>
      <w:r>
        <w:rPr>
          <w:rFonts w:ascii="Arial" w:hAnsi="Arial" w:cs="Arial" w:eastAsia="Arial" w:hint="default"/>
        </w:rPr>
        <w:t>22</w:t>
      </w:r>
      <w:r>
        <w:rPr>
          <w:rFonts w:ascii="Arial" w:hAnsi="Arial" w:cs="Arial" w:eastAsia="Arial" w:hint="default"/>
          <w:spacing w:val="-20"/>
        </w:rPr>
        <w:t> </w:t>
      </w:r>
      <w:r>
        <w:rPr>
          <w:spacing w:val="-4"/>
        </w:rPr>
        <w:t>号</w:t>
      </w:r>
      <w:r>
        <w:rPr>
          <w:rFonts w:ascii="Arial" w:hAnsi="Arial" w:cs="Arial" w:eastAsia="Arial" w:hint="default"/>
          <w:spacing w:val="-4"/>
        </w:rPr>
        <w:t>——</w:t>
      </w:r>
      <w:r>
        <w:rPr>
          <w:spacing w:val="-4"/>
        </w:rPr>
        <w:t>金融工具确认和计量》核算，其在丧失共</w:t>
      </w:r>
      <w:r>
        <w:rPr/>
        <w:t> 同控制或重大影响之日的公允价值与账面价值之间的差额计入当期损益。原股权投资因采用</w:t>
      </w:r>
      <w:r>
        <w:rPr>
          <w:spacing w:val="-91"/>
        </w:rPr>
        <w:t> </w:t>
      </w:r>
      <w:r>
        <w:rPr>
          <w:spacing w:val="-91"/>
        </w:rPr>
      </w:r>
      <w:r>
        <w:rPr/>
        <w:t>权益法核算而确认的其他综合收益，应当在终止采用权益法核算时采用与被投资单位直接处</w:t>
      </w:r>
      <w:r>
        <w:rPr>
          <w:spacing w:val="-88"/>
        </w:rPr>
        <w:t> </w:t>
      </w:r>
      <w:r>
        <w:rPr>
          <w:spacing w:val="-88"/>
        </w:rPr>
      </w:r>
      <w:r>
        <w:rPr/>
        <w:t>置相关资产或负债相同的基础进行会计处理。</w:t>
      </w:r>
    </w:p>
    <w:p>
      <w:pPr>
        <w:pStyle w:val="BodyText"/>
        <w:spacing w:line="307" w:lineRule="auto" w:before="89"/>
        <w:ind w:right="151" w:firstLine="480"/>
        <w:jc w:val="both"/>
      </w:pPr>
      <w:r>
        <w:rPr/>
        <w:t>本公司因处置部分权益性投资等原因丧失了对被投资单位的控制的，在编制个别财务报 表时，处置后的剩余股权能够对被投资单位实施共同控制或施加重大影响的，应当改按权益</w:t>
      </w:r>
      <w:r>
        <w:rPr>
          <w:spacing w:val="-91"/>
        </w:rPr>
        <w:t> </w:t>
      </w:r>
      <w:r>
        <w:rPr>
          <w:spacing w:val="-91"/>
        </w:rPr>
      </w:r>
      <w:r>
        <w:rPr/>
        <w:t>法核算，并对该剩余股权视同自取得时即采用权益法核算进行调整；处置后的剩余股权不能</w:t>
      </w:r>
      <w:r>
        <w:rPr>
          <w:spacing w:val="-91"/>
        </w:rPr>
        <w:t> </w:t>
      </w:r>
      <w:r>
        <w:rPr>
          <w:spacing w:val="-91"/>
        </w:rPr>
      </w:r>
      <w:r>
        <w:rPr>
          <w:spacing w:val="-4"/>
        </w:rPr>
        <w:t>对被投资单位实施共同控制或施加重大影响的，应当改按《企业会计准则第 </w:t>
      </w:r>
      <w:r>
        <w:rPr>
          <w:rFonts w:ascii="Arial" w:hAnsi="Arial" w:cs="Arial" w:eastAsia="Arial" w:hint="default"/>
        </w:rPr>
        <w:t>22</w:t>
      </w:r>
      <w:r>
        <w:rPr>
          <w:rFonts w:ascii="Arial" w:hAnsi="Arial" w:cs="Arial" w:eastAsia="Arial" w:hint="default"/>
          <w:spacing w:val="-43"/>
        </w:rPr>
        <w:t> </w:t>
      </w:r>
      <w:r>
        <w:rPr/>
        <w:t>号</w:t>
      </w:r>
      <w:r>
        <w:rPr>
          <w:rFonts w:ascii="Arial" w:hAnsi="Arial" w:cs="Arial" w:eastAsia="Arial" w:hint="default"/>
        </w:rPr>
        <w:t>——</w:t>
      </w:r>
      <w:r>
        <w:rPr/>
        <w:t>金融工 具确认和计量》的有关规定进行会计处理，其在丧失控制之日的公允价值与账面价值间的差</w:t>
      </w:r>
      <w:r>
        <w:rPr>
          <w:spacing w:val="-91"/>
        </w:rPr>
        <w:t> </w:t>
      </w:r>
      <w:r>
        <w:rPr>
          <w:spacing w:val="-91"/>
        </w:rPr>
      </w:r>
      <w:r>
        <w:rPr/>
        <w:t>额计入当期损益。</w:t>
      </w:r>
    </w:p>
    <w:p>
      <w:pPr>
        <w:pStyle w:val="BodyText"/>
        <w:spacing w:line="309" w:lineRule="auto" w:before="86"/>
        <w:ind w:right="159" w:firstLine="480"/>
        <w:jc w:val="both"/>
      </w:pPr>
      <w:r>
        <w:rPr/>
        <w:t>权益法核算的被投资单位除净收益和其他综合收益以外所有者权益其他变动的处理：对 于被投资单位除净收益和其他综合收益以外所有者权益的其他变动，在持股比例不变的情况</w:t>
      </w:r>
      <w:r>
        <w:rPr>
          <w:spacing w:val="-91"/>
        </w:rPr>
        <w:t> </w:t>
      </w:r>
      <w:r>
        <w:rPr>
          <w:spacing w:val="-91"/>
        </w:rPr>
      </w:r>
      <w:r>
        <w:rPr/>
        <w:t>下，公司按照持股比例计算应享有或应承担的部分，调整长期股权投资的账面价值，同时增</w:t>
      </w:r>
      <w:r>
        <w:rPr>
          <w:spacing w:val="-91"/>
        </w:rPr>
        <w:t> </w:t>
      </w:r>
      <w:r>
        <w:rPr>
          <w:spacing w:val="-91"/>
        </w:rPr>
      </w:r>
      <w:r>
        <w:rPr/>
        <w:t>加或减少资本公积（其他资本公积）。</w:t>
      </w:r>
    </w:p>
    <w:p>
      <w:pPr>
        <w:pStyle w:val="BodyText"/>
        <w:spacing w:line="240" w:lineRule="auto" w:before="82"/>
        <w:ind w:right="0"/>
        <w:jc w:val="both"/>
      </w:pPr>
      <w:r>
        <w:rPr/>
        <w:t>②损益调整</w:t>
      </w:r>
    </w:p>
    <w:p>
      <w:pPr>
        <w:pStyle w:val="BodyText"/>
        <w:spacing w:line="309" w:lineRule="auto" w:before="154"/>
        <w:ind w:right="159" w:firstLine="480"/>
        <w:jc w:val="both"/>
      </w:pPr>
      <w:r>
        <w:rPr/>
        <w:t>成本法下，除取得投资时实际支付的价款或对价中包含的已宣告但尚未发放的现金股利 或利润外，本公司按照享有被投资单位宣告发放的现金股利或利润确认投资收益，不管有关</w:t>
      </w:r>
      <w:r>
        <w:rPr>
          <w:spacing w:val="-91"/>
        </w:rPr>
        <w:t> </w:t>
      </w:r>
      <w:r>
        <w:rPr>
          <w:spacing w:val="-91"/>
        </w:rPr>
      </w:r>
      <w:r>
        <w:rPr/>
        <w:t>利润分配是属于对取得投资前还是取得投资后被投资单位实现净利润的分配。</w:t>
      </w:r>
    </w:p>
    <w:p>
      <w:pPr>
        <w:pStyle w:val="BodyText"/>
        <w:spacing w:line="309" w:lineRule="auto" w:before="84"/>
        <w:ind w:right="159" w:firstLine="480"/>
        <w:jc w:val="both"/>
      </w:pPr>
      <w:r>
        <w:rPr/>
        <w:t>权益法下，本公司取得长期股权投资后，应当按照应享有或应分担的被投资单位实现的 净损益和其他综合收益的份额，分别确认投资收益和其他综合收益，同时调整长期股权投资</w:t>
      </w:r>
      <w:r>
        <w:rPr>
          <w:spacing w:val="-91"/>
        </w:rPr>
        <w:t> </w:t>
      </w:r>
      <w:r>
        <w:rPr>
          <w:spacing w:val="-91"/>
        </w:rPr>
      </w:r>
      <w:r>
        <w:rPr/>
        <w:t>的账面价值。投资企业按照被投资单位宣告分派的利润或现金股利计算应分得的部分，相应</w:t>
      </w:r>
      <w:r>
        <w:rPr>
          <w:spacing w:val="-91"/>
        </w:rPr>
        <w:t> </w:t>
      </w:r>
      <w:r>
        <w:rPr>
          <w:spacing w:val="-91"/>
        </w:rPr>
      </w:r>
      <w:r>
        <w:rPr/>
        <w:t>减少长期股权投资的账面价值。投资企业确认被投资单位发生的净亏损，以长期股权投资的</w:t>
      </w:r>
      <w:r>
        <w:rPr>
          <w:spacing w:val="-91"/>
        </w:rPr>
        <w:t> </w:t>
      </w:r>
      <w:r>
        <w:rPr>
          <w:spacing w:val="-91"/>
        </w:rPr>
      </w:r>
      <w:r>
        <w:rPr/>
        <w:t>账面价值以及其他实质上构成对被投资单位净投资的长期权益减记至零为限，投资企业负有</w:t>
      </w:r>
      <w:r>
        <w:rPr>
          <w:spacing w:val="-91"/>
        </w:rPr>
        <w:t> </w:t>
      </w:r>
      <w:r>
        <w:rPr>
          <w:spacing w:val="-91"/>
        </w:rPr>
      </w:r>
      <w:r>
        <w:rPr/>
        <w:t>承担额外损失义务的除外。被投资单位以后实现净利润的，投资企业在其收益分享额弥补未</w:t>
      </w:r>
      <w:r>
        <w:rPr>
          <w:spacing w:val="-91"/>
        </w:rPr>
        <w:t> </w:t>
      </w:r>
      <w:r>
        <w:rPr>
          <w:spacing w:val="-91"/>
        </w:rPr>
      </w:r>
      <w:r>
        <w:rPr/>
        <w:t>确认的亏损分担额后，恢复确认收益分享额。</w:t>
      </w:r>
    </w:p>
    <w:p>
      <w:pPr>
        <w:pStyle w:val="BodyText"/>
        <w:spacing w:line="309" w:lineRule="auto" w:before="84"/>
        <w:ind w:right="159" w:firstLine="480"/>
        <w:jc w:val="both"/>
      </w:pPr>
      <w:r>
        <w:rPr/>
        <w:t>投资企业在确认应享有被投资单位净损益的份额时，应在被投资单位账面净利润的基础 上考虑以下因素：被投资单位与本公司采用的会计政策或会计期间不一致，按本公司会计政</w:t>
      </w:r>
      <w:r>
        <w:rPr>
          <w:spacing w:val="-91"/>
        </w:rPr>
        <w:t> </w:t>
      </w:r>
      <w:r>
        <w:rPr>
          <w:spacing w:val="-91"/>
        </w:rPr>
      </w:r>
      <w:r>
        <w:rPr/>
        <w:t>策或会计期间对被投资单位的财务报表进行调整；以取得投资时被投资单位各项可辨认资产</w:t>
      </w:r>
      <w:r>
        <w:rPr>
          <w:spacing w:val="-91"/>
        </w:rPr>
        <w:t> </w:t>
      </w:r>
      <w:r>
        <w:rPr>
          <w:spacing w:val="-91"/>
        </w:rPr>
      </w:r>
      <w:r>
        <w:rPr/>
        <w:t>等的公允价值为基础，对被投资单位的净利润进行调整后确认；对本公司与联营企业及合营</w:t>
      </w:r>
      <w:r>
        <w:rPr>
          <w:spacing w:val="-91"/>
        </w:rPr>
        <w:t> </w:t>
      </w:r>
      <w:r>
        <w:rPr>
          <w:spacing w:val="-91"/>
        </w:rPr>
      </w:r>
      <w:r>
        <w:rPr/>
        <w:t>企业之间发生的未实现内部交易损益按照应享有的比例计算归属于本公司的部分予以抵销。</w:t>
      </w:r>
      <w:r>
        <w:rPr>
          <w:spacing w:val="-91"/>
        </w:rPr>
        <w:t> </w:t>
      </w:r>
      <w:r>
        <w:rPr>
          <w:spacing w:val="-91"/>
        </w:rPr>
      </w:r>
      <w:r>
        <w:rPr/>
        <w:t>本公司与被投资单位发生的未实现内部交易损失，属于资产减值损失的，应当全额确认。</w:t>
      </w:r>
    </w:p>
    <w:p>
      <w:pPr>
        <w:pStyle w:val="BodyText"/>
        <w:spacing w:line="309" w:lineRule="auto" w:before="84"/>
        <w:ind w:right="160" w:firstLine="480"/>
        <w:jc w:val="both"/>
      </w:pPr>
      <w:r>
        <w:rPr/>
        <w:t>在持有投资期间，被投资单位能够提供合并财务报表的，应当以合并财务报表中的净利 润和其他权益变动为基础核算。</w:t>
      </w:r>
    </w:p>
    <w:p>
      <w:pPr>
        <w:spacing w:after="0" w:line="309" w:lineRule="auto"/>
        <w:jc w:val="both"/>
        <w:sectPr>
          <w:footerReference w:type="default" r:id="rId42"/>
          <w:pgSz w:w="11910" w:h="16840"/>
          <w:pgMar w:footer="1010" w:header="884" w:top="1140" w:bottom="1200" w:left="980" w:right="980"/>
        </w:sectPr>
      </w:pPr>
    </w:p>
    <w:p>
      <w:pPr>
        <w:spacing w:line="240" w:lineRule="auto" w:before="1"/>
        <w:rPr>
          <w:rFonts w:ascii="宋体" w:hAnsi="宋体" w:cs="宋体" w:eastAsia="宋体" w:hint="default"/>
          <w:sz w:val="20"/>
          <w:szCs w:val="20"/>
        </w:rPr>
      </w:pPr>
    </w:p>
    <w:p>
      <w:pPr>
        <w:pStyle w:val="BodyText"/>
        <w:spacing w:line="309" w:lineRule="auto" w:before="26"/>
        <w:ind w:right="159" w:firstLine="480"/>
        <w:jc w:val="both"/>
      </w:pPr>
      <w:r>
        <w:rPr/>
        <w:t>处置长期股权投资，其账面价值与实际取得价款的差额，计入当期损益。采用权益法核 算的长期股权投资，在处置该项投资时，采用与被投资单位直接处置相关资产或负债相同的</w:t>
      </w:r>
      <w:r>
        <w:rPr>
          <w:spacing w:val="-91"/>
        </w:rPr>
        <w:t> </w:t>
      </w:r>
      <w:r>
        <w:rPr>
          <w:spacing w:val="-91"/>
        </w:rPr>
      </w:r>
      <w:r>
        <w:rPr/>
        <w:t>基础，按相应比例对原计入其他综合收益的部分进行会计处理。</w:t>
      </w:r>
    </w:p>
    <w:p>
      <w:pPr>
        <w:pStyle w:val="BodyText"/>
        <w:spacing w:line="338" w:lineRule="auto" w:before="84"/>
        <w:ind w:left="633" w:right="0"/>
        <w:jc w:val="left"/>
      </w:pPr>
      <w:r>
        <w:rPr>
          <w:rFonts w:ascii="Arial" w:hAnsi="Arial" w:cs="Arial" w:eastAsia="Arial" w:hint="default"/>
        </w:rPr>
        <w:t>3</w:t>
      </w:r>
      <w:r>
        <w:rPr/>
        <w:t>、确定对被投资单位具有共同控制、重大影响的依据 共同控制，是指按照相关约定对某项安排所共有的控制，并且该安排的相关活动必须经</w:t>
      </w:r>
    </w:p>
    <w:p>
      <w:pPr>
        <w:pStyle w:val="BodyText"/>
        <w:spacing w:line="309" w:lineRule="auto"/>
        <w:ind w:right="0"/>
        <w:jc w:val="left"/>
      </w:pPr>
      <w:r>
        <w:rPr/>
        <w:t>过分享控制权的参与方一致同意后才能决策。合营安排，是指一项由两个或两个以上的参与</w:t>
      </w:r>
      <w:r>
        <w:rPr>
          <w:spacing w:val="-91"/>
        </w:rPr>
        <w:t> </w:t>
      </w:r>
      <w:r>
        <w:rPr>
          <w:spacing w:val="-91"/>
        </w:rPr>
      </w:r>
      <w:r>
        <w:rPr/>
        <w:t>方共同控制的安排。合营安排分为共同经营和合营企业。</w:t>
      </w:r>
    </w:p>
    <w:p>
      <w:pPr>
        <w:pStyle w:val="BodyText"/>
        <w:spacing w:line="309" w:lineRule="auto" w:before="82"/>
        <w:ind w:right="159" w:firstLine="480"/>
        <w:jc w:val="both"/>
      </w:pPr>
      <w:r>
        <w:rPr/>
        <w:t>重大影响，是指对一个企业的财务和经营政策有参与决策的权利，但并不能够控制或者 与其他方一起共同控制这些政策的制定。在确定能否对被投资单位施加重大影响时，应当考</w:t>
      </w:r>
      <w:r>
        <w:rPr>
          <w:spacing w:val="-91"/>
        </w:rPr>
        <w:t> </w:t>
      </w:r>
      <w:r>
        <w:rPr>
          <w:spacing w:val="-91"/>
        </w:rPr>
      </w:r>
      <w:r>
        <w:rPr/>
        <w:t>虑本公司和其他方持有的被投资单位当期可转换公司债券、当期可执行认股权证等潜在表决</w:t>
      </w:r>
      <w:r>
        <w:rPr>
          <w:spacing w:val="-91"/>
        </w:rPr>
        <w:t> </w:t>
      </w:r>
      <w:r>
        <w:rPr>
          <w:spacing w:val="-91"/>
        </w:rPr>
      </w:r>
      <w:r>
        <w:rPr/>
        <w:t>权因素。本公司能够对被投资单位施加重大影响的，被投资单位为联营企业。</w:t>
      </w:r>
    </w:p>
    <w:p>
      <w:pPr>
        <w:pStyle w:val="BodyText"/>
        <w:spacing w:line="240" w:lineRule="auto" w:before="84"/>
        <w:ind w:right="0"/>
        <w:jc w:val="left"/>
      </w:pPr>
      <w:r>
        <w:rPr>
          <w:rFonts w:ascii="Arial" w:hAnsi="Arial" w:cs="Arial" w:eastAsia="Arial" w:hint="default"/>
        </w:rPr>
        <w:t>4</w:t>
      </w:r>
      <w:r>
        <w:rPr/>
        <w:t>、长期股权投资减值测试方法及减值准备计提方法：</w:t>
      </w:r>
    </w:p>
    <w:p>
      <w:pPr>
        <w:pStyle w:val="BodyText"/>
        <w:spacing w:line="333" w:lineRule="auto" w:before="137"/>
        <w:ind w:left="0" w:right="153"/>
        <w:jc w:val="right"/>
      </w:pPr>
      <w:r>
        <w:rPr/>
        <w:t>①在资产负债表日根据内部及外部信息以确定对子公司、合营公司或联营公司的长期股权投</w:t>
      </w:r>
      <w:r>
        <w:rPr>
          <w:spacing w:val="-106"/>
        </w:rPr>
        <w:t> </w:t>
      </w:r>
      <w:r>
        <w:rPr>
          <w:spacing w:val="-106"/>
        </w:rPr>
      </w:r>
      <w:r>
        <w:rPr>
          <w:spacing w:val="-5"/>
        </w:rPr>
        <w:t>资是否存在减值的迹象，对存在减值迹象的长期股权投资进行减值测试，估计其可收回金额。</w:t>
      </w:r>
      <w:r>
        <w:rPr/>
        <w:t> 可收回金额的估计结果表明长期股权投资的可收回金额低于其账面价值的，长期股权投</w:t>
      </w:r>
    </w:p>
    <w:p>
      <w:pPr>
        <w:pStyle w:val="BodyText"/>
        <w:spacing w:line="309" w:lineRule="auto"/>
        <w:ind w:right="0"/>
        <w:jc w:val="left"/>
      </w:pPr>
      <w:r>
        <w:rPr/>
        <w:t>资的账面价值会减记至可收回金额，减记的金额确认为资产减值损失，计入当期损益，同时</w:t>
      </w:r>
      <w:r>
        <w:rPr>
          <w:spacing w:val="-91"/>
        </w:rPr>
        <w:t> </w:t>
      </w:r>
      <w:r>
        <w:rPr>
          <w:spacing w:val="-91"/>
        </w:rPr>
      </w:r>
      <w:r>
        <w:rPr/>
        <w:t>计提相应的减值准备。</w:t>
      </w:r>
    </w:p>
    <w:p>
      <w:pPr>
        <w:pStyle w:val="BodyText"/>
        <w:spacing w:line="309" w:lineRule="auto" w:before="84"/>
        <w:ind w:right="160" w:firstLine="480"/>
        <w:jc w:val="both"/>
      </w:pPr>
      <w:r>
        <w:rPr/>
        <w:t>可收回金额是指资产（或资产组、资产组组合，下同）的公允价值减去处置费用后的净 额与资产预计未来现金流量的现值两者之间较高者。</w:t>
      </w:r>
    </w:p>
    <w:p>
      <w:pPr>
        <w:pStyle w:val="BodyText"/>
        <w:spacing w:line="309" w:lineRule="auto" w:before="84"/>
        <w:ind w:right="159" w:firstLine="480"/>
        <w:jc w:val="both"/>
      </w:pPr>
      <w:r>
        <w:rPr/>
        <w:t>资产的公允价值减去处置费用后的净额，是根据公平交易中销售协议价格减去可直接归 属于该资产处置费用的金额确定。资产预计未来现金流量的现值，按照资产在持续使用过程</w:t>
      </w:r>
      <w:r>
        <w:rPr>
          <w:spacing w:val="-91"/>
        </w:rPr>
        <w:t> </w:t>
      </w:r>
      <w:r>
        <w:rPr>
          <w:spacing w:val="-91"/>
        </w:rPr>
      </w:r>
      <w:r>
        <w:rPr/>
        <w:t>中和最终处置时所产生的预计未来现金流量，选择恰当的税前折现率对其进行折现后的金额</w:t>
      </w:r>
      <w:r>
        <w:rPr>
          <w:spacing w:val="-91"/>
        </w:rPr>
        <w:t> </w:t>
      </w:r>
      <w:r>
        <w:rPr>
          <w:spacing w:val="-91"/>
        </w:rPr>
      </w:r>
      <w:r>
        <w:rPr/>
        <w:t>加以确定。</w:t>
      </w:r>
    </w:p>
    <w:p>
      <w:pPr>
        <w:pStyle w:val="BodyText"/>
        <w:spacing w:line="240" w:lineRule="auto" w:before="82"/>
        <w:ind w:left="633" w:right="0"/>
        <w:jc w:val="left"/>
      </w:pPr>
      <w:r>
        <w:rPr/>
        <w:t>②长期股权投资减值损失一经确认，在以后会计期间不得转回。</w:t>
      </w:r>
    </w:p>
    <w:p>
      <w:pPr>
        <w:spacing w:line="240" w:lineRule="auto" w:before="1"/>
        <w:rPr>
          <w:rFonts w:ascii="宋体" w:hAnsi="宋体" w:cs="宋体" w:eastAsia="宋体" w:hint="default"/>
          <w:sz w:val="30"/>
          <w:szCs w:val="30"/>
        </w:rPr>
      </w:pPr>
    </w:p>
    <w:p>
      <w:pPr>
        <w:pStyle w:val="Heading3"/>
        <w:spacing w:line="240" w:lineRule="auto"/>
        <w:ind w:right="0"/>
        <w:jc w:val="left"/>
        <w:rPr>
          <w:b w:val="0"/>
          <w:bCs w:val="0"/>
        </w:rPr>
      </w:pPr>
      <w:r>
        <w:rPr>
          <w:rFonts w:ascii="Arial" w:hAnsi="Arial" w:cs="Arial" w:eastAsia="Arial" w:hint="default"/>
        </w:rPr>
        <w:t>15</w:t>
      </w:r>
      <w:r>
        <w:rPr/>
        <w:t>、投资性房地产</w:t>
      </w:r>
      <w:r>
        <w:rPr>
          <w:b w:val="0"/>
          <w:bCs w:val="0"/>
        </w:rPr>
      </w:r>
    </w:p>
    <w:p>
      <w:pPr>
        <w:spacing w:line="240" w:lineRule="auto" w:before="6"/>
        <w:rPr>
          <w:rFonts w:ascii="宋体" w:hAnsi="宋体" w:cs="宋体" w:eastAsia="宋体" w:hint="default"/>
          <w:b/>
          <w:bCs/>
          <w:sz w:val="28"/>
          <w:szCs w:val="28"/>
        </w:rPr>
      </w:pPr>
    </w:p>
    <w:p>
      <w:pPr>
        <w:pStyle w:val="BodyText"/>
        <w:spacing w:line="340" w:lineRule="auto"/>
        <w:ind w:right="7374"/>
        <w:jc w:val="left"/>
      </w:pPr>
      <w:r>
        <w:rPr/>
        <w:t>投资性房地产计量模式 不适用</w:t>
      </w:r>
    </w:p>
    <w:p>
      <w:pPr>
        <w:spacing w:after="0" w:line="340" w:lineRule="auto"/>
        <w:jc w:val="left"/>
        <w:sectPr>
          <w:footerReference w:type="default" r:id="rId43"/>
          <w:pgSz w:w="11910" w:h="16840"/>
          <w:pgMar w:footer="1010" w:header="884" w:top="1140" w:bottom="1200" w:left="980" w:right="980"/>
          <w:pgNumType w:start="101"/>
        </w:sectPr>
      </w:pPr>
    </w:p>
    <w:p>
      <w:pPr>
        <w:spacing w:line="240" w:lineRule="auto" w:before="4"/>
        <w:rPr>
          <w:rFonts w:ascii="宋体" w:hAnsi="宋体" w:cs="宋体" w:eastAsia="宋体" w:hint="default"/>
          <w:sz w:val="20"/>
          <w:szCs w:val="20"/>
        </w:rPr>
      </w:pPr>
    </w:p>
    <w:p>
      <w:pPr>
        <w:pStyle w:val="Heading3"/>
        <w:spacing w:line="240" w:lineRule="auto" w:before="26"/>
        <w:ind w:right="99"/>
        <w:jc w:val="left"/>
        <w:rPr>
          <w:b w:val="0"/>
          <w:bCs w:val="0"/>
        </w:rPr>
      </w:pPr>
      <w:r>
        <w:rPr>
          <w:rFonts w:ascii="Arial" w:hAnsi="Arial" w:cs="Arial" w:eastAsia="Arial" w:hint="default"/>
        </w:rPr>
        <w:t>16</w:t>
      </w:r>
      <w:r>
        <w:rPr/>
        <w:t>、固定资产</w:t>
      </w:r>
      <w:r>
        <w:rPr>
          <w:b w:val="0"/>
          <w:bCs w:val="0"/>
        </w:rPr>
      </w:r>
    </w:p>
    <w:p>
      <w:pPr>
        <w:spacing w:line="240" w:lineRule="auto" w:before="6"/>
        <w:rPr>
          <w:rFonts w:ascii="宋体" w:hAnsi="宋体" w:cs="宋体" w:eastAsia="宋体" w:hint="default"/>
          <w:b/>
          <w:bCs/>
          <w:sz w:val="28"/>
          <w:szCs w:val="28"/>
        </w:rPr>
      </w:pPr>
    </w:p>
    <w:p>
      <w:pPr>
        <w:pStyle w:val="Heading3"/>
        <w:spacing w:line="240" w:lineRule="auto"/>
        <w:ind w:right="99"/>
        <w:jc w:val="left"/>
        <w:rPr>
          <w:b w:val="0"/>
          <w:bCs w:val="0"/>
        </w:rPr>
      </w:pPr>
      <w:r>
        <w:rPr/>
        <w:t>（</w:t>
      </w:r>
      <w:r>
        <w:rPr>
          <w:rFonts w:ascii="Arial" w:hAnsi="Arial" w:cs="Arial" w:eastAsia="Arial" w:hint="default"/>
        </w:rPr>
        <w:t>1</w:t>
      </w:r>
      <w:r>
        <w:rPr/>
        <w:t>）确认条件</w:t>
      </w:r>
      <w:r>
        <w:rPr>
          <w:b w:val="0"/>
          <w:bCs w:val="0"/>
        </w:rPr>
      </w:r>
    </w:p>
    <w:p>
      <w:pPr>
        <w:spacing w:line="240" w:lineRule="auto" w:before="8"/>
        <w:rPr>
          <w:rFonts w:ascii="宋体" w:hAnsi="宋体" w:cs="宋体" w:eastAsia="宋体" w:hint="default"/>
          <w:b/>
          <w:bCs/>
          <w:sz w:val="28"/>
          <w:szCs w:val="28"/>
        </w:rPr>
      </w:pPr>
    </w:p>
    <w:p>
      <w:pPr>
        <w:pStyle w:val="BodyText"/>
        <w:spacing w:line="319" w:lineRule="auto"/>
        <w:ind w:right="254" w:firstLine="480"/>
        <w:jc w:val="left"/>
      </w:pPr>
      <w:r>
        <w:rPr/>
        <w:t>固定资产指为生产商品、提供劳务、出租或经营管理而持有，并且使用寿命超过一个会 计年度的有形资产。 固定资产在同时满足下列条件时予以确认：与该固定资产有关的经济利益很可能流入企业； 该固定资产的成本能够可靠地计量。</w:t>
      </w:r>
    </w:p>
    <w:p>
      <w:pPr>
        <w:spacing w:line="240" w:lineRule="auto" w:before="12"/>
        <w:rPr>
          <w:rFonts w:ascii="宋体" w:hAnsi="宋体" w:cs="宋体" w:eastAsia="宋体" w:hint="default"/>
          <w:sz w:val="23"/>
          <w:szCs w:val="23"/>
        </w:rPr>
      </w:pPr>
    </w:p>
    <w:p>
      <w:pPr>
        <w:pStyle w:val="Heading3"/>
        <w:spacing w:line="240" w:lineRule="auto"/>
        <w:ind w:right="99"/>
        <w:jc w:val="left"/>
        <w:rPr>
          <w:b w:val="0"/>
          <w:bCs w:val="0"/>
        </w:rPr>
      </w:pPr>
      <w:r>
        <w:rPr/>
        <w:t>（</w:t>
      </w:r>
      <w:r>
        <w:rPr>
          <w:rFonts w:ascii="Arial" w:hAnsi="Arial" w:cs="Arial" w:eastAsia="Arial" w:hint="default"/>
        </w:rPr>
        <w:t>2</w:t>
      </w:r>
      <w:r>
        <w:rPr/>
        <w:t>）折旧方法</w:t>
      </w:r>
      <w:r>
        <w:rPr>
          <w:b w:val="0"/>
          <w:bCs w:val="0"/>
        </w:rPr>
      </w:r>
    </w:p>
    <w:p>
      <w:pPr>
        <w:spacing w:line="240" w:lineRule="auto" w:before="0"/>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2.02%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w w:val="99"/>
                <w:sz w:val="18"/>
              </w:rPr>
              <w:t>5</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w w:val="99"/>
                <w:sz w:val="18"/>
              </w:rPr>
              <w:t>8</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11.88%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w w:val="99"/>
                <w:sz w:val="18"/>
              </w:rPr>
              <w:t>5</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w w:val="99"/>
                <w:sz w:val="18"/>
              </w:rPr>
              <w:t>5</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19%</w:t>
            </w:r>
          </w:p>
        </w:tc>
      </w:tr>
    </w:tbl>
    <w:p>
      <w:pPr>
        <w:spacing w:line="240" w:lineRule="auto" w:before="7"/>
        <w:rPr>
          <w:rFonts w:ascii="宋体" w:hAnsi="宋体" w:cs="宋体" w:eastAsia="宋体" w:hint="default"/>
          <w:b/>
          <w:bCs/>
          <w:sz w:val="21"/>
          <w:szCs w:val="21"/>
        </w:rPr>
      </w:pPr>
    </w:p>
    <w:p>
      <w:pPr>
        <w:pStyle w:val="Heading3"/>
        <w:spacing w:line="240" w:lineRule="auto" w:before="26"/>
        <w:ind w:right="99"/>
        <w:jc w:val="left"/>
        <w:rPr>
          <w:b w:val="0"/>
          <w:bCs w:val="0"/>
        </w:rPr>
      </w:pPr>
      <w:r>
        <w:rPr/>
        <w:t>（</w:t>
      </w:r>
      <w:r>
        <w:rPr>
          <w:rFonts w:ascii="Arial" w:hAnsi="Arial" w:cs="Arial" w:eastAsia="Arial"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8"/>
          <w:szCs w:val="28"/>
        </w:rPr>
      </w:pPr>
    </w:p>
    <w:p>
      <w:pPr>
        <w:pStyle w:val="BodyText"/>
        <w:spacing w:line="302" w:lineRule="auto"/>
        <w:ind w:right="229"/>
        <w:jc w:val="both"/>
      </w:pPr>
      <w:r>
        <w:rPr/>
        <w:t>融资租入的固定资产按租赁资产原账面价值与最低租赁付款额的现值两者中较低者作为入账 价值，当租赁资产占资产总额的比例不大（不超过资产总额的</w:t>
      </w:r>
      <w:r>
        <w:rPr>
          <w:spacing w:val="-79"/>
        </w:rPr>
        <w:t> </w:t>
      </w:r>
      <w:r>
        <w:rPr>
          <w:rFonts w:ascii="Arial" w:hAnsi="Arial" w:cs="Arial" w:eastAsia="Arial" w:hint="default"/>
        </w:rPr>
        <w:t>30%</w:t>
      </w:r>
      <w:r>
        <w:rPr/>
        <w:t>）时，按最低租赁付款额 作为入账价值。</w:t>
      </w:r>
    </w:p>
    <w:p>
      <w:pPr>
        <w:pStyle w:val="BodyText"/>
        <w:spacing w:line="309" w:lineRule="auto" w:before="67"/>
        <w:ind w:right="99" w:firstLine="480"/>
        <w:jc w:val="left"/>
      </w:pPr>
      <w:r>
        <w:rPr>
          <w:spacing w:val="-3"/>
        </w:rPr>
        <w:t>融资租赁方式租入的固定资产，能够合理确定租赁期届满时将会取得租赁资产所有权的，</w:t>
      </w:r>
      <w:r>
        <w:rPr/>
        <w:t> 在租赁资产尚可使用年限内计提折旧；无法合理确定租赁期届满时能够取得租赁资产所有权 的，在租赁期与租赁资产尚可使用年限两者中较短的期间内计提折旧。</w:t>
      </w:r>
    </w:p>
    <w:p>
      <w:pPr>
        <w:spacing w:line="240" w:lineRule="auto" w:before="11"/>
        <w:rPr>
          <w:rFonts w:ascii="宋体" w:hAnsi="宋体" w:cs="宋体" w:eastAsia="宋体" w:hint="default"/>
          <w:sz w:val="24"/>
          <w:szCs w:val="24"/>
        </w:rPr>
      </w:pPr>
    </w:p>
    <w:p>
      <w:pPr>
        <w:pStyle w:val="Heading3"/>
        <w:spacing w:line="240" w:lineRule="auto"/>
        <w:ind w:right="99"/>
        <w:jc w:val="left"/>
        <w:rPr>
          <w:b w:val="0"/>
          <w:bCs w:val="0"/>
        </w:rPr>
      </w:pPr>
      <w:r>
        <w:rPr>
          <w:rFonts w:ascii="Arial" w:hAnsi="Arial" w:cs="Arial" w:eastAsia="Arial" w:hint="default"/>
        </w:rPr>
        <w:t>17</w:t>
      </w:r>
      <w:r>
        <w:rPr/>
        <w:t>、在建工程</w:t>
      </w:r>
      <w:r>
        <w:rPr>
          <w:b w:val="0"/>
          <w:bCs w:val="0"/>
        </w:rPr>
      </w:r>
    </w:p>
    <w:p>
      <w:pPr>
        <w:spacing w:line="240" w:lineRule="auto" w:before="6"/>
        <w:rPr>
          <w:rFonts w:ascii="宋体" w:hAnsi="宋体" w:cs="宋体" w:eastAsia="宋体" w:hint="default"/>
          <w:b/>
          <w:bCs/>
          <w:sz w:val="28"/>
          <w:szCs w:val="28"/>
        </w:rPr>
      </w:pPr>
    </w:p>
    <w:p>
      <w:pPr>
        <w:pStyle w:val="BodyText"/>
        <w:spacing w:line="292" w:lineRule="auto"/>
        <w:ind w:right="2174"/>
        <w:jc w:val="left"/>
      </w:pPr>
      <w:r>
        <w:rPr/>
        <w:t>（</w:t>
      </w:r>
      <w:r>
        <w:rPr>
          <w:rFonts w:ascii="Arial" w:hAnsi="Arial" w:cs="Arial" w:eastAsia="Arial" w:hint="default"/>
        </w:rPr>
        <w:t>1</w:t>
      </w:r>
      <w:r>
        <w:rPr/>
        <w:t>）在建工程核算原则： 在建工程按实际成本核算。在工程达到预定可使用状态时转入固定资产。</w:t>
      </w:r>
    </w:p>
    <w:p>
      <w:pPr>
        <w:pStyle w:val="BodyText"/>
        <w:spacing w:line="307" w:lineRule="auto" w:before="38"/>
        <w:ind w:right="254"/>
        <w:jc w:val="left"/>
      </w:pPr>
      <w:r>
        <w:rPr/>
        <w:t>（</w:t>
      </w:r>
      <w:r>
        <w:rPr>
          <w:rFonts w:ascii="Arial" w:hAnsi="Arial" w:cs="Arial" w:eastAsia="Arial" w:hint="default"/>
        </w:rPr>
        <w:t>2</w:t>
      </w:r>
      <w:r>
        <w:rPr/>
        <w:t>）在建工程结转固定资产的标准和时点： 在建工程项目按建造该项资产达到预定可使用状态前所发生的全部支出，作为固定资产的入 账价值。所建造的固定资产在建工程已达到预定可使用状态，但尚未办理竣工决算的，自达 到预定可使用状态之日起，根据工程预算、造价或者工程实际成本等，按照估计的价值转入 固定资产，并按照本公司固定资产折旧政策计提折旧，待办理竣工决算后，再按实际成本调</w:t>
      </w:r>
    </w:p>
    <w:p>
      <w:pPr>
        <w:spacing w:after="0" w:line="307" w:lineRule="auto"/>
        <w:jc w:val="left"/>
        <w:sectPr>
          <w:pgSz w:w="11910" w:h="16840"/>
          <w:pgMar w:header="884" w:footer="1010" w:top="1140" w:bottom="1200" w:left="980" w:right="900"/>
        </w:sectPr>
      </w:pPr>
    </w:p>
    <w:p>
      <w:pPr>
        <w:spacing w:line="240" w:lineRule="auto" w:before="1"/>
        <w:rPr>
          <w:rFonts w:ascii="宋体" w:hAnsi="宋体" w:cs="宋体" w:eastAsia="宋体" w:hint="default"/>
          <w:sz w:val="20"/>
          <w:szCs w:val="20"/>
        </w:rPr>
      </w:pPr>
    </w:p>
    <w:p>
      <w:pPr>
        <w:pStyle w:val="BodyText"/>
        <w:spacing w:line="240" w:lineRule="auto" w:before="26"/>
        <w:ind w:right="0"/>
        <w:jc w:val="left"/>
      </w:pPr>
      <w:r>
        <w:rPr/>
        <w:t>整原来的暂估价格，但不调整原已计提的折旧额。</w:t>
      </w:r>
    </w:p>
    <w:p>
      <w:pPr>
        <w:pStyle w:val="BodyText"/>
        <w:spacing w:line="307" w:lineRule="auto" w:before="91"/>
        <w:ind w:right="174"/>
        <w:jc w:val="left"/>
      </w:pPr>
      <w:r>
        <w:rPr/>
        <w:t>（</w:t>
      </w:r>
      <w:r>
        <w:rPr>
          <w:rFonts w:ascii="Arial" w:hAnsi="Arial" w:cs="Arial" w:eastAsia="Arial" w:hint="default"/>
        </w:rPr>
        <w:t>3</w:t>
      </w:r>
      <w:r>
        <w:rPr/>
        <w:t>）在建工程减值测试以及减值准备的计提方法： 本公司在每期末判断在建工程是否存在可能发生的减值迹象，包括：①长期停建并且预计在 未来３年内不会重新开工的在建工程；②所建项目无论在性能上，还是在技术上已经落后， 并且给本公司带来的经济利益具有很大的不确定性；③其他足以证明在建工程已发生减值的 情形； 在建工程存在减值迹象的，估计其可收回金额。有迹象表明一项在建工程可能发生减值的， 本公司以单项在建工程为基础估计其可收回金额。可收回金额根据在建工程的公允价值减去 处置费用后的净额与在建工程未来现金流量的现值两者之间较高者确定。当在建工程的可收 回金额低于其账面价值的，将在建工程的账面价值减记至可收回金额，减记的金额确认为在 建工程减值损失，计入当期损益，同时计提相应的在建工程减值准备。在建工程减值损失一 经确认，在以后会计期间不再转回。</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pStyle w:val="Heading3"/>
        <w:spacing w:line="240" w:lineRule="auto"/>
        <w:ind w:right="0"/>
        <w:jc w:val="left"/>
        <w:rPr>
          <w:b w:val="0"/>
          <w:bCs w:val="0"/>
        </w:rPr>
      </w:pPr>
      <w:r>
        <w:rPr>
          <w:rFonts w:ascii="Arial" w:hAnsi="Arial" w:cs="Arial" w:eastAsia="Arial" w:hint="default"/>
        </w:rPr>
        <w:t>18</w:t>
      </w:r>
      <w:r>
        <w:rPr/>
        <w:t>、借款费用</w:t>
      </w:r>
      <w:r>
        <w:rPr>
          <w:b w:val="0"/>
          <w:bCs w:val="0"/>
        </w:rPr>
      </w:r>
    </w:p>
    <w:p>
      <w:pPr>
        <w:spacing w:line="240" w:lineRule="auto" w:before="8"/>
        <w:rPr>
          <w:rFonts w:ascii="宋体" w:hAnsi="宋体" w:cs="宋体" w:eastAsia="宋体" w:hint="default"/>
          <w:b/>
          <w:bCs/>
          <w:sz w:val="28"/>
          <w:szCs w:val="28"/>
        </w:rPr>
      </w:pPr>
    </w:p>
    <w:p>
      <w:pPr>
        <w:pStyle w:val="BodyText"/>
        <w:spacing w:line="309" w:lineRule="auto"/>
        <w:ind w:right="174"/>
        <w:jc w:val="left"/>
      </w:pPr>
      <w:r>
        <w:rPr/>
        <w:t>（</w:t>
      </w:r>
      <w:r>
        <w:rPr>
          <w:rFonts w:ascii="Arial" w:hAnsi="Arial" w:cs="Arial" w:eastAsia="Arial" w:hint="default"/>
        </w:rPr>
        <w:t>1</w:t>
      </w:r>
      <w:r>
        <w:rPr/>
        <w:t>）借款费用资本化的确认原则 借款费用，包括借款利息、折价或者溢价的摊销、辅助费用以及因外币借款而发生的汇兑差 额等。 本公司发生的借款费用，可直接归属于符合资本化条件的资产的购建或者生产的，予以资本 化，计入相关的资产成本；其他借款费用，在发生时根据其发生额确认为费用，计入当期损 益。 符合资本化条件的资产，是指需要经过相当长时间的购建或者生产活动才能达到预定可使用 或者可销售状态的固定资产、投资性房地产和存货等资产。 借款费用同时满足以下条件时开始资本化：①资产支出已经发生，资产支出包括为购建或者 生产符合资本化条件的资产而支付的现金、转移非现金资产或者承担带息债务形式发生的支 出；②借款费用已经发生；③为使资产达到预定可使用或者可销售状态所必要的估计或生产 活动已经开始。</w:t>
      </w:r>
    </w:p>
    <w:p>
      <w:pPr>
        <w:pStyle w:val="BodyText"/>
        <w:spacing w:line="307" w:lineRule="auto" w:before="22"/>
        <w:ind w:right="174"/>
        <w:jc w:val="left"/>
      </w:pPr>
      <w:r>
        <w:rPr/>
        <w:t>（</w:t>
      </w:r>
      <w:r>
        <w:rPr>
          <w:rFonts w:ascii="Arial" w:hAnsi="Arial" w:cs="Arial" w:eastAsia="Arial" w:hint="default"/>
        </w:rPr>
        <w:t>2</w:t>
      </w:r>
      <w:r>
        <w:rPr/>
        <w:t>）借款费用资本化期间 资本化期间，指从借款费用开始资本化时点到停止资本化时点的期间，借款费用暂停资本化 的期间不包括在内。 当购建或者生产符合资本化条件的资产达到预定可使用或者可销售状态时，借款费用停止资 本化。当购建或者生产符合资本化条件的资产中部分项目分别完工且可单独使用时，该部分 资产借款费用停止资本化。购建或者生产的资产各部分分别完工，但必须等到整体完工后才 可使用或可对外销售的，在该资产整体完工时停止借款费用资本化。</w:t>
      </w:r>
    </w:p>
    <w:p>
      <w:pPr>
        <w:spacing w:after="0" w:line="307" w:lineRule="auto"/>
        <w:jc w:val="left"/>
        <w:sectPr>
          <w:footerReference w:type="default" r:id="rId44"/>
          <w:pgSz w:w="11910" w:h="16840"/>
          <w:pgMar w:footer="1010" w:header="884" w:top="1140" w:bottom="1200" w:left="980" w:right="980"/>
          <w:pgNumType w:start="103"/>
        </w:sectPr>
      </w:pPr>
    </w:p>
    <w:p>
      <w:pPr>
        <w:spacing w:line="240" w:lineRule="auto" w:before="1"/>
        <w:rPr>
          <w:rFonts w:ascii="宋体" w:hAnsi="宋体" w:cs="宋体" w:eastAsia="宋体" w:hint="default"/>
          <w:sz w:val="20"/>
          <w:szCs w:val="20"/>
        </w:rPr>
      </w:pPr>
    </w:p>
    <w:p>
      <w:pPr>
        <w:pStyle w:val="BodyText"/>
        <w:spacing w:line="302" w:lineRule="auto" w:before="26"/>
        <w:ind w:right="0"/>
        <w:jc w:val="left"/>
      </w:pPr>
      <w:r>
        <w:rPr/>
        <w:t>（</w:t>
      </w:r>
      <w:r>
        <w:rPr>
          <w:rFonts w:ascii="Arial" w:hAnsi="Arial" w:cs="Arial" w:eastAsia="Arial" w:hint="default"/>
        </w:rPr>
        <w:t>3</w:t>
      </w:r>
      <w:r>
        <w:rPr/>
        <w:t>）暂停资本化期间 </w:t>
      </w:r>
      <w:r>
        <w:rPr>
          <w:spacing w:val="-3"/>
          <w:w w:val="99"/>
        </w:rPr>
        <w:t>符合资本化条件的资产在购建或者生产过程中发生的非正常中断、且中断时间连续超过</w:t>
      </w:r>
      <w:r>
        <w:rPr>
          <w:rFonts w:ascii="Arial" w:hAnsi="Arial" w:cs="Arial" w:eastAsia="Arial" w:hint="default"/>
          <w:spacing w:val="-3"/>
          <w:w w:val="99"/>
        </w:rPr>
        <w:t>3</w:t>
      </w:r>
      <w:r>
        <w:rPr>
          <w:spacing w:val="-3"/>
          <w:w w:val="99"/>
        </w:rPr>
        <w:t>个月</w:t>
      </w:r>
      <w:r>
        <w:rPr>
          <w:spacing w:val="-91"/>
          <w:w w:val="99"/>
        </w:rPr>
        <w:t> </w:t>
      </w:r>
      <w:r>
        <w:rPr/>
        <w:t>的，则借款费用暂停资本化；该项中断如果是所购建或生产的符合资本化条件的资产达到预 定可使用状态或者可销售状态必要的程序，则借款费用继续资本化。在中断期间发生的借款 费用确认为当期损益，直至资产的购建或者生产活动重新开始后继续资本化。</w:t>
      </w:r>
    </w:p>
    <w:p>
      <w:pPr>
        <w:pStyle w:val="BodyText"/>
        <w:spacing w:line="307" w:lineRule="auto" w:before="29"/>
        <w:ind w:right="174"/>
        <w:jc w:val="left"/>
      </w:pPr>
      <w:r>
        <w:rPr/>
        <w:t>（</w:t>
      </w:r>
      <w:r>
        <w:rPr>
          <w:rFonts w:ascii="Arial" w:hAnsi="Arial" w:cs="Arial" w:eastAsia="Arial" w:hint="default"/>
        </w:rPr>
        <w:t>4</w:t>
      </w:r>
      <w:r>
        <w:rPr/>
        <w:t>）借款费用资本化金额的计算方法： 对于为购建或者生产符合资本化条件的资产而借入的专门借款，以专门借款当期实际发生的 借款费用，减去尚未动用的借款资金存入银行取得的利息收入或进行暂时性投资取得的投资 收益后的金额，来确定借款费用的资本化金额。 对于为购建或者生产符合资本化条件的资产而占用的一般借款，购建累计资产支出超过专门 借款部分的资产支出期初期末加权平均数乘以所占用一般借款的资本化率，计算确定一般借 款应予资本化的利息金额，资本化率根据一般借款加权平均利率计算确定。 在资本化期间内，外币专门借款本金及其利息的汇兑差额，应当予以资本化，计入符合资本 化条件的资产的成本。而除外币专门借款之外的其他外币借款本金及其利息所产生的汇兑差 额应当作为财务费用，计入当期损益。</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Arial" w:hAnsi="Arial" w:cs="Arial" w:eastAsia="Arial" w:hint="default"/>
        </w:rPr>
        <w:t>19</w:t>
      </w:r>
      <w:r>
        <w:rPr/>
        <w:t>、无形资产</w:t>
      </w:r>
      <w:r>
        <w:rPr>
          <w:b w:val="0"/>
          <w:bCs w:val="0"/>
        </w:rPr>
      </w:r>
    </w:p>
    <w:p>
      <w:pPr>
        <w:spacing w:line="240" w:lineRule="auto" w:before="8"/>
        <w:rPr>
          <w:rFonts w:ascii="宋体" w:hAnsi="宋体" w:cs="宋体" w:eastAsia="宋体" w:hint="default"/>
          <w:b/>
          <w:bCs/>
          <w:sz w:val="28"/>
          <w:szCs w:val="28"/>
        </w:rPr>
      </w:pPr>
    </w:p>
    <w:p>
      <w:pPr>
        <w:pStyle w:val="BodyText"/>
        <w:spacing w:line="240" w:lineRule="auto"/>
        <w:ind w:left="272" w:right="0"/>
        <w:jc w:val="left"/>
      </w:pPr>
      <w:r>
        <w:rPr>
          <w:rFonts w:ascii="Arial" w:hAnsi="Arial" w:cs="Arial" w:eastAsia="Arial" w:hint="default"/>
        </w:rPr>
        <w:t>1</w:t>
      </w:r>
      <w:r>
        <w:rPr/>
        <w:t>、无形资产的计价方法</w:t>
      </w:r>
    </w:p>
    <w:p>
      <w:pPr>
        <w:pStyle w:val="BodyText"/>
        <w:spacing w:line="240" w:lineRule="auto" w:before="137"/>
        <w:ind w:right="0"/>
        <w:jc w:val="left"/>
      </w:pPr>
      <w:r>
        <w:rPr/>
        <w:t>（</w:t>
      </w:r>
      <w:r>
        <w:rPr>
          <w:rFonts w:ascii="Arial" w:hAnsi="Arial" w:cs="Arial" w:eastAsia="Arial" w:hint="default"/>
        </w:rPr>
        <w:t>1</w:t>
      </w:r>
      <w:r>
        <w:rPr/>
        <w:t>）初始计量</w:t>
      </w:r>
    </w:p>
    <w:p>
      <w:pPr>
        <w:pStyle w:val="BodyText"/>
        <w:spacing w:line="309" w:lineRule="auto" w:before="137"/>
        <w:ind w:right="159" w:firstLine="480"/>
        <w:jc w:val="both"/>
      </w:pPr>
      <w:r>
        <w:rPr/>
        <w:t>无形资产按取得时的实际成本计量，包括购买价款、相关税费以及直接归属于使该项资 产达到预定用途所发生的其他支出。非货币性资产交换具备商业实质且换入资产或换出资产</w:t>
      </w:r>
      <w:r>
        <w:rPr>
          <w:spacing w:val="-91"/>
        </w:rPr>
        <w:t> </w:t>
      </w:r>
      <w:r>
        <w:rPr>
          <w:spacing w:val="-91"/>
        </w:rPr>
      </w:r>
      <w:r>
        <w:rPr/>
        <w:t>的公允价值能够可靠计量的前提下，非货币性资产交换换入的无形资产以换出资产的公允价</w:t>
      </w:r>
      <w:r>
        <w:rPr>
          <w:spacing w:val="-91"/>
        </w:rPr>
        <w:t> </w:t>
      </w:r>
      <w:r>
        <w:rPr>
          <w:spacing w:val="-91"/>
        </w:rPr>
      </w:r>
      <w:r>
        <w:rPr/>
        <w:t>值为基础确定其入账价值，除非有确凿证据表明换入资产的公允价值更加可靠；不满足上述</w:t>
      </w:r>
      <w:r>
        <w:rPr>
          <w:spacing w:val="-91"/>
        </w:rPr>
        <w:t> </w:t>
      </w:r>
      <w:r>
        <w:rPr>
          <w:spacing w:val="-91"/>
        </w:rPr>
      </w:r>
      <w:r>
        <w:rPr/>
        <w:t>前提的非货币性资产交换，以换出资产的账面价值和应支付的相关税费作为换入无形资产的</w:t>
      </w:r>
      <w:r>
        <w:rPr>
          <w:spacing w:val="-91"/>
        </w:rPr>
        <w:t> </w:t>
      </w:r>
      <w:r>
        <w:rPr>
          <w:spacing w:val="-91"/>
        </w:rPr>
      </w:r>
      <w:r>
        <w:rPr/>
        <w:t>成本，不确认损益。</w:t>
      </w:r>
    </w:p>
    <w:p>
      <w:pPr>
        <w:pStyle w:val="BodyText"/>
        <w:spacing w:line="240" w:lineRule="auto" w:before="82"/>
        <w:ind w:right="0"/>
        <w:jc w:val="left"/>
      </w:pPr>
      <w:r>
        <w:rPr/>
        <w:t>（</w:t>
      </w:r>
      <w:r>
        <w:rPr>
          <w:rFonts w:ascii="Arial" w:hAnsi="Arial" w:cs="Arial" w:eastAsia="Arial" w:hint="default"/>
        </w:rPr>
        <w:t>2</w:t>
      </w:r>
      <w:r>
        <w:rPr/>
        <w:t>）后续计量</w:t>
      </w:r>
    </w:p>
    <w:p>
      <w:pPr>
        <w:pStyle w:val="BodyText"/>
        <w:spacing w:line="357" w:lineRule="auto" w:before="137"/>
        <w:ind w:left="753" w:right="0"/>
        <w:jc w:val="left"/>
      </w:pPr>
      <w:r>
        <w:rPr/>
        <w:t>取得无形资产时分析判断其使用寿命。 </w:t>
      </w:r>
      <w:r>
        <w:rPr>
          <w:spacing w:val="-3"/>
        </w:rPr>
        <w:t>对于使用寿命有限的无形资产，在为本公司带来经济利益的期限内按直线法摊销；无法</w:t>
      </w:r>
    </w:p>
    <w:p>
      <w:pPr>
        <w:pStyle w:val="BodyText"/>
        <w:spacing w:line="288" w:lineRule="exact"/>
        <w:ind w:right="0"/>
        <w:jc w:val="left"/>
      </w:pPr>
      <w:r>
        <w:rPr/>
        <w:t>预见无形资产为公司带来经济利益期限的，视为使用寿命不确定的有形资产，不予摊销。</w:t>
      </w:r>
    </w:p>
    <w:p>
      <w:pPr>
        <w:pStyle w:val="BodyText"/>
        <w:spacing w:line="309" w:lineRule="auto" w:before="154"/>
        <w:ind w:right="152" w:firstLine="600"/>
        <w:jc w:val="both"/>
      </w:pPr>
      <w:r>
        <w:rPr>
          <w:spacing w:val="-3"/>
        </w:rPr>
        <w:t>在每个会计期间对使用寿命不确定的无形资产的使用寿命进行复核。如果有证据表明无</w:t>
      </w:r>
      <w:r>
        <w:rPr/>
        <w:t> 形资产的使用寿命是有限的，估计其使用寿命，并在为本公司带来经济利益的期限内按直线</w:t>
      </w:r>
      <w:r>
        <w:rPr>
          <w:spacing w:val="-91"/>
        </w:rPr>
        <w:t> </w:t>
      </w:r>
      <w:r>
        <w:rPr>
          <w:spacing w:val="-91"/>
        </w:rPr>
      </w:r>
      <w:r>
        <w:rPr/>
        <w:t>法摊销。</w:t>
      </w:r>
    </w:p>
    <w:p>
      <w:pPr>
        <w:spacing w:after="0" w:line="309" w:lineRule="auto"/>
        <w:jc w:val="both"/>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338" w:lineRule="auto" w:before="26"/>
        <w:ind w:right="4120"/>
        <w:jc w:val="left"/>
      </w:pPr>
      <w:r>
        <w:rPr>
          <w:rFonts w:ascii="Arial" w:hAnsi="Arial" w:cs="Arial" w:eastAsia="Arial" w:hint="default"/>
        </w:rPr>
        <w:t>2</w:t>
      </w:r>
      <w:r>
        <w:rPr/>
        <w:t>、对于使用寿命有限的无形资产的使用寿命的估计： 公司内部使用的无形资产按照</w:t>
      </w:r>
      <w:r>
        <w:rPr>
          <w:spacing w:val="-61"/>
        </w:rPr>
        <w:t> </w:t>
      </w:r>
      <w:r>
        <w:rPr>
          <w:rFonts w:ascii="Arial" w:hAnsi="Arial" w:cs="Arial" w:eastAsia="Arial" w:hint="default"/>
        </w:rPr>
        <w:t>10</w:t>
      </w:r>
      <w:r>
        <w:rPr>
          <w:rFonts w:ascii="Arial" w:hAnsi="Arial" w:cs="Arial" w:eastAsia="Arial" w:hint="default"/>
          <w:spacing w:val="-8"/>
        </w:rPr>
        <w:t> </w:t>
      </w:r>
      <w:r>
        <w:rPr/>
        <w:t>年进行摊销。</w:t>
      </w:r>
    </w:p>
    <w:p>
      <w:pPr>
        <w:pStyle w:val="BodyText"/>
        <w:spacing w:line="309" w:lineRule="auto" w:before="27"/>
        <w:ind w:right="0"/>
        <w:jc w:val="left"/>
      </w:pPr>
      <w:r>
        <w:rPr/>
        <w:t>公司用于销售的无形资产以预先估计的销售额作为摊销依据，在无形资产使用寿命内按照实</w:t>
      </w:r>
      <w:r>
        <w:rPr>
          <w:spacing w:val="-91"/>
        </w:rPr>
        <w:t> </w:t>
      </w:r>
      <w:r>
        <w:rPr>
          <w:spacing w:val="-91"/>
        </w:rPr>
      </w:r>
      <w:r>
        <w:rPr/>
        <w:t>际实现销售额进行摊销。</w:t>
      </w:r>
    </w:p>
    <w:p>
      <w:pPr>
        <w:pStyle w:val="BodyText"/>
        <w:spacing w:line="348" w:lineRule="auto" w:before="82"/>
        <w:ind w:left="633" w:right="2093" w:hanging="481"/>
        <w:jc w:val="left"/>
      </w:pPr>
      <w:r>
        <w:rPr>
          <w:rFonts w:ascii="Arial" w:hAnsi="Arial" w:cs="Arial" w:eastAsia="Arial" w:hint="default"/>
        </w:rPr>
        <w:t>3</w:t>
      </w:r>
      <w:r>
        <w:rPr/>
        <w:t>、研究与开发支出 本公司内部研究开发项目的支出分为研究阶段支出与开发阶段支出。 研究阶段的支出，于发生时计入当期损益。</w:t>
      </w:r>
    </w:p>
    <w:p>
      <w:pPr>
        <w:pStyle w:val="BodyText"/>
        <w:spacing w:line="309" w:lineRule="auto" w:before="46"/>
        <w:ind w:right="0" w:firstLine="480"/>
        <w:jc w:val="left"/>
      </w:pPr>
      <w:r>
        <w:rPr/>
        <w:t>公司将产品策划阶段作为研究阶段，即开发部门根据市场调研情况，对计划开发的产品 进行可行性论证，撰写《产品开发可行性报告》。</w:t>
      </w:r>
    </w:p>
    <w:p>
      <w:pPr>
        <w:pStyle w:val="BodyText"/>
        <w:spacing w:line="309" w:lineRule="auto" w:before="84"/>
        <w:ind w:right="155" w:firstLine="480"/>
        <w:jc w:val="both"/>
      </w:pPr>
      <w:r>
        <w:rPr/>
        <w:t>公司将产品开发阶段作为开发阶段，即产品论证结束后，由开发部门提交《软件产品立 </w:t>
      </w:r>
      <w:r>
        <w:rPr>
          <w:spacing w:val="-5"/>
        </w:rPr>
        <w:t>项审批表》申请立项，经审批通过后，产品正式立项，组建产品开发项目组，指定产品经理，</w:t>
      </w:r>
      <w:r>
        <w:rPr/>
        <w:t> 开发支出资本化过程开始。</w:t>
      </w:r>
    </w:p>
    <w:p>
      <w:pPr>
        <w:pStyle w:val="BodyText"/>
        <w:spacing w:line="309" w:lineRule="auto" w:before="84"/>
        <w:ind w:right="0" w:firstLine="480"/>
        <w:jc w:val="left"/>
      </w:pPr>
      <w:r>
        <w:rPr/>
        <w:t>开发阶段的支出同时满足下列条件的，确认为无形资产，不能满足下述条件的开发阶段 的支出计入当期损益。</w:t>
      </w:r>
    </w:p>
    <w:p>
      <w:pPr>
        <w:pStyle w:val="BodyText"/>
        <w:spacing w:line="240" w:lineRule="auto" w:before="82"/>
        <w:ind w:left="633" w:right="0"/>
        <w:jc w:val="left"/>
      </w:pPr>
      <w:r>
        <w:rPr/>
        <w:t>①完成该无形资产以使其能够使用或出售在技术上具有可行性；</w:t>
      </w:r>
    </w:p>
    <w:p>
      <w:pPr>
        <w:pStyle w:val="BodyText"/>
        <w:spacing w:line="240" w:lineRule="auto" w:before="154"/>
        <w:ind w:left="633" w:right="0"/>
        <w:jc w:val="left"/>
      </w:pPr>
      <w:r>
        <w:rPr/>
        <w:t>②具有完成该无形资产并使用或出售的意图；</w:t>
      </w:r>
    </w:p>
    <w:p>
      <w:pPr>
        <w:pStyle w:val="BodyText"/>
        <w:spacing w:line="309" w:lineRule="auto" w:before="154"/>
        <w:ind w:right="0" w:firstLine="480"/>
        <w:jc w:val="left"/>
      </w:pPr>
      <w:r>
        <w:rPr/>
        <w:t>③无形资产产生经济利益的方式，包括能够证明运用该无形资产生产的产品存在市场或 无形资产自身存在市场，无形资产将在内部使用的，能够证明其有用性；</w:t>
      </w:r>
    </w:p>
    <w:p>
      <w:pPr>
        <w:pStyle w:val="BodyText"/>
        <w:spacing w:line="309" w:lineRule="auto" w:before="84"/>
        <w:ind w:right="0" w:firstLine="480"/>
        <w:jc w:val="left"/>
      </w:pPr>
      <w:r>
        <w:rPr/>
        <w:t>④有足够的技术、财务资源和其他资源支持，以完成该无形资产的开发，并有能力使用 或出售该无形资产；</w:t>
      </w:r>
    </w:p>
    <w:p>
      <w:pPr>
        <w:pStyle w:val="BodyText"/>
        <w:spacing w:line="357" w:lineRule="auto" w:before="84"/>
        <w:ind w:left="633" w:right="653"/>
        <w:jc w:val="left"/>
      </w:pPr>
      <w:r>
        <w:rPr/>
        <w:t>⑤归属于该无形资产开发阶段的支出能够可靠地计量。 无法区分研究阶段支出和开发阶段支出的，将发生的研发支出全部计入当期损益。</w:t>
      </w:r>
    </w:p>
    <w:p>
      <w:pPr>
        <w:pStyle w:val="BodyText"/>
        <w:spacing w:line="338" w:lineRule="auto" w:before="34"/>
        <w:ind w:left="633" w:right="0" w:hanging="481"/>
        <w:jc w:val="left"/>
      </w:pPr>
      <w:r>
        <w:rPr>
          <w:rFonts w:ascii="Arial" w:hAnsi="Arial" w:cs="Arial" w:eastAsia="Arial" w:hint="default"/>
        </w:rPr>
        <w:t>4</w:t>
      </w:r>
      <w:r>
        <w:rPr/>
        <w:t>、无形资产减值准备原则： 对于使用寿命有限的无形资产，如果有明显的减值迹象的，期末进行减值测试。减值迹</w:t>
      </w:r>
    </w:p>
    <w:p>
      <w:pPr>
        <w:pStyle w:val="BodyText"/>
        <w:spacing w:line="307" w:lineRule="exact"/>
        <w:ind w:right="0"/>
        <w:jc w:val="left"/>
      </w:pPr>
      <w:r>
        <w:rPr/>
        <w:t>象包括以下情形：</w:t>
      </w:r>
    </w:p>
    <w:p>
      <w:pPr>
        <w:pStyle w:val="BodyText"/>
        <w:spacing w:line="309" w:lineRule="auto" w:before="154"/>
        <w:ind w:right="0" w:firstLine="480"/>
        <w:jc w:val="left"/>
      </w:pPr>
      <w:r>
        <w:rPr/>
        <w:t>①某项无形资产已被其他新技术等所替代，使其为企业创造经济利益的能力受到重大不 利影响；</w:t>
      </w:r>
    </w:p>
    <w:p>
      <w:pPr>
        <w:pStyle w:val="BodyText"/>
        <w:spacing w:line="240" w:lineRule="auto" w:before="84"/>
        <w:ind w:left="633" w:right="0"/>
        <w:jc w:val="left"/>
      </w:pPr>
      <w:r>
        <w:rPr/>
        <w:t>②某项无形资产的市价在当期大幅下跌</w:t>
      </w:r>
      <w:r>
        <w:rPr>
          <w:rFonts w:ascii="Arial" w:hAnsi="Arial" w:cs="Arial" w:eastAsia="Arial" w:hint="default"/>
        </w:rPr>
        <w:t>,</w:t>
      </w:r>
      <w:r>
        <w:rPr/>
        <w:t>剩余摊销年限内预期不会恢复；</w:t>
      </w:r>
    </w:p>
    <w:p>
      <w:pPr>
        <w:pStyle w:val="BodyText"/>
        <w:spacing w:line="240" w:lineRule="auto" w:before="137"/>
        <w:ind w:left="633" w:right="0"/>
        <w:jc w:val="left"/>
      </w:pPr>
      <w:r>
        <w:rPr/>
        <w:t>③某项无形资产已超过法律保护期限，但仍然具有部分使用价值；</w:t>
      </w:r>
    </w:p>
    <w:p>
      <w:pPr>
        <w:pStyle w:val="BodyText"/>
        <w:spacing w:line="355" w:lineRule="auto" w:before="154"/>
        <w:ind w:left="633" w:right="2813"/>
        <w:jc w:val="left"/>
      </w:pPr>
      <w:r>
        <w:rPr/>
        <w:t>④其他足以证明某项无形资产实质上已经发生了减值的情形。 对于使用寿命不确定的无形资产，每期末进行减值测试。</w:t>
      </w:r>
    </w:p>
    <w:p>
      <w:pPr>
        <w:spacing w:after="0" w:line="355" w:lineRule="auto"/>
        <w:jc w:val="left"/>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309" w:lineRule="auto" w:before="26"/>
        <w:ind w:right="99" w:firstLine="480"/>
        <w:jc w:val="left"/>
      </w:pPr>
      <w:r>
        <w:rPr/>
        <w:t>无形资产存在减值的，估计其可收回金额。可收回金额根据无形资产的公允价值减去处 置费用后的净额与无形资产未来现金流量的现值两者之间较高者确定。</w:t>
      </w:r>
    </w:p>
    <w:p>
      <w:pPr>
        <w:pStyle w:val="BodyText"/>
        <w:spacing w:line="309" w:lineRule="auto" w:before="84"/>
        <w:ind w:right="99" w:firstLine="480"/>
        <w:jc w:val="left"/>
      </w:pPr>
      <w:r>
        <w:rPr>
          <w:spacing w:val="-3"/>
        </w:rPr>
        <w:t>当无形资产的可收回金额低于其账面价值的，将无形资产的账面价值减记至可收回金额，</w:t>
      </w:r>
      <w:r>
        <w:rPr/>
        <w:t> 减记的金额确认为无形资产减值损失，计入当期损益，同时计提相应的无形资产减值准备。</w:t>
      </w:r>
    </w:p>
    <w:p>
      <w:pPr>
        <w:pStyle w:val="BodyText"/>
        <w:spacing w:line="309" w:lineRule="auto" w:before="84"/>
        <w:ind w:right="99" w:firstLine="480"/>
        <w:jc w:val="left"/>
      </w:pPr>
      <w:r>
        <w:rPr>
          <w:spacing w:val="-3"/>
        </w:rPr>
        <w:t>无形资产减值损失确认后，减值无形资产的折耗或者摊销费用在未来期间做相应的调整，</w:t>
      </w:r>
      <w:r>
        <w:rPr/>
        <w:t> 以使该无形资产在剩余使用寿命内，系统地分摊调整后的无形资产账面价值（扣除预计净残</w:t>
      </w:r>
      <w:r>
        <w:rPr>
          <w:spacing w:val="-91"/>
        </w:rPr>
        <w:t> </w:t>
      </w:r>
      <w:r>
        <w:rPr>
          <w:spacing w:val="-91"/>
        </w:rPr>
      </w:r>
      <w:r>
        <w:rPr/>
        <w:t>值）。</w:t>
      </w:r>
    </w:p>
    <w:p>
      <w:pPr>
        <w:pStyle w:val="BodyText"/>
        <w:spacing w:line="240" w:lineRule="auto" w:before="82"/>
        <w:ind w:left="633" w:right="99"/>
        <w:jc w:val="left"/>
      </w:pPr>
      <w:r>
        <w:rPr/>
        <w:t>无形资产减值损失一经确认，在以后会计期间不得转回。</w:t>
      </w:r>
    </w:p>
    <w:p>
      <w:pPr>
        <w:spacing w:line="240" w:lineRule="auto" w:before="2"/>
        <w:rPr>
          <w:rFonts w:ascii="宋体" w:hAnsi="宋体" w:cs="宋体" w:eastAsia="宋体" w:hint="default"/>
          <w:sz w:val="30"/>
          <w:szCs w:val="30"/>
        </w:rPr>
      </w:pPr>
    </w:p>
    <w:p>
      <w:pPr>
        <w:pStyle w:val="Heading3"/>
        <w:spacing w:line="240" w:lineRule="auto"/>
        <w:ind w:right="99"/>
        <w:jc w:val="left"/>
        <w:rPr>
          <w:b w:val="0"/>
          <w:bCs w:val="0"/>
        </w:rPr>
      </w:pPr>
      <w:r>
        <w:rPr>
          <w:rFonts w:ascii="Arial" w:hAnsi="Arial" w:cs="Arial" w:eastAsia="Arial" w:hint="default"/>
        </w:rPr>
        <w:t>20</w:t>
      </w:r>
      <w:r>
        <w:rPr/>
        <w:t>、长期资产减值</w:t>
      </w:r>
      <w:r>
        <w:rPr>
          <w:b w:val="0"/>
          <w:bCs w:val="0"/>
        </w:rPr>
      </w:r>
    </w:p>
    <w:p>
      <w:pPr>
        <w:spacing w:line="240" w:lineRule="auto" w:before="6"/>
        <w:rPr>
          <w:rFonts w:ascii="宋体" w:hAnsi="宋体" w:cs="宋体" w:eastAsia="宋体" w:hint="default"/>
          <w:b/>
          <w:bCs/>
          <w:sz w:val="28"/>
          <w:szCs w:val="28"/>
        </w:rPr>
      </w:pPr>
    </w:p>
    <w:p>
      <w:pPr>
        <w:pStyle w:val="BodyText"/>
        <w:spacing w:line="309" w:lineRule="auto"/>
        <w:ind w:right="219"/>
        <w:jc w:val="left"/>
      </w:pPr>
      <w:r>
        <w:rPr>
          <w:spacing w:val="-5"/>
        </w:rPr>
        <w:t>详见长期股权投资、投资性房地产、固定资产、在建工程、生物资产、油气资产、无形资产、</w:t>
      </w:r>
      <w:r>
        <w:rPr/>
        <w:t> 商誉等长期资产的会计政策。</w:t>
      </w:r>
    </w:p>
    <w:p>
      <w:pPr>
        <w:spacing w:line="240" w:lineRule="auto" w:before="8"/>
        <w:rPr>
          <w:rFonts w:ascii="宋体" w:hAnsi="宋体" w:cs="宋体" w:eastAsia="宋体" w:hint="default"/>
          <w:sz w:val="24"/>
          <w:szCs w:val="24"/>
        </w:rPr>
      </w:pPr>
    </w:p>
    <w:p>
      <w:pPr>
        <w:pStyle w:val="Heading3"/>
        <w:spacing w:line="240" w:lineRule="auto"/>
        <w:ind w:right="99"/>
        <w:jc w:val="left"/>
        <w:rPr>
          <w:b w:val="0"/>
          <w:bCs w:val="0"/>
        </w:rPr>
      </w:pPr>
      <w:r>
        <w:rPr>
          <w:rFonts w:ascii="Arial" w:hAnsi="Arial" w:cs="Arial" w:eastAsia="Arial" w:hint="default"/>
        </w:rPr>
        <w:t>21</w:t>
      </w:r>
      <w:r>
        <w:rPr/>
        <w:t>、长期待摊费用</w:t>
      </w:r>
      <w:r>
        <w:rPr>
          <w:b w:val="0"/>
          <w:bCs w:val="0"/>
        </w:rPr>
      </w:r>
    </w:p>
    <w:p>
      <w:pPr>
        <w:spacing w:line="240" w:lineRule="auto" w:before="8"/>
        <w:rPr>
          <w:rFonts w:ascii="宋体" w:hAnsi="宋体" w:cs="宋体" w:eastAsia="宋体" w:hint="default"/>
          <w:b/>
          <w:bCs/>
          <w:sz w:val="28"/>
          <w:szCs w:val="28"/>
        </w:rPr>
      </w:pPr>
    </w:p>
    <w:p>
      <w:pPr>
        <w:pStyle w:val="BodyText"/>
        <w:spacing w:line="338" w:lineRule="auto"/>
        <w:ind w:left="633" w:right="99" w:hanging="481"/>
        <w:jc w:val="left"/>
      </w:pPr>
      <w:r>
        <w:rPr>
          <w:rFonts w:ascii="Arial" w:hAnsi="Arial" w:cs="Arial" w:eastAsia="Arial" w:hint="default"/>
        </w:rPr>
        <w:t>1</w:t>
      </w:r>
      <w:r>
        <w:rPr/>
        <w:t>、长期待摊费用的定义和计价方法： 长期待摊费用是指已经发生但应由本期和以后期间负担的摊销期限在一年以上的各项费</w:t>
      </w:r>
    </w:p>
    <w:p>
      <w:pPr>
        <w:pStyle w:val="BodyText"/>
        <w:spacing w:line="307" w:lineRule="exact"/>
        <w:ind w:right="99"/>
        <w:jc w:val="left"/>
      </w:pPr>
      <w:r>
        <w:rPr/>
        <w:t>用。长期待摊费用按实际成本计价。</w:t>
      </w:r>
    </w:p>
    <w:p>
      <w:pPr>
        <w:pStyle w:val="BodyText"/>
        <w:spacing w:line="240" w:lineRule="auto" w:before="154"/>
        <w:ind w:right="99"/>
        <w:jc w:val="left"/>
      </w:pPr>
      <w:r>
        <w:rPr>
          <w:rFonts w:ascii="Arial" w:hAnsi="Arial" w:cs="Arial" w:eastAsia="Arial" w:hint="default"/>
        </w:rPr>
        <w:t>2</w:t>
      </w:r>
      <w:r>
        <w:rPr/>
        <w:t>、摊销方法：</w:t>
      </w:r>
    </w:p>
    <w:p>
      <w:pPr>
        <w:pStyle w:val="BodyText"/>
        <w:spacing w:line="309" w:lineRule="auto" w:before="137"/>
        <w:ind w:right="239" w:firstLine="480"/>
        <w:jc w:val="both"/>
      </w:pPr>
      <w:r>
        <w:rPr/>
        <w:t>长期待摊费用在受益期限内平均摊销。租入固定资产改良支出在租赁期限与租赁资产尚 可使用年限两者孰短的期限内平均摊销。公司筹建费用在公司开始生产经营当月起一次计入</w:t>
      </w:r>
      <w:r>
        <w:rPr>
          <w:spacing w:val="-91"/>
        </w:rPr>
        <w:t> </w:t>
      </w:r>
      <w:r>
        <w:rPr>
          <w:spacing w:val="-91"/>
        </w:rPr>
      </w:r>
      <w:r>
        <w:rPr/>
        <w:t>开始生产经营当月的损益。</w:t>
      </w:r>
    </w:p>
    <w:p>
      <w:pPr>
        <w:spacing w:line="240" w:lineRule="auto" w:before="10"/>
        <w:rPr>
          <w:rFonts w:ascii="宋体" w:hAnsi="宋体" w:cs="宋体" w:eastAsia="宋体" w:hint="default"/>
          <w:sz w:val="24"/>
          <w:szCs w:val="24"/>
        </w:rPr>
      </w:pPr>
    </w:p>
    <w:p>
      <w:pPr>
        <w:pStyle w:val="Heading3"/>
        <w:spacing w:line="240" w:lineRule="auto"/>
        <w:ind w:right="99"/>
        <w:jc w:val="left"/>
        <w:rPr>
          <w:b w:val="0"/>
          <w:bCs w:val="0"/>
        </w:rPr>
      </w:pPr>
      <w:r>
        <w:rPr>
          <w:rFonts w:ascii="Arial" w:hAnsi="Arial" w:cs="Arial" w:eastAsia="Arial" w:hint="default"/>
        </w:rPr>
        <w:t>22</w:t>
      </w:r>
      <w:r>
        <w:rPr/>
        <w:t>、职工薪酬</w:t>
      </w:r>
      <w:r>
        <w:rPr>
          <w:b w:val="0"/>
          <w:bCs w:val="0"/>
        </w:rPr>
      </w:r>
    </w:p>
    <w:p>
      <w:pPr>
        <w:spacing w:line="240" w:lineRule="auto" w:before="6"/>
        <w:rPr>
          <w:rFonts w:ascii="宋体" w:hAnsi="宋体" w:cs="宋体" w:eastAsia="宋体" w:hint="default"/>
          <w:b/>
          <w:bCs/>
          <w:sz w:val="28"/>
          <w:szCs w:val="28"/>
        </w:rPr>
      </w:pPr>
    </w:p>
    <w:p>
      <w:pPr>
        <w:pStyle w:val="Heading3"/>
        <w:spacing w:line="240" w:lineRule="auto"/>
        <w:ind w:right="99"/>
        <w:jc w:val="left"/>
        <w:rPr>
          <w:b w:val="0"/>
          <w:bCs w:val="0"/>
        </w:rPr>
      </w:pPr>
      <w:r>
        <w:rPr/>
        <w:t>（</w:t>
      </w:r>
      <w:r>
        <w:rPr>
          <w:rFonts w:ascii="Arial" w:hAnsi="Arial" w:cs="Arial" w:eastAsia="Arial" w:hint="default"/>
        </w:rPr>
        <w:t>1</w:t>
      </w:r>
      <w:r>
        <w:rPr/>
        <w:t>）短期薪酬的会计处理方法</w:t>
      </w:r>
      <w:r>
        <w:rPr>
          <w:b w:val="0"/>
          <w:bCs w:val="0"/>
        </w:rPr>
      </w:r>
    </w:p>
    <w:p>
      <w:pPr>
        <w:spacing w:line="240" w:lineRule="auto" w:before="8"/>
        <w:rPr>
          <w:rFonts w:ascii="宋体" w:hAnsi="宋体" w:cs="宋体" w:eastAsia="宋体" w:hint="default"/>
          <w:b/>
          <w:bCs/>
          <w:sz w:val="28"/>
          <w:szCs w:val="28"/>
        </w:rPr>
      </w:pPr>
    </w:p>
    <w:p>
      <w:pPr>
        <w:pStyle w:val="BodyText"/>
        <w:spacing w:line="309" w:lineRule="auto"/>
        <w:ind w:right="254"/>
        <w:jc w:val="left"/>
      </w:pPr>
      <w:r>
        <w:rPr/>
        <w:t>企业应当在职工为其提供服务的会计期间，将实际发生的短期薪酬确认为负债，并计入当期 损益，其他会计准则要求或允许计入资产成本的除外。 企业发生的职工福利费，应当在实际发生时根据实际发生额计入当期损益或相关资产成本。 职工福利费为非货币性福利的，应当按照公允价值计量。 企业为职工缴纳的医疗保险费、工伤保险费、生育保险费等社会保险费和住房公积金，以及 按规定提取的工会经费和职工教育经费，应当在职工为其提供服务的会计期间，根据规定的 计提基础和计提比例计算确定相应的职工薪酬金额，并确认相应负债，计入当期损益或相关</w:t>
      </w:r>
    </w:p>
    <w:p>
      <w:pPr>
        <w:spacing w:after="0" w:line="309" w:lineRule="auto"/>
        <w:jc w:val="left"/>
        <w:sectPr>
          <w:pgSz w:w="11910" w:h="16840"/>
          <w:pgMar w:header="884" w:footer="1010" w:top="1140" w:bottom="1200" w:left="980" w:right="900"/>
        </w:sectPr>
      </w:pPr>
    </w:p>
    <w:p>
      <w:pPr>
        <w:spacing w:line="240" w:lineRule="auto" w:before="1"/>
        <w:rPr>
          <w:rFonts w:ascii="宋体" w:hAnsi="宋体" w:cs="宋体" w:eastAsia="宋体" w:hint="default"/>
          <w:sz w:val="20"/>
          <w:szCs w:val="20"/>
        </w:rPr>
      </w:pPr>
    </w:p>
    <w:p>
      <w:pPr>
        <w:pStyle w:val="BodyText"/>
        <w:spacing w:line="240" w:lineRule="auto" w:before="26"/>
        <w:ind w:right="99"/>
        <w:jc w:val="left"/>
      </w:pPr>
      <w:r>
        <w:rPr/>
        <w:t>资产成本。</w:t>
      </w:r>
    </w:p>
    <w:p>
      <w:pPr>
        <w:spacing w:line="240" w:lineRule="auto" w:before="12"/>
        <w:rPr>
          <w:rFonts w:ascii="宋体" w:hAnsi="宋体" w:cs="宋体" w:eastAsia="宋体" w:hint="default"/>
          <w:sz w:val="29"/>
          <w:szCs w:val="29"/>
        </w:rPr>
      </w:pPr>
    </w:p>
    <w:p>
      <w:pPr>
        <w:pStyle w:val="Heading3"/>
        <w:spacing w:line="240" w:lineRule="auto"/>
        <w:ind w:right="99"/>
        <w:jc w:val="left"/>
        <w:rPr>
          <w:b w:val="0"/>
          <w:bCs w:val="0"/>
        </w:rPr>
      </w:pPr>
      <w:r>
        <w:rPr/>
        <w:t>（</w:t>
      </w:r>
      <w:r>
        <w:rPr>
          <w:rFonts w:ascii="Arial" w:hAnsi="Arial" w:cs="Arial" w:eastAsia="Arial" w:hint="default"/>
        </w:rPr>
        <w:t>2</w:t>
      </w:r>
      <w:r>
        <w:rPr/>
        <w:t>）离职后福利的会计处理方法</w:t>
      </w:r>
      <w:r>
        <w:rPr>
          <w:b w:val="0"/>
          <w:bCs w:val="0"/>
        </w:rPr>
      </w:r>
    </w:p>
    <w:p>
      <w:pPr>
        <w:spacing w:line="240" w:lineRule="auto" w:before="8"/>
        <w:rPr>
          <w:rFonts w:ascii="宋体" w:hAnsi="宋体" w:cs="宋体" w:eastAsia="宋体" w:hint="default"/>
          <w:b/>
          <w:bCs/>
          <w:sz w:val="28"/>
          <w:szCs w:val="28"/>
        </w:rPr>
      </w:pPr>
    </w:p>
    <w:p>
      <w:pPr>
        <w:pStyle w:val="BodyText"/>
        <w:spacing w:line="309" w:lineRule="auto"/>
        <w:ind w:right="254"/>
        <w:jc w:val="left"/>
      </w:pPr>
      <w:r>
        <w:rPr/>
        <w:t>企业应当将离职后福利计划分类为设定提存计划和设定受益计划。 在职工为企业提供服务的会计期间，将根据设定提存计划计算的应缴存金额确认为负债，并 计入当期损益或相关资产成本。而企业应当根据预期累计福利单位法确定的公式将设定受益 计划产生的福利义务归属于职工提供服务的期间，并计入当期损益或相关资产成本。 企业对设定受益计划的会计处理通常包括下列四个步骤：</w:t>
      </w:r>
    </w:p>
    <w:p>
      <w:pPr>
        <w:pStyle w:val="BodyText"/>
        <w:spacing w:line="304" w:lineRule="auto" w:before="22"/>
        <w:ind w:right="232" w:firstLine="739"/>
        <w:jc w:val="both"/>
      </w:pPr>
      <w:r>
        <w:rPr>
          <w:rFonts w:ascii="Arial" w:hAnsi="Arial" w:cs="Arial" w:eastAsia="Arial" w:hint="default"/>
          <w:spacing w:val="-4"/>
        </w:rPr>
        <w:t>a</w:t>
      </w:r>
      <w:r>
        <w:rPr>
          <w:spacing w:val="-4"/>
        </w:rPr>
        <w:t>、根据预期累计福利单位法，采用无偏且相互一致的精算假设对有关人口统计变量和</w:t>
      </w:r>
      <w:r>
        <w:rPr/>
        <w:t> 财务变量等做出估计，计量设定受益计划所产生的义务，并确定相关义务的归属期间。企业 应当按照本准则第十五条规定的折现率将设定受益计划所产生的义务予以折现，以确定设定 受益计划义务的现值和当期服务成本。</w:t>
      </w:r>
    </w:p>
    <w:p>
      <w:pPr>
        <w:pStyle w:val="BodyText"/>
        <w:spacing w:line="307" w:lineRule="auto" w:before="26"/>
        <w:ind w:right="232" w:firstLine="739"/>
        <w:jc w:val="both"/>
      </w:pPr>
      <w:r>
        <w:rPr>
          <w:rFonts w:ascii="Arial" w:hAnsi="Arial" w:cs="Arial" w:eastAsia="Arial" w:hint="default"/>
          <w:spacing w:val="-4"/>
        </w:rPr>
        <w:t>b</w:t>
      </w:r>
      <w:r>
        <w:rPr>
          <w:spacing w:val="-4"/>
        </w:rPr>
        <w:t>、设定受益计划存在资产的，企业应当将设定受益计划义务现值减去设定受益计划资</w:t>
      </w:r>
      <w:r>
        <w:rPr/>
        <w:t> 产公允价值所形成的赤字或盈余确认为一项设定受益计划净负债或净资产。设定受益计划存 在盈余的，企业应当以设定受益计划的盈余和资产上限两项的孰低者计量设定受益计划净资 产。其中，资产上限，是指企业可从设定受益计划退款或减少未来对设定受益计划缴存资金 而获得的经济利益的现值。</w:t>
      </w:r>
    </w:p>
    <w:p>
      <w:pPr>
        <w:pStyle w:val="BodyText"/>
        <w:spacing w:line="292" w:lineRule="auto" w:before="24"/>
        <w:ind w:left="892" w:right="340"/>
        <w:jc w:val="left"/>
      </w:pPr>
      <w:r>
        <w:rPr>
          <w:rFonts w:ascii="Arial" w:hAnsi="Arial" w:cs="Arial" w:eastAsia="Arial" w:hint="default"/>
        </w:rPr>
        <w:t>c</w:t>
      </w:r>
      <w:r>
        <w:rPr/>
        <w:t>、根据准则第十六条的有关规定，确定应当计入当期损益的金额。 </w:t>
      </w:r>
      <w:r>
        <w:rPr>
          <w:rFonts w:ascii="Arial" w:hAnsi="Arial" w:cs="Arial" w:eastAsia="Arial" w:hint="default"/>
        </w:rPr>
        <w:t>d</w:t>
      </w:r>
      <w:r>
        <w:rPr/>
        <w:t>、根据准则第十六条和第十七条的有关规定，确定应当计入其他综合收益的金额。</w:t>
      </w:r>
    </w:p>
    <w:p>
      <w:pPr>
        <w:spacing w:line="240" w:lineRule="auto" w:before="1"/>
        <w:rPr>
          <w:rFonts w:ascii="宋体" w:hAnsi="宋体" w:cs="宋体" w:eastAsia="宋体" w:hint="default"/>
          <w:sz w:val="24"/>
          <w:szCs w:val="24"/>
        </w:rPr>
      </w:pPr>
    </w:p>
    <w:p>
      <w:pPr>
        <w:pStyle w:val="Heading3"/>
        <w:spacing w:line="240" w:lineRule="auto"/>
        <w:ind w:right="99"/>
        <w:jc w:val="left"/>
        <w:rPr>
          <w:b w:val="0"/>
          <w:bCs w:val="0"/>
        </w:rPr>
      </w:pPr>
      <w:r>
        <w:rPr/>
        <w:t>（</w:t>
      </w:r>
      <w:r>
        <w:rPr>
          <w:rFonts w:ascii="Arial" w:hAnsi="Arial" w:cs="Arial" w:eastAsia="Arial" w:hint="default"/>
        </w:rPr>
        <w:t>3</w:t>
      </w:r>
      <w:r>
        <w:rPr/>
        <w:t>）辞退福利的会计处理方法</w:t>
      </w:r>
      <w:r>
        <w:rPr>
          <w:b w:val="0"/>
          <w:bCs w:val="0"/>
        </w:rPr>
      </w:r>
    </w:p>
    <w:p>
      <w:pPr>
        <w:spacing w:line="240" w:lineRule="auto" w:before="8"/>
        <w:rPr>
          <w:rFonts w:ascii="宋体" w:hAnsi="宋体" w:cs="宋体" w:eastAsia="宋体" w:hint="default"/>
          <w:b/>
          <w:bCs/>
          <w:sz w:val="28"/>
          <w:szCs w:val="28"/>
        </w:rPr>
      </w:pPr>
    </w:p>
    <w:p>
      <w:pPr>
        <w:pStyle w:val="BodyText"/>
        <w:spacing w:line="304" w:lineRule="auto"/>
        <w:ind w:right="99"/>
        <w:jc w:val="left"/>
      </w:pPr>
      <w:r>
        <w:rPr/>
        <w:t>本公司向职工提供辞退福利的，在下列两者孰早日确认辞退福利产生的职工薪酬负债，并计 </w:t>
      </w:r>
      <w:r>
        <w:rPr>
          <w:spacing w:val="-6"/>
          <w:w w:val="99"/>
        </w:rPr>
        <w:t>入当期损益：</w:t>
      </w:r>
      <w:r>
        <w:rPr>
          <w:rFonts w:ascii="Arial" w:hAnsi="Arial" w:cs="Arial" w:eastAsia="Arial" w:hint="default"/>
          <w:spacing w:val="-6"/>
          <w:w w:val="99"/>
        </w:rPr>
        <w:t>a</w:t>
      </w:r>
      <w:r>
        <w:rPr>
          <w:spacing w:val="-6"/>
          <w:w w:val="99"/>
        </w:rPr>
        <w:t>、本公司不能单方面撤回因解除劳动关系计划或裁减建议所提供的辞退福利时。</w:t>
      </w:r>
      <w:r>
        <w:rPr>
          <w:spacing w:val="-84"/>
          <w:w w:val="99"/>
        </w:rPr>
        <w:t> </w:t>
      </w:r>
      <w:r>
        <w:rPr>
          <w:spacing w:val="-84"/>
          <w:w w:val="99"/>
        </w:rPr>
      </w:r>
      <w:r>
        <w:rPr>
          <w:rFonts w:ascii="Arial" w:hAnsi="Arial" w:cs="Arial" w:eastAsia="Arial" w:hint="default"/>
          <w:spacing w:val="-3"/>
        </w:rPr>
        <w:t>b</w:t>
      </w:r>
      <w:r>
        <w:rPr>
          <w:spacing w:val="-3"/>
        </w:rPr>
        <w:t>、本公司确认与涉及支付辞退福利的重组相关的成本或费用时。本公司按照辞退计划条款的</w:t>
      </w:r>
      <w:r>
        <w:rPr>
          <w:spacing w:val="-93"/>
        </w:rPr>
        <w:t> </w:t>
      </w:r>
      <w:r>
        <w:rPr>
          <w:spacing w:val="-93"/>
        </w:rPr>
      </w:r>
      <w:r>
        <w:rPr/>
        <w:t>规定，合理预计并确认辞退福利产生的应付职工薪酬。辞退福利预期在其确认的年度报告期 结束后十二个月内完全支付的，适用短期薪酬的相关规定；辞退福利预期在年度报告期结束 后十二个月内不能完全支付的，适用其他长期职工福利的有关规定。</w:t>
      </w:r>
    </w:p>
    <w:p>
      <w:pPr>
        <w:spacing w:line="240" w:lineRule="auto" w:before="13"/>
        <w:rPr>
          <w:rFonts w:ascii="宋体" w:hAnsi="宋体" w:cs="宋体" w:eastAsia="宋体" w:hint="default"/>
          <w:sz w:val="24"/>
          <w:szCs w:val="24"/>
        </w:rPr>
      </w:pPr>
    </w:p>
    <w:p>
      <w:pPr>
        <w:pStyle w:val="Heading3"/>
        <w:spacing w:line="240" w:lineRule="auto"/>
        <w:ind w:right="99"/>
        <w:jc w:val="left"/>
        <w:rPr>
          <w:b w:val="0"/>
          <w:bCs w:val="0"/>
        </w:rPr>
      </w:pPr>
      <w:r>
        <w:rPr/>
        <w:t>（</w:t>
      </w:r>
      <w:r>
        <w:rPr>
          <w:rFonts w:ascii="Arial" w:hAnsi="Arial" w:cs="Arial" w:eastAsia="Arial" w:hint="default"/>
        </w:rPr>
        <w:t>4</w:t>
      </w:r>
      <w:r>
        <w:rPr/>
        <w:t>）其他长期职工福利的会计处理方法</w:t>
      </w:r>
      <w:r>
        <w:rPr>
          <w:b w:val="0"/>
          <w:bCs w:val="0"/>
        </w:rPr>
      </w:r>
    </w:p>
    <w:p>
      <w:pPr>
        <w:spacing w:line="240" w:lineRule="auto" w:before="8"/>
        <w:rPr>
          <w:rFonts w:ascii="宋体" w:hAnsi="宋体" w:cs="宋体" w:eastAsia="宋体" w:hint="default"/>
          <w:b/>
          <w:bCs/>
          <w:sz w:val="28"/>
          <w:szCs w:val="28"/>
        </w:rPr>
      </w:pPr>
    </w:p>
    <w:p>
      <w:pPr>
        <w:pStyle w:val="BodyText"/>
        <w:spacing w:line="309" w:lineRule="auto"/>
        <w:ind w:right="229"/>
        <w:jc w:val="both"/>
      </w:pPr>
      <w:r>
        <w:rPr/>
        <w:t>本公司向职工提供的其他长期职工福利，符合设定提存计划条件的，适用关于设定提存计划 的有关规定进行处理。除此情形外，适用关于设定受益计划的有关规定，确认和计量其他长 期职工福利净负债或净资产。在报告期末，将其他长期职工福利产生的职工薪酬成本确认为 </w:t>
      </w:r>
      <w:r>
        <w:rPr>
          <w:spacing w:val="-3"/>
        </w:rPr>
        <w:t>下列组成部分：</w:t>
      </w:r>
      <w:r>
        <w:rPr>
          <w:rFonts w:ascii="Arial" w:hAnsi="Arial" w:cs="Arial" w:eastAsia="Arial" w:hint="default"/>
          <w:spacing w:val="-3"/>
        </w:rPr>
        <w:t>a</w:t>
      </w:r>
      <w:r>
        <w:rPr>
          <w:spacing w:val="-3"/>
        </w:rPr>
        <w:t>、服务成本。</w:t>
      </w:r>
      <w:r>
        <w:rPr>
          <w:rFonts w:ascii="Arial" w:hAnsi="Arial" w:cs="Arial" w:eastAsia="Arial" w:hint="default"/>
          <w:spacing w:val="-3"/>
        </w:rPr>
        <w:t>b</w:t>
      </w:r>
      <w:r>
        <w:rPr>
          <w:spacing w:val="-3"/>
        </w:rPr>
        <w:t>、其他长期职工福利净负债或净资产的利息净额。</w:t>
      </w:r>
      <w:r>
        <w:rPr>
          <w:rFonts w:ascii="Arial" w:hAnsi="Arial" w:cs="Arial" w:eastAsia="Arial" w:hint="default"/>
          <w:spacing w:val="-3"/>
        </w:rPr>
        <w:t>c</w:t>
      </w:r>
      <w:r>
        <w:rPr>
          <w:spacing w:val="-3"/>
        </w:rPr>
        <w:t>、重新计</w:t>
      </w:r>
    </w:p>
    <w:p>
      <w:pPr>
        <w:spacing w:after="0" w:line="309" w:lineRule="auto"/>
        <w:jc w:val="both"/>
        <w:sectPr>
          <w:footerReference w:type="default" r:id="rId45"/>
          <w:pgSz w:w="11910" w:h="16840"/>
          <w:pgMar w:footer="1010" w:header="884" w:top="1140" w:bottom="1200" w:left="980" w:right="900"/>
          <w:pgNumType w:start="107"/>
        </w:sectPr>
      </w:pPr>
    </w:p>
    <w:p>
      <w:pPr>
        <w:spacing w:line="240" w:lineRule="auto" w:before="1"/>
        <w:rPr>
          <w:rFonts w:ascii="宋体" w:hAnsi="宋体" w:cs="宋体" w:eastAsia="宋体" w:hint="default"/>
          <w:sz w:val="20"/>
          <w:szCs w:val="20"/>
        </w:rPr>
      </w:pPr>
    </w:p>
    <w:p>
      <w:pPr>
        <w:pStyle w:val="BodyText"/>
        <w:spacing w:line="309" w:lineRule="auto" w:before="26"/>
        <w:ind w:right="174"/>
        <w:jc w:val="left"/>
      </w:pPr>
      <w:r>
        <w:rPr/>
        <w:t>量其他长期职工福利净负债或净资产所产生的变动。上述项目的总净额应计入当期损益或相 关资产成本。</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Arial" w:hAnsi="Arial" w:cs="Arial" w:eastAsia="Arial" w:hint="default"/>
        </w:rPr>
        <w:t>23</w:t>
      </w:r>
      <w:r>
        <w:rPr/>
        <w:t>、预计负债</w:t>
      </w:r>
      <w:r>
        <w:rPr>
          <w:b w:val="0"/>
          <w:bCs w:val="0"/>
        </w:rPr>
      </w:r>
    </w:p>
    <w:p>
      <w:pPr>
        <w:spacing w:line="240" w:lineRule="auto" w:before="8"/>
        <w:rPr>
          <w:rFonts w:ascii="宋体" w:hAnsi="宋体" w:cs="宋体" w:eastAsia="宋体" w:hint="default"/>
          <w:b/>
          <w:bCs/>
          <w:sz w:val="28"/>
          <w:szCs w:val="28"/>
        </w:rPr>
      </w:pPr>
    </w:p>
    <w:p>
      <w:pPr>
        <w:pStyle w:val="BodyText"/>
        <w:spacing w:line="309" w:lineRule="auto"/>
        <w:ind w:right="174"/>
        <w:jc w:val="left"/>
      </w:pPr>
      <w:r>
        <w:rPr/>
        <w:t>本公司涉及诉讼、债务担保等事项时，如果该事项很可能需要未来以交付资产或提供劳务、 其金额能够可靠计量的，确认为预计负债。</w:t>
      </w:r>
    </w:p>
    <w:p>
      <w:pPr>
        <w:pStyle w:val="BodyText"/>
        <w:spacing w:line="292" w:lineRule="auto" w:before="22"/>
        <w:ind w:right="2574"/>
        <w:jc w:val="left"/>
      </w:pPr>
      <w:r>
        <w:rPr/>
        <w:t>（</w:t>
      </w:r>
      <w:r>
        <w:rPr>
          <w:rFonts w:ascii="Arial" w:hAnsi="Arial" w:cs="Arial" w:eastAsia="Arial" w:hint="default"/>
        </w:rPr>
        <w:t>1</w:t>
      </w:r>
      <w:r>
        <w:rPr/>
        <w:t>）预计负债的确认标准： 与或有事项相关的义务同时满足下列条件的，应当确认为预计负债：</w:t>
      </w:r>
    </w:p>
    <w:p>
      <w:pPr>
        <w:pStyle w:val="BodyText"/>
        <w:spacing w:line="292" w:lineRule="auto" w:before="39"/>
        <w:ind w:left="892" w:right="3860"/>
        <w:jc w:val="left"/>
      </w:pPr>
      <w:r>
        <w:rPr>
          <w:rFonts w:ascii="Arial" w:hAnsi="Arial" w:cs="Arial" w:eastAsia="Arial" w:hint="default"/>
        </w:rPr>
        <w:t>a</w:t>
      </w:r>
      <w:r>
        <w:rPr/>
        <w:t>．该义务是本公司承担的现时义务； </w:t>
      </w:r>
      <w:r>
        <w:rPr>
          <w:rFonts w:ascii="Arial" w:hAnsi="Arial" w:cs="Arial" w:eastAsia="Arial" w:hint="default"/>
        </w:rPr>
        <w:t>b</w:t>
      </w:r>
      <w:r>
        <w:rPr/>
        <w:t>．履行该义务很可能导致经济利益流出本公司； </w:t>
      </w:r>
      <w:r>
        <w:rPr>
          <w:rFonts w:ascii="Arial" w:hAnsi="Arial" w:cs="Arial" w:eastAsia="Arial" w:hint="default"/>
        </w:rPr>
        <w:t>c</w:t>
      </w:r>
      <w:r>
        <w:rPr/>
        <w:t>．该义务的金额能够可靠地计量。</w:t>
      </w:r>
    </w:p>
    <w:p>
      <w:pPr>
        <w:pStyle w:val="BodyText"/>
        <w:spacing w:line="292" w:lineRule="auto" w:before="15"/>
        <w:ind w:right="1614"/>
        <w:jc w:val="left"/>
      </w:pPr>
      <w:r>
        <w:rPr/>
        <w:t>（</w:t>
      </w:r>
      <w:r>
        <w:rPr>
          <w:rFonts w:ascii="Arial" w:hAnsi="Arial" w:cs="Arial" w:eastAsia="Arial" w:hint="default"/>
        </w:rPr>
        <w:t>2</w:t>
      </w:r>
      <w:r>
        <w:rPr/>
        <w:t>）预计负债的计量方法： 本公司预计负债按履行相关现时义务所需的支出的最佳估计数进行初始计量。</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Arial" w:hAnsi="Arial" w:cs="Arial" w:eastAsia="Arial" w:hint="default"/>
        </w:rPr>
        <w:t>24</w:t>
      </w:r>
      <w:r>
        <w:rPr/>
        <w:t>、股份支付</w:t>
      </w:r>
      <w:r>
        <w:rPr>
          <w:b w:val="0"/>
          <w:bCs w:val="0"/>
        </w:rPr>
      </w:r>
    </w:p>
    <w:p>
      <w:pPr>
        <w:spacing w:line="240" w:lineRule="auto" w:before="8"/>
        <w:rPr>
          <w:rFonts w:ascii="宋体" w:hAnsi="宋体" w:cs="宋体" w:eastAsia="宋体" w:hint="default"/>
          <w:b/>
          <w:bCs/>
          <w:sz w:val="28"/>
          <w:szCs w:val="28"/>
        </w:rPr>
      </w:pPr>
    </w:p>
    <w:p>
      <w:pPr>
        <w:pStyle w:val="BodyText"/>
        <w:spacing w:line="302" w:lineRule="auto"/>
        <w:ind w:right="174"/>
        <w:jc w:val="left"/>
      </w:pPr>
      <w:r>
        <w:rPr/>
        <w:t>（</w:t>
      </w:r>
      <w:r>
        <w:rPr>
          <w:rFonts w:ascii="Arial" w:hAnsi="Arial" w:cs="Arial" w:eastAsia="Arial" w:hint="default"/>
        </w:rPr>
        <w:t>1</w:t>
      </w:r>
      <w:r>
        <w:rPr/>
        <w:t>）股份支付的会计处理方法 股份支付是为了获取职工或其他方提供服务而授予权益工具或者承担以权益工具为基础确定 的负债的交易。股份支付分为以权益结算的股份支付和以现金结算的股份支付。</w:t>
      </w:r>
    </w:p>
    <w:p>
      <w:pPr>
        <w:pStyle w:val="BodyText"/>
        <w:spacing w:line="309" w:lineRule="auto" w:before="29"/>
        <w:ind w:right="148"/>
        <w:jc w:val="left"/>
      </w:pPr>
      <w:r>
        <w:rPr/>
        <w:t>①以权益结算的股份支付 用以换取职工提供的服务的权益结算的股份支付，以授予职工权益工具在授予日的公允价值 计量。该公允价值的金额在完成等待期内的服务或达到规定业绩条件才可行权的情况下，在 </w:t>
      </w:r>
      <w:r>
        <w:rPr>
          <w:spacing w:val="-1"/>
        </w:rPr>
        <w:t>等待期内以对可行权权益工具数量的最佳估计为基础，按直线法计算计入相关成本或费用</w:t>
      </w:r>
      <w:r>
        <w:rPr>
          <w:rFonts w:ascii="Arial" w:hAnsi="Arial" w:cs="Arial" w:eastAsia="Arial" w:hint="default"/>
          <w:spacing w:val="-1"/>
        </w:rPr>
        <w:t>/</w:t>
      </w:r>
      <w:r>
        <w:rPr>
          <w:spacing w:val="-1"/>
        </w:rPr>
        <w:t>在</w:t>
      </w:r>
      <w:r>
        <w:rPr>
          <w:spacing w:val="-106"/>
        </w:rPr>
        <w:t> </w:t>
      </w:r>
      <w:r>
        <w:rPr/>
        <w:t>授予后立即可行权时，在授予日计入相关成本或费用，相应增加资本公积。 在等待期内每个资产负债表日，本公司根据最新取得的可行权职工人数变动等后续信息做出 最佳估计，修正预计可行权的权益工具数量。上述估计的影响计入当期相关成本或费用，并 相应调整资本公积。 用以换取其他方服务的权益结算的股份支付，如果其他方服务的公允价值能够可靠计量，按 照其他方服务在取得日的公允价值计量，如果其他方服务的公允价值不能可靠计量，但权益 工具的公允价值能够可靠计量的，按照权益工具在服务取得日的公允价值计量，计入相关成 本或费用，相应增加股东权益。</w:t>
      </w:r>
    </w:p>
    <w:p>
      <w:pPr>
        <w:pStyle w:val="BodyText"/>
        <w:spacing w:line="309" w:lineRule="auto" w:before="22"/>
        <w:ind w:right="174"/>
        <w:jc w:val="left"/>
      </w:pPr>
      <w:r>
        <w:rPr/>
        <w:t>②以现金结算的股份支付 以现金结算的股份支付，按照本公司承担的以股份或其他权益工具为基础确定的负债的公允 价值计量。如授予后立即可行权，在授予日计入相关成本或费用，相应增加负债；如须完成</w:t>
      </w:r>
    </w:p>
    <w:p>
      <w:pPr>
        <w:spacing w:after="0" w:line="309" w:lineRule="auto"/>
        <w:jc w:val="left"/>
        <w:sectPr>
          <w:footerReference w:type="default" r:id="rId46"/>
          <w:pgSz w:w="11910" w:h="16840"/>
          <w:pgMar w:footer="1010" w:header="884" w:top="1140" w:bottom="1200" w:left="980" w:right="980"/>
          <w:pgNumType w:start="108"/>
        </w:sectPr>
      </w:pPr>
    </w:p>
    <w:p>
      <w:pPr>
        <w:spacing w:line="240" w:lineRule="auto" w:before="1"/>
        <w:rPr>
          <w:rFonts w:ascii="宋体" w:hAnsi="宋体" w:cs="宋体" w:eastAsia="宋体" w:hint="default"/>
          <w:sz w:val="20"/>
          <w:szCs w:val="20"/>
        </w:rPr>
      </w:pPr>
    </w:p>
    <w:p>
      <w:pPr>
        <w:pStyle w:val="BodyText"/>
        <w:spacing w:line="309" w:lineRule="auto" w:before="26"/>
        <w:ind w:right="174"/>
        <w:jc w:val="left"/>
      </w:pPr>
      <w:r>
        <w:rPr/>
        <w:t>等待期内的服务或达到规定业绩条件以后才可行权，在等待期的每个资产负债表日，以对可 行权情况的最佳估计为基础，按照本公司承担负债的公允价值金额，将当期取得的服务计入 成本或费用，相应增加负债。 在相关负债结算前的每个资产负债表日以及结算日，对负债的公允价值重新计量，其变动计 入当期损益。</w:t>
      </w:r>
    </w:p>
    <w:p>
      <w:pPr>
        <w:pStyle w:val="BodyText"/>
        <w:spacing w:line="307" w:lineRule="auto" w:before="22"/>
        <w:ind w:right="174"/>
        <w:jc w:val="left"/>
      </w:pPr>
      <w:r>
        <w:rPr/>
        <w:t>（</w:t>
      </w:r>
      <w:r>
        <w:rPr>
          <w:rFonts w:ascii="Arial" w:hAnsi="Arial" w:cs="Arial" w:eastAsia="Arial" w:hint="default"/>
        </w:rPr>
        <w:t>2</w:t>
      </w:r>
      <w:r>
        <w:rPr/>
        <w:t>）修改、终止股份支付计划的相关会计处理 本公司对股份支付计划进行修改时，若修改增加了所授予权益工具的公允价值，按照权益工 具公允价值的增加相应确认取得服务的增加。权益工具公允价值的增加是指修改前后的权益 工具在修改日的公允价值之间的差额。若修改减少了股份支付公允价值总额或采用了其他不 利于职工的方式，则仍继续对取得的服务进行会计处理，视同该变更从未发生，除非本公司 取消了部分或全部已授予的权益工具。 在等待期内，如果取消了授予的权益工具，本公司对取消所授予的权益性工具作为加速行权 处理，将剩余等待期内应确认的金额立即计入当期损益，同时确认资本公积。职工或其他方 能够选择满足非可行权条件但在等待期内未满足的，本公司将其作为授予权益工具的取消处 理。</w:t>
      </w:r>
    </w:p>
    <w:p>
      <w:pPr>
        <w:pStyle w:val="BodyText"/>
        <w:spacing w:line="302" w:lineRule="auto" w:before="24"/>
        <w:ind w:right="174"/>
        <w:jc w:val="left"/>
      </w:pPr>
      <w:r>
        <w:rPr/>
        <w:t>（</w:t>
      </w:r>
      <w:r>
        <w:rPr>
          <w:rFonts w:ascii="Arial" w:hAnsi="Arial" w:cs="Arial" w:eastAsia="Arial" w:hint="default"/>
        </w:rPr>
        <w:t>3</w:t>
      </w:r>
      <w:r>
        <w:rPr/>
        <w:t>）涉及本公司与本公司股东或实际控制人的股份支付交易的会计处理 涉及本公司与本公司股东或实际控制人的股份支付交易，结算企业与接受服务企业中其一在 本公司内，另一在本公司外的，在本公司合并财务报表中按照以下规定进行会计处理：</w:t>
      </w:r>
    </w:p>
    <w:p>
      <w:pPr>
        <w:pStyle w:val="BodyText"/>
        <w:spacing w:line="309" w:lineRule="auto" w:before="29"/>
        <w:ind w:right="174"/>
        <w:jc w:val="left"/>
      </w:pPr>
      <w:r>
        <w:rPr/>
        <w:t>①结算企业以其本身权益工具结算的，将该股份支付交易作为权益结算的股份支付处理；除 此之外，作为现金结算的股份支付处理。 结算企业是接受服务企业的投资者的，按照授予日权益工具的公允价值或应承担负债的公允 价值确认为对接受服务企业的长期股权投资，同时确认资本公积（其他资本公积）或负债。</w:t>
      </w:r>
    </w:p>
    <w:p>
      <w:pPr>
        <w:pStyle w:val="BodyText"/>
        <w:spacing w:line="309" w:lineRule="auto" w:before="22"/>
        <w:ind w:right="174"/>
        <w:jc w:val="left"/>
      </w:pPr>
      <w:r>
        <w:rPr/>
        <w:t>②接受服务企业没有结算义务或授予本企业职工的是其本身权益工具的，将该股份支付交易 作为权益结算的股份支付处理；接受服务企业具有结算义务且授予本企业职工的并非其本身 权益工具的，将该股份支付交易作为现金结算的股份支付处理。 本公司内各企业之间发生的股份支付交易，接受服务企业和结算企业不是同一企业的，在接 受服务企业和结算企业各自的个别财务报表中对该股份支付交易的确认和计量，比照上述原 则处理。</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Arial" w:hAnsi="Arial" w:cs="Arial" w:eastAsia="Arial" w:hint="default"/>
        </w:rPr>
        <w:t>25</w:t>
      </w:r>
      <w:r>
        <w:rPr/>
        <w:t>、优先股、永续债等其他金融工具</w:t>
      </w:r>
      <w:r>
        <w:rPr>
          <w:b w:val="0"/>
          <w:bCs w:val="0"/>
        </w:rPr>
      </w:r>
    </w:p>
    <w:p>
      <w:pPr>
        <w:spacing w:line="240" w:lineRule="auto" w:before="8"/>
        <w:rPr>
          <w:rFonts w:ascii="宋体" w:hAnsi="宋体" w:cs="宋体" w:eastAsia="宋体" w:hint="default"/>
          <w:b/>
          <w:bCs/>
          <w:sz w:val="28"/>
          <w:szCs w:val="28"/>
        </w:rPr>
      </w:pPr>
    </w:p>
    <w:p>
      <w:pPr>
        <w:pStyle w:val="BodyText"/>
        <w:spacing w:line="381" w:lineRule="auto"/>
        <w:ind w:right="1134"/>
        <w:jc w:val="left"/>
      </w:pPr>
      <w:r>
        <w:rPr/>
        <w:t>（</w:t>
      </w:r>
      <w:r>
        <w:rPr>
          <w:rFonts w:ascii="Arial" w:hAnsi="Arial" w:cs="Arial" w:eastAsia="Arial" w:hint="default"/>
        </w:rPr>
        <w:t>1</w:t>
      </w:r>
      <w:r>
        <w:rPr/>
        <w:t>）永续债和优先股等的区分 本公司发行的永续债和优先股等金融工具，同时符合以下条件的，作为权益工具：</w:t>
      </w:r>
    </w:p>
    <w:p>
      <w:pPr>
        <w:pStyle w:val="BodyText"/>
        <w:spacing w:line="240" w:lineRule="auto" w:before="70"/>
        <w:ind w:right="0"/>
        <w:jc w:val="left"/>
      </w:pPr>
      <w:r>
        <w:rPr/>
        <w:t>①该金融工具不包括交付现金或其他金融资产给其他方，或在潜在不利条件下与其他方交换</w:t>
      </w:r>
    </w:p>
    <w:p>
      <w:pPr>
        <w:spacing w:after="0" w:line="240" w:lineRule="auto"/>
        <w:jc w:val="left"/>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240" w:lineRule="auto" w:before="26"/>
        <w:ind w:right="99"/>
        <w:jc w:val="left"/>
      </w:pPr>
      <w:r>
        <w:rPr/>
        <w:t>金融资产或金融负债的合同义务；</w:t>
      </w:r>
    </w:p>
    <w:p>
      <w:pPr>
        <w:pStyle w:val="BodyText"/>
        <w:spacing w:line="309" w:lineRule="auto" w:before="211"/>
        <w:ind w:right="236"/>
        <w:jc w:val="both"/>
      </w:pPr>
      <w:r>
        <w:rPr/>
        <w:t>②如将来须用或可用企业自身权益工具结算该金融工具的，如该金融工具为非衍生工具，则</w:t>
      </w:r>
      <w:r>
        <w:rPr>
          <w:spacing w:val="-90"/>
        </w:rPr>
        <w:t> </w:t>
      </w:r>
      <w:r>
        <w:rPr>
          <w:spacing w:val="-90"/>
        </w:rPr>
      </w:r>
      <w:r>
        <w:rPr/>
        <w:t>不包括交付可变数量的自身权益工具进行结算的合同义务；如为衍生工具，则本公司只能通</w:t>
      </w:r>
      <w:r>
        <w:rPr>
          <w:spacing w:val="-91"/>
        </w:rPr>
        <w:t> </w:t>
      </w:r>
      <w:r>
        <w:rPr>
          <w:spacing w:val="-91"/>
        </w:rPr>
      </w:r>
      <w:r>
        <w:rPr/>
        <w:t>过以固定数量的自身权益工具交换固定金额的现金或其他金融资产结算该金融工具。</w:t>
      </w:r>
    </w:p>
    <w:p>
      <w:pPr>
        <w:pStyle w:val="BodyText"/>
        <w:spacing w:line="309" w:lineRule="auto" w:before="142"/>
        <w:ind w:right="233" w:firstLine="420"/>
        <w:jc w:val="both"/>
      </w:pPr>
      <w:r>
        <w:rPr>
          <w:spacing w:val="2"/>
        </w:rPr>
        <w:t>除按上述条件可归类为权益工具的金融工具以外，本公司发行的其他金融工具应归类为 </w:t>
      </w:r>
      <w:r>
        <w:rPr/>
        <w:t>金融负债。</w:t>
      </w:r>
    </w:p>
    <w:p>
      <w:pPr>
        <w:pStyle w:val="BodyText"/>
        <w:spacing w:line="302" w:lineRule="auto" w:before="142"/>
        <w:ind w:right="113" w:firstLine="420"/>
        <w:jc w:val="both"/>
      </w:pPr>
      <w:r>
        <w:rPr>
          <w:spacing w:val="2"/>
        </w:rPr>
        <w:t>本公司发行的金融工具为复合金融工具的，按照负债成分的公允价值确认为一项负债， 按实际收到的金额扣除负债成分的公允价值后的金额，确认为</w:t>
      </w:r>
      <w:r>
        <w:rPr>
          <w:rFonts w:ascii="Arial" w:hAnsi="Arial" w:cs="Arial" w:eastAsia="Arial" w:hint="default"/>
          <w:spacing w:val="2"/>
        </w:rPr>
        <w:t>“</w:t>
      </w:r>
      <w:r>
        <w:rPr>
          <w:spacing w:val="2"/>
        </w:rPr>
        <w:t>其他权益工具</w:t>
      </w:r>
      <w:r>
        <w:rPr>
          <w:rFonts w:ascii="Arial" w:hAnsi="Arial" w:cs="Arial" w:eastAsia="Arial" w:hint="default"/>
          <w:spacing w:val="2"/>
        </w:rPr>
        <w:t>”</w:t>
      </w:r>
      <w:r>
        <w:rPr>
          <w:spacing w:val="2"/>
        </w:rPr>
        <w:t>。发行复合金</w:t>
      </w:r>
      <w:r>
        <w:rPr>
          <w:spacing w:val="-94"/>
        </w:rPr>
        <w:t> </w:t>
      </w:r>
      <w:r>
        <w:rPr>
          <w:spacing w:val="-94"/>
        </w:rPr>
      </w:r>
      <w:r>
        <w:rPr>
          <w:spacing w:val="-2"/>
        </w:rPr>
        <w:t>融工具发生的交易费用，在负债成分和权益成分之间按照各自占总发行价款的比例进行分摊。</w:t>
      </w:r>
    </w:p>
    <w:p>
      <w:pPr>
        <w:pStyle w:val="BodyText"/>
        <w:spacing w:line="381" w:lineRule="auto" w:before="149"/>
        <w:ind w:left="573" w:right="99" w:hanging="421"/>
        <w:jc w:val="left"/>
      </w:pPr>
      <w:r>
        <w:rPr/>
        <w:t>（</w:t>
      </w:r>
      <w:r>
        <w:rPr>
          <w:rFonts w:ascii="Arial" w:hAnsi="Arial" w:cs="Arial" w:eastAsia="Arial" w:hint="default"/>
        </w:rPr>
        <w:t>2</w:t>
      </w:r>
      <w:r>
        <w:rPr/>
        <w:t>）永续债和优先股等的会计处理方法 </w:t>
      </w:r>
      <w:r>
        <w:rPr>
          <w:spacing w:val="2"/>
        </w:rPr>
        <w:t>归类为金融负债的永续债和优先股等金融工具，其相关利息、股利（或股息）、利得或</w:t>
      </w:r>
      <w:r>
        <w:rPr/>
      </w:r>
    </w:p>
    <w:p>
      <w:pPr>
        <w:pStyle w:val="BodyText"/>
        <w:spacing w:line="264" w:lineRule="exact"/>
        <w:ind w:right="99"/>
        <w:jc w:val="left"/>
      </w:pPr>
      <w:r>
        <w:rPr/>
        <w:t>损失，以及赎回或再融资产生的利得或损失等，除符合资本化条件的借款费用以外，均计入</w:t>
      </w:r>
    </w:p>
    <w:p>
      <w:pPr>
        <w:pStyle w:val="BodyText"/>
        <w:spacing w:line="240" w:lineRule="auto" w:before="91"/>
        <w:ind w:right="99"/>
        <w:jc w:val="left"/>
      </w:pPr>
      <w:r>
        <w:rPr/>
        <w:t>当期损益。</w:t>
      </w:r>
    </w:p>
    <w:p>
      <w:pPr>
        <w:pStyle w:val="BodyText"/>
        <w:spacing w:line="309" w:lineRule="auto" w:before="211"/>
        <w:ind w:right="233" w:firstLine="420"/>
        <w:jc w:val="both"/>
      </w:pPr>
      <w:r>
        <w:rPr>
          <w:spacing w:val="2"/>
        </w:rPr>
        <w:t>归类为权益工具的永续债和优先股等金融工具，其发行（含再融资）、回购、出售或注 </w:t>
      </w:r>
      <w:r>
        <w:rPr/>
        <w:t>销时，本公司作为权益的变动处理，相关交易费用亦从权益中扣减。本公司对权益工具持有</w:t>
      </w:r>
      <w:r>
        <w:rPr>
          <w:spacing w:val="-91"/>
        </w:rPr>
        <w:t> </w:t>
      </w:r>
      <w:r>
        <w:rPr>
          <w:spacing w:val="-91"/>
        </w:rPr>
      </w:r>
      <w:r>
        <w:rPr/>
        <w:t>方的分配作为利润分配处理。</w:t>
      </w:r>
    </w:p>
    <w:p>
      <w:pPr>
        <w:pStyle w:val="BodyText"/>
        <w:spacing w:line="240" w:lineRule="auto" w:before="142"/>
        <w:ind w:right="99"/>
        <w:jc w:val="left"/>
      </w:pPr>
      <w:r>
        <w:rPr/>
        <w:t>本公司不确认权益工具的公允价值变动。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69"/>
        <w:ind w:right="99"/>
        <w:jc w:val="left"/>
        <w:rPr>
          <w:b w:val="0"/>
          <w:bCs w:val="0"/>
        </w:rPr>
      </w:pPr>
      <w:r>
        <w:rPr>
          <w:rFonts w:ascii="Arial" w:hAnsi="Arial" w:cs="Arial" w:eastAsia="Arial" w:hint="default"/>
        </w:rPr>
        <w:t>26</w:t>
      </w:r>
      <w:r>
        <w:rPr/>
        <w:t>、收入</w:t>
      </w:r>
      <w:r>
        <w:rPr>
          <w:b w:val="0"/>
          <w:bCs w:val="0"/>
        </w:rPr>
      </w:r>
    </w:p>
    <w:p>
      <w:pPr>
        <w:spacing w:line="240" w:lineRule="auto" w:before="8"/>
        <w:rPr>
          <w:rFonts w:ascii="宋体" w:hAnsi="宋体" w:cs="宋体" w:eastAsia="宋体" w:hint="default"/>
          <w:b/>
          <w:bCs/>
          <w:sz w:val="28"/>
          <w:szCs w:val="28"/>
        </w:rPr>
      </w:pPr>
    </w:p>
    <w:p>
      <w:pPr>
        <w:pStyle w:val="BodyText"/>
        <w:spacing w:line="381" w:lineRule="auto"/>
        <w:ind w:left="364" w:right="99" w:firstLine="105"/>
        <w:jc w:val="left"/>
      </w:pPr>
      <w:r>
        <w:rPr>
          <w:rFonts w:ascii="Arial" w:hAnsi="Arial" w:cs="Arial" w:eastAsia="Arial" w:hint="default"/>
        </w:rPr>
        <w:t>1</w:t>
      </w:r>
      <w:r>
        <w:rPr/>
        <w:t>、销售商品收入确认和计量原则： 本公司已将商品所有权上的主要风险和报酬转移给购货方；本公司既没有保留通常与所有</w:t>
      </w:r>
    </w:p>
    <w:p>
      <w:pPr>
        <w:pStyle w:val="BodyText"/>
        <w:spacing w:line="281" w:lineRule="exact"/>
        <w:ind w:right="99"/>
        <w:jc w:val="left"/>
      </w:pPr>
      <w:r>
        <w:rPr/>
        <w:t>权相联系的继续管理权</w:t>
      </w:r>
      <w:r>
        <w:rPr>
          <w:rFonts w:ascii="Arial" w:hAnsi="Arial" w:cs="Arial" w:eastAsia="Arial" w:hint="default"/>
        </w:rPr>
        <w:t>,</w:t>
      </w:r>
      <w:r>
        <w:rPr/>
        <w:t>也没有对已售出的商品实施控制；与交易相关的经济利益能够流入本</w:t>
      </w:r>
    </w:p>
    <w:p>
      <w:pPr>
        <w:pStyle w:val="BodyText"/>
        <w:spacing w:line="391" w:lineRule="auto" w:before="74"/>
        <w:ind w:left="573" w:right="99" w:hanging="421"/>
        <w:jc w:val="left"/>
      </w:pPr>
      <w:r>
        <w:rPr/>
        <w:t>公司；相关的收入和成本能够可靠地计量。 </w:t>
      </w:r>
      <w:r>
        <w:rPr>
          <w:rFonts w:ascii="Arial" w:hAnsi="Arial" w:cs="Arial" w:eastAsia="Arial" w:hint="default"/>
        </w:rPr>
        <w:t>2</w:t>
      </w:r>
      <w:r>
        <w:rPr/>
        <w:t>、按照完工百分比法确认提供劳务的收入和建造合同收入的确认和计量原则： 本公司在同一会计年度内开始并完成的劳务，在完成劳务时确认收入；</w:t>
      </w:r>
    </w:p>
    <w:p>
      <w:pPr>
        <w:pStyle w:val="BodyText"/>
        <w:spacing w:line="302" w:lineRule="auto" w:before="60"/>
        <w:ind w:right="234" w:firstLine="420"/>
        <w:jc w:val="both"/>
      </w:pPr>
      <w:r>
        <w:rPr/>
        <w:t>本公司劳务的开始和完成分属不同的会计年度</w:t>
      </w:r>
      <w:r>
        <w:rPr>
          <w:rFonts w:ascii="Arial" w:hAnsi="Arial" w:cs="Arial" w:eastAsia="Arial" w:hint="default"/>
        </w:rPr>
        <w:t>,</w:t>
      </w:r>
      <w:r>
        <w:rPr/>
        <w:t>在资产负债表日提供劳务交易的结果能够 可靠估计的情况下，于资产负债表日按完工百分比法确认相关的劳务收入。提供劳务交易的</w:t>
      </w:r>
      <w:r>
        <w:rPr>
          <w:spacing w:val="-90"/>
        </w:rPr>
        <w:t> </w:t>
      </w:r>
      <w:r>
        <w:rPr>
          <w:spacing w:val="-90"/>
        </w:rPr>
      </w:r>
      <w:r>
        <w:rPr/>
        <w:t>完工进度，依据已完工作的测量确定。</w:t>
      </w:r>
    </w:p>
    <w:p>
      <w:pPr>
        <w:pStyle w:val="BodyText"/>
        <w:spacing w:line="240" w:lineRule="auto" w:before="149"/>
        <w:ind w:left="467" w:right="99"/>
        <w:jc w:val="left"/>
      </w:pPr>
      <w:r>
        <w:rPr/>
        <w:t>在资产负债表日提供劳务交易结果不能够可靠估计的，分别下列情况处理：</w:t>
      </w:r>
    </w:p>
    <w:p>
      <w:pPr>
        <w:spacing w:after="0" w:line="240" w:lineRule="auto"/>
        <w:jc w:val="left"/>
        <w:sectPr>
          <w:footerReference w:type="default" r:id="rId47"/>
          <w:pgSz w:w="11910" w:h="16840"/>
          <w:pgMar w:footer="1010" w:header="884" w:top="1140" w:bottom="1200" w:left="980" w:right="900"/>
        </w:sectPr>
      </w:pPr>
    </w:p>
    <w:p>
      <w:pPr>
        <w:spacing w:line="240" w:lineRule="auto" w:before="1"/>
        <w:rPr>
          <w:rFonts w:ascii="宋体" w:hAnsi="宋体" w:cs="宋体" w:eastAsia="宋体" w:hint="default"/>
          <w:sz w:val="20"/>
          <w:szCs w:val="20"/>
        </w:rPr>
      </w:pPr>
    </w:p>
    <w:p>
      <w:pPr>
        <w:pStyle w:val="BodyText"/>
        <w:spacing w:line="309" w:lineRule="auto" w:before="26"/>
        <w:ind w:right="153" w:firstLine="420"/>
        <w:jc w:val="both"/>
      </w:pPr>
      <w:r>
        <w:rPr>
          <w:spacing w:val="2"/>
        </w:rPr>
        <w:t>①已经发生的劳务成本预计能够得到补偿的，按照已经发生的劳务成本金额确认提供劳 </w:t>
      </w:r>
      <w:r>
        <w:rPr/>
        <w:t>务收入，并按照相同金额结转劳务成本。</w:t>
      </w:r>
    </w:p>
    <w:p>
      <w:pPr>
        <w:pStyle w:val="BodyText"/>
        <w:spacing w:line="309" w:lineRule="auto" w:before="142"/>
        <w:ind w:right="153" w:firstLine="420"/>
        <w:jc w:val="both"/>
      </w:pPr>
      <w:r>
        <w:rPr>
          <w:spacing w:val="2"/>
        </w:rPr>
        <w:t>②已经发生的劳务成本预计不能够得到补偿的，将已经发生的劳务成本计入当期损益， </w:t>
      </w:r>
      <w:r>
        <w:rPr/>
        <w:t>不确认提供劳务收入。</w:t>
      </w:r>
    </w:p>
    <w:p>
      <w:pPr>
        <w:pStyle w:val="BodyText"/>
        <w:spacing w:line="381" w:lineRule="auto" w:before="142"/>
        <w:ind w:right="894" w:firstLine="422"/>
        <w:jc w:val="left"/>
      </w:pPr>
      <w:r>
        <w:rPr>
          <w:rFonts w:ascii="Arial" w:hAnsi="Arial" w:cs="Arial" w:eastAsia="Arial" w:hint="default"/>
        </w:rPr>
        <w:t>3</w:t>
      </w:r>
      <w:r>
        <w:rPr/>
        <w:t>、让渡资产使用权收入的确认和计量原则 在与交易相关的经济利益能够流入本公司且收入的金额能够可靠地计量时确认收入。</w:t>
      </w:r>
    </w:p>
    <w:p>
      <w:pPr>
        <w:spacing w:line="381" w:lineRule="auto" w:before="70"/>
        <w:ind w:left="573" w:right="0" w:firstLine="40"/>
        <w:jc w:val="left"/>
        <w:rPr>
          <w:rFonts w:ascii="宋体" w:hAnsi="宋体" w:cs="宋体" w:eastAsia="宋体" w:hint="default"/>
          <w:sz w:val="24"/>
          <w:szCs w:val="24"/>
        </w:rPr>
      </w:pPr>
      <w:r>
        <w:rPr>
          <w:rFonts w:ascii="Arial" w:hAnsi="Arial" w:cs="Arial" w:eastAsia="Arial" w:hint="default"/>
          <w:b/>
          <w:bCs/>
          <w:sz w:val="24"/>
          <w:szCs w:val="24"/>
        </w:rPr>
        <w:t>4</w:t>
      </w:r>
      <w:r>
        <w:rPr>
          <w:rFonts w:ascii="宋体" w:hAnsi="宋体" w:cs="宋体" w:eastAsia="宋体" w:hint="default"/>
          <w:b/>
          <w:bCs/>
          <w:sz w:val="24"/>
          <w:szCs w:val="24"/>
        </w:rPr>
        <w:t>、公司主要收入类型及确认原则</w:t>
      </w:r>
      <w:r>
        <w:rPr>
          <w:rFonts w:ascii="宋体" w:hAnsi="宋体" w:cs="宋体" w:eastAsia="宋体" w:hint="default"/>
          <w:b/>
          <w:bCs/>
          <w:w w:val="99"/>
          <w:sz w:val="24"/>
          <w:szCs w:val="24"/>
        </w:rPr>
        <w:t> </w:t>
      </w:r>
      <w:r>
        <w:rPr>
          <w:rFonts w:ascii="宋体" w:hAnsi="宋体" w:cs="宋体" w:eastAsia="宋体" w:hint="default"/>
          <w:spacing w:val="2"/>
          <w:sz w:val="24"/>
          <w:szCs w:val="24"/>
        </w:rPr>
        <w:t>公司的主营业务为电子政务系统的产品开发与服务，主要面向政府、法院、检察院等领</w:t>
      </w:r>
      <w:r>
        <w:rPr>
          <w:rFonts w:ascii="宋体" w:hAnsi="宋体" w:cs="宋体" w:eastAsia="宋体" w:hint="default"/>
          <w:sz w:val="24"/>
          <w:szCs w:val="24"/>
        </w:rPr>
      </w:r>
    </w:p>
    <w:p>
      <w:pPr>
        <w:pStyle w:val="BodyText"/>
        <w:spacing w:line="264" w:lineRule="exact"/>
        <w:ind w:right="0"/>
        <w:jc w:val="left"/>
      </w:pPr>
      <w:r>
        <w:rPr/>
        <w:t>域的客户提供应用软件、系统建设服务和运行维护服务。</w:t>
      </w:r>
    </w:p>
    <w:p>
      <w:pPr>
        <w:pStyle w:val="BodyText"/>
        <w:spacing w:line="381" w:lineRule="auto" w:before="211"/>
        <w:ind w:left="573" w:right="0"/>
        <w:jc w:val="left"/>
      </w:pPr>
      <w:r>
        <w:rPr/>
        <w:t>（</w:t>
      </w:r>
      <w:r>
        <w:rPr>
          <w:rFonts w:ascii="Arial" w:hAnsi="Arial" w:cs="Arial" w:eastAsia="Arial" w:hint="default"/>
        </w:rPr>
        <w:t>1</w:t>
      </w:r>
      <w:r>
        <w:rPr/>
        <w:t>）应用软件 </w:t>
      </w:r>
      <w:r>
        <w:rPr>
          <w:spacing w:val="2"/>
        </w:rPr>
        <w:t>应用软件指公司针对客户在电子政务中的业务应用需求而提供的软件产品及应用软件定</w:t>
      </w:r>
      <w:r>
        <w:rPr/>
      </w:r>
    </w:p>
    <w:p>
      <w:pPr>
        <w:pStyle w:val="BodyText"/>
        <w:spacing w:line="264" w:lineRule="exact"/>
        <w:ind w:right="0"/>
        <w:jc w:val="left"/>
      </w:pPr>
      <w:r>
        <w:rPr/>
        <w:t>制开发。由于软件产品销售与软件定制开发的收入能够区分且能够单独计量，因此公司分别</w:t>
      </w:r>
    </w:p>
    <w:p>
      <w:pPr>
        <w:pStyle w:val="BodyText"/>
        <w:spacing w:line="240" w:lineRule="auto" w:before="91"/>
        <w:ind w:left="0" w:right="153"/>
        <w:jc w:val="right"/>
      </w:pPr>
      <w:r>
        <w:rPr/>
        <w:t>按照销售商品的收入确认原则和提供劳务的收入确认原则对软件产品与软件开发确认收入。</w:t>
      </w:r>
    </w:p>
    <w:p>
      <w:pPr>
        <w:pStyle w:val="BodyText"/>
        <w:spacing w:line="309" w:lineRule="auto" w:before="211"/>
        <w:ind w:right="153" w:firstLine="420"/>
        <w:jc w:val="both"/>
      </w:pPr>
      <w:r>
        <w:rPr>
          <w:spacing w:val="2"/>
        </w:rPr>
        <w:t>在遵循收入确认基本原则的基础上，软件产品销售在取得客户确认的《软件安装报告》 </w:t>
      </w:r>
      <w:r>
        <w:rPr/>
        <w:t>时确认收入。软件开发采取对已完工作进行测量的方法，以资产负债表日的完工进度确认收</w:t>
      </w:r>
      <w:r>
        <w:rPr>
          <w:spacing w:val="-90"/>
        </w:rPr>
        <w:t> </w:t>
      </w:r>
      <w:r>
        <w:rPr>
          <w:spacing w:val="-90"/>
        </w:rPr>
      </w:r>
      <w:r>
        <w:rPr/>
        <w:t>入。公司在资产负债表日编制《软件开发进度报告》，对完工进度进行测量，按照软件开发</w:t>
      </w:r>
      <w:r>
        <w:rPr>
          <w:spacing w:val="-91"/>
        </w:rPr>
        <w:t> </w:t>
      </w:r>
      <w:r>
        <w:rPr>
          <w:spacing w:val="-91"/>
        </w:rPr>
      </w:r>
      <w:r>
        <w:rPr/>
        <w:t>收入总额乘以完工进度扣除以前会计期间累计已确认软件开发收入后的金额，确认当期软件</w:t>
      </w:r>
      <w:r>
        <w:rPr>
          <w:spacing w:val="-91"/>
        </w:rPr>
        <w:t> </w:t>
      </w:r>
      <w:r>
        <w:rPr>
          <w:spacing w:val="-91"/>
        </w:rPr>
      </w:r>
      <w:r>
        <w:rPr/>
        <w:t>开发收入。</w:t>
      </w:r>
    </w:p>
    <w:p>
      <w:pPr>
        <w:pStyle w:val="BodyText"/>
        <w:spacing w:line="381" w:lineRule="auto" w:before="142"/>
        <w:ind w:left="573" w:right="0" w:hanging="8"/>
        <w:jc w:val="left"/>
      </w:pPr>
      <w:r>
        <w:rPr/>
        <w:t>（</w:t>
      </w:r>
      <w:r>
        <w:rPr>
          <w:rFonts w:ascii="Arial" w:hAnsi="Arial" w:cs="Arial" w:eastAsia="Arial" w:hint="default"/>
        </w:rPr>
        <w:t>2</w:t>
      </w:r>
      <w:r>
        <w:rPr/>
        <w:t>）系统建设服务 </w:t>
      </w:r>
      <w:r>
        <w:rPr>
          <w:spacing w:val="2"/>
        </w:rPr>
        <w:t>系统建设服务指公司针对电子政务客户在信息化基础环境建设、网络平台建设、系统平</w:t>
      </w:r>
      <w:r>
        <w:rPr/>
      </w:r>
    </w:p>
    <w:p>
      <w:pPr>
        <w:pStyle w:val="BodyText"/>
        <w:spacing w:line="264" w:lineRule="exact"/>
        <w:ind w:right="0"/>
        <w:jc w:val="left"/>
      </w:pPr>
      <w:r>
        <w:rPr/>
        <w:t>台建设、安全体系建设和管理等方面的需求，为客户提供的信息化基础环境建设服务。信息</w:t>
      </w:r>
    </w:p>
    <w:p>
      <w:pPr>
        <w:pStyle w:val="BodyText"/>
        <w:spacing w:line="309" w:lineRule="auto" w:before="92"/>
        <w:ind w:right="0"/>
        <w:jc w:val="left"/>
      </w:pPr>
      <w:r>
        <w:rPr/>
        <w:t>化基础环境建设服务按照提供劳务的收入确认原则确认收入。服务与设备的收入不能够区分</w:t>
      </w:r>
      <w:r>
        <w:rPr>
          <w:spacing w:val="-91"/>
        </w:rPr>
        <w:t> </w:t>
      </w:r>
      <w:r>
        <w:rPr>
          <w:spacing w:val="-91"/>
        </w:rPr>
      </w:r>
      <w:r>
        <w:rPr/>
        <w:t>或不能单独计量的，与设备共同按照销售商品的收入确认原则确认收入。</w:t>
      </w:r>
    </w:p>
    <w:p>
      <w:pPr>
        <w:pStyle w:val="BodyText"/>
        <w:spacing w:line="309" w:lineRule="auto" w:before="142"/>
        <w:ind w:right="153" w:firstLine="420"/>
        <w:jc w:val="both"/>
      </w:pPr>
      <w:r>
        <w:rPr>
          <w:spacing w:val="2"/>
        </w:rPr>
        <w:t>在遵循收入确认基本原则的基础上，信息化基础环境建设服务在服务已提供，并取得客 </w:t>
      </w:r>
      <w:r>
        <w:rPr/>
        <w:t>户确认的《验收报告》时确认收入；设备的收入在取得客户确认的《货物接收单》（不需安</w:t>
      </w:r>
      <w:r>
        <w:rPr>
          <w:spacing w:val="-91"/>
        </w:rPr>
        <w:t> </w:t>
      </w:r>
      <w:r>
        <w:rPr>
          <w:spacing w:val="-91"/>
        </w:rPr>
      </w:r>
      <w:r>
        <w:rPr/>
        <w:t>装调试的）或《验收报告》（需要安装调试的）时确认收入。</w:t>
      </w:r>
    </w:p>
    <w:p>
      <w:pPr>
        <w:pStyle w:val="BodyText"/>
        <w:spacing w:line="381" w:lineRule="auto" w:before="142"/>
        <w:ind w:left="573" w:right="0"/>
        <w:jc w:val="left"/>
      </w:pPr>
      <w:r>
        <w:rPr/>
        <w:t>（</w:t>
      </w:r>
      <w:r>
        <w:rPr>
          <w:rFonts w:ascii="Arial" w:hAnsi="Arial" w:cs="Arial" w:eastAsia="Arial" w:hint="default"/>
        </w:rPr>
        <w:t>3</w:t>
      </w:r>
      <w:r>
        <w:rPr/>
        <w:t>）运行维护服务 </w:t>
      </w:r>
      <w:r>
        <w:rPr>
          <w:spacing w:val="2"/>
        </w:rPr>
        <w:t>运行维护服务指，除应用软件和系统建设服务之外，公司针对电子政务客户的专业服务</w:t>
      </w:r>
      <w:r>
        <w:rPr/>
      </w:r>
    </w:p>
    <w:p>
      <w:pPr>
        <w:pStyle w:val="BodyText"/>
        <w:spacing w:line="264" w:lineRule="exact"/>
        <w:ind w:right="0"/>
        <w:jc w:val="left"/>
      </w:pPr>
      <w:r>
        <w:rPr/>
        <w:t>需求，围绕信息化应用的生命周期，为客户提供的涵盖应用软件及系统运行平台的信息化系</w:t>
      </w:r>
    </w:p>
    <w:p>
      <w:pPr>
        <w:pStyle w:val="BodyText"/>
        <w:spacing w:line="240" w:lineRule="auto" w:before="92"/>
        <w:ind w:right="0"/>
        <w:jc w:val="left"/>
      </w:pPr>
      <w:r>
        <w:rPr/>
        <w:t>统运维管理、信息化应用推广、信息化规划咨询等服务。</w:t>
      </w:r>
    </w:p>
    <w:p>
      <w:pPr>
        <w:spacing w:after="0" w:line="240" w:lineRule="auto"/>
        <w:jc w:val="left"/>
        <w:sectPr>
          <w:footerReference w:type="default" r:id="rId48"/>
          <w:pgSz w:w="11910" w:h="16840"/>
          <w:pgMar w:footer="1010" w:header="884" w:top="1140" w:bottom="1200" w:left="980" w:right="980"/>
          <w:pgNumType w:start="111"/>
        </w:sectPr>
      </w:pPr>
    </w:p>
    <w:p>
      <w:pPr>
        <w:spacing w:line="240" w:lineRule="auto" w:before="1"/>
        <w:rPr>
          <w:rFonts w:ascii="宋体" w:hAnsi="宋体" w:cs="宋体" w:eastAsia="宋体" w:hint="default"/>
          <w:sz w:val="20"/>
          <w:szCs w:val="20"/>
        </w:rPr>
      </w:pPr>
    </w:p>
    <w:p>
      <w:pPr>
        <w:pStyle w:val="BodyText"/>
        <w:spacing w:line="309" w:lineRule="auto" w:before="26"/>
        <w:ind w:right="159" w:firstLine="420"/>
        <w:jc w:val="both"/>
      </w:pPr>
      <w:r>
        <w:rPr>
          <w:spacing w:val="2"/>
        </w:rPr>
        <w:t>在遵循收入确认基本原则的基础上，对于单次提供的服务，在服务已经提供，收到价款</w:t>
      </w:r>
      <w:r>
        <w:rPr/>
        <w:t> 或取得收款的依据后确认收入；对于在一定期间内持续提供的服务，在服务期内分期确认收</w:t>
      </w:r>
      <w:r>
        <w:rPr>
          <w:spacing w:val="-91"/>
        </w:rPr>
        <w:t> </w:t>
      </w:r>
      <w:r>
        <w:rPr>
          <w:spacing w:val="-91"/>
        </w:rPr>
      </w:r>
      <w:r>
        <w:rPr/>
        <w:t>入。</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Arial" w:hAnsi="Arial" w:cs="Arial" w:eastAsia="Arial" w:hint="default"/>
        </w:rPr>
        <w:t>27</w:t>
      </w:r>
      <w:r>
        <w:rPr/>
        <w:t>、政府补助</w:t>
      </w:r>
      <w:r>
        <w:rPr>
          <w:b w:val="0"/>
          <w:bCs w:val="0"/>
        </w:rPr>
      </w:r>
    </w:p>
    <w:p>
      <w:pPr>
        <w:spacing w:line="240" w:lineRule="auto" w:before="8"/>
        <w:rPr>
          <w:rFonts w:ascii="宋体" w:hAnsi="宋体" w:cs="宋体" w:eastAsia="宋体" w:hint="default"/>
          <w:b/>
          <w:bCs/>
          <w:sz w:val="28"/>
          <w:szCs w:val="28"/>
        </w:rPr>
      </w:pPr>
    </w:p>
    <w:p>
      <w:pPr>
        <w:pStyle w:val="BodyText"/>
        <w:spacing w:line="309" w:lineRule="auto"/>
        <w:ind w:right="158" w:firstLine="480"/>
        <w:jc w:val="both"/>
      </w:pPr>
      <w:r>
        <w:rPr/>
        <w:t>政府补助是指本公司从政府无偿取得货币性资产或非货币性资产，但不包括政府作为公 司所有者投入的资本。政府补助分为与资产相关的政府补助和与收益相关的政府补助。与资</w:t>
      </w:r>
      <w:r>
        <w:rPr>
          <w:spacing w:val="-91"/>
        </w:rPr>
        <w:t> </w:t>
      </w:r>
      <w:r>
        <w:rPr>
          <w:spacing w:val="-91"/>
        </w:rPr>
      </w:r>
      <w:r>
        <w:rPr/>
        <w:t>产相关的政府补助，确认为递延收益，并在相关资产使用寿命内平均分配，计入当期损益。</w:t>
      </w:r>
      <w:r>
        <w:rPr>
          <w:spacing w:val="-91"/>
        </w:rPr>
        <w:t> </w:t>
      </w:r>
      <w:r>
        <w:rPr>
          <w:spacing w:val="-91"/>
        </w:rPr>
      </w:r>
      <w:r>
        <w:rPr/>
        <w:t>与收益相关的政府补贴，如果政府补贴用于补偿公司以后期间的相关费用或损失的，确认为</w:t>
      </w:r>
      <w:r>
        <w:rPr>
          <w:spacing w:val="-91"/>
        </w:rPr>
        <w:t> </w:t>
      </w:r>
      <w:r>
        <w:rPr>
          <w:spacing w:val="-91"/>
        </w:rPr>
      </w:r>
      <w:r>
        <w:rPr/>
        <w:t>递延收益，并在确认相关费用的期间，计入当期损益；如果政府补贴用于补偿公司已发生的</w:t>
      </w:r>
      <w:r>
        <w:rPr>
          <w:spacing w:val="-91"/>
        </w:rPr>
        <w:t> </w:t>
      </w:r>
      <w:r>
        <w:rPr>
          <w:spacing w:val="-91"/>
        </w:rPr>
      </w:r>
      <w:r>
        <w:rPr/>
        <w:t>相关费用或损失的，直接计入当期损益。已确认的政府补助需要返还的，当存在相关递延收</w:t>
      </w:r>
      <w:r>
        <w:rPr>
          <w:spacing w:val="-91"/>
        </w:rPr>
        <w:t> </w:t>
      </w:r>
      <w:r>
        <w:rPr>
          <w:spacing w:val="-91"/>
        </w:rPr>
      </w:r>
      <w:r>
        <w:rPr/>
        <w:t>益时，冲减相关递延收益账面余额，超出部分计入当期损益；不存在递延收益时，直接计入</w:t>
      </w:r>
      <w:r>
        <w:rPr>
          <w:spacing w:val="-91"/>
        </w:rPr>
        <w:t> </w:t>
      </w:r>
      <w:r>
        <w:rPr>
          <w:spacing w:val="-91"/>
        </w:rPr>
      </w:r>
      <w:r>
        <w:rPr/>
        <w:t>当期损益。</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Arial" w:hAnsi="Arial" w:cs="Arial" w:eastAsia="Arial" w:hint="default"/>
        </w:rPr>
        <w:t>28</w:t>
      </w:r>
      <w:r>
        <w:rPr/>
        <w:t>、递延所得税资产</w:t>
      </w:r>
      <w:r>
        <w:rPr>
          <w:rFonts w:ascii="Arial" w:hAnsi="Arial" w:cs="Arial" w:eastAsia="Arial" w:hint="default"/>
        </w:rPr>
        <w:t>/</w:t>
      </w:r>
      <w:r>
        <w:rPr/>
        <w:t>递延所得税负债</w:t>
      </w:r>
      <w:r>
        <w:rPr>
          <w:b w:val="0"/>
          <w:bCs w:val="0"/>
        </w:rPr>
      </w:r>
    </w:p>
    <w:p>
      <w:pPr>
        <w:spacing w:line="240" w:lineRule="auto" w:before="6"/>
        <w:rPr>
          <w:rFonts w:ascii="宋体" w:hAnsi="宋体" w:cs="宋体" w:eastAsia="宋体" w:hint="default"/>
          <w:b/>
          <w:bCs/>
          <w:sz w:val="28"/>
          <w:szCs w:val="28"/>
        </w:rPr>
      </w:pPr>
    </w:p>
    <w:p>
      <w:pPr>
        <w:pStyle w:val="BodyText"/>
        <w:spacing w:line="292" w:lineRule="auto"/>
        <w:ind w:right="0"/>
        <w:jc w:val="left"/>
      </w:pPr>
      <w:r>
        <w:rPr/>
        <w:t>递延所得税资产和递延所得税负债根据资产和负债的计税基础与其账面价值的差额</w:t>
      </w:r>
      <w:r>
        <w:rPr>
          <w:rFonts w:ascii="Arial" w:hAnsi="Arial" w:cs="Arial" w:eastAsia="Arial" w:hint="default"/>
        </w:rPr>
        <w:t>(</w:t>
      </w:r>
      <w:r>
        <w:rPr/>
        <w:t>暂时性 </w:t>
      </w:r>
      <w:r>
        <w:rPr>
          <w:spacing w:val="-2"/>
        </w:rPr>
        <w:t>差异</w:t>
      </w:r>
      <w:r>
        <w:rPr>
          <w:rFonts w:ascii="Arial" w:hAnsi="Arial" w:cs="Arial" w:eastAsia="Arial" w:hint="default"/>
          <w:spacing w:val="-2"/>
        </w:rPr>
        <w:t>)</w:t>
      </w:r>
      <w:r>
        <w:rPr>
          <w:spacing w:val="-2"/>
        </w:rPr>
        <w:t>计算确认。对于按照税法规定能够于以后年度抵减应纳税所得额的可抵扣亏损，视同暂</w:t>
      </w:r>
      <w:r>
        <w:rPr>
          <w:spacing w:val="-81"/>
        </w:rPr>
        <w:t> </w:t>
      </w:r>
      <w:r>
        <w:rPr>
          <w:spacing w:val="-81"/>
        </w:rPr>
      </w:r>
      <w:r>
        <w:rPr/>
        <w:t>时性差异确认相应的递延所得税资产。</w:t>
      </w:r>
    </w:p>
    <w:p>
      <w:pPr>
        <w:pStyle w:val="BodyText"/>
        <w:spacing w:line="304" w:lineRule="auto" w:before="158"/>
        <w:ind w:right="156" w:firstLine="420"/>
        <w:jc w:val="both"/>
      </w:pPr>
      <w:r>
        <w:rPr>
          <w:spacing w:val="2"/>
        </w:rPr>
        <w:t>对于商誉的初始确认产生的暂时性差异，不确认相应的递延所得税负债。对于既不影响</w:t>
      </w:r>
      <w:r>
        <w:rPr/>
        <w:t> </w:t>
      </w:r>
      <w:r>
        <w:rPr>
          <w:spacing w:val="2"/>
        </w:rPr>
        <w:t>会计利润也不影响应纳税所得额</w:t>
      </w:r>
      <w:r>
        <w:rPr>
          <w:rFonts w:ascii="Arial" w:hAnsi="Arial" w:cs="Arial" w:eastAsia="Arial" w:hint="default"/>
          <w:spacing w:val="2"/>
        </w:rPr>
        <w:t>(</w:t>
      </w:r>
      <w:r>
        <w:rPr>
          <w:spacing w:val="2"/>
        </w:rPr>
        <w:t>或可抵扣亏损</w:t>
      </w:r>
      <w:r>
        <w:rPr>
          <w:rFonts w:ascii="Arial" w:hAnsi="Arial" w:cs="Arial" w:eastAsia="Arial" w:hint="default"/>
          <w:spacing w:val="2"/>
        </w:rPr>
        <w:t>)</w:t>
      </w:r>
      <w:r>
        <w:rPr>
          <w:spacing w:val="2"/>
        </w:rPr>
        <w:t>的非企业合并的交易中产生的资产或负债的</w:t>
      </w:r>
      <w:r>
        <w:rPr>
          <w:spacing w:val="-99"/>
        </w:rPr>
        <w:t> </w:t>
      </w:r>
      <w:r>
        <w:rPr>
          <w:spacing w:val="-99"/>
        </w:rPr>
      </w:r>
      <w:r>
        <w:rPr/>
        <w:t>初始确认形成的暂时性差异，不确认相应的递延所得税资产和递延所得税负债。在资产负债</w:t>
      </w:r>
      <w:r>
        <w:rPr>
          <w:spacing w:val="-91"/>
        </w:rPr>
        <w:t> </w:t>
      </w:r>
      <w:r>
        <w:rPr>
          <w:spacing w:val="-91"/>
        </w:rPr>
      </w:r>
      <w:r>
        <w:rPr/>
        <w:t>表日，递延所得税资产和递延所得税负债按照预期收回该资产或清偿该负债期间的适用税率</w:t>
      </w:r>
      <w:r>
        <w:rPr>
          <w:spacing w:val="-91"/>
        </w:rPr>
        <w:t> </w:t>
      </w:r>
      <w:r>
        <w:rPr>
          <w:spacing w:val="-91"/>
        </w:rPr>
      </w:r>
      <w:r>
        <w:rPr/>
        <w:t>计量。</w:t>
      </w:r>
    </w:p>
    <w:p>
      <w:pPr>
        <w:pStyle w:val="BodyText"/>
        <w:spacing w:line="309" w:lineRule="auto" w:before="147"/>
        <w:ind w:right="153" w:firstLine="420"/>
        <w:jc w:val="both"/>
      </w:pPr>
      <w:r>
        <w:rPr>
          <w:spacing w:val="2"/>
        </w:rPr>
        <w:t>递延所得税资产的确认以公司很可能取得用来抵扣可抵扣暂时性差异、可抵扣亏损和税 </w:t>
      </w:r>
      <w:r>
        <w:rPr/>
        <w:t>款抵减的应纳税所得额为限。对子公司及联营企业投资相关的暂时性差异产生的递延所得税</w:t>
      </w:r>
      <w:r>
        <w:rPr>
          <w:spacing w:val="-91"/>
        </w:rPr>
        <w:t> </w:t>
      </w:r>
      <w:r>
        <w:rPr>
          <w:spacing w:val="-91"/>
        </w:rPr>
      </w:r>
      <w:r>
        <w:rPr/>
        <w:t>资产和递延所得税负债，予以确认。但本公司能够控制暂时性差异转回的时间且该暂时性差</w:t>
      </w:r>
      <w:r>
        <w:rPr>
          <w:spacing w:val="-91"/>
        </w:rPr>
        <w:t> </w:t>
      </w:r>
      <w:r>
        <w:rPr>
          <w:spacing w:val="-91"/>
        </w:rPr>
      </w:r>
      <w:r>
        <w:rPr/>
        <w:t>异在可预见的未来很可能不会转回的，不予确认。</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Arial" w:hAnsi="Arial" w:cs="Arial" w:eastAsia="Arial" w:hint="default"/>
        </w:rPr>
        <w:t>29</w:t>
      </w:r>
      <w:r>
        <w:rPr/>
        <w:t>、租赁</w:t>
      </w:r>
      <w:r>
        <w:rPr>
          <w:b w:val="0"/>
          <w:bCs w:val="0"/>
        </w:rPr>
      </w:r>
    </w:p>
    <w:p>
      <w:pPr>
        <w:spacing w:line="240" w:lineRule="auto" w:before="8"/>
        <w:rPr>
          <w:rFonts w:ascii="宋体" w:hAnsi="宋体" w:cs="宋体" w:eastAsia="宋体" w:hint="default"/>
          <w:b/>
          <w:bCs/>
          <w:sz w:val="28"/>
          <w:szCs w:val="28"/>
        </w:rPr>
      </w:pPr>
    </w:p>
    <w:p>
      <w:pPr>
        <w:pStyle w:val="Heading3"/>
        <w:spacing w:line="240" w:lineRule="auto"/>
        <w:ind w:right="0"/>
        <w:jc w:val="left"/>
        <w:rPr>
          <w:b w:val="0"/>
          <w:bCs w:val="0"/>
        </w:rPr>
      </w:pPr>
      <w:r>
        <w:rPr/>
        <w:t>（</w:t>
      </w:r>
      <w:r>
        <w:rPr>
          <w:rFonts w:ascii="Arial" w:hAnsi="Arial" w:cs="Arial" w:eastAsia="Arial" w:hint="default"/>
        </w:rPr>
        <w:t>1</w:t>
      </w:r>
      <w:r>
        <w:rPr/>
        <w:t>）经营租赁的会计处理方法</w:t>
      </w:r>
      <w:r>
        <w:rPr>
          <w:b w:val="0"/>
          <w:bCs w:val="0"/>
        </w:rPr>
      </w:r>
    </w:p>
    <w:p>
      <w:pPr>
        <w:spacing w:line="240" w:lineRule="auto" w:before="8"/>
        <w:rPr>
          <w:rFonts w:ascii="宋体" w:hAnsi="宋体" w:cs="宋体" w:eastAsia="宋体" w:hint="default"/>
          <w:b/>
          <w:bCs/>
          <w:sz w:val="28"/>
          <w:szCs w:val="28"/>
        </w:rPr>
      </w:pPr>
    </w:p>
    <w:p>
      <w:pPr>
        <w:pStyle w:val="BodyText"/>
        <w:spacing w:line="240" w:lineRule="auto"/>
        <w:ind w:right="0"/>
        <w:jc w:val="left"/>
      </w:pPr>
      <w:r>
        <w:rPr/>
        <w:t>①本公司租入资产所支付的租赁费，在不扣除免租期的整个租赁期内，按直线法进行分摊，</w:t>
      </w:r>
    </w:p>
    <w:p>
      <w:pPr>
        <w:spacing w:after="0" w:line="240" w:lineRule="auto"/>
        <w:jc w:val="left"/>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309" w:lineRule="auto" w:before="26"/>
        <w:ind w:right="159"/>
        <w:jc w:val="both"/>
      </w:pPr>
      <w:r>
        <w:rPr/>
        <w:t>计入当期费用。其他方法更为系统合理的，可以采用其他方法。本公司支付的与租赁交易相</w:t>
      </w:r>
      <w:r>
        <w:rPr>
          <w:spacing w:val="-91"/>
        </w:rPr>
        <w:t> </w:t>
      </w:r>
      <w:r>
        <w:rPr>
          <w:spacing w:val="-91"/>
        </w:rPr>
      </w:r>
      <w:r>
        <w:rPr/>
        <w:t>关的初始直接费用，计入当期费用。</w:t>
      </w:r>
    </w:p>
    <w:p>
      <w:pPr>
        <w:pStyle w:val="BodyText"/>
        <w:spacing w:line="309" w:lineRule="auto" w:before="142"/>
        <w:ind w:right="0" w:firstLine="420"/>
        <w:jc w:val="left"/>
      </w:pPr>
      <w:r>
        <w:rPr>
          <w:spacing w:val="2"/>
        </w:rPr>
        <w:t>资产出租方承担了应由本公司承担的与租赁相关的费用时，本公司将该部分费用从租金 </w:t>
      </w:r>
      <w:r>
        <w:rPr/>
        <w:t>总额中扣除，按扣除后的租金费用在租赁期内分摊，计入当期费用。</w:t>
      </w:r>
    </w:p>
    <w:p>
      <w:pPr>
        <w:pStyle w:val="BodyText"/>
        <w:spacing w:line="309" w:lineRule="auto" w:before="142"/>
        <w:ind w:right="158"/>
        <w:jc w:val="both"/>
      </w:pPr>
      <w:r>
        <w:rPr/>
        <w:t>②本公司出租资产所收取的租赁费，在不扣除免租期的整个租赁期内，按直线法进行分摊，</w:t>
      </w:r>
      <w:r>
        <w:rPr>
          <w:spacing w:val="-91"/>
        </w:rPr>
        <w:t> </w:t>
      </w:r>
      <w:r>
        <w:rPr>
          <w:spacing w:val="-91"/>
        </w:rPr>
      </w:r>
      <w:r>
        <w:rPr/>
        <w:t>确认为租赁收入。其他方法更为系统合理的，可以采用其他方法。本公司支付的与租赁交易</w:t>
      </w:r>
      <w:r>
        <w:rPr>
          <w:spacing w:val="-91"/>
        </w:rPr>
        <w:t> </w:t>
      </w:r>
      <w:r>
        <w:rPr>
          <w:spacing w:val="-91"/>
        </w:rPr>
      </w:r>
      <w:r>
        <w:rPr/>
        <w:t>相关的初始直接费用，计入当期费用；如金额较大的，则予以资本化，在整个租赁期间内按</w:t>
      </w:r>
      <w:r>
        <w:rPr>
          <w:spacing w:val="-91"/>
        </w:rPr>
        <w:t> </w:t>
      </w:r>
      <w:r>
        <w:rPr>
          <w:spacing w:val="-91"/>
        </w:rPr>
      </w:r>
      <w:r>
        <w:rPr/>
        <w:t>照与租赁收入确认相同的基础分期计入当期收益。</w:t>
      </w:r>
    </w:p>
    <w:p>
      <w:pPr>
        <w:pStyle w:val="BodyText"/>
        <w:spacing w:line="309" w:lineRule="auto" w:before="142"/>
        <w:ind w:right="0" w:firstLine="420"/>
        <w:jc w:val="left"/>
      </w:pPr>
      <w:r>
        <w:rPr>
          <w:spacing w:val="2"/>
        </w:rPr>
        <w:t>本公司承担了应由承租方承担的与租赁相关的费用时，本公司将该部分费用从租金收入 </w:t>
      </w:r>
      <w:r>
        <w:rPr/>
        <w:t>总额中扣除，按扣除后的租金收入余额在租赁期内分配。</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Heading3"/>
        <w:spacing w:line="240" w:lineRule="auto"/>
        <w:ind w:right="0"/>
        <w:jc w:val="both"/>
        <w:rPr>
          <w:b w:val="0"/>
          <w:bCs w:val="0"/>
        </w:rPr>
      </w:pPr>
      <w:r>
        <w:rPr/>
        <w:t>（</w:t>
      </w:r>
      <w:r>
        <w:rPr>
          <w:rFonts w:ascii="Arial" w:hAnsi="Arial" w:cs="Arial" w:eastAsia="Arial" w:hint="default"/>
        </w:rPr>
        <w:t>2</w:t>
      </w:r>
      <w:r>
        <w:rPr/>
        <w:t>）融资租赁的会计处理方法</w:t>
      </w:r>
      <w:r>
        <w:rPr>
          <w:b w:val="0"/>
          <w:bCs w:val="0"/>
        </w:rPr>
      </w:r>
    </w:p>
    <w:p>
      <w:pPr>
        <w:spacing w:line="240" w:lineRule="auto" w:before="8"/>
        <w:rPr>
          <w:rFonts w:ascii="宋体" w:hAnsi="宋体" w:cs="宋体" w:eastAsia="宋体" w:hint="default"/>
          <w:b/>
          <w:bCs/>
          <w:sz w:val="28"/>
          <w:szCs w:val="28"/>
        </w:rPr>
      </w:pPr>
    </w:p>
    <w:p>
      <w:pPr>
        <w:pStyle w:val="BodyText"/>
        <w:spacing w:line="309" w:lineRule="auto"/>
        <w:ind w:right="158"/>
        <w:jc w:val="both"/>
      </w:pPr>
      <w:r>
        <w:rPr/>
        <w:t>①融资租入资产：本公司按租赁开始日租赁资产的公允价值与最低租赁付款额的现值中较低</w:t>
      </w:r>
      <w:r>
        <w:rPr>
          <w:spacing w:val="-91"/>
        </w:rPr>
        <w:t> </w:t>
      </w:r>
      <w:r>
        <w:rPr>
          <w:spacing w:val="-91"/>
        </w:rPr>
      </w:r>
      <w:r>
        <w:rPr/>
        <w:t>者作为租入资产的入账价值，按自有固定资产的折旧政策计提折旧；将最低租赁付款额作为</w:t>
      </w:r>
      <w:r>
        <w:rPr>
          <w:spacing w:val="-91"/>
        </w:rPr>
        <w:t> </w:t>
      </w:r>
      <w:r>
        <w:rPr>
          <w:spacing w:val="-91"/>
        </w:rPr>
      </w:r>
      <w:r>
        <w:rPr/>
        <w:t>长期应付款的入账价值，其差额作为未确认的融资费用。本公司采用实际利率法对未确认融</w:t>
      </w:r>
      <w:r>
        <w:rPr>
          <w:spacing w:val="-91"/>
        </w:rPr>
        <w:t> </w:t>
      </w:r>
      <w:r>
        <w:rPr>
          <w:spacing w:val="-91"/>
        </w:rPr>
      </w:r>
      <w:r>
        <w:rPr/>
        <w:t>资费用，在资产租赁期内摊销，计入财务费用。本公司发生的初始直接费用计入租入资产价</w:t>
      </w:r>
      <w:r>
        <w:rPr>
          <w:spacing w:val="-91"/>
        </w:rPr>
        <w:t> </w:t>
      </w:r>
      <w:r>
        <w:rPr>
          <w:spacing w:val="-91"/>
        </w:rPr>
      </w:r>
      <w:r>
        <w:rPr/>
        <w:t>值。</w:t>
      </w:r>
    </w:p>
    <w:p>
      <w:pPr>
        <w:pStyle w:val="BodyText"/>
        <w:spacing w:line="309" w:lineRule="auto" w:before="142"/>
        <w:ind w:right="158"/>
        <w:jc w:val="both"/>
      </w:pPr>
      <w:r>
        <w:rPr/>
        <w:t>②融资租出资产：本公司在租赁开始日，将应收融资租赁款和未担保余值之和与其现值的差</w:t>
      </w:r>
      <w:r>
        <w:rPr>
          <w:spacing w:val="-91"/>
        </w:rPr>
        <w:t> </w:t>
      </w:r>
      <w:r>
        <w:rPr>
          <w:spacing w:val="-91"/>
        </w:rPr>
      </w:r>
      <w:r>
        <w:rPr/>
        <w:t>额确认为未实现融资收益，在将来收到租金的各期间内确认为租赁收入。本公司发生的与出</w:t>
      </w:r>
      <w:r>
        <w:rPr>
          <w:spacing w:val="-91"/>
        </w:rPr>
        <w:t> </w:t>
      </w:r>
      <w:r>
        <w:rPr>
          <w:spacing w:val="-91"/>
        </w:rPr>
      </w:r>
      <w:r>
        <w:rPr/>
        <w:t>租交易相关的初始直接费用，计入应收融资租赁款的初始计量中，并减少租赁期内确认的收</w:t>
      </w:r>
      <w:r>
        <w:rPr>
          <w:spacing w:val="-91"/>
        </w:rPr>
        <w:t> </w:t>
      </w:r>
      <w:r>
        <w:rPr>
          <w:spacing w:val="-91"/>
        </w:rPr>
      </w:r>
      <w:r>
        <w:rPr/>
        <w:t>益金额。</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Heading3"/>
        <w:spacing w:line="240" w:lineRule="auto"/>
        <w:ind w:right="0"/>
        <w:jc w:val="both"/>
        <w:rPr>
          <w:b w:val="0"/>
          <w:bCs w:val="0"/>
        </w:rPr>
      </w:pPr>
      <w:r>
        <w:rPr>
          <w:rFonts w:ascii="Arial" w:hAnsi="Arial" w:cs="Arial" w:eastAsia="Arial" w:hint="default"/>
        </w:rPr>
        <w:t>30</w:t>
      </w:r>
      <w:r>
        <w:rPr/>
        <w:t>、其他重要的会计政策和会计估计</w:t>
      </w:r>
      <w:r>
        <w:rPr>
          <w:b w:val="0"/>
          <w:bCs w:val="0"/>
        </w:rPr>
      </w:r>
    </w:p>
    <w:p>
      <w:pPr>
        <w:spacing w:line="240" w:lineRule="auto" w:before="8"/>
        <w:rPr>
          <w:rFonts w:ascii="宋体" w:hAnsi="宋体" w:cs="宋体" w:eastAsia="宋体" w:hint="default"/>
          <w:b/>
          <w:bCs/>
          <w:sz w:val="28"/>
          <w:szCs w:val="28"/>
        </w:rPr>
      </w:pPr>
    </w:p>
    <w:p>
      <w:pPr>
        <w:spacing w:line="381" w:lineRule="auto" w:before="0"/>
        <w:ind w:left="573" w:right="0" w:hanging="421"/>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1</w:t>
      </w:r>
      <w:r>
        <w:rPr>
          <w:rFonts w:ascii="宋体" w:hAnsi="宋体" w:cs="宋体" w:eastAsia="宋体" w:hint="default"/>
          <w:b/>
          <w:bCs/>
          <w:sz w:val="24"/>
          <w:szCs w:val="24"/>
        </w:rPr>
        <w:t>）终止经营及持有待售</w:t>
      </w:r>
      <w:r>
        <w:rPr>
          <w:rFonts w:ascii="宋体" w:hAnsi="宋体" w:cs="宋体" w:eastAsia="宋体" w:hint="default"/>
          <w:b/>
          <w:bCs/>
          <w:w w:val="99"/>
          <w:sz w:val="24"/>
          <w:szCs w:val="24"/>
        </w:rPr>
        <w:t> </w:t>
      </w:r>
      <w:r>
        <w:rPr>
          <w:rFonts w:ascii="宋体" w:hAnsi="宋体" w:cs="宋体" w:eastAsia="宋体" w:hint="default"/>
          <w:spacing w:val="2"/>
          <w:sz w:val="24"/>
          <w:szCs w:val="24"/>
        </w:rPr>
        <w:t>终止经营，是指满足下列条件之一的已被本公司处置或被本公司划归为持有待售的、在</w:t>
      </w:r>
      <w:r>
        <w:rPr>
          <w:rFonts w:ascii="宋体" w:hAnsi="宋体" w:cs="宋体" w:eastAsia="宋体" w:hint="default"/>
          <w:sz w:val="24"/>
          <w:szCs w:val="24"/>
        </w:rPr>
      </w:r>
    </w:p>
    <w:p>
      <w:pPr>
        <w:pStyle w:val="BodyText"/>
        <w:spacing w:line="264" w:lineRule="exact"/>
        <w:ind w:right="0"/>
        <w:jc w:val="both"/>
      </w:pPr>
      <w:r>
        <w:rPr/>
        <w:t>经营和编制财务报表时能够单独区分的组成部分：</w:t>
      </w:r>
    </w:p>
    <w:p>
      <w:pPr>
        <w:pStyle w:val="BodyText"/>
        <w:spacing w:line="240" w:lineRule="auto" w:before="211"/>
        <w:ind w:right="0"/>
        <w:jc w:val="both"/>
      </w:pPr>
      <w:r>
        <w:rPr/>
        <w:t>①该组成部分代表一项独立的主要业务或一个主要经营地区。</w:t>
      </w:r>
    </w:p>
    <w:p>
      <w:pPr>
        <w:pStyle w:val="BodyText"/>
        <w:spacing w:line="240" w:lineRule="auto" w:before="212"/>
        <w:ind w:right="0"/>
        <w:jc w:val="both"/>
      </w:pPr>
      <w:r>
        <w:rPr/>
        <w:t>②该组成部分是拟对一项独立的主要业务或一个主要经营地区进行处置计划的一部分。</w:t>
      </w:r>
    </w:p>
    <w:p>
      <w:pPr>
        <w:spacing w:after="0" w:line="240" w:lineRule="auto"/>
        <w:jc w:val="both"/>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240" w:lineRule="auto" w:before="26"/>
        <w:ind w:right="99"/>
        <w:jc w:val="left"/>
      </w:pPr>
      <w:r>
        <w:rPr/>
        <w:t>③该组成部分是仅仅为了再出售而取得的子公司。</w:t>
      </w:r>
    </w:p>
    <w:p>
      <w:pPr>
        <w:pStyle w:val="BodyText"/>
        <w:spacing w:line="381" w:lineRule="auto" w:before="211"/>
        <w:ind w:left="573" w:right="99" w:hanging="421"/>
        <w:jc w:val="left"/>
      </w:pPr>
      <w:r>
        <w:rPr/>
        <w:t>（</w:t>
      </w:r>
      <w:r>
        <w:rPr>
          <w:rFonts w:ascii="Arial" w:hAnsi="Arial" w:cs="Arial" w:eastAsia="Arial" w:hint="default"/>
        </w:rPr>
        <w:t>2</w:t>
      </w:r>
      <w:r>
        <w:rPr/>
        <w:t>）持有待售组成部分或非流动资产确认标准 </w:t>
      </w:r>
      <w:r>
        <w:rPr>
          <w:spacing w:val="2"/>
        </w:rPr>
        <w:t>同时满足下列条件的本公司组成部分或非流动资产应当确认为持有待售组成部分或持有</w:t>
      </w:r>
      <w:r>
        <w:rPr/>
      </w:r>
    </w:p>
    <w:p>
      <w:pPr>
        <w:pStyle w:val="BodyText"/>
        <w:spacing w:line="264" w:lineRule="exact"/>
        <w:ind w:right="99"/>
        <w:jc w:val="left"/>
      </w:pPr>
      <w:r>
        <w:rPr/>
        <w:t>待售非流动资产：</w:t>
      </w:r>
    </w:p>
    <w:p>
      <w:pPr>
        <w:pStyle w:val="BodyText"/>
        <w:spacing w:line="309" w:lineRule="auto" w:before="211"/>
        <w:ind w:right="99"/>
        <w:jc w:val="left"/>
      </w:pPr>
      <w:r>
        <w:rPr/>
        <w:t>①该组成部分或非流动资产必须在其当前状况下仅根据出售此类组成部分或非流动资产的惯</w:t>
      </w:r>
      <w:r>
        <w:rPr>
          <w:spacing w:val="-91"/>
        </w:rPr>
        <w:t> </w:t>
      </w:r>
      <w:r>
        <w:rPr>
          <w:spacing w:val="-91"/>
        </w:rPr>
      </w:r>
      <w:r>
        <w:rPr/>
        <w:t>常条款即可立即出售；</w:t>
      </w:r>
    </w:p>
    <w:p>
      <w:pPr>
        <w:pStyle w:val="BodyText"/>
        <w:spacing w:line="240" w:lineRule="auto" w:before="142"/>
        <w:ind w:right="99"/>
        <w:jc w:val="left"/>
      </w:pPr>
      <w:r>
        <w:rPr/>
        <w:t>②本公司已经就处置该组成部分或非流动资产作出决议；</w:t>
      </w:r>
    </w:p>
    <w:p>
      <w:pPr>
        <w:pStyle w:val="BodyText"/>
        <w:spacing w:line="240" w:lineRule="auto" w:before="212"/>
        <w:ind w:right="99"/>
        <w:jc w:val="left"/>
      </w:pPr>
      <w:r>
        <w:rPr/>
        <w:t>③已经与受让方签订了不可撤销的转让协议；</w:t>
      </w:r>
    </w:p>
    <w:p>
      <w:pPr>
        <w:pStyle w:val="BodyText"/>
        <w:spacing w:line="400" w:lineRule="auto" w:before="211"/>
        <w:ind w:left="573" w:right="99" w:hanging="421"/>
        <w:jc w:val="left"/>
      </w:pPr>
      <w:r>
        <w:rPr/>
        <w:t>④该项转让将在一年内完成。 </w:t>
      </w:r>
      <w:r>
        <w:rPr>
          <w:spacing w:val="2"/>
        </w:rPr>
        <w:t>持有待售的固定资产包括单项资产和处置组，处置组是指作为整体出售或其他方式一并</w:t>
      </w:r>
    </w:p>
    <w:p>
      <w:pPr>
        <w:pStyle w:val="BodyText"/>
        <w:spacing w:line="245" w:lineRule="exact"/>
        <w:ind w:right="99"/>
        <w:jc w:val="left"/>
      </w:pPr>
      <w:r>
        <w:rPr/>
        <w:t>处置的一组资产。</w:t>
      </w:r>
    </w:p>
    <w:p>
      <w:pPr>
        <w:pStyle w:val="BodyText"/>
        <w:spacing w:line="381" w:lineRule="auto" w:before="211"/>
        <w:ind w:left="573" w:right="99" w:hanging="421"/>
        <w:jc w:val="left"/>
      </w:pPr>
      <w:r>
        <w:rPr/>
        <w:t>（</w:t>
      </w:r>
      <w:r>
        <w:rPr>
          <w:rFonts w:ascii="Arial" w:hAnsi="Arial" w:cs="Arial" w:eastAsia="Arial" w:hint="default"/>
        </w:rPr>
        <w:t>3</w:t>
      </w:r>
      <w:r>
        <w:rPr/>
        <w:t>）持有待售资产的会计处理方法 </w:t>
      </w:r>
      <w:r>
        <w:rPr>
          <w:spacing w:val="2"/>
        </w:rPr>
        <w:t>本公司对于持有待售的固定资产，调整该项固定资产的预计净残值，使该项固定资产的</w:t>
      </w:r>
      <w:r>
        <w:rPr/>
      </w:r>
    </w:p>
    <w:p>
      <w:pPr>
        <w:pStyle w:val="BodyText"/>
        <w:spacing w:line="264" w:lineRule="exact"/>
        <w:ind w:right="99"/>
        <w:jc w:val="left"/>
      </w:pPr>
      <w:r>
        <w:rPr/>
        <w:t>预计净残值能够反映其公允价值减去处置费用后的金额，但不得超过符合持有待售条件时该</w:t>
      </w:r>
    </w:p>
    <w:p>
      <w:pPr>
        <w:pStyle w:val="BodyText"/>
        <w:spacing w:line="309" w:lineRule="auto" w:before="92"/>
        <w:ind w:right="99"/>
        <w:jc w:val="left"/>
      </w:pPr>
      <w:r>
        <w:rPr/>
        <w:t>项固定资产的原账面价值，原账面价值高于调整后预计净残值的差额，作为资产减值损失计</w:t>
      </w:r>
      <w:r>
        <w:rPr>
          <w:spacing w:val="-91"/>
        </w:rPr>
        <w:t> </w:t>
      </w:r>
      <w:r>
        <w:rPr>
          <w:spacing w:val="-91"/>
        </w:rPr>
      </w:r>
      <w:r>
        <w:rPr/>
        <w:t>入当期损益。</w:t>
      </w:r>
    </w:p>
    <w:p>
      <w:pPr>
        <w:pStyle w:val="BodyText"/>
        <w:spacing w:line="302" w:lineRule="auto" w:before="142"/>
        <w:ind w:right="233" w:firstLine="420"/>
        <w:jc w:val="both"/>
      </w:pPr>
      <w:r>
        <w:rPr>
          <w:spacing w:val="2"/>
        </w:rPr>
        <w:t>符合持有待售条件的无形资产等其他非流动资产，比照上述原则处理，但不包括递延所 </w:t>
      </w:r>
      <w:r>
        <w:rPr/>
        <w:t>得税资产、《企业会计准则第</w:t>
      </w:r>
      <w:r>
        <w:rPr>
          <w:rFonts w:ascii="Arial" w:hAnsi="Arial" w:cs="Arial" w:eastAsia="Arial" w:hint="default"/>
        </w:rPr>
        <w:t>22</w:t>
      </w:r>
      <w:r>
        <w:rPr/>
        <w:t>号</w:t>
      </w:r>
      <w:r>
        <w:rPr>
          <w:rFonts w:ascii="Arial" w:hAnsi="Arial" w:cs="Arial" w:eastAsia="Arial" w:hint="default"/>
        </w:rPr>
        <w:t>——</w:t>
      </w:r>
      <w:r>
        <w:rPr/>
        <w:t>金融工具确认和计量》规范的金融资产、以公允价值</w:t>
      </w:r>
      <w:r>
        <w:rPr>
          <w:spacing w:val="-116"/>
        </w:rPr>
        <w:t> </w:t>
      </w:r>
      <w:r>
        <w:rPr>
          <w:spacing w:val="-116"/>
        </w:rPr>
      </w:r>
      <w:r>
        <w:rPr/>
        <w:t>计量的投资性房地产和生物资产、保险合同中产生的合同权利。</w:t>
      </w:r>
    </w:p>
    <w:p>
      <w:pPr>
        <w:pStyle w:val="BodyText"/>
        <w:spacing w:line="309" w:lineRule="auto" w:before="149"/>
        <w:ind w:right="99" w:firstLine="420"/>
        <w:jc w:val="left"/>
      </w:pPr>
      <w:r>
        <w:rPr>
          <w:spacing w:val="-1"/>
        </w:rPr>
        <w:t>某项资产或处置组被划归为持有待售，但后来不再满足持有待售的固定资产的确认条件，</w:t>
      </w:r>
      <w:r>
        <w:rPr/>
        <w:t> 本公司停止将其划归为持有待售资产，并按照下列两项金额中较低者计量：</w:t>
      </w:r>
    </w:p>
    <w:p>
      <w:pPr>
        <w:pStyle w:val="BodyText"/>
        <w:spacing w:line="309" w:lineRule="auto" w:before="142"/>
        <w:ind w:right="99"/>
        <w:jc w:val="left"/>
      </w:pPr>
      <w:r>
        <w:rPr/>
        <w:t>①该资产或处置组被划归为持有待售之前的账面价值，按照其假定在没有被划归为持有待售</w:t>
      </w:r>
      <w:r>
        <w:rPr>
          <w:spacing w:val="-91"/>
        </w:rPr>
        <w:t> </w:t>
      </w:r>
      <w:r>
        <w:rPr>
          <w:spacing w:val="-91"/>
        </w:rPr>
      </w:r>
      <w:r>
        <w:rPr/>
        <w:t>的情况下原应确认的折旧、摊销或减值进行调整后的金额；</w:t>
      </w:r>
    </w:p>
    <w:p>
      <w:pPr>
        <w:pStyle w:val="BodyText"/>
        <w:spacing w:line="240" w:lineRule="auto" w:before="142"/>
        <w:ind w:right="99"/>
        <w:jc w:val="left"/>
      </w:pPr>
      <w:r>
        <w:rPr/>
        <w:t>②决定不再出售之日的再收回金额。</w:t>
      </w:r>
    </w:p>
    <w:p>
      <w:pPr>
        <w:pStyle w:val="Heading3"/>
        <w:spacing w:line="240" w:lineRule="auto" w:before="211"/>
        <w:ind w:right="99"/>
        <w:jc w:val="left"/>
        <w:rPr>
          <w:b w:val="0"/>
          <w:bCs w:val="0"/>
        </w:rPr>
      </w:pPr>
      <w:r>
        <w:rPr>
          <w:rFonts w:ascii="Arial" w:hAnsi="Arial" w:cs="Arial" w:eastAsia="Arial" w:hint="default"/>
        </w:rPr>
        <w:t>31</w:t>
      </w:r>
      <w:r>
        <w:rPr/>
        <w:t>、重要会计政策和会计估计变更</w:t>
      </w:r>
      <w:r>
        <w:rPr>
          <w:b w:val="0"/>
          <w:bCs w:val="0"/>
        </w:rPr>
      </w:r>
    </w:p>
    <w:p>
      <w:pPr>
        <w:pStyle w:val="Heading3"/>
        <w:spacing w:line="240" w:lineRule="auto" w:before="137"/>
        <w:ind w:right="99"/>
        <w:jc w:val="left"/>
        <w:rPr>
          <w:b w:val="0"/>
          <w:bCs w:val="0"/>
        </w:rPr>
      </w:pPr>
      <w:r>
        <w:rPr/>
        <w:t>（</w:t>
      </w:r>
      <w:r>
        <w:rPr>
          <w:rFonts w:ascii="Arial" w:hAnsi="Arial" w:cs="Arial" w:eastAsia="Arial" w:hint="default"/>
        </w:rPr>
        <w:t>1</w:t>
      </w:r>
      <w:r>
        <w:rPr/>
        <w:t>）重要会计政策变更</w:t>
      </w:r>
      <w:r>
        <w:rPr>
          <w:b w:val="0"/>
          <w:bCs w:val="0"/>
        </w:rPr>
      </w:r>
    </w:p>
    <w:p>
      <w:pPr>
        <w:pStyle w:val="BodyText"/>
        <w:spacing w:line="240" w:lineRule="auto" w:before="137"/>
        <w:ind w:right="9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40" w:lineRule="auto" w:before="134"/>
        <w:ind w:right="99"/>
        <w:jc w:val="left"/>
        <w:rPr>
          <w:b w:val="0"/>
          <w:bCs w:val="0"/>
        </w:rPr>
      </w:pPr>
      <w:r>
        <w:rPr/>
        <w:t>（</w:t>
      </w:r>
      <w:r>
        <w:rPr>
          <w:rFonts w:ascii="Arial" w:hAnsi="Arial" w:cs="Arial" w:eastAsia="Arial" w:hint="default"/>
        </w:rPr>
        <w:t>2</w:t>
      </w:r>
      <w:r>
        <w:rPr/>
        <w:t>）重要会计估计变更</w:t>
      </w:r>
      <w:r>
        <w:rPr>
          <w:b w:val="0"/>
          <w:bCs w:val="0"/>
        </w:rPr>
      </w:r>
    </w:p>
    <w:p>
      <w:pPr>
        <w:pStyle w:val="BodyText"/>
        <w:spacing w:line="240" w:lineRule="auto" w:before="137"/>
        <w:ind w:right="9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84" w:footer="1010" w:top="1140" w:bottom="1200" w:left="980" w:right="900"/>
        </w:sectPr>
      </w:pPr>
    </w:p>
    <w:p>
      <w:pPr>
        <w:spacing w:line="240" w:lineRule="auto" w:before="1"/>
        <w:rPr>
          <w:rFonts w:ascii="宋体" w:hAnsi="宋体" w:cs="宋体" w:eastAsia="宋体" w:hint="default"/>
          <w:sz w:val="20"/>
          <w:szCs w:val="20"/>
        </w:rPr>
      </w:pPr>
    </w:p>
    <w:p>
      <w:pPr>
        <w:pStyle w:val="Heading3"/>
        <w:spacing w:line="240" w:lineRule="auto" w:before="26"/>
        <w:ind w:right="0"/>
        <w:jc w:val="left"/>
        <w:rPr>
          <w:b w:val="0"/>
          <w:bCs w:val="0"/>
        </w:rPr>
      </w:pPr>
      <w:r>
        <w:rPr/>
        <w:t>六、税项</w:t>
      </w:r>
      <w:r>
        <w:rPr>
          <w:b w:val="0"/>
          <w:bCs w:val="0"/>
        </w:rPr>
      </w:r>
    </w:p>
    <w:p>
      <w:pPr>
        <w:pStyle w:val="Heading3"/>
        <w:spacing w:line="240" w:lineRule="auto" w:before="156"/>
        <w:ind w:right="0"/>
        <w:jc w:val="left"/>
        <w:rPr>
          <w:b w:val="0"/>
          <w:bCs w:val="0"/>
        </w:rPr>
      </w:pPr>
      <w:r>
        <w:rPr>
          <w:rFonts w:ascii="Arial" w:hAnsi="Arial" w:cs="Arial" w:eastAsia="Arial" w:hint="default"/>
        </w:rPr>
        <w:t>1</w:t>
      </w:r>
      <w:r>
        <w:rPr/>
        <w:t>、主要税种及税率</w:t>
      </w:r>
      <w:r>
        <w:rPr>
          <w:b w:val="0"/>
          <w:bCs w:val="0"/>
        </w:rPr>
      </w:r>
    </w:p>
    <w:p>
      <w:pPr>
        <w:spacing w:line="240" w:lineRule="auto" w:before="5"/>
        <w:rPr>
          <w:rFonts w:ascii="宋体" w:hAnsi="宋体" w:cs="宋体" w:eastAsia="宋体"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17%</w:t>
            </w:r>
            <w:r>
              <w:rPr>
                <w:rFonts w:ascii="宋体" w:hAnsi="宋体" w:cs="宋体" w:eastAsia="宋体" w:hint="default"/>
                <w:sz w:val="18"/>
                <w:szCs w:val="18"/>
              </w:rPr>
              <w:t>、</w:t>
            </w:r>
            <w:r>
              <w:rPr>
                <w:rFonts w:ascii="Arial" w:hAnsi="Arial" w:cs="Arial" w:eastAsia="Arial" w:hint="default"/>
                <w:sz w:val="18"/>
                <w:szCs w:val="18"/>
              </w:rPr>
              <w:t>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15%</w:t>
            </w:r>
            <w:r>
              <w:rPr>
                <w:rFonts w:ascii="宋体" w:hAnsi="宋体" w:cs="宋体" w:eastAsia="宋体" w:hint="default"/>
                <w:sz w:val="18"/>
                <w:szCs w:val="18"/>
              </w:rPr>
              <w:t>、</w:t>
            </w:r>
            <w:r>
              <w:rPr>
                <w:rFonts w:ascii="Arial" w:hAnsi="Arial" w:cs="Arial" w:eastAsia="Arial" w:hint="default"/>
                <w:sz w:val="18"/>
                <w:szCs w:val="18"/>
              </w:rPr>
              <w:t>10%</w:t>
            </w:r>
            <w:r>
              <w:rPr>
                <w:rFonts w:ascii="宋体" w:hAnsi="宋体" w:cs="宋体" w:eastAsia="宋体" w:hint="default"/>
                <w:sz w:val="18"/>
                <w:szCs w:val="18"/>
              </w:rPr>
              <w:t>、</w:t>
            </w:r>
            <w:r>
              <w:rPr>
                <w:rFonts w:ascii="Arial" w:hAnsi="Arial" w:cs="Arial" w:eastAsia="Arial" w:hint="default"/>
                <w:sz w:val="18"/>
                <w:szCs w:val="18"/>
              </w:rPr>
              <w:t>25%</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广州华宇信息技术有限公司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25%</w:t>
            </w:r>
            <w:r>
              <w:rPr>
                <w:rFonts w:ascii="宋体" w:hAnsi="宋体" w:cs="宋体" w:eastAsia="宋体" w:hint="default"/>
                <w:sz w:val="18"/>
                <w:szCs w:val="18"/>
              </w:rPr>
              <w:t>，减半征收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华宇金信</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25%</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2</w:t>
      </w:r>
      <w:r>
        <w:rPr/>
        <w:t>、税收优惠</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t>（一）增值税</w:t>
      </w:r>
    </w:p>
    <w:p>
      <w:pPr>
        <w:pStyle w:val="BodyText"/>
        <w:spacing w:line="297" w:lineRule="auto" w:before="211"/>
        <w:ind w:right="144" w:firstLine="420"/>
        <w:jc w:val="both"/>
      </w:pPr>
      <w:r>
        <w:rPr>
          <w:spacing w:val="-1"/>
        </w:rPr>
        <w:t>（</w:t>
      </w:r>
      <w:r>
        <w:rPr>
          <w:rFonts w:ascii="Arial" w:hAnsi="Arial" w:cs="Arial" w:eastAsia="Arial" w:hint="default"/>
          <w:spacing w:val="-1"/>
        </w:rPr>
        <w:t>1</w:t>
      </w:r>
      <w:r>
        <w:rPr>
          <w:spacing w:val="-1"/>
        </w:rPr>
        <w:t>）依据国务院下发的《国务院关于印发进一步鼓励软件产业和集成电路产业发展的若</w:t>
      </w:r>
      <w:r>
        <w:rPr/>
        <w:t> </w:t>
      </w:r>
      <w:r>
        <w:rPr>
          <w:spacing w:val="2"/>
        </w:rPr>
        <w:t>干政策的通知》（国发</w:t>
      </w:r>
      <w:r>
        <w:rPr>
          <w:rFonts w:ascii="Arial" w:hAnsi="Arial" w:cs="Arial" w:eastAsia="Arial" w:hint="default"/>
          <w:spacing w:val="2"/>
        </w:rPr>
        <w:t>[2011]4</w:t>
      </w:r>
      <w:r>
        <w:rPr>
          <w:spacing w:val="2"/>
        </w:rPr>
        <w:t>号）第（一）条及第（三十三）条的规定。</w:t>
      </w:r>
      <w:r>
        <w:rPr>
          <w:rFonts w:ascii="Arial" w:hAnsi="Arial" w:cs="Arial" w:eastAsia="Arial" w:hint="default"/>
          <w:spacing w:val="2"/>
        </w:rPr>
        <w:t>2011</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w:t>
      </w:r>
      <w:r>
        <w:rPr>
          <w:spacing w:val="-104"/>
        </w:rPr>
        <w:t> </w:t>
      </w:r>
      <w:r>
        <w:rPr>
          <w:spacing w:val="-2"/>
        </w:rPr>
        <w:t>公司及公司所属子公司</w:t>
      </w:r>
      <w:r>
        <w:rPr>
          <w:rFonts w:ascii="Arial" w:hAnsi="Arial" w:cs="Arial" w:eastAsia="Arial" w:hint="default"/>
          <w:spacing w:val="-2"/>
        </w:rPr>
        <w:t>-</w:t>
      </w:r>
      <w:r>
        <w:rPr>
          <w:spacing w:val="-2"/>
        </w:rPr>
        <w:t>北京亿信华辰软件有限责任公司、广州华宇信息技术有限公司、北京</w:t>
      </w:r>
      <w:r>
        <w:rPr>
          <w:spacing w:val="-83"/>
        </w:rPr>
        <w:t> </w:t>
      </w:r>
      <w:r>
        <w:rPr>
          <w:spacing w:val="-83"/>
        </w:rPr>
      </w:r>
      <w:r>
        <w:rPr/>
        <w:t>华宇信息技术有限公司和华宇（大连）信息服务有限公司销售其自行开发生产的软件产品，</w:t>
      </w:r>
      <w:r>
        <w:rPr>
          <w:spacing w:val="-91"/>
        </w:rPr>
        <w:t> </w:t>
      </w:r>
      <w:r>
        <w:rPr>
          <w:spacing w:val="-91"/>
        </w:rPr>
      </w:r>
      <w:r>
        <w:rPr>
          <w:spacing w:val="-2"/>
        </w:rPr>
        <w:t>按</w:t>
      </w:r>
      <w:r>
        <w:rPr>
          <w:rFonts w:ascii="Arial" w:hAnsi="Arial" w:cs="Arial" w:eastAsia="Arial" w:hint="default"/>
          <w:spacing w:val="-2"/>
        </w:rPr>
        <w:t>17%</w:t>
      </w:r>
      <w:r>
        <w:rPr>
          <w:spacing w:val="-2"/>
        </w:rPr>
        <w:t>的法定税率征收增值税后，享受增值税实际税负超过</w:t>
      </w:r>
      <w:r>
        <w:rPr>
          <w:rFonts w:ascii="Arial" w:hAnsi="Arial" w:cs="Arial" w:eastAsia="Arial" w:hint="default"/>
          <w:spacing w:val="-2"/>
        </w:rPr>
        <w:t>3%</w:t>
      </w:r>
      <w:r>
        <w:rPr>
          <w:spacing w:val="-2"/>
        </w:rPr>
        <w:t>的部分实行即征即退的优惠政</w:t>
      </w:r>
      <w:r>
        <w:rPr>
          <w:spacing w:val="-110"/>
        </w:rPr>
        <w:t> </w:t>
      </w:r>
      <w:r>
        <w:rPr/>
        <w:t>策。</w:t>
      </w:r>
    </w:p>
    <w:p>
      <w:pPr>
        <w:pStyle w:val="BodyText"/>
        <w:spacing w:line="300" w:lineRule="auto" w:before="154"/>
        <w:ind w:right="148" w:firstLine="420"/>
        <w:jc w:val="both"/>
      </w:pPr>
      <w:r>
        <w:rPr>
          <w:spacing w:val="2"/>
        </w:rPr>
        <w:t>（</w:t>
      </w:r>
      <w:r>
        <w:rPr>
          <w:rFonts w:ascii="Arial" w:hAnsi="Arial" w:cs="Arial" w:eastAsia="Arial" w:hint="default"/>
          <w:spacing w:val="2"/>
        </w:rPr>
        <w:t>2</w:t>
      </w:r>
      <w:r>
        <w:rPr>
          <w:spacing w:val="2"/>
        </w:rPr>
        <w:t>）根据《财政部、国家税务总局关于软件产品增值税政策的通知》（财税</w:t>
      </w:r>
      <w:r>
        <w:rPr>
          <w:rFonts w:ascii="Arial" w:hAnsi="Arial" w:cs="Arial" w:eastAsia="Arial" w:hint="default"/>
          <w:spacing w:val="2"/>
        </w:rPr>
        <w:t>[2011]100</w:t>
      </w:r>
      <w:r>
        <w:rPr>
          <w:rFonts w:ascii="Arial" w:hAnsi="Arial" w:cs="Arial" w:eastAsia="Arial" w:hint="default"/>
          <w:w w:val="99"/>
        </w:rPr>
        <w:t> </w:t>
      </w:r>
      <w:r>
        <w:rPr>
          <w:spacing w:val="-2"/>
        </w:rPr>
        <w:t>号）第一款第（三）条的规定，公司及所属子公司</w:t>
      </w:r>
      <w:r>
        <w:rPr>
          <w:rFonts w:ascii="Arial" w:hAnsi="Arial" w:cs="Arial" w:eastAsia="Arial" w:hint="default"/>
          <w:spacing w:val="-2"/>
        </w:rPr>
        <w:t>-</w:t>
      </w:r>
      <w:r>
        <w:rPr>
          <w:spacing w:val="-2"/>
        </w:rPr>
        <w:t>北京亿信华辰软件有限责任公司、广州华</w:t>
      </w:r>
      <w:r>
        <w:rPr>
          <w:spacing w:val="-81"/>
        </w:rPr>
        <w:t> </w:t>
      </w:r>
      <w:r>
        <w:rPr>
          <w:spacing w:val="-81"/>
        </w:rPr>
      </w:r>
      <w:r>
        <w:rPr/>
        <w:t>宇信息技术有限公司、北京华宇信息技术有限公司的受托开发软件产品，著作权属于公司或</w:t>
      </w:r>
      <w:r>
        <w:rPr>
          <w:spacing w:val="-91"/>
        </w:rPr>
        <w:t> </w:t>
      </w:r>
      <w:r>
        <w:rPr>
          <w:spacing w:val="-91"/>
        </w:rPr>
      </w:r>
      <w:r>
        <w:rPr/>
        <w:t>属于与委托方共有的享受不征收增值税的优惠政策。</w:t>
      </w:r>
    </w:p>
    <w:p>
      <w:pPr>
        <w:pStyle w:val="BodyText"/>
        <w:spacing w:line="240" w:lineRule="auto" w:before="152"/>
        <w:ind w:left="573" w:right="0"/>
        <w:jc w:val="left"/>
      </w:pPr>
      <w:r>
        <w:rPr/>
        <w:t>（二）企业所得税</w:t>
      </w:r>
    </w:p>
    <w:p>
      <w:pPr>
        <w:pStyle w:val="BodyText"/>
        <w:spacing w:line="240" w:lineRule="auto" w:before="211"/>
        <w:ind w:left="573" w:right="0"/>
        <w:jc w:val="left"/>
      </w:pPr>
      <w:r>
        <w:rPr/>
        <w:t>（</w:t>
      </w:r>
      <w:r>
        <w:rPr>
          <w:rFonts w:ascii="Arial" w:hAnsi="Arial" w:cs="Arial" w:eastAsia="Arial" w:hint="default"/>
        </w:rPr>
        <w:t>1</w:t>
      </w:r>
      <w:r>
        <w:rPr/>
        <w:t>）根据《财政部、国家税务总局关于进一步鼓励软件产业和集成电路产业发展企业所</w:t>
      </w:r>
    </w:p>
    <w:p>
      <w:pPr>
        <w:spacing w:after="0" w:line="240" w:lineRule="auto"/>
        <w:jc w:val="left"/>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pStyle w:val="BodyText"/>
        <w:spacing w:line="292" w:lineRule="auto" w:before="26"/>
        <w:ind w:right="231"/>
        <w:jc w:val="both"/>
      </w:pPr>
      <w:r>
        <w:rPr/>
        <w:t>得税政策的通知》（财税</w:t>
      </w:r>
      <w:r>
        <w:rPr>
          <w:rFonts w:ascii="Arial" w:hAnsi="Arial" w:cs="Arial" w:eastAsia="Arial" w:hint="default"/>
        </w:rPr>
        <w:t>[2012]27</w:t>
      </w:r>
      <w:r>
        <w:rPr/>
        <w:t>号）的规定，国家规划布局内的重点软件企业，如当年未</w:t>
      </w:r>
      <w:r>
        <w:rPr>
          <w:spacing w:val="-66"/>
        </w:rPr>
        <w:t> </w:t>
      </w:r>
      <w:r>
        <w:rPr>
          <w:spacing w:val="-66"/>
        </w:rPr>
      </w:r>
      <w:r>
        <w:rPr>
          <w:spacing w:val="-1"/>
        </w:rPr>
        <w:t>享受免税优惠的，可减按</w:t>
      </w:r>
      <w:r>
        <w:rPr>
          <w:rFonts w:ascii="Arial" w:hAnsi="Arial" w:cs="Arial" w:eastAsia="Arial" w:hint="default"/>
          <w:spacing w:val="-1"/>
        </w:rPr>
        <w:t>10%</w:t>
      </w:r>
      <w:r>
        <w:rPr>
          <w:spacing w:val="-1"/>
        </w:rPr>
        <w:t>的税率征收企业所得税。</w:t>
      </w:r>
      <w:r>
        <w:rPr>
          <w:rFonts w:ascii="Arial" w:hAnsi="Arial" w:cs="Arial" w:eastAsia="Arial" w:hint="default"/>
          <w:spacing w:val="-1"/>
        </w:rPr>
        <w:t>2013</w:t>
      </w:r>
      <w:r>
        <w:rPr>
          <w:spacing w:val="-1"/>
        </w:rPr>
        <w:t>年度公司被认定为国家规划布局</w:t>
      </w:r>
      <w:r>
        <w:rPr>
          <w:spacing w:val="-100"/>
        </w:rPr>
        <w:t> </w:t>
      </w:r>
      <w:r>
        <w:rPr>
          <w:spacing w:val="-100"/>
        </w:rPr>
      </w:r>
      <w:r>
        <w:rPr/>
        <w:t>内重点软件企业，</w:t>
      </w:r>
      <w:r>
        <w:rPr>
          <w:rFonts w:ascii="Arial" w:hAnsi="Arial" w:cs="Arial" w:eastAsia="Arial" w:hint="default"/>
        </w:rPr>
        <w:t>2013</w:t>
      </w:r>
      <w:r>
        <w:rPr/>
        <w:t>年度、</w:t>
      </w:r>
      <w:r>
        <w:rPr>
          <w:rFonts w:ascii="Arial" w:hAnsi="Arial" w:cs="Arial" w:eastAsia="Arial" w:hint="default"/>
        </w:rPr>
        <w:t>2014</w:t>
      </w:r>
      <w:r>
        <w:rPr/>
        <w:t>年度减按</w:t>
      </w:r>
      <w:r>
        <w:rPr>
          <w:rFonts w:ascii="Arial" w:hAnsi="Arial" w:cs="Arial" w:eastAsia="Arial" w:hint="default"/>
        </w:rPr>
        <w:t>10</w:t>
      </w:r>
      <w:r>
        <w:rPr/>
        <w:t>％的税率征收企业所得税。</w:t>
      </w:r>
    </w:p>
    <w:p>
      <w:pPr>
        <w:pStyle w:val="BodyText"/>
        <w:spacing w:line="292" w:lineRule="auto" w:before="135"/>
        <w:ind w:right="109" w:firstLine="420"/>
        <w:jc w:val="left"/>
      </w:pPr>
      <w:r>
        <w:rPr/>
        <w:t>（</w:t>
      </w:r>
      <w:r>
        <w:rPr>
          <w:rFonts w:ascii="Arial" w:hAnsi="Arial" w:cs="Arial" w:eastAsia="Arial" w:hint="default"/>
        </w:rPr>
        <w:t>2</w:t>
      </w:r>
      <w:r>
        <w:rPr/>
        <w:t>）公司所属子公司</w:t>
      </w:r>
      <w:r>
        <w:rPr>
          <w:rFonts w:ascii="Arial" w:hAnsi="Arial" w:cs="Arial" w:eastAsia="Arial" w:hint="default"/>
        </w:rPr>
        <w:t>-</w:t>
      </w:r>
      <w:r>
        <w:rPr/>
        <w:t>北京亿信华辰软件有限责任公司</w:t>
      </w:r>
      <w:r>
        <w:rPr>
          <w:rFonts w:ascii="Arial" w:hAnsi="Arial" w:cs="Arial" w:eastAsia="Arial" w:hint="default"/>
        </w:rPr>
        <w:t>2011</w:t>
      </w:r>
      <w:r>
        <w:rPr/>
        <w:t>年被认定为高新技术企业， </w:t>
      </w:r>
      <w:r>
        <w:rPr>
          <w:spacing w:val="-4"/>
        </w:rPr>
        <w:t>根据自</w:t>
      </w:r>
      <w:r>
        <w:rPr>
          <w:rFonts w:ascii="Arial" w:hAnsi="Arial" w:cs="Arial" w:eastAsia="Arial" w:hint="default"/>
          <w:spacing w:val="-4"/>
        </w:rPr>
        <w:t>2008</w:t>
      </w:r>
      <w:r>
        <w:rPr>
          <w:spacing w:val="-4"/>
        </w:rPr>
        <w:t>年</w:t>
      </w:r>
      <w:r>
        <w:rPr>
          <w:rFonts w:ascii="Arial" w:hAnsi="Arial" w:cs="Arial" w:eastAsia="Arial" w:hint="default"/>
          <w:spacing w:val="-4"/>
        </w:rPr>
        <w:t>1</w:t>
      </w:r>
      <w:r>
        <w:rPr>
          <w:spacing w:val="-4"/>
        </w:rPr>
        <w:t>月</w:t>
      </w:r>
      <w:r>
        <w:rPr>
          <w:rFonts w:ascii="Arial" w:hAnsi="Arial" w:cs="Arial" w:eastAsia="Arial" w:hint="default"/>
          <w:spacing w:val="-4"/>
        </w:rPr>
        <w:t>1</w:t>
      </w:r>
      <w:r>
        <w:rPr>
          <w:spacing w:val="-4"/>
        </w:rPr>
        <w:t>日起施行的《中华人民共和国企业所得税法实施条例》及其实施细则规定，</w:t>
      </w:r>
      <w:r>
        <w:rPr>
          <w:spacing w:val="-115"/>
        </w:rPr>
        <w:t> </w:t>
      </w:r>
      <w:r>
        <w:rPr>
          <w:spacing w:val="-115"/>
        </w:rPr>
      </w:r>
      <w:r>
        <w:rPr/>
        <w:t>国家需要重点扶持的高新技术企业，减按</w:t>
      </w:r>
      <w:r>
        <w:rPr>
          <w:rFonts w:ascii="Arial" w:hAnsi="Arial" w:cs="Arial" w:eastAsia="Arial" w:hint="default"/>
        </w:rPr>
        <w:t>15</w:t>
      </w:r>
      <w:r>
        <w:rPr/>
        <w:t>％的税率征收企业所得税。</w:t>
      </w:r>
    </w:p>
    <w:p>
      <w:pPr>
        <w:pStyle w:val="BodyText"/>
        <w:spacing w:line="295" w:lineRule="auto" w:before="135"/>
        <w:ind w:right="232"/>
        <w:jc w:val="both"/>
      </w:pPr>
      <w:r>
        <w:rPr/>
        <w:t>（</w:t>
      </w:r>
      <w:r>
        <w:rPr>
          <w:rFonts w:ascii="Arial" w:hAnsi="Arial" w:cs="Arial" w:eastAsia="Arial" w:hint="default"/>
        </w:rPr>
        <w:t>3</w:t>
      </w:r>
      <w:r>
        <w:rPr/>
        <w:t>）公司所属子公司</w:t>
      </w:r>
      <w:r>
        <w:rPr>
          <w:rFonts w:ascii="Arial" w:hAnsi="Arial" w:cs="Arial" w:eastAsia="Arial" w:hint="default"/>
        </w:rPr>
        <w:t>-</w:t>
      </w:r>
      <w:r>
        <w:rPr/>
        <w:t>广州华宇信息技术有限公司</w:t>
      </w:r>
      <w:r>
        <w:rPr>
          <w:rFonts w:ascii="Arial" w:hAnsi="Arial" w:cs="Arial" w:eastAsia="Arial" w:hint="default"/>
        </w:rPr>
        <w:t>2012</w:t>
      </w:r>
      <w:r>
        <w:rPr/>
        <w:t>年再次认定为高新技术企业，根据自 </w:t>
      </w:r>
      <w:r>
        <w:rPr>
          <w:rFonts w:ascii="Arial" w:hAnsi="Arial" w:cs="Arial" w:eastAsia="Arial" w:hint="default"/>
          <w:spacing w:val="-2"/>
        </w:rPr>
        <w:t>2008</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日起施行的《中华人民共和国企业所得税法实施条例》及其实施细则规定，国家</w:t>
      </w:r>
      <w:r>
        <w:rPr>
          <w:spacing w:val="-84"/>
        </w:rPr>
        <w:t> </w:t>
      </w:r>
      <w:r>
        <w:rPr>
          <w:spacing w:val="-84"/>
        </w:rPr>
      </w:r>
      <w:r>
        <w:rPr/>
        <w:t>需要重点扶持的高新技术企业，减按</w:t>
      </w:r>
      <w:r>
        <w:rPr>
          <w:rFonts w:ascii="Arial" w:hAnsi="Arial" w:cs="Arial" w:eastAsia="Arial" w:hint="default"/>
        </w:rPr>
        <w:t>15</w:t>
      </w:r>
      <w:r>
        <w:rPr/>
        <w:t>％的税率征收企业所得税。</w:t>
      </w:r>
    </w:p>
    <w:p>
      <w:pPr>
        <w:pStyle w:val="BodyText"/>
        <w:spacing w:line="292" w:lineRule="auto" w:before="12"/>
        <w:ind w:right="231"/>
        <w:jc w:val="both"/>
      </w:pPr>
      <w:r>
        <w:rPr>
          <w:spacing w:val="-6"/>
        </w:rPr>
        <w:t>（</w:t>
      </w:r>
      <w:r>
        <w:rPr>
          <w:rFonts w:ascii="Arial" w:hAnsi="Arial" w:cs="Arial" w:eastAsia="Arial" w:hint="default"/>
          <w:spacing w:val="-6"/>
        </w:rPr>
        <w:t>4</w:t>
      </w:r>
      <w:r>
        <w:rPr>
          <w:spacing w:val="-6"/>
        </w:rPr>
        <w:t>）公司所属子公司</w:t>
      </w:r>
      <w:r>
        <w:rPr>
          <w:rFonts w:ascii="Arial" w:hAnsi="Arial" w:cs="Arial" w:eastAsia="Arial" w:hint="default"/>
          <w:spacing w:val="-6"/>
        </w:rPr>
        <w:t>-</w:t>
      </w:r>
      <w:r>
        <w:rPr>
          <w:spacing w:val="-6"/>
        </w:rPr>
        <w:t>北京华宇信息技术有限公司</w:t>
      </w:r>
      <w:r>
        <w:rPr>
          <w:rFonts w:ascii="Arial" w:hAnsi="Arial" w:cs="Arial" w:eastAsia="Arial" w:hint="default"/>
          <w:spacing w:val="-6"/>
        </w:rPr>
        <w:t>2012</w:t>
      </w:r>
      <w:r>
        <w:rPr>
          <w:spacing w:val="-6"/>
        </w:rPr>
        <w:t>认定为符合条件的软件企业，根据《财</w:t>
      </w:r>
      <w:r>
        <w:rPr>
          <w:spacing w:val="-91"/>
        </w:rPr>
        <w:t> </w:t>
      </w:r>
      <w:r>
        <w:rPr>
          <w:spacing w:val="-91"/>
        </w:rPr>
      </w:r>
      <w:r>
        <w:rPr/>
        <w:t>政部、国家税务总局关于进一步鼓励软件产业和集成电路产业发展企业所得税政策的通知》</w:t>
      </w:r>
    </w:p>
    <w:p>
      <w:pPr>
        <w:pStyle w:val="BodyText"/>
        <w:spacing w:line="292" w:lineRule="auto" w:before="38"/>
        <w:ind w:right="230"/>
        <w:jc w:val="both"/>
      </w:pPr>
      <w:r>
        <w:rPr>
          <w:spacing w:val="-7"/>
        </w:rPr>
        <w:t>（财税</w:t>
      </w:r>
      <w:r>
        <w:rPr>
          <w:rFonts w:ascii="Arial" w:hAnsi="Arial" w:cs="Arial" w:eastAsia="Arial" w:hint="default"/>
          <w:spacing w:val="-7"/>
        </w:rPr>
        <w:t>[2012]27</w:t>
      </w:r>
      <w:r>
        <w:rPr>
          <w:spacing w:val="-7"/>
        </w:rPr>
        <w:t>号），北京华宇信息技术有限公司</w:t>
      </w:r>
      <w:r>
        <w:rPr>
          <w:rFonts w:ascii="Arial" w:hAnsi="Arial" w:cs="Arial" w:eastAsia="Arial" w:hint="default"/>
          <w:spacing w:val="-7"/>
        </w:rPr>
        <w:t>2012</w:t>
      </w:r>
      <w:r>
        <w:rPr>
          <w:spacing w:val="-7"/>
        </w:rPr>
        <w:t>年度、</w:t>
      </w:r>
      <w:r>
        <w:rPr>
          <w:rFonts w:ascii="Arial" w:hAnsi="Arial" w:cs="Arial" w:eastAsia="Arial" w:hint="default"/>
          <w:spacing w:val="-7"/>
        </w:rPr>
        <w:t>2013</w:t>
      </w:r>
      <w:r>
        <w:rPr>
          <w:spacing w:val="-7"/>
        </w:rPr>
        <w:t>年度免征企业所得税，</w:t>
      </w:r>
      <w:r>
        <w:rPr>
          <w:rFonts w:ascii="Arial" w:hAnsi="Arial" w:cs="Arial" w:eastAsia="Arial" w:hint="default"/>
          <w:spacing w:val="-7"/>
        </w:rPr>
        <w:t>2014</w:t>
      </w:r>
      <w:r>
        <w:rPr>
          <w:rFonts w:ascii="Arial" w:hAnsi="Arial" w:cs="Arial" w:eastAsia="Arial" w:hint="default"/>
          <w:spacing w:val="-58"/>
        </w:rPr>
        <w:t> </w:t>
      </w:r>
      <w:r>
        <w:rPr>
          <w:rFonts w:ascii="Arial" w:hAnsi="Arial" w:cs="Arial" w:eastAsia="Arial" w:hint="default"/>
          <w:spacing w:val="-58"/>
        </w:rPr>
      </w:r>
      <w:r>
        <w:rPr/>
        <w:t>年度、</w:t>
      </w:r>
      <w:r>
        <w:rPr>
          <w:rFonts w:ascii="Arial" w:hAnsi="Arial" w:cs="Arial" w:eastAsia="Arial" w:hint="default"/>
        </w:rPr>
        <w:t>2015</w:t>
      </w:r>
      <w:r>
        <w:rPr/>
        <w:t>年度、</w:t>
      </w:r>
      <w:r>
        <w:rPr>
          <w:rFonts w:ascii="Arial" w:hAnsi="Arial" w:cs="Arial" w:eastAsia="Arial" w:hint="default"/>
        </w:rPr>
        <w:t>2016</w:t>
      </w:r>
      <w:r>
        <w:rPr/>
        <w:t>年度减半征收企业所得税。</w:t>
      </w:r>
    </w:p>
    <w:p>
      <w:pPr>
        <w:pStyle w:val="BodyText"/>
        <w:spacing w:line="292" w:lineRule="auto" w:before="15"/>
        <w:ind w:right="99"/>
        <w:jc w:val="left"/>
      </w:pPr>
      <w:r>
        <w:rPr/>
        <w:t>（</w:t>
      </w:r>
      <w:r>
        <w:rPr>
          <w:rFonts w:ascii="Arial" w:hAnsi="Arial" w:cs="Arial" w:eastAsia="Arial" w:hint="default"/>
        </w:rPr>
        <w:t>5</w:t>
      </w:r>
      <w:r>
        <w:rPr/>
        <w:t>）公司所属子公司</w:t>
      </w:r>
      <w:r>
        <w:rPr>
          <w:rFonts w:ascii="Arial" w:hAnsi="Arial" w:cs="Arial" w:eastAsia="Arial" w:hint="default"/>
        </w:rPr>
        <w:t>-</w:t>
      </w:r>
      <w:r>
        <w:rPr/>
        <w:t>华宇金信</w:t>
      </w:r>
      <w:r>
        <w:rPr>
          <w:rFonts w:ascii="Arial" w:hAnsi="Arial" w:cs="Arial" w:eastAsia="Arial" w:hint="default"/>
        </w:rPr>
        <w:t>(</w:t>
      </w:r>
      <w:r>
        <w:rPr/>
        <w:t>北京</w:t>
      </w:r>
      <w:r>
        <w:rPr>
          <w:rFonts w:ascii="Arial" w:hAnsi="Arial" w:cs="Arial" w:eastAsia="Arial" w:hint="default"/>
        </w:rPr>
        <w:t>)</w:t>
      </w:r>
      <w:r>
        <w:rPr/>
        <w:t>软件有限公司</w:t>
      </w:r>
      <w:r>
        <w:rPr>
          <w:rFonts w:ascii="Arial" w:hAnsi="Arial" w:cs="Arial" w:eastAsia="Arial" w:hint="default"/>
        </w:rPr>
        <w:t>2013</w:t>
      </w:r>
      <w:r>
        <w:rPr/>
        <w:t>年度认定为高新技术企业，根据自 </w:t>
      </w:r>
      <w:r>
        <w:rPr>
          <w:rFonts w:ascii="Arial" w:hAnsi="Arial" w:cs="Arial" w:eastAsia="Arial" w:hint="default"/>
          <w:spacing w:val="-2"/>
        </w:rPr>
        <w:t>2008</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日起施行的《中华人民共和国企业所得税法实施条例》及其实施细则规定，国家</w:t>
      </w:r>
      <w:r>
        <w:rPr>
          <w:spacing w:val="-84"/>
        </w:rPr>
        <w:t> </w:t>
      </w:r>
      <w:r>
        <w:rPr>
          <w:spacing w:val="-84"/>
        </w:rPr>
      </w:r>
      <w:r>
        <w:rPr/>
        <w:t>需要重点扶持的高新技术企业，减按</w:t>
      </w:r>
      <w:r>
        <w:rPr>
          <w:rFonts w:ascii="Arial" w:hAnsi="Arial" w:cs="Arial" w:eastAsia="Arial" w:hint="default"/>
        </w:rPr>
        <w:t>15</w:t>
      </w:r>
      <w:r>
        <w:rPr/>
        <w:t>％的税率征收企业所得税。</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七、合并财务报表项目注释</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both"/>
        <w:rPr>
          <w:b w:val="0"/>
          <w:bCs w:val="0"/>
        </w:rPr>
      </w:pPr>
      <w:r>
        <w:rPr>
          <w:rFonts w:ascii="Arial" w:hAnsi="Arial" w:cs="Arial" w:eastAsia="Arial" w:hint="default"/>
        </w:rPr>
        <w:t>1</w:t>
      </w:r>
      <w:r>
        <w:rPr/>
        <w:t>、货币资金</w:t>
      </w:r>
      <w:r>
        <w:rPr>
          <w:b w:val="0"/>
          <w:bCs w:val="0"/>
        </w:rPr>
      </w:r>
    </w:p>
    <w:p>
      <w:pPr>
        <w:spacing w:line="240" w:lineRule="auto" w:before="13"/>
        <w:rPr>
          <w:rFonts w:ascii="宋体" w:hAnsi="宋体" w:cs="宋体" w:eastAsia="宋体" w:hint="default"/>
          <w:b/>
          <w:bCs/>
          <w:sz w:val="24"/>
          <w:szCs w:val="24"/>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130,181.62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280,180.35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515,066,873.50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406,476,051.11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22,728,462.27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30,237,464.21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537,925,517.39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436,993,695.67</w:t>
            </w:r>
          </w:p>
        </w:tc>
      </w:tr>
    </w:tbl>
    <w:p>
      <w:pPr>
        <w:pStyle w:val="BodyText"/>
        <w:spacing w:line="316" w:lineRule="auto" w:before="48"/>
        <w:ind w:right="291"/>
        <w:jc w:val="left"/>
      </w:pPr>
      <w:r>
        <w:rPr/>
        <w:t>其他说明 截至</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日其他货币资金中人民币</w:t>
      </w:r>
      <w:r>
        <w:rPr>
          <w:rFonts w:ascii="Arial" w:hAnsi="Arial" w:cs="Arial" w:eastAsia="Arial" w:hint="default"/>
        </w:rPr>
        <w:t>22,728,462.27</w:t>
      </w:r>
      <w:r>
        <w:rPr/>
        <w:t>元，为本公司及子公司因开展业 务需要，向银行申请开具无条件、不可撤销的担保函所存入的保证金存款。</w:t>
      </w:r>
    </w:p>
    <w:p>
      <w:pPr>
        <w:spacing w:after="0" w:line="316" w:lineRule="auto"/>
        <w:jc w:val="left"/>
        <w:sectPr>
          <w:pgSz w:w="11910" w:h="16840"/>
          <w:pgMar w:header="884" w:footer="1010" w:top="1140" w:bottom="1200" w:left="980" w:right="900"/>
        </w:sectPr>
      </w:pPr>
    </w:p>
    <w:p>
      <w:pPr>
        <w:spacing w:line="240" w:lineRule="auto" w:before="8"/>
        <w:rPr>
          <w:rFonts w:ascii="宋体" w:hAnsi="宋体" w:cs="宋体" w:eastAsia="宋体" w:hint="default"/>
          <w:sz w:val="16"/>
          <w:szCs w:val="16"/>
        </w:rPr>
      </w:pPr>
    </w:p>
    <w:p>
      <w:pPr>
        <w:pStyle w:val="Heading3"/>
        <w:spacing w:line="240" w:lineRule="auto" w:before="26"/>
        <w:ind w:right="0"/>
        <w:jc w:val="left"/>
        <w:rPr>
          <w:b w:val="0"/>
          <w:bCs w:val="0"/>
        </w:rPr>
      </w:pPr>
      <w:r>
        <w:rPr>
          <w:rFonts w:ascii="Arial" w:hAnsi="Arial" w:cs="Arial" w:eastAsia="Arial" w:hint="default"/>
        </w:rPr>
        <w:t>2</w:t>
      </w:r>
      <w:r>
        <w:rPr/>
        <w:t>、应收票据</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Arial" w:hAnsi="Arial" w:cs="Arial" w:eastAsia="Arial" w:hint="default"/>
        </w:rPr>
        <w:t>1</w:t>
      </w:r>
      <w:r>
        <w:rPr/>
        <w:t>）应收票据分类列示</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200,000.00</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3</w:t>
      </w:r>
      <w:r>
        <w:rPr/>
        <w:t>、应收账款</w:t>
      </w:r>
      <w:r>
        <w:rPr>
          <w:b w:val="0"/>
          <w:bCs w:val="0"/>
        </w:rPr>
      </w:r>
    </w:p>
    <w:p>
      <w:pPr>
        <w:spacing w:line="240" w:lineRule="auto" w:before="9"/>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Arial" w:hAnsi="Arial" w:cs="Arial" w:eastAsia="Arial" w:hint="default"/>
        </w:rPr>
        <w:t>1</w:t>
      </w:r>
      <w:r>
        <w:rPr/>
        <w:t>）应收账款分类披露</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002"/>
        <w:gridCol w:w="656"/>
        <w:gridCol w:w="905"/>
        <w:gridCol w:w="614"/>
        <w:gridCol w:w="946"/>
        <w:gridCol w:w="986"/>
        <w:gridCol w:w="588"/>
        <w:gridCol w:w="989"/>
        <w:gridCol w:w="571"/>
        <w:gridCol w:w="974"/>
      </w:tblGrid>
      <w:tr>
        <w:trPr>
          <w:trHeight w:val="398"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12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6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6" w:type="dxa"/>
            <w:vMerge w:val="restart"/>
            <w:tcBorders>
              <w:top w:val="single" w:sz="4" w:space="0" w:color="000000"/>
              <w:left w:val="single" w:sz="4" w:space="0" w:color="000000"/>
              <w:right w:val="single" w:sz="4" w:space="0" w:color="000000"/>
            </w:tcBorders>
            <w:shd w:val="clear" w:color="auto" w:fill="D2D2D2"/>
          </w:tcPr>
          <w:p>
            <w:pPr/>
          </w:p>
        </w:tc>
        <w:tc>
          <w:tcPr>
            <w:tcW w:w="15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58" w:type="dxa"/>
            <w:gridSpan w:val="2"/>
            <w:vMerge/>
            <w:tcBorders>
              <w:left w:val="single" w:sz="4" w:space="0" w:color="000000"/>
              <w:bottom w:val="single" w:sz="4" w:space="0" w:color="000000"/>
              <w:right w:val="single" w:sz="4" w:space="0" w:color="000000"/>
            </w:tcBorders>
            <w:shd w:val="clear" w:color="auto" w:fill="D2D2D2"/>
          </w:tcPr>
          <w:p>
            <w:pPr/>
          </w:p>
        </w:tc>
        <w:tc>
          <w:tcPr>
            <w:tcW w:w="1519" w:type="dxa"/>
            <w:gridSpan w:val="2"/>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1574" w:type="dxa"/>
            <w:gridSpan w:val="2"/>
            <w:vMerge/>
            <w:tcBorders>
              <w:left w:val="single" w:sz="4" w:space="0" w:color="000000"/>
              <w:bottom w:val="single" w:sz="4" w:space="0" w:color="000000"/>
              <w:right w:val="single" w:sz="4" w:space="0" w:color="000000"/>
            </w:tcBorders>
            <w:shd w:val="clear" w:color="auto" w:fill="D2D2D2"/>
          </w:tcPr>
          <w:p>
            <w:pPr/>
          </w:p>
        </w:tc>
        <w:tc>
          <w:tcPr>
            <w:tcW w:w="1561" w:type="dxa"/>
            <w:gridSpan w:val="2"/>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00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0" w:right="9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4" w:type="dxa"/>
            <w:vMerge/>
            <w:tcBorders>
              <w:left w:val="single" w:sz="4" w:space="0" w:color="000000"/>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9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1" w:type="dxa"/>
            <w:vMerge/>
            <w:tcBorders>
              <w:left w:val="single" w:sz="4" w:space="0" w:color="000000"/>
              <w:right w:val="single" w:sz="4" w:space="0" w:color="000000"/>
            </w:tcBorders>
            <w:shd w:val="clear" w:color="auto" w:fill="D2D2D2"/>
          </w:tcPr>
          <w:p>
            <w:pPr/>
          </w:p>
        </w:tc>
        <w:tc>
          <w:tcPr>
            <w:tcW w:w="97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96" w:type="dxa"/>
            <w:vMerge/>
            <w:tcBorders>
              <w:left w:val="single" w:sz="4" w:space="0" w:color="000000"/>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905"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
        </w:tc>
        <w:tc>
          <w:tcPr>
            <w:tcW w:w="986" w:type="dxa"/>
            <w:vMerge/>
            <w:tcBorders>
              <w:left w:val="single" w:sz="4" w:space="0" w:color="000000"/>
              <w:bottom w:val="nil" w:sz="6" w:space="0" w:color="auto"/>
              <w:right w:val="single" w:sz="4" w:space="0" w:color="000000"/>
            </w:tcBorders>
            <w:shd w:val="clear" w:color="auto" w:fill="D2D2D2"/>
          </w:tcPr>
          <w:p>
            <w:pPr/>
          </w:p>
        </w:tc>
        <w:tc>
          <w:tcPr>
            <w:tcW w:w="588"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bottom w:val="nil" w:sz="6" w:space="0" w:color="auto"/>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9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5"/>
                <w:szCs w:val="15"/>
              </w:rPr>
            </w:pPr>
            <w:r>
              <w:rPr>
                <w:rFonts w:ascii="Arial"/>
                <w:w w:val="90"/>
                <w:sz w:val="15"/>
              </w:rPr>
              <w:t>54,652,551.93</w:t>
            </w:r>
            <w:r>
              <w:rPr>
                <w:rFonts w:ascii="Arial"/>
                <w:sz w:val="15"/>
              </w:rPr>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5"/>
                <w:szCs w:val="15"/>
              </w:rPr>
            </w:pPr>
            <w:r>
              <w:rPr>
                <w:rFonts w:ascii="Arial"/>
                <w:spacing w:val="-1"/>
                <w:w w:val="90"/>
                <w:sz w:val="15"/>
              </w:rPr>
              <w:t>16.66%</w:t>
            </w:r>
            <w:r>
              <w:rPr>
                <w:rFonts w:ascii="Arial"/>
                <w:spacing w:val="-1"/>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6" w:right="0"/>
              <w:jc w:val="left"/>
              <w:rPr>
                <w:rFonts w:ascii="Arial" w:hAnsi="Arial" w:cs="Arial" w:eastAsia="Arial" w:hint="default"/>
                <w:sz w:val="15"/>
                <w:szCs w:val="15"/>
              </w:rPr>
            </w:pPr>
            <w:r>
              <w:rPr>
                <w:rFonts w:ascii="Arial"/>
                <w:w w:val="90"/>
                <w:sz w:val="15"/>
              </w:rPr>
              <w:t>1,366,313.80</w:t>
            </w:r>
            <w:r>
              <w:rPr>
                <w:rFonts w:ascii="Arial"/>
                <w:sz w:val="15"/>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5"/>
                <w:szCs w:val="15"/>
              </w:rPr>
            </w:pPr>
            <w:r>
              <w:rPr>
                <w:rFonts w:ascii="Arial"/>
                <w:spacing w:val="-1"/>
                <w:w w:val="90"/>
                <w:sz w:val="15"/>
              </w:rPr>
              <w:t>2.50%</w:t>
            </w:r>
            <w:r>
              <w:rPr>
                <w:rFonts w:ascii="Arial"/>
                <w:spacing w:val="-1"/>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 w:right="0"/>
              <w:jc w:val="left"/>
              <w:rPr>
                <w:rFonts w:ascii="Arial" w:hAnsi="Arial" w:cs="Arial" w:eastAsia="Arial" w:hint="default"/>
                <w:sz w:val="15"/>
                <w:szCs w:val="15"/>
              </w:rPr>
            </w:pPr>
            <w:r>
              <w:rPr>
                <w:rFonts w:ascii="Arial"/>
                <w:w w:val="90"/>
                <w:sz w:val="15"/>
              </w:rPr>
              <w:t>53,286,238.13</w:t>
            </w:r>
            <w:r>
              <w:rPr>
                <w:rFonts w:ascii="Arial"/>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3" w:right="0"/>
              <w:jc w:val="left"/>
              <w:rPr>
                <w:rFonts w:ascii="Arial" w:hAnsi="Arial" w:cs="Arial" w:eastAsia="Arial" w:hint="default"/>
                <w:sz w:val="15"/>
                <w:szCs w:val="15"/>
              </w:rPr>
            </w:pPr>
            <w:r>
              <w:rPr>
                <w:rFonts w:ascii="Arial"/>
                <w:w w:val="90"/>
                <w:sz w:val="15"/>
              </w:rPr>
              <w:t>69,426,267.69</w:t>
            </w:r>
            <w:r>
              <w:rPr>
                <w:rFonts w:ascii="Arial"/>
                <w:sz w:val="15"/>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5"/>
                <w:szCs w:val="15"/>
              </w:rPr>
            </w:pPr>
            <w:r>
              <w:rPr>
                <w:rFonts w:ascii="Arial"/>
                <w:spacing w:val="-1"/>
                <w:w w:val="90"/>
                <w:sz w:val="15"/>
              </w:rPr>
              <w:t>22.76%</w:t>
            </w:r>
            <w:r>
              <w:rPr>
                <w:rFonts w:ascii="Arial"/>
                <w:spacing w:val="-1"/>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5"/>
                <w:szCs w:val="15"/>
              </w:rPr>
            </w:pPr>
            <w:r>
              <w:rPr>
                <w:rFonts w:ascii="Arial"/>
                <w:spacing w:val="-1"/>
                <w:w w:val="90"/>
                <w:sz w:val="15"/>
              </w:rPr>
              <w:t>1,735,656.69</w:t>
            </w:r>
            <w:r>
              <w:rPr>
                <w:rFonts w:ascii="Arial"/>
                <w:spacing w:val="-1"/>
                <w:sz w:val="15"/>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5"/>
                <w:szCs w:val="15"/>
              </w:rPr>
            </w:pPr>
            <w:r>
              <w:rPr>
                <w:rFonts w:ascii="Arial"/>
                <w:spacing w:val="-1"/>
                <w:w w:val="90"/>
                <w:sz w:val="15"/>
              </w:rPr>
              <w:t>2.50%</w:t>
            </w:r>
            <w:r>
              <w:rPr>
                <w:rFonts w:ascii="Arial"/>
                <w:spacing w:val="-1"/>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Arial" w:hAnsi="Arial" w:cs="Arial" w:eastAsia="Arial" w:hint="default"/>
                <w:sz w:val="15"/>
                <w:szCs w:val="15"/>
              </w:rPr>
            </w:pPr>
            <w:r>
              <w:rPr>
                <w:rFonts w:ascii="Arial"/>
                <w:w w:val="90"/>
                <w:sz w:val="15"/>
              </w:rPr>
              <w:t>67,690,611.00</w:t>
            </w:r>
            <w:r>
              <w:rPr>
                <w:rFonts w:ascii="Arial"/>
                <w:sz w:val="15"/>
              </w:rPr>
            </w:r>
          </w:p>
        </w:tc>
      </w:tr>
      <w:tr>
        <w:trPr>
          <w:trHeight w:val="1027"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5"/>
                <w:szCs w:val="15"/>
              </w:rPr>
            </w:pPr>
            <w:r>
              <w:rPr>
                <w:rFonts w:ascii="Arial"/>
                <w:spacing w:val="-1"/>
                <w:w w:val="90"/>
                <w:sz w:val="15"/>
              </w:rPr>
              <w:t>273,368,026.8</w:t>
            </w:r>
            <w:r>
              <w:rPr>
                <w:rFonts w:ascii="Arial"/>
                <w:spacing w:val="-1"/>
                <w:sz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w w:val="89"/>
                <w:sz w:val="15"/>
              </w:rPr>
              <w:t>6</w:t>
            </w:r>
            <w:r>
              <w:rPr>
                <w:rFonts w:ascii="Arial"/>
                <w:sz w:val="15"/>
              </w:rPr>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5"/>
                <w:szCs w:val="15"/>
              </w:rPr>
            </w:pPr>
            <w:r>
              <w:rPr>
                <w:rFonts w:ascii="Arial"/>
                <w:spacing w:val="-1"/>
                <w:w w:val="90"/>
                <w:sz w:val="15"/>
              </w:rPr>
              <w:t>83.34%</w:t>
            </w:r>
            <w:r>
              <w:rPr>
                <w:rFonts w:ascii="Arial"/>
                <w:spacing w:val="-1"/>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15"/>
                <w:szCs w:val="15"/>
              </w:rPr>
            </w:pPr>
            <w:r>
              <w:rPr>
                <w:rFonts w:ascii="Arial"/>
                <w:spacing w:val="-1"/>
                <w:w w:val="90"/>
                <w:sz w:val="15"/>
              </w:rPr>
              <w:t>23,627,564.7</w:t>
            </w:r>
            <w:r>
              <w:rPr>
                <w:rFonts w:ascii="Arial"/>
                <w:spacing w:val="-1"/>
                <w:sz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w w:val="89"/>
                <w:sz w:val="15"/>
              </w:rPr>
              <w:t>3</w:t>
            </w:r>
            <w:r>
              <w:rPr>
                <w:rFonts w:ascii="Arial"/>
                <w:sz w:val="15"/>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5"/>
                <w:szCs w:val="15"/>
              </w:rPr>
            </w:pPr>
            <w:r>
              <w:rPr>
                <w:rFonts w:ascii="Arial"/>
                <w:spacing w:val="-1"/>
                <w:w w:val="90"/>
                <w:sz w:val="15"/>
              </w:rPr>
              <w:t>8.64%</w:t>
            </w:r>
            <w:r>
              <w:rPr>
                <w:rFonts w:ascii="Arial"/>
                <w:spacing w:val="-1"/>
                <w:sz w:val="15"/>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Arial" w:hAnsi="Arial" w:cs="Arial" w:eastAsia="Arial" w:hint="default"/>
                <w:sz w:val="15"/>
                <w:szCs w:val="15"/>
              </w:rPr>
            </w:pPr>
            <w:r>
              <w:rPr>
                <w:rFonts w:ascii="Arial"/>
                <w:spacing w:val="-1"/>
                <w:w w:val="90"/>
                <w:sz w:val="15"/>
              </w:rPr>
              <w:t>249,740,462.1</w:t>
            </w:r>
            <w:r>
              <w:rPr>
                <w:rFonts w:ascii="Arial"/>
                <w:spacing w:val="-1"/>
                <w:sz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w w:val="89"/>
                <w:sz w:val="15"/>
              </w:rPr>
              <w:t>3</w:t>
            </w:r>
            <w:r>
              <w:rPr>
                <w:rFonts w:ascii="Arial"/>
                <w:sz w:val="15"/>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5"/>
                <w:szCs w:val="15"/>
              </w:rPr>
            </w:pPr>
            <w:r>
              <w:rPr>
                <w:rFonts w:ascii="Arial"/>
                <w:spacing w:val="-1"/>
                <w:w w:val="90"/>
                <w:sz w:val="15"/>
              </w:rPr>
              <w:t>235,568,932.0</w:t>
            </w:r>
            <w:r>
              <w:rPr>
                <w:rFonts w:ascii="Arial"/>
                <w:spacing w:val="-1"/>
                <w:sz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w w:val="89"/>
                <w:sz w:val="15"/>
              </w:rPr>
              <w:t>0</w:t>
            </w:r>
            <w:r>
              <w:rPr>
                <w:rFonts w:ascii="Arial"/>
                <w:sz w:val="15"/>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5"/>
                <w:szCs w:val="15"/>
              </w:rPr>
            </w:pPr>
            <w:r>
              <w:rPr>
                <w:rFonts w:ascii="Arial"/>
                <w:spacing w:val="-1"/>
                <w:w w:val="90"/>
                <w:sz w:val="15"/>
              </w:rPr>
              <w:t>77.24%</w:t>
            </w:r>
            <w:r>
              <w:rPr>
                <w:rFonts w:ascii="Arial"/>
                <w:spacing w:val="-1"/>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5"/>
                <w:szCs w:val="15"/>
              </w:rPr>
            </w:pPr>
            <w:r>
              <w:rPr>
                <w:rFonts w:ascii="Arial"/>
                <w:spacing w:val="-1"/>
                <w:w w:val="90"/>
                <w:sz w:val="15"/>
              </w:rPr>
              <w:t>17,115,385.03</w:t>
            </w:r>
            <w:r>
              <w:rPr>
                <w:rFonts w:ascii="Arial"/>
                <w:spacing w:val="-1"/>
                <w:sz w:val="15"/>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5"/>
                <w:szCs w:val="15"/>
              </w:rPr>
            </w:pPr>
            <w:r>
              <w:rPr>
                <w:rFonts w:ascii="Arial"/>
                <w:spacing w:val="-1"/>
                <w:w w:val="90"/>
                <w:sz w:val="15"/>
              </w:rPr>
              <w:t>7.27%</w:t>
            </w:r>
            <w:r>
              <w:rPr>
                <w:rFonts w:ascii="Arial"/>
                <w:spacing w:val="-1"/>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5"/>
                <w:szCs w:val="15"/>
              </w:rPr>
            </w:pPr>
            <w:r>
              <w:rPr>
                <w:rFonts w:ascii="Arial"/>
                <w:spacing w:val="-1"/>
                <w:w w:val="90"/>
                <w:sz w:val="15"/>
              </w:rPr>
              <w:t>218,453,546.9</w:t>
            </w:r>
            <w:r>
              <w:rPr>
                <w:rFonts w:ascii="Arial"/>
                <w:spacing w:val="-1"/>
                <w:sz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w w:val="89"/>
                <w:sz w:val="15"/>
              </w:rPr>
              <w:t>7</w:t>
            </w:r>
            <w:r>
              <w:rPr>
                <w:rFonts w:ascii="Arial"/>
                <w:sz w:val="15"/>
              </w:rPr>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2" w:type="dxa"/>
            <w:vMerge w:val="restart"/>
            <w:tcBorders>
              <w:top w:val="single" w:sz="4" w:space="0" w:color="000000"/>
              <w:left w:val="single" w:sz="9" w:space="0" w:color="D2D2D2"/>
              <w:right w:val="single" w:sz="4" w:space="0" w:color="000000"/>
            </w:tcBorders>
          </w:tcPr>
          <w:p>
            <w:pPr>
              <w:pStyle w:val="TableParagraph"/>
              <w:spacing w:line="240" w:lineRule="auto" w:before="109"/>
              <w:ind w:right="19"/>
              <w:jc w:val="right"/>
              <w:rPr>
                <w:rFonts w:ascii="Arial" w:hAnsi="Arial" w:cs="Arial" w:eastAsia="Arial" w:hint="default"/>
                <w:sz w:val="15"/>
                <w:szCs w:val="15"/>
              </w:rPr>
            </w:pPr>
            <w:r>
              <w:rPr>
                <w:rFonts w:ascii="Arial"/>
                <w:spacing w:val="-1"/>
                <w:w w:val="90"/>
                <w:sz w:val="15"/>
              </w:rPr>
              <w:t>328,020,578.7</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w w:val="89"/>
                <w:sz w:val="15"/>
              </w:rPr>
              <w:t>9</w:t>
            </w:r>
            <w:r>
              <w:rPr>
                <w:rFonts w:ascii="Arial"/>
                <w:sz w:val="15"/>
              </w:rPr>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88" w:right="0"/>
              <w:jc w:val="left"/>
              <w:rPr>
                <w:rFonts w:ascii="Arial" w:hAnsi="Arial" w:cs="Arial" w:eastAsia="Arial" w:hint="default"/>
                <w:sz w:val="15"/>
                <w:szCs w:val="15"/>
              </w:rPr>
            </w:pPr>
            <w:r>
              <w:rPr>
                <w:rFonts w:ascii="Arial"/>
                <w:w w:val="90"/>
                <w:sz w:val="15"/>
              </w:rPr>
              <w:t>100.00%</w:t>
            </w:r>
            <w:r>
              <w:rPr>
                <w:rFonts w:ascii="Arial"/>
                <w:sz w:val="15"/>
              </w:rPr>
            </w:r>
          </w:p>
        </w:tc>
        <w:tc>
          <w:tcPr>
            <w:tcW w:w="905" w:type="dxa"/>
            <w:vMerge w:val="restart"/>
            <w:tcBorders>
              <w:top w:val="single" w:sz="4" w:space="0" w:color="000000"/>
              <w:left w:val="single" w:sz="4" w:space="0" w:color="000000"/>
              <w:right w:val="single" w:sz="4" w:space="0" w:color="000000"/>
            </w:tcBorders>
          </w:tcPr>
          <w:p>
            <w:pPr>
              <w:pStyle w:val="TableParagraph"/>
              <w:spacing w:line="240" w:lineRule="auto" w:before="109"/>
              <w:ind w:right="22"/>
              <w:jc w:val="right"/>
              <w:rPr>
                <w:rFonts w:ascii="Arial" w:hAnsi="Arial" w:cs="Arial" w:eastAsia="Arial" w:hint="default"/>
                <w:sz w:val="15"/>
                <w:szCs w:val="15"/>
              </w:rPr>
            </w:pPr>
            <w:r>
              <w:rPr>
                <w:rFonts w:ascii="Arial"/>
                <w:spacing w:val="-1"/>
                <w:w w:val="90"/>
                <w:sz w:val="15"/>
              </w:rPr>
              <w:t>24,993,878.5</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w w:val="89"/>
                <w:sz w:val="15"/>
              </w:rPr>
              <w:t>3</w:t>
            </w:r>
            <w:r>
              <w:rPr>
                <w:rFonts w:ascii="Arial"/>
                <w:sz w:val="15"/>
              </w:rPr>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1" w:right="0"/>
              <w:jc w:val="left"/>
              <w:rPr>
                <w:rFonts w:ascii="Arial" w:hAnsi="Arial" w:cs="Arial" w:eastAsia="Arial" w:hint="default"/>
                <w:sz w:val="15"/>
                <w:szCs w:val="15"/>
              </w:rPr>
            </w:pPr>
            <w:r>
              <w:rPr>
                <w:rFonts w:ascii="Arial"/>
                <w:w w:val="90"/>
                <w:sz w:val="15"/>
              </w:rPr>
              <w:t>7.62%</w:t>
            </w:r>
            <w:r>
              <w:rPr>
                <w:rFonts w:ascii="Arial"/>
                <w:sz w:val="15"/>
              </w:rPr>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09"/>
              <w:ind w:right="20"/>
              <w:jc w:val="right"/>
              <w:rPr>
                <w:rFonts w:ascii="Arial" w:hAnsi="Arial" w:cs="Arial" w:eastAsia="Arial" w:hint="default"/>
                <w:sz w:val="15"/>
                <w:szCs w:val="15"/>
              </w:rPr>
            </w:pPr>
            <w:r>
              <w:rPr>
                <w:rFonts w:ascii="Arial"/>
                <w:spacing w:val="-1"/>
                <w:w w:val="90"/>
                <w:sz w:val="15"/>
              </w:rPr>
              <w:t>303,026,700.2</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w w:val="89"/>
                <w:sz w:val="15"/>
              </w:rPr>
              <w:t>6</w:t>
            </w:r>
            <w:r>
              <w:rPr>
                <w:rFonts w:ascii="Arial"/>
                <w:sz w:val="15"/>
              </w:rPr>
            </w:r>
          </w:p>
        </w:tc>
        <w:tc>
          <w:tcPr>
            <w:tcW w:w="986" w:type="dxa"/>
            <w:vMerge w:val="restart"/>
            <w:tcBorders>
              <w:top w:val="single" w:sz="4" w:space="0" w:color="000000"/>
              <w:left w:val="single" w:sz="4" w:space="0" w:color="000000"/>
              <w:right w:val="single" w:sz="4" w:space="0" w:color="000000"/>
            </w:tcBorders>
          </w:tcPr>
          <w:p>
            <w:pPr>
              <w:pStyle w:val="TableParagraph"/>
              <w:spacing w:line="240" w:lineRule="auto" w:before="109"/>
              <w:ind w:right="19"/>
              <w:jc w:val="right"/>
              <w:rPr>
                <w:rFonts w:ascii="Arial" w:hAnsi="Arial" w:cs="Arial" w:eastAsia="Arial" w:hint="default"/>
                <w:sz w:val="15"/>
                <w:szCs w:val="15"/>
              </w:rPr>
            </w:pPr>
            <w:r>
              <w:rPr>
                <w:rFonts w:ascii="Arial"/>
                <w:spacing w:val="-1"/>
                <w:w w:val="90"/>
                <w:sz w:val="15"/>
              </w:rPr>
              <w:t>304,995,199.6</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w w:val="89"/>
                <w:sz w:val="15"/>
              </w:rPr>
              <w:t>9</w:t>
            </w:r>
            <w:r>
              <w:rPr>
                <w:rFonts w:ascii="Arial"/>
                <w:sz w:val="15"/>
              </w:rPr>
            </w: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109"/>
              <w:ind w:right="21"/>
              <w:jc w:val="right"/>
              <w:rPr>
                <w:rFonts w:ascii="Arial" w:hAnsi="Arial" w:cs="Arial" w:eastAsia="Arial" w:hint="default"/>
                <w:sz w:val="15"/>
                <w:szCs w:val="15"/>
              </w:rPr>
            </w:pPr>
            <w:r>
              <w:rPr>
                <w:rFonts w:ascii="Arial"/>
                <w:spacing w:val="-1"/>
                <w:w w:val="90"/>
                <w:sz w:val="15"/>
              </w:rPr>
              <w:t>100.00</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89"/>
                <w:sz w:val="15"/>
              </w:rPr>
              <w:t>%</w:t>
            </w:r>
            <w:r>
              <w:rPr>
                <w:rFonts w:ascii="Arial"/>
                <w:sz w:val="15"/>
              </w:rPr>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3" w:right="0"/>
              <w:jc w:val="left"/>
              <w:rPr>
                <w:rFonts w:ascii="Arial" w:hAnsi="Arial" w:cs="Arial" w:eastAsia="Arial" w:hint="default"/>
                <w:sz w:val="15"/>
                <w:szCs w:val="15"/>
              </w:rPr>
            </w:pPr>
            <w:r>
              <w:rPr>
                <w:rFonts w:ascii="Arial"/>
                <w:w w:val="90"/>
                <w:sz w:val="15"/>
              </w:rPr>
              <w:t>18,851,041.72</w:t>
            </w:r>
            <w:r>
              <w:rPr>
                <w:rFonts w:ascii="Arial"/>
                <w:sz w:val="15"/>
              </w:rPr>
            </w:r>
          </w:p>
        </w:tc>
        <w:tc>
          <w:tcPr>
            <w:tcW w:w="57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58" w:right="0"/>
              <w:jc w:val="left"/>
              <w:rPr>
                <w:rFonts w:ascii="Arial" w:hAnsi="Arial" w:cs="Arial" w:eastAsia="Arial" w:hint="default"/>
                <w:sz w:val="15"/>
                <w:szCs w:val="15"/>
              </w:rPr>
            </w:pPr>
            <w:r>
              <w:rPr>
                <w:rFonts w:ascii="Arial"/>
                <w:w w:val="90"/>
                <w:sz w:val="15"/>
              </w:rPr>
              <w:t>6.18%</w:t>
            </w:r>
            <w:r>
              <w:rPr>
                <w:rFonts w:ascii="Arial"/>
                <w:sz w:val="15"/>
              </w:rPr>
            </w: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before="109"/>
              <w:ind w:right="19"/>
              <w:jc w:val="right"/>
              <w:rPr>
                <w:rFonts w:ascii="Arial" w:hAnsi="Arial" w:cs="Arial" w:eastAsia="Arial" w:hint="default"/>
                <w:sz w:val="15"/>
                <w:szCs w:val="15"/>
              </w:rPr>
            </w:pPr>
            <w:r>
              <w:rPr>
                <w:rFonts w:ascii="Arial"/>
                <w:spacing w:val="-1"/>
                <w:w w:val="90"/>
                <w:sz w:val="15"/>
              </w:rPr>
              <w:t>286,144,157.9</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w w:val="89"/>
                <w:sz w:val="15"/>
              </w:rPr>
              <w:t>7</w:t>
            </w:r>
            <w:r>
              <w:rPr>
                <w:rFonts w:ascii="Arial"/>
                <w:sz w:val="15"/>
              </w:rPr>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02" w:type="dxa"/>
            <w:vMerge/>
            <w:tcBorders>
              <w:left w:val="single" w:sz="9" w:space="0" w:color="D2D2D2"/>
              <w:right w:val="single" w:sz="4" w:space="0" w:color="000000"/>
            </w:tcBorders>
          </w:tcPr>
          <w:p>
            <w:pPr/>
          </w:p>
        </w:tc>
        <w:tc>
          <w:tcPr>
            <w:tcW w:w="656" w:type="dxa"/>
            <w:vMerge/>
            <w:tcBorders>
              <w:left w:val="single" w:sz="4" w:space="0" w:color="000000"/>
              <w:right w:val="single" w:sz="4" w:space="0" w:color="000000"/>
            </w:tcBorders>
          </w:tcPr>
          <w:p>
            <w:pPr/>
          </w:p>
        </w:tc>
        <w:tc>
          <w:tcPr>
            <w:tcW w:w="90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vMerge/>
            <w:tcBorders>
              <w:left w:val="single" w:sz="9" w:space="0" w:color="D2D2D2"/>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90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r>
    </w:tbl>
    <w:p>
      <w:pPr>
        <w:spacing w:after="0"/>
        <w:sectPr>
          <w:pgSz w:w="11910" w:h="16840"/>
          <w:pgMar w:header="884" w:footer="1010" w:top="1140" w:bottom="1200" w:left="980" w:right="980"/>
        </w:sectPr>
      </w:pPr>
    </w:p>
    <w:p>
      <w:pPr>
        <w:spacing w:before="28"/>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期末单项金额重大并单项计提坏账准备的应收账款：</w:t>
      </w:r>
    </w:p>
    <w:p>
      <w:pPr>
        <w:spacing w:before="78"/>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980" w:right="980"/>
          <w:cols w:num="2" w:equalWidth="0">
            <w:col w:w="4988" w:space="3933"/>
            <w:col w:w="1029"/>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54,652,551.93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1,366,313.80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2.50%</w:t>
            </w:r>
            <w:r>
              <w:rPr>
                <w:rFonts w:ascii="Arial"/>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回款条件特殊</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54,652,551.93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1,366,313.80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1910" w:h="16840"/>
          <w:pgMar w:top="1100" w:bottom="1200" w:left="980" w:right="980"/>
        </w:sectPr>
      </w:pPr>
    </w:p>
    <w:p>
      <w:pPr>
        <w:spacing w:before="28"/>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组合中，按账龄分析法计提坏账准备的应收账款：</w:t>
      </w:r>
    </w:p>
    <w:p>
      <w:pPr>
        <w:spacing w:before="75"/>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980" w:right="980"/>
          <w:cols w:num="2" w:equalWidth="0">
            <w:col w:w="4779" w:space="4142"/>
            <w:col w:w="1029"/>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100" w:bottom="120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年以内分项</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183,770,247.18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28,293,587.15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1,414,679.36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5.00%</w:t>
            </w:r>
            <w:r>
              <w:rPr>
                <w:rFonts w:ascii="Arial"/>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29,960,963.46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2,996,096.34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13,392,042.43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4,017,612.73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5,504,020.67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2,752,010.33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12,447,165.97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12,447,165.97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273,368,026.86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23,627,564.73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07" w:lineRule="auto" w:before="29"/>
        <w:ind w:left="152" w:right="4734" w:firstLine="0"/>
        <w:jc w:val="left"/>
        <w:rPr>
          <w:rFonts w:ascii="宋体" w:hAnsi="宋体" w:cs="宋体" w:eastAsia="宋体" w:hint="default"/>
          <w:sz w:val="21"/>
          <w:szCs w:val="21"/>
        </w:rPr>
      </w:pPr>
      <w:r>
        <w:rPr>
          <w:rFonts w:ascii="宋体" w:hAnsi="宋体" w:cs="宋体" w:eastAsia="宋体" w:hint="default"/>
          <w:sz w:val="21"/>
          <w:szCs w:val="21"/>
        </w:rPr>
        <w:t>确定该组合依据的说明：</w:t>
      </w:r>
      <w:r>
        <w:rPr>
          <w:rFonts w:ascii="宋体" w:hAnsi="宋体" w:cs="宋体" w:eastAsia="宋体" w:hint="default"/>
          <w:w w:val="100"/>
          <w:sz w:val="21"/>
          <w:szCs w:val="21"/>
        </w:rPr>
        <w:t> </w:t>
      </w:r>
      <w:r>
        <w:rPr>
          <w:rFonts w:ascii="宋体" w:hAnsi="宋体" w:cs="宋体" w:eastAsia="宋体" w:hint="default"/>
          <w:spacing w:val="-2"/>
          <w:sz w:val="21"/>
          <w:szCs w:val="21"/>
        </w:rPr>
        <w:t>组合中，采用余额百分比法计提坏账准备的应收账款：</w:t>
      </w:r>
    </w:p>
    <w:p>
      <w:pPr>
        <w:spacing w:line="300" w:lineRule="auto" w:before="19"/>
        <w:ind w:left="152" w:right="4734"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4"/>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不适用</w:t>
      </w:r>
      <w:r>
        <w:rPr>
          <w:rFonts w:ascii="宋体" w:hAnsi="宋体" w:cs="宋体" w:eastAsia="宋体" w:hint="default"/>
          <w:spacing w:val="-99"/>
          <w:sz w:val="21"/>
          <w:szCs w:val="21"/>
        </w:rPr>
        <w:t> </w:t>
      </w:r>
      <w:r>
        <w:rPr>
          <w:rFonts w:ascii="宋体" w:hAnsi="宋体" w:cs="宋体" w:eastAsia="宋体" w:hint="default"/>
          <w:spacing w:val="-2"/>
          <w:sz w:val="21"/>
          <w:szCs w:val="21"/>
        </w:rPr>
        <w:t>组合中，采用其他方法计提坏账准备的应收账款：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不适用</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Arial" w:hAnsi="Arial" w:cs="Arial" w:eastAsia="Arial" w:hint="default"/>
        </w:rPr>
        <w:t>2</w:t>
      </w:r>
      <w:r>
        <w:rPr/>
        <w:t>）本期计提、收回或转回的坏账准备情况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t>本期计提坏账准备金额</w:t>
      </w:r>
      <w:r>
        <w:rPr>
          <w:spacing w:val="-62"/>
        </w:rPr>
        <w:t> </w:t>
      </w:r>
      <w:r>
        <w:rPr>
          <w:rFonts w:ascii="Arial" w:hAnsi="Arial" w:cs="Arial" w:eastAsia="Arial" w:hint="default"/>
        </w:rPr>
        <w:t>6,142,836.81</w:t>
      </w:r>
      <w:r>
        <w:rPr>
          <w:rFonts w:ascii="Arial" w:hAnsi="Arial" w:cs="Arial" w:eastAsia="Arial" w:hint="default"/>
          <w:spacing w:val="-6"/>
        </w:rPr>
        <w:t> </w:t>
      </w:r>
      <w:r>
        <w:rPr/>
        <w:t>元；本期收回或转回坏账准备金额</w:t>
      </w:r>
      <w:r>
        <w:rPr>
          <w:spacing w:val="-62"/>
        </w:rPr>
        <w:t> </w:t>
      </w:r>
      <w:r>
        <w:rPr>
          <w:rFonts w:ascii="Arial" w:hAnsi="Arial" w:cs="Arial" w:eastAsia="Arial" w:hint="default"/>
        </w:rPr>
        <w:t>0</w:t>
      </w:r>
      <w:r>
        <w:rPr>
          <w:rFonts w:ascii="Arial" w:hAnsi="Arial" w:cs="Arial" w:eastAsia="Arial" w:hint="default"/>
          <w:spacing w:val="-8"/>
        </w:rPr>
        <w:t> </w:t>
      </w:r>
      <w:r>
        <w:rPr/>
        <w:t>元。</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r>
        <w:rPr/>
        <w:t>（</w:t>
      </w:r>
      <w:r>
        <w:rPr>
          <w:rFonts w:ascii="Arial" w:hAnsi="Arial" w:cs="Arial" w:eastAsia="Arial"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2127"/>
        <w:gridCol w:w="977"/>
        <w:gridCol w:w="1560"/>
        <w:gridCol w:w="2964"/>
        <w:gridCol w:w="833"/>
        <w:gridCol w:w="1150"/>
      </w:tblGrid>
      <w:tr>
        <w:trPr>
          <w:trHeight w:val="97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316" w:lineRule="auto"/>
              <w:ind w:left="302" w:right="118"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6" w:firstLine="48"/>
              <w:jc w:val="both"/>
              <w:rPr>
                <w:rFonts w:ascii="Arial" w:hAnsi="Arial" w:cs="Arial" w:eastAsia="Arial" w:hint="default"/>
                <w:sz w:val="18"/>
                <w:szCs w:val="18"/>
              </w:rPr>
            </w:pPr>
            <w:r>
              <w:rPr>
                <w:rFonts w:ascii="宋体" w:hAnsi="宋体" w:cs="宋体" w:eastAsia="宋体" w:hint="default"/>
                <w:sz w:val="18"/>
                <w:szCs w:val="18"/>
              </w:rPr>
              <w:t>占应收账 款总额的 比例（</w:t>
            </w:r>
            <w:r>
              <w:rPr>
                <w:rFonts w:ascii="Arial" w:hAnsi="Arial" w:cs="Arial" w:eastAsia="Arial" w:hint="default"/>
                <w:sz w:val="18"/>
                <w:szCs w:val="18"/>
              </w:rPr>
              <w:t>%</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310" w:lineRule="atLeast" w:before="99"/>
              <w:ind w:left="388" w:right="24"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p>
            <w:pPr>
              <w:pStyle w:val="TableParagraph"/>
              <w:spacing w:line="15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6"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54,652,551.93</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二年至三年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16.66%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Arial" w:hAnsi="Arial" w:cs="Arial" w:eastAsia="Arial" w:hint="default"/>
                <w:sz w:val="18"/>
                <w:szCs w:val="18"/>
              </w:rPr>
            </w:pPr>
            <w:r>
              <w:rPr>
                <w:rFonts w:ascii="Arial"/>
                <w:spacing w:val="-1"/>
                <w:sz w:val="18"/>
              </w:rPr>
              <w:t>1,366,313.80</w:t>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云南省高级人民法院</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15,205,443.04</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三年至四年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right"/>
              <w:rPr>
                <w:rFonts w:ascii="Arial" w:hAnsi="Arial" w:cs="Arial" w:eastAsia="Arial" w:hint="default"/>
                <w:sz w:val="18"/>
                <w:szCs w:val="18"/>
              </w:rPr>
            </w:pPr>
            <w:r>
              <w:rPr>
                <w:rFonts w:ascii="Arial"/>
                <w:sz w:val="18"/>
              </w:rPr>
              <w:t>4.64%</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1,500,115.60</w:t>
            </w:r>
          </w:p>
        </w:tc>
      </w:tr>
      <w:tr>
        <w:trPr>
          <w:trHeight w:val="66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广东省人民检察院</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12,978,144.77</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0"/>
              <w:ind w:left="4" w:right="91"/>
              <w:jc w:val="left"/>
              <w:rPr>
                <w:rFonts w:ascii="宋体" w:hAnsi="宋体" w:cs="宋体" w:eastAsia="宋体"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三 年至四年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w w:val="95"/>
                <w:sz w:val="18"/>
              </w:rPr>
              <w:t>3.96%</w:t>
            </w:r>
            <w:r>
              <w:rPr>
                <w:rFonts w:ascii="Arial"/>
                <w:sz w:val="18"/>
              </w:rPr>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Arial" w:hAnsi="Arial" w:cs="Arial" w:eastAsia="Arial" w:hint="default"/>
                <w:sz w:val="18"/>
                <w:szCs w:val="18"/>
              </w:rPr>
            </w:pPr>
            <w:r>
              <w:rPr>
                <w:rFonts w:ascii="Arial"/>
                <w:spacing w:val="-1"/>
                <w:sz w:val="18"/>
              </w:rPr>
              <w:t>1,341,244.03</w:t>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12,390,287.64</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三年至四年</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right"/>
              <w:rPr>
                <w:rFonts w:ascii="Arial" w:hAnsi="Arial" w:cs="Arial" w:eastAsia="Arial" w:hint="default"/>
                <w:sz w:val="18"/>
                <w:szCs w:val="18"/>
              </w:rPr>
            </w:pPr>
            <w:r>
              <w:rPr>
                <w:rFonts w:ascii="Arial"/>
                <w:w w:val="95"/>
                <w:sz w:val="18"/>
              </w:rPr>
              <w:t>3.78%</w:t>
            </w:r>
            <w:r>
              <w:rPr>
                <w:rFonts w:ascii="Arial"/>
                <w:sz w:val="18"/>
              </w:rPr>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335,217.40</w:t>
            </w:r>
          </w:p>
        </w:tc>
      </w:tr>
      <w:tr>
        <w:trPr>
          <w:trHeight w:val="34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甘肃省高级人民法院</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Arial" w:hAnsi="Arial" w:cs="Arial" w:eastAsia="Arial" w:hint="default"/>
                <w:sz w:val="18"/>
                <w:szCs w:val="18"/>
              </w:rPr>
            </w:pPr>
            <w:r>
              <w:rPr>
                <w:rFonts w:ascii="Arial"/>
                <w:spacing w:val="-1"/>
                <w:sz w:val="18"/>
              </w:rPr>
              <w:t>9,265,000.00</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Arial" w:hAnsi="Arial" w:cs="Arial" w:eastAsia="Arial" w:hint="default"/>
                <w:sz w:val="18"/>
                <w:szCs w:val="18"/>
              </w:rPr>
            </w:pPr>
            <w:r>
              <w:rPr>
                <w:rFonts w:ascii="Arial"/>
                <w:sz w:val="18"/>
              </w:rPr>
              <w:t>2.82%</w:t>
            </w:r>
          </w:p>
        </w:tc>
        <w:tc>
          <w:tcPr>
            <w:tcW w:w="115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right"/>
              <w:rPr>
                <w:rFonts w:ascii="Arial" w:hAnsi="Arial" w:cs="Arial" w:eastAsia="Arial" w:hint="default"/>
                <w:sz w:val="18"/>
                <w:szCs w:val="18"/>
              </w:rPr>
            </w:pPr>
            <w:r>
              <w:rPr>
                <w:rFonts w:ascii="Arial"/>
                <w:spacing w:val="-1"/>
                <w:sz w:val="18"/>
              </w:rPr>
              <w:t>104,491,427.38</w:t>
            </w:r>
          </w:p>
        </w:tc>
        <w:tc>
          <w:tcPr>
            <w:tcW w:w="2964"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right"/>
              <w:rPr>
                <w:rFonts w:ascii="Arial" w:hAnsi="Arial" w:cs="Arial" w:eastAsia="Arial" w:hint="default"/>
                <w:sz w:val="18"/>
                <w:szCs w:val="18"/>
              </w:rPr>
            </w:pPr>
            <w:r>
              <w:rPr>
                <w:rFonts w:ascii="Arial"/>
                <w:spacing w:val="-1"/>
                <w:sz w:val="18"/>
              </w:rPr>
              <w:t>31.86%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4,542,890.83</w:t>
            </w:r>
          </w:p>
        </w:tc>
      </w:tr>
    </w:tbl>
    <w:p>
      <w:pPr>
        <w:spacing w:line="240" w:lineRule="auto" w:before="8"/>
        <w:rPr>
          <w:rFonts w:ascii="宋体" w:hAnsi="宋体" w:cs="宋体" w:eastAsia="宋体" w:hint="default"/>
          <w:b/>
          <w:bCs/>
          <w:sz w:val="19"/>
          <w:szCs w:val="19"/>
        </w:rPr>
      </w:pPr>
    </w:p>
    <w:p>
      <w:pPr>
        <w:spacing w:before="37"/>
        <w:ind w:left="152" w:right="0" w:firstLine="0"/>
        <w:jc w:val="left"/>
        <w:rPr>
          <w:rFonts w:ascii="宋体" w:hAnsi="宋体" w:cs="宋体" w:eastAsia="宋体" w:hint="default"/>
          <w:sz w:val="20"/>
          <w:szCs w:val="20"/>
        </w:rPr>
      </w:pPr>
      <w:r>
        <w:rPr>
          <w:rFonts w:ascii="Arial" w:hAnsi="Arial" w:cs="Arial" w:eastAsia="Arial" w:hint="default"/>
          <w:b/>
          <w:bCs/>
          <w:sz w:val="20"/>
          <w:szCs w:val="20"/>
        </w:rPr>
        <w:t>4</w:t>
      </w:r>
      <w:r>
        <w:rPr>
          <w:rFonts w:ascii="宋体" w:hAnsi="宋体" w:cs="宋体" w:eastAsia="宋体" w:hint="default"/>
          <w:b/>
          <w:bCs/>
          <w:sz w:val="20"/>
          <w:szCs w:val="20"/>
        </w:rPr>
        <w:t>、预付款项</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1</w:t>
      </w:r>
      <w:r>
        <w:rPr>
          <w:rFonts w:ascii="宋体" w:hAnsi="宋体" w:cs="宋体" w:eastAsia="宋体" w:hint="default"/>
          <w:b/>
          <w:bCs/>
          <w:sz w:val="20"/>
          <w:szCs w:val="20"/>
        </w:rPr>
        <w:t>）预付款项按账龄列示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4"/>
        <w:gridCol w:w="1914"/>
        <w:gridCol w:w="190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1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719" w:right="0"/>
              <w:jc w:val="left"/>
              <w:rPr>
                <w:rFonts w:ascii="Arial" w:hAnsi="Arial" w:cs="Arial" w:eastAsia="Arial" w:hint="default"/>
                <w:sz w:val="18"/>
                <w:szCs w:val="18"/>
              </w:rPr>
            </w:pPr>
            <w:r>
              <w:rPr>
                <w:rFonts w:ascii="Arial"/>
                <w:sz w:val="18"/>
              </w:rPr>
              <w:t>25,430,516.55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28" w:right="0"/>
              <w:jc w:val="left"/>
              <w:rPr>
                <w:rFonts w:ascii="Arial" w:hAnsi="Arial" w:cs="Arial" w:eastAsia="Arial" w:hint="default"/>
                <w:sz w:val="18"/>
                <w:szCs w:val="18"/>
              </w:rPr>
            </w:pPr>
            <w:r>
              <w:rPr>
                <w:rFonts w:ascii="Arial"/>
                <w:sz w:val="18"/>
              </w:rPr>
              <w:t>34,203,814.77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6"/>
              <w:jc w:val="right"/>
              <w:rPr>
                <w:rFonts w:ascii="Arial" w:hAnsi="Arial" w:cs="Arial" w:eastAsia="Arial" w:hint="default"/>
                <w:sz w:val="18"/>
                <w:szCs w:val="18"/>
              </w:rPr>
            </w:pPr>
            <w:r>
              <w:rPr>
                <w:rFonts w:ascii="Arial"/>
                <w:spacing w:val="-1"/>
                <w:sz w:val="18"/>
              </w:rPr>
              <w:t>96.51%</w:t>
            </w:r>
          </w:p>
        </w:tc>
      </w:tr>
    </w:tbl>
    <w:p>
      <w:pPr>
        <w:spacing w:after="0" w:line="240" w:lineRule="auto"/>
        <w:jc w:val="right"/>
        <w:rPr>
          <w:rFonts w:ascii="Arial" w:hAnsi="Arial" w:cs="Arial" w:eastAsia="Arial" w:hint="default"/>
          <w:sz w:val="18"/>
          <w:szCs w:val="18"/>
        </w:rPr>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4,576,788.83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676,279.25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1.91%</w:t>
            </w:r>
            <w:r>
              <w:rPr>
                <w:rFonts w:ascii="Arial"/>
                <w:sz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0.82%</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209,059.90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0.59%</w:t>
            </w:r>
            <w:r>
              <w:rPr>
                <w:rFonts w:ascii="Arial"/>
                <w:sz w:val="18"/>
              </w:rPr>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253,450.36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0.83%</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351,022.37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0.99%</w:t>
            </w:r>
            <w:r>
              <w:rPr>
                <w:rFonts w:ascii="Arial"/>
                <w:sz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30,510,755.74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35,440,176.29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2</w:t>
      </w:r>
      <w:r>
        <w:rPr>
          <w:rFonts w:ascii="宋体" w:hAnsi="宋体" w:cs="宋体" w:eastAsia="宋体" w:hint="default"/>
          <w:b/>
          <w:bCs/>
          <w:sz w:val="20"/>
          <w:szCs w:val="20"/>
        </w:rPr>
        <w:t>）按预付对象归集的期末余额前五名的预付款情况</w:t>
      </w:r>
      <w:r>
        <w:rPr>
          <w:rFonts w:ascii="宋体" w:hAnsi="宋体" w:cs="宋体" w:eastAsia="宋体" w:hint="default"/>
          <w:sz w:val="20"/>
          <w:szCs w:val="20"/>
        </w:rPr>
      </w:r>
    </w:p>
    <w:p>
      <w:pPr>
        <w:spacing w:line="240" w:lineRule="auto" w:before="4"/>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865"/>
        <w:gridCol w:w="1628"/>
        <w:gridCol w:w="2165"/>
        <w:gridCol w:w="1844"/>
      </w:tblGrid>
      <w:tr>
        <w:trPr>
          <w:trHeight w:val="348" w:hRule="exact"/>
        </w:trPr>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1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28" w:hRule="exact"/>
        </w:trPr>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银河联动信息技术（北京）有限公司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6,800,000.00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spacing w:val="-1"/>
                <w:sz w:val="18"/>
              </w:rPr>
              <w:t>21.92%</w:t>
            </w:r>
          </w:p>
        </w:tc>
      </w:tr>
      <w:tr>
        <w:trPr>
          <w:trHeight w:val="427" w:hRule="exact"/>
        </w:trPr>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北京东升博展科技发展有限公司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4,268,437.74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spacing w:val="-1"/>
                <w:sz w:val="18"/>
              </w:rPr>
              <w:t>13.76%</w:t>
            </w:r>
          </w:p>
        </w:tc>
      </w:tr>
      <w:tr>
        <w:trPr>
          <w:trHeight w:val="427" w:hRule="exact"/>
        </w:trPr>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北京数字方舟信息技术有限公司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3,000,000.00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w w:val="95"/>
                <w:sz w:val="18"/>
              </w:rPr>
              <w:t>9.67%</w:t>
            </w:r>
            <w:r>
              <w:rPr>
                <w:rFonts w:ascii="Arial"/>
                <w:sz w:val="18"/>
              </w:rPr>
            </w:r>
          </w:p>
        </w:tc>
      </w:tr>
      <w:tr>
        <w:trPr>
          <w:trHeight w:val="427" w:hRule="exact"/>
        </w:trPr>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广州智品移动技术有限公司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1,930,000.00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w w:val="95"/>
                <w:sz w:val="18"/>
              </w:rPr>
              <w:t>6.22%</w:t>
            </w:r>
            <w:r>
              <w:rPr>
                <w:rFonts w:ascii="Arial"/>
                <w:sz w:val="18"/>
              </w:rPr>
            </w:r>
          </w:p>
        </w:tc>
      </w:tr>
      <w:tr>
        <w:trPr>
          <w:trHeight w:val="427" w:hRule="exact"/>
        </w:trPr>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深圳市捷视飞通科技有限公司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1,646,250.00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w w:val="95"/>
                <w:sz w:val="18"/>
              </w:rPr>
              <w:t>5.31%</w:t>
            </w:r>
            <w:r>
              <w:rPr>
                <w:rFonts w:ascii="Arial"/>
                <w:sz w:val="18"/>
              </w:rPr>
            </w:r>
          </w:p>
        </w:tc>
      </w:tr>
      <w:tr>
        <w:trPr>
          <w:trHeight w:val="427" w:hRule="exact"/>
        </w:trPr>
        <w:tc>
          <w:tcPr>
            <w:tcW w:w="3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8"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17,644,687.74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Arial" w:hAnsi="Arial" w:cs="Arial" w:eastAsia="Arial" w:hint="default"/>
                <w:sz w:val="18"/>
                <w:szCs w:val="18"/>
              </w:rPr>
            </w:pPr>
            <w:r>
              <w:rPr>
                <w:rFonts w:ascii="Arial"/>
                <w:spacing w:val="-1"/>
                <w:sz w:val="18"/>
              </w:rPr>
              <w:t>56.88%</w:t>
            </w:r>
          </w:p>
        </w:tc>
      </w:tr>
    </w:tbl>
    <w:p>
      <w:pPr>
        <w:spacing w:line="240" w:lineRule="auto" w:before="8"/>
        <w:rPr>
          <w:rFonts w:ascii="宋体" w:hAnsi="宋体" w:cs="宋体" w:eastAsia="宋体" w:hint="default"/>
          <w:b/>
          <w:bCs/>
          <w:sz w:val="19"/>
          <w:szCs w:val="19"/>
        </w:rPr>
      </w:pPr>
    </w:p>
    <w:p>
      <w:pPr>
        <w:spacing w:before="37"/>
        <w:ind w:left="152" w:right="0" w:firstLine="0"/>
        <w:jc w:val="left"/>
        <w:rPr>
          <w:rFonts w:ascii="宋体" w:hAnsi="宋体" w:cs="宋体" w:eastAsia="宋体" w:hint="default"/>
          <w:sz w:val="20"/>
          <w:szCs w:val="20"/>
        </w:rPr>
      </w:pPr>
      <w:r>
        <w:rPr>
          <w:rFonts w:ascii="Arial" w:hAnsi="Arial" w:cs="Arial" w:eastAsia="Arial" w:hint="default"/>
          <w:b/>
          <w:bCs/>
          <w:sz w:val="20"/>
          <w:szCs w:val="20"/>
        </w:rPr>
        <w:t>5</w:t>
      </w:r>
      <w:r>
        <w:rPr>
          <w:rFonts w:ascii="宋体" w:hAnsi="宋体" w:cs="宋体" w:eastAsia="宋体" w:hint="default"/>
          <w:b/>
          <w:bCs/>
          <w:sz w:val="20"/>
          <w:szCs w:val="20"/>
        </w:rPr>
        <w:t>、应收利息</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1</w:t>
      </w:r>
      <w:r>
        <w:rPr>
          <w:rFonts w:ascii="宋体" w:hAnsi="宋体" w:cs="宋体" w:eastAsia="宋体" w:hint="default"/>
          <w:b/>
          <w:bCs/>
          <w:sz w:val="20"/>
          <w:szCs w:val="20"/>
        </w:rPr>
        <w:t>）应收利息分类</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142,353.62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107,673.42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142,353.62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107,673.42</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Arial" w:hAnsi="Arial" w:cs="Arial" w:eastAsia="Arial" w:hint="default"/>
          <w:b/>
          <w:bCs/>
          <w:sz w:val="20"/>
          <w:szCs w:val="20"/>
        </w:rPr>
        <w:t>6</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1</w:t>
      </w:r>
      <w:r>
        <w:rPr>
          <w:rFonts w:ascii="宋体" w:hAnsi="宋体" w:cs="宋体" w:eastAsia="宋体" w:hint="default"/>
          <w:b/>
          <w:bCs/>
          <w:sz w:val="20"/>
          <w:szCs w:val="20"/>
        </w:rPr>
        <w:t>）其他应收款分类披露</w:t>
      </w:r>
      <w:r>
        <w:rPr>
          <w:rFonts w:ascii="宋体" w:hAnsi="宋体" w:cs="宋体" w:eastAsia="宋体" w:hint="default"/>
          <w:sz w:val="20"/>
          <w:szCs w:val="20"/>
        </w:rPr>
      </w:r>
    </w:p>
    <w:p>
      <w:pPr>
        <w:spacing w:line="240" w:lineRule="auto" w:before="4"/>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002"/>
        <w:gridCol w:w="711"/>
        <w:gridCol w:w="850"/>
        <w:gridCol w:w="566"/>
        <w:gridCol w:w="994"/>
        <w:gridCol w:w="991"/>
        <w:gridCol w:w="710"/>
        <w:gridCol w:w="850"/>
        <w:gridCol w:w="554"/>
        <w:gridCol w:w="931"/>
      </w:tblGrid>
      <w:tr>
        <w:trPr>
          <w:trHeight w:val="402"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12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0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1" w:right="9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4"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96" w:type="dxa"/>
            <w:vMerge/>
            <w:tcBorders>
              <w:left w:val="single" w:sz="4" w:space="0" w:color="000000"/>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1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5"/>
                <w:szCs w:val="15"/>
              </w:rPr>
            </w:pPr>
            <w:r>
              <w:rPr>
                <w:rFonts w:ascii="Arial"/>
                <w:spacing w:val="-1"/>
                <w:w w:val="95"/>
                <w:sz w:val="15"/>
              </w:rPr>
              <w:t>113,225,933.5</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Arial" w:hAnsi="Arial" w:cs="Arial" w:eastAsia="Arial" w:hint="default"/>
                <w:sz w:val="15"/>
                <w:szCs w:val="15"/>
              </w:rPr>
            </w:pPr>
            <w:r>
              <w:rPr>
                <w:rFonts w:ascii="Arial"/>
                <w:w w:val="97"/>
                <w:sz w:val="15"/>
              </w:rPr>
              <w:t>2</w:t>
            </w:r>
            <w:r>
              <w:rPr>
                <w:rFonts w:ascii="Arial"/>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5"/>
                <w:szCs w:val="15"/>
              </w:rPr>
            </w:pPr>
            <w:r>
              <w:rPr>
                <w:rFonts w:ascii="Arial"/>
                <w:spacing w:val="-1"/>
                <w:w w:val="95"/>
                <w:sz w:val="15"/>
              </w:rPr>
              <w:t>100.00%</w:t>
            </w:r>
            <w:r>
              <w:rPr>
                <w:rFonts w:ascii="Arial"/>
                <w:spacing w:val="-1"/>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5"/>
                <w:szCs w:val="15"/>
              </w:rPr>
            </w:pPr>
            <w:r>
              <w:rPr>
                <w:rFonts w:ascii="Arial"/>
                <w:spacing w:val="-1"/>
                <w:w w:val="95"/>
                <w:sz w:val="15"/>
              </w:rPr>
              <w:t>7,024,602.6</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Arial" w:hAnsi="Arial" w:cs="Arial" w:eastAsia="Arial" w:hint="default"/>
                <w:sz w:val="15"/>
                <w:szCs w:val="15"/>
              </w:rPr>
            </w:pPr>
            <w:r>
              <w:rPr>
                <w:rFonts w:ascii="Arial"/>
                <w:w w:val="97"/>
                <w:sz w:val="15"/>
              </w:rPr>
              <w:t>0</w:t>
            </w:r>
            <w:r>
              <w:rPr>
                <w:rFonts w:ascii="Arial"/>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5"/>
                <w:szCs w:val="15"/>
              </w:rPr>
            </w:pPr>
            <w:r>
              <w:rPr>
                <w:rFonts w:ascii="Arial"/>
                <w:w w:val="95"/>
                <w:sz w:val="15"/>
              </w:rPr>
              <w:t>6.20%</w:t>
            </w:r>
            <w:r>
              <w:rPr>
                <w:rFonts w:ascii="Arial"/>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5"/>
                <w:szCs w:val="15"/>
              </w:rPr>
            </w:pPr>
            <w:r>
              <w:rPr>
                <w:rFonts w:ascii="Arial"/>
                <w:spacing w:val="-1"/>
                <w:w w:val="95"/>
                <w:sz w:val="15"/>
              </w:rPr>
              <w:t>106,201,330.9</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97"/>
                <w:sz w:val="15"/>
              </w:rPr>
              <w:t>2</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15"/>
                <w:szCs w:val="15"/>
              </w:rPr>
            </w:pPr>
            <w:r>
              <w:rPr>
                <w:rFonts w:ascii="Arial"/>
                <w:w w:val="95"/>
                <w:sz w:val="15"/>
              </w:rPr>
              <w:t>67,648,956.18</w:t>
            </w:r>
            <w:r>
              <w:rPr>
                <w:rFonts w:ascii="Arial"/>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1" w:right="0"/>
              <w:jc w:val="center"/>
              <w:rPr>
                <w:rFonts w:ascii="Arial" w:hAnsi="Arial" w:cs="Arial" w:eastAsia="Arial" w:hint="default"/>
                <w:sz w:val="15"/>
                <w:szCs w:val="15"/>
              </w:rPr>
            </w:pPr>
            <w:r>
              <w:rPr>
                <w:rFonts w:ascii="Arial"/>
                <w:w w:val="95"/>
                <w:sz w:val="15"/>
              </w:rPr>
              <w:t>100.00%</w:t>
            </w:r>
            <w:r>
              <w:rPr>
                <w:rFonts w:ascii="Arial"/>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5"/>
                <w:szCs w:val="15"/>
              </w:rPr>
            </w:pPr>
            <w:r>
              <w:rPr>
                <w:rFonts w:ascii="Arial"/>
                <w:spacing w:val="-1"/>
                <w:w w:val="95"/>
                <w:sz w:val="15"/>
              </w:rPr>
              <w:t>6,005,820.8</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Arial" w:hAnsi="Arial" w:cs="Arial" w:eastAsia="Arial" w:hint="default"/>
                <w:sz w:val="15"/>
                <w:szCs w:val="15"/>
              </w:rPr>
            </w:pPr>
            <w:r>
              <w:rPr>
                <w:rFonts w:ascii="Arial"/>
                <w:w w:val="97"/>
                <w:sz w:val="15"/>
              </w:rPr>
              <w:t>5</w:t>
            </w:r>
            <w:r>
              <w:rPr>
                <w:rFonts w:ascii="Arial"/>
                <w:sz w:val="15"/>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5"/>
                <w:szCs w:val="15"/>
              </w:rPr>
            </w:pPr>
            <w:r>
              <w:rPr>
                <w:rFonts w:ascii="Arial"/>
                <w:w w:val="95"/>
                <w:sz w:val="15"/>
              </w:rPr>
              <w:t>8.88%</w:t>
            </w:r>
            <w:r>
              <w:rPr>
                <w:rFonts w:ascii="Arial"/>
                <w:sz w:val="15"/>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5"/>
                <w:szCs w:val="15"/>
              </w:rPr>
            </w:pPr>
            <w:r>
              <w:rPr>
                <w:rFonts w:ascii="Arial"/>
                <w:spacing w:val="-1"/>
                <w:w w:val="95"/>
                <w:sz w:val="15"/>
              </w:rPr>
              <w:t>61,643,135.3</w:t>
            </w:r>
            <w:r>
              <w:rPr>
                <w:rFonts w:ascii="Arial"/>
                <w:spacing w:val="-1"/>
                <w:sz w:val="15"/>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Arial" w:hAnsi="Arial" w:cs="Arial" w:eastAsia="Arial" w:hint="default"/>
                <w:sz w:val="15"/>
                <w:szCs w:val="15"/>
              </w:rPr>
            </w:pPr>
            <w:r>
              <w:rPr>
                <w:rFonts w:ascii="Arial"/>
                <w:w w:val="97"/>
                <w:sz w:val="15"/>
              </w:rPr>
              <w:t>3</w:t>
            </w:r>
            <w:r>
              <w:rPr>
                <w:rFonts w:ascii="Arial"/>
                <w:sz w:val="15"/>
              </w:rPr>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1" w:right="0"/>
              <w:jc w:val="left"/>
              <w:rPr>
                <w:rFonts w:ascii="Arial" w:hAnsi="Arial" w:cs="Arial" w:eastAsia="Arial" w:hint="default"/>
                <w:sz w:val="15"/>
                <w:szCs w:val="15"/>
              </w:rPr>
            </w:pPr>
            <w:r>
              <w:rPr>
                <w:rFonts w:ascii="Arial"/>
                <w:w w:val="95"/>
                <w:sz w:val="15"/>
              </w:rPr>
              <w:t>113,225,933.5</w:t>
            </w:r>
            <w:r>
              <w:rPr>
                <w:rFonts w:ascii="Arial"/>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Arial" w:hAnsi="Arial" w:cs="Arial" w:eastAsia="Arial" w:hint="default"/>
                <w:sz w:val="15"/>
                <w:szCs w:val="15"/>
              </w:rPr>
            </w:pPr>
            <w:r>
              <w:rPr>
                <w:rFonts w:ascii="Arial"/>
                <w:spacing w:val="-1"/>
                <w:w w:val="95"/>
                <w:sz w:val="15"/>
              </w:rPr>
              <w:t>100.00%</w:t>
            </w:r>
            <w:r>
              <w:rPr>
                <w:rFonts w:ascii="Arial"/>
                <w:spacing w:val="-1"/>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50" w:right="0"/>
              <w:jc w:val="left"/>
              <w:rPr>
                <w:rFonts w:ascii="Arial" w:hAnsi="Arial" w:cs="Arial" w:eastAsia="Arial" w:hint="default"/>
                <w:sz w:val="15"/>
                <w:szCs w:val="15"/>
              </w:rPr>
            </w:pPr>
            <w:r>
              <w:rPr>
                <w:rFonts w:ascii="Arial"/>
                <w:w w:val="95"/>
                <w:sz w:val="15"/>
              </w:rPr>
              <w:t>7,024,602.6</w:t>
            </w:r>
            <w:r>
              <w:rPr>
                <w:rFonts w:ascii="Arial"/>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7"/>
              <w:jc w:val="right"/>
              <w:rPr>
                <w:rFonts w:ascii="Arial" w:hAnsi="Arial" w:cs="Arial" w:eastAsia="Arial" w:hint="default"/>
                <w:sz w:val="15"/>
                <w:szCs w:val="15"/>
              </w:rPr>
            </w:pPr>
            <w:r>
              <w:rPr>
                <w:rFonts w:ascii="Arial"/>
                <w:w w:val="95"/>
                <w:sz w:val="15"/>
              </w:rPr>
              <w:t>6.20%</w:t>
            </w:r>
            <w:r>
              <w:rPr>
                <w:rFonts w:ascii="Arial"/>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1" w:right="0"/>
              <w:jc w:val="left"/>
              <w:rPr>
                <w:rFonts w:ascii="Arial" w:hAnsi="Arial" w:cs="Arial" w:eastAsia="Arial" w:hint="default"/>
                <w:sz w:val="15"/>
                <w:szCs w:val="15"/>
              </w:rPr>
            </w:pPr>
            <w:r>
              <w:rPr>
                <w:rFonts w:ascii="Arial"/>
                <w:w w:val="95"/>
                <w:sz w:val="15"/>
              </w:rPr>
              <w:t>106,201,330.9</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 w:right="0"/>
              <w:jc w:val="center"/>
              <w:rPr>
                <w:rFonts w:ascii="Arial" w:hAnsi="Arial" w:cs="Arial" w:eastAsia="Arial" w:hint="default"/>
                <w:sz w:val="15"/>
                <w:szCs w:val="15"/>
              </w:rPr>
            </w:pPr>
            <w:r>
              <w:rPr>
                <w:rFonts w:ascii="Arial"/>
                <w:w w:val="95"/>
                <w:sz w:val="15"/>
              </w:rPr>
              <w:t>67,648,956.18</w:t>
            </w:r>
            <w:r>
              <w:rPr>
                <w:rFonts w:ascii="Arial"/>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1" w:right="0"/>
              <w:jc w:val="center"/>
              <w:rPr>
                <w:rFonts w:ascii="Arial" w:hAnsi="Arial" w:cs="Arial" w:eastAsia="Arial" w:hint="default"/>
                <w:sz w:val="15"/>
                <w:szCs w:val="15"/>
              </w:rPr>
            </w:pPr>
            <w:r>
              <w:rPr>
                <w:rFonts w:ascii="Arial"/>
                <w:w w:val="95"/>
                <w:sz w:val="15"/>
              </w:rPr>
              <w:t>100.00%</w:t>
            </w:r>
            <w:r>
              <w:rPr>
                <w:rFonts w:ascii="Arial"/>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50" w:right="0"/>
              <w:jc w:val="left"/>
              <w:rPr>
                <w:rFonts w:ascii="Arial" w:hAnsi="Arial" w:cs="Arial" w:eastAsia="Arial" w:hint="default"/>
                <w:sz w:val="15"/>
                <w:szCs w:val="15"/>
              </w:rPr>
            </w:pPr>
            <w:r>
              <w:rPr>
                <w:rFonts w:ascii="Arial"/>
                <w:w w:val="95"/>
                <w:sz w:val="15"/>
              </w:rPr>
              <w:t>6,005,820.8</w:t>
            </w:r>
            <w:r>
              <w:rPr>
                <w:rFonts w:ascii="Arial"/>
                <w:sz w:val="15"/>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Arial" w:hAnsi="Arial" w:cs="Arial" w:eastAsia="Arial" w:hint="default"/>
                <w:sz w:val="15"/>
                <w:szCs w:val="15"/>
              </w:rPr>
            </w:pPr>
            <w:r>
              <w:rPr>
                <w:rFonts w:ascii="Arial"/>
                <w:w w:val="95"/>
                <w:sz w:val="15"/>
              </w:rPr>
              <w:t>8.88%</w:t>
            </w:r>
            <w:r>
              <w:rPr>
                <w:rFonts w:ascii="Arial"/>
                <w:sz w:val="15"/>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50" w:right="0"/>
              <w:jc w:val="left"/>
              <w:rPr>
                <w:rFonts w:ascii="Arial" w:hAnsi="Arial" w:cs="Arial" w:eastAsia="Arial" w:hint="default"/>
                <w:sz w:val="15"/>
                <w:szCs w:val="15"/>
              </w:rPr>
            </w:pPr>
            <w:r>
              <w:rPr>
                <w:rFonts w:ascii="Arial"/>
                <w:w w:val="95"/>
                <w:sz w:val="15"/>
              </w:rPr>
              <w:t>61,643,135.3</w:t>
            </w:r>
            <w:r>
              <w:rPr>
                <w:rFonts w:ascii="Arial"/>
                <w:sz w:val="15"/>
              </w:rPr>
            </w:r>
          </w:p>
        </w:tc>
      </w:tr>
    </w:tbl>
    <w:p>
      <w:pPr>
        <w:spacing w:after="0" w:line="240" w:lineRule="auto"/>
        <w:jc w:val="left"/>
        <w:rPr>
          <w:rFonts w:ascii="Arial" w:hAnsi="Arial" w:cs="Arial" w:eastAsia="Arial" w:hint="default"/>
          <w:sz w:val="15"/>
          <w:szCs w:val="15"/>
        </w:rPr>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418"/>
        <w:gridCol w:w="991"/>
        <w:gridCol w:w="711"/>
        <w:gridCol w:w="850"/>
        <w:gridCol w:w="566"/>
        <w:gridCol w:w="994"/>
        <w:gridCol w:w="991"/>
        <w:gridCol w:w="710"/>
        <w:gridCol w:w="850"/>
        <w:gridCol w:w="554"/>
        <w:gridCol w:w="931"/>
      </w:tblGrid>
      <w:tr>
        <w:trPr>
          <w:trHeight w:val="36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15"/>
                <w:szCs w:val="15"/>
              </w:rPr>
            </w:pPr>
            <w:r>
              <w:rPr>
                <w:rFonts w:ascii="Arial"/>
                <w:w w:val="97"/>
                <w:sz w:val="15"/>
              </w:rPr>
              <w:t>2</w:t>
            </w:r>
            <w:r>
              <w:rPr>
                <w:rFonts w:ascii="Arial"/>
                <w:sz w:val="15"/>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15"/>
                <w:szCs w:val="15"/>
              </w:rPr>
            </w:pPr>
            <w:r>
              <w:rPr>
                <w:rFonts w:ascii="Arial"/>
                <w:w w:val="97"/>
                <w:sz w:val="15"/>
              </w:rPr>
              <w:t>0</w:t>
            </w:r>
            <w:r>
              <w:rPr>
                <w:rFonts w:ascii="Arial"/>
                <w:sz w:val="15"/>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15"/>
                <w:szCs w:val="15"/>
              </w:rPr>
            </w:pPr>
            <w:r>
              <w:rPr>
                <w:rFonts w:ascii="Arial"/>
                <w:w w:val="97"/>
                <w:sz w:val="15"/>
              </w:rPr>
              <w:t>2</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15"/>
                <w:szCs w:val="15"/>
              </w:rPr>
            </w:pPr>
            <w:r>
              <w:rPr>
                <w:rFonts w:ascii="Arial"/>
                <w:w w:val="97"/>
                <w:sz w:val="15"/>
              </w:rPr>
              <w:t>5</w:t>
            </w:r>
            <w:r>
              <w:rPr>
                <w:rFonts w:ascii="Arial"/>
                <w:sz w:val="15"/>
              </w:rPr>
            </w:r>
          </w:p>
        </w:tc>
        <w:tc>
          <w:tcPr>
            <w:tcW w:w="5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Arial" w:hAnsi="Arial" w:cs="Arial" w:eastAsia="Arial" w:hint="default"/>
                <w:sz w:val="15"/>
                <w:szCs w:val="15"/>
              </w:rPr>
            </w:pPr>
            <w:r>
              <w:rPr>
                <w:rFonts w:ascii="Arial"/>
                <w:w w:val="97"/>
                <w:sz w:val="15"/>
              </w:rPr>
              <w:t>3</w:t>
            </w:r>
            <w:r>
              <w:rPr>
                <w:rFonts w:ascii="Arial"/>
                <w:sz w:val="15"/>
              </w:rPr>
            </w:r>
          </w:p>
        </w:tc>
      </w:tr>
    </w:tbl>
    <w:p>
      <w:pPr>
        <w:spacing w:after="0" w:line="240" w:lineRule="auto"/>
        <w:jc w:val="right"/>
        <w:rPr>
          <w:rFonts w:ascii="Arial" w:hAnsi="Arial" w:cs="Arial" w:eastAsia="Arial" w:hint="default"/>
          <w:sz w:val="15"/>
          <w:szCs w:val="15"/>
        </w:rPr>
        <w:sectPr>
          <w:footerReference w:type="default" r:id="rId49"/>
          <w:pgSz w:w="11910" w:h="16840"/>
          <w:pgMar w:footer="1010" w:header="884" w:top="1140" w:bottom="1200" w:left="980" w:right="980"/>
        </w:sectPr>
      </w:pPr>
    </w:p>
    <w:p>
      <w:pPr>
        <w:pStyle w:val="BodyText"/>
        <w:spacing w:line="240" w:lineRule="auto"/>
        <w:ind w:right="-20"/>
        <w:jc w:val="left"/>
      </w:pPr>
      <w:r>
        <w:rPr/>
        <w:t>期末单项金额重大并单项计提坏账准备的其他应收款：</w:t>
      </w:r>
    </w:p>
    <w:p>
      <w:pPr>
        <w:pStyle w:val="BodyText"/>
        <w:spacing w:line="256" w:lineRule="auto" w:before="36"/>
        <w:ind w:right="2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组合中，按账龄分析法计提坏账准备的其他应收款：</w:t>
      </w:r>
    </w:p>
    <w:p>
      <w:pPr>
        <w:pStyle w:val="BodyText"/>
        <w:spacing w:line="240" w:lineRule="auto" w:before="22"/>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980" w:right="980"/>
          <w:cols w:num="2" w:equalWidth="0">
            <w:col w:w="5913" w:space="300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年以内分项</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92,830,076.21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w w:val="99"/>
                <w:sz w:val="18"/>
              </w:rPr>
              <w:t>-</w:t>
            </w:r>
            <w:r>
              <w:rPr>
                <w:rFonts w:ascii="Arial"/>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8,871,441.77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443,572.08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5.00%</w:t>
            </w:r>
            <w:r>
              <w:rPr>
                <w:rFonts w:ascii="Arial"/>
                <w:sz w:val="18"/>
              </w:rPr>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4,230,459.14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423,045.91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1,225,125.00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367,537.50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556,768.57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278,384.28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5,512,062.83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5,512,062.83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113,225,933.52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7,024,602.60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70"/>
        <w:ind w:right="3774"/>
        <w:jc w:val="left"/>
      </w:pPr>
      <w:r>
        <w:rPr/>
        <w:t>确定该组合依据的说明： 组合中，采用余额百分比法计提坏账准备的其他应收款：</w:t>
      </w:r>
    </w:p>
    <w:p>
      <w:pPr>
        <w:pStyle w:val="BodyText"/>
        <w:spacing w:line="338" w:lineRule="auto" w:before="36"/>
        <w:ind w:right="42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组合中，采用其他方法计提坏账准备的其他应收款：</w:t>
      </w:r>
    </w:p>
    <w:p>
      <w:pPr>
        <w:pStyle w:val="BodyText"/>
        <w:spacing w:line="240" w:lineRule="auto" w:before="55"/>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40" w:lineRule="auto" w:before="137"/>
        <w:ind w:right="0"/>
        <w:jc w:val="left"/>
        <w:rPr>
          <w:b w:val="0"/>
          <w:bCs w:val="0"/>
        </w:rPr>
      </w:pPr>
      <w:r>
        <w:rPr/>
        <w:t>（</w:t>
      </w:r>
      <w:r>
        <w:rPr>
          <w:rFonts w:ascii="Arial" w:hAnsi="Arial" w:cs="Arial" w:eastAsia="Arial" w:hint="default"/>
        </w:rPr>
        <w:t>2</w:t>
      </w:r>
      <w:r>
        <w:rPr/>
        <w:t>）本期计提、收回或转回的坏账准备情况</w:t>
      </w:r>
      <w:r>
        <w:rPr>
          <w:b w:val="0"/>
          <w:bCs w:val="0"/>
        </w:rPr>
      </w:r>
    </w:p>
    <w:p>
      <w:pPr>
        <w:pStyle w:val="BodyText"/>
        <w:spacing w:line="240" w:lineRule="auto" w:before="137"/>
        <w:ind w:right="0"/>
        <w:jc w:val="left"/>
      </w:pPr>
      <w:r>
        <w:rPr/>
        <w:t>本期计提坏账准备金额</w:t>
      </w:r>
      <w:r>
        <w:rPr>
          <w:spacing w:val="-62"/>
        </w:rPr>
        <w:t> </w:t>
      </w:r>
      <w:r>
        <w:rPr>
          <w:rFonts w:ascii="Arial" w:hAnsi="Arial" w:cs="Arial" w:eastAsia="Arial" w:hint="default"/>
        </w:rPr>
        <w:t>1,018,781.75</w:t>
      </w:r>
      <w:r>
        <w:rPr>
          <w:rFonts w:ascii="Arial" w:hAnsi="Arial" w:cs="Arial" w:eastAsia="Arial" w:hint="default"/>
          <w:spacing w:val="-6"/>
        </w:rPr>
        <w:t> </w:t>
      </w:r>
      <w:r>
        <w:rPr/>
        <w:t>元；本期收回或转回坏账准备金额</w:t>
      </w:r>
      <w:r>
        <w:rPr>
          <w:spacing w:val="-62"/>
        </w:rPr>
        <w:t> </w:t>
      </w:r>
      <w:r>
        <w:rPr>
          <w:rFonts w:ascii="Arial" w:hAnsi="Arial" w:cs="Arial" w:eastAsia="Arial" w:hint="default"/>
        </w:rPr>
        <w:t>0</w:t>
      </w:r>
      <w:r>
        <w:rPr>
          <w:rFonts w:ascii="Arial" w:hAnsi="Arial" w:cs="Arial" w:eastAsia="Arial" w:hint="default"/>
          <w:spacing w:val="-8"/>
        </w:rPr>
        <w:t> </w:t>
      </w:r>
      <w:r>
        <w:rPr/>
        <w:t>元。</w:t>
      </w:r>
    </w:p>
    <w:p>
      <w:pPr>
        <w:pStyle w:val="Heading3"/>
        <w:spacing w:line="240" w:lineRule="auto" w:before="137"/>
        <w:ind w:right="0"/>
        <w:jc w:val="left"/>
        <w:rPr>
          <w:b w:val="0"/>
          <w:bCs w:val="0"/>
        </w:rPr>
      </w:pPr>
      <w:r>
        <w:rPr/>
        <w:t>（</w:t>
      </w:r>
      <w:r>
        <w:rPr>
          <w:rFonts w:ascii="Arial" w:hAnsi="Arial" w:cs="Arial" w:eastAsia="Arial" w:hint="default"/>
        </w:rPr>
        <w:t>3</w:t>
      </w:r>
      <w:r>
        <w:rPr/>
        <w:t>）其他应收款按款项性质分类情况</w:t>
      </w:r>
      <w:r>
        <w:rPr>
          <w:b w:val="0"/>
          <w:bCs w:val="0"/>
        </w:rPr>
      </w:r>
    </w:p>
    <w:p>
      <w:pPr>
        <w:spacing w:before="13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59,632,833.86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26,698,699.55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14,031,464.48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16,156,888.00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17,733,814.02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13,045,885.25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4,430,036.00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462,560.00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15,788,979.08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1,608,806.08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11,284,923.38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113,225,933.52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67,648,956.18</w:t>
            </w:r>
          </w:p>
        </w:tc>
      </w:tr>
    </w:tbl>
    <w:p>
      <w:pPr>
        <w:spacing w:after="0" w:line="240" w:lineRule="auto"/>
        <w:jc w:val="right"/>
        <w:rPr>
          <w:rFonts w:ascii="Arial" w:hAnsi="Arial" w:cs="Arial" w:eastAsia="Arial" w:hint="default"/>
          <w:sz w:val="18"/>
          <w:szCs w:val="18"/>
        </w:rPr>
        <w:sectPr>
          <w:type w:val="continuous"/>
          <w:pgSz w:w="11910" w:h="16840"/>
          <w:pgMar w:top="1100" w:bottom="1200" w:left="980" w:right="980"/>
        </w:sectPr>
      </w:pPr>
    </w:p>
    <w:p>
      <w:pPr>
        <w:spacing w:line="240" w:lineRule="auto" w:before="8"/>
        <w:rPr>
          <w:rFonts w:ascii="宋体" w:hAnsi="宋体" w:cs="宋体" w:eastAsia="宋体" w:hint="default"/>
          <w:sz w:val="16"/>
          <w:szCs w:val="16"/>
        </w:rPr>
      </w:pPr>
    </w:p>
    <w:p>
      <w:pPr>
        <w:pStyle w:val="Heading3"/>
        <w:spacing w:line="240" w:lineRule="auto" w:before="26"/>
        <w:ind w:right="0"/>
        <w:jc w:val="left"/>
        <w:rPr>
          <w:b w:val="0"/>
          <w:bCs w:val="0"/>
        </w:rPr>
      </w:pPr>
      <w:r>
        <w:rPr/>
        <w:t>（</w:t>
      </w:r>
      <w:r>
        <w:rPr>
          <w:rFonts w:ascii="Arial" w:hAnsi="Arial" w:cs="Arial" w:eastAsia="Arial"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419"/>
        <w:gridCol w:w="1416"/>
        <w:gridCol w:w="1844"/>
        <w:gridCol w:w="1277"/>
        <w:gridCol w:w="1344"/>
      </w:tblGrid>
      <w:tr>
        <w:trPr>
          <w:trHeight w:val="102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center"/>
              <w:rPr>
                <w:rFonts w:ascii="宋体" w:hAnsi="宋体" w:cs="宋体" w:eastAsia="宋体" w:hint="default"/>
                <w:sz w:val="18"/>
                <w:szCs w:val="18"/>
              </w:rPr>
            </w:pPr>
            <w:r>
              <w:rPr>
                <w:rFonts w:ascii="宋体" w:hAnsi="宋体" w:cs="宋体" w:eastAsia="宋体" w:hint="default"/>
                <w:sz w:val="18"/>
                <w:szCs w:val="18"/>
              </w:rPr>
              <w:t>占其他应收款 期末余额合计 数的比例</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8" w:right="35"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北京市食品药品监督管理局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17,292,335.00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15.27%</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北京市海淀区国家税务局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15,788,979.08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13.94%</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北京市工商经济信息中心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12,742,630.00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二年至三年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11.25%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213,703.00</w:t>
            </w:r>
          </w:p>
        </w:tc>
      </w:tr>
      <w:tr>
        <w:trPr>
          <w:trHeight w:val="134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北京市人民检察院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Arial" w:hAnsi="Arial" w:cs="Arial" w:eastAsia="Arial" w:hint="default"/>
                <w:sz w:val="18"/>
                <w:szCs w:val="18"/>
              </w:rPr>
            </w:pPr>
            <w:r>
              <w:rPr>
                <w:rFonts w:ascii="Arial"/>
                <w:spacing w:val="-1"/>
                <w:sz w:val="18"/>
              </w:rPr>
              <w:t>5,657,141.10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86"/>
              <w:jc w:val="both"/>
              <w:rPr>
                <w:rFonts w:ascii="宋体" w:hAnsi="宋体" w:cs="宋体" w:eastAsia="宋体"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一年至二年</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三年至四 年</w:t>
            </w:r>
            <w:r>
              <w:rPr>
                <w:rFonts w:ascii="Arial" w:hAnsi="Arial" w:cs="Arial" w:eastAsia="Arial" w:hint="default"/>
                <w:sz w:val="18"/>
                <w:szCs w:val="18"/>
              </w:rPr>
              <w:t>/</w:t>
            </w:r>
            <w:r>
              <w:rPr>
                <w:rFonts w:ascii="宋体" w:hAnsi="宋体" w:cs="宋体" w:eastAsia="宋体" w:hint="default"/>
                <w:sz w:val="18"/>
                <w:szCs w:val="18"/>
              </w:rPr>
              <w:t>四年至五年</w:t>
            </w:r>
            <w:r>
              <w:rPr>
                <w:rFonts w:ascii="Arial" w:hAnsi="Arial" w:cs="Arial" w:eastAsia="Arial" w:hint="default"/>
                <w:sz w:val="18"/>
                <w:szCs w:val="18"/>
              </w:rPr>
              <w:t>/</w:t>
            </w:r>
            <w:r>
              <w:rPr>
                <w:rFonts w:ascii="宋体" w:hAnsi="宋体" w:cs="宋体" w:eastAsia="宋体" w:hint="default"/>
                <w:sz w:val="18"/>
                <w:szCs w:val="18"/>
              </w:rPr>
              <w:t>五年以 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w w:val="95"/>
                <w:sz w:val="18"/>
              </w:rPr>
              <w:t>5.00%</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1,875,716.75</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中国证券登记结算有限责任 公司深圳分公司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4,430,036.00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w w:val="95"/>
                <w:sz w:val="18"/>
              </w:rPr>
              <w:t>3.91%</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c>
          <w:tcPr>
            <w:tcW w:w="14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55,911,121.18</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2,089,419.75</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w:t>
      </w:r>
      <w:r>
        <w:rPr>
          <w:rFonts w:ascii="Arial" w:hAnsi="Arial" w:cs="Arial" w:eastAsia="Arial" w:hint="default"/>
        </w:rPr>
        <w:t>5</w:t>
      </w:r>
      <w:r>
        <w:rPr/>
        <w:t>）涉及政府补助的应收款项</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北京市海淀区国家税务 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15,788,979.08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依据软件产品增值税优 </w:t>
            </w:r>
            <w:r>
              <w:rPr>
                <w:rFonts w:ascii="宋体" w:hAnsi="宋体" w:cs="宋体" w:eastAsia="宋体" w:hint="default"/>
                <w:spacing w:val="-5"/>
                <w:sz w:val="18"/>
                <w:szCs w:val="18"/>
              </w:rPr>
              <w:t>惠政策，</w:t>
            </w:r>
            <w:r>
              <w:rPr>
                <w:rFonts w:ascii="Arial" w:hAnsi="Arial" w:cs="Arial" w:eastAsia="Arial" w:hint="default"/>
                <w:spacing w:val="-5"/>
                <w:sz w:val="18"/>
                <w:szCs w:val="18"/>
              </w:rPr>
              <w:t>2015</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3"/>
                <w:sz w:val="18"/>
                <w:szCs w:val="18"/>
              </w:rPr>
              <w:t> </w:t>
            </w:r>
            <w:r>
              <w:rPr>
                <w:rFonts w:ascii="宋体" w:hAnsi="宋体" w:cs="宋体" w:eastAsia="宋体" w:hint="default"/>
                <w:sz w:val="18"/>
                <w:szCs w:val="18"/>
              </w:rPr>
              <w:t>月已 收回</w:t>
            </w:r>
            <w:r>
              <w:rPr>
                <w:rFonts w:ascii="宋体" w:hAnsi="宋体" w:cs="宋体" w:eastAsia="宋体" w:hint="default"/>
                <w:spacing w:val="-48"/>
                <w:sz w:val="18"/>
                <w:szCs w:val="18"/>
              </w:rPr>
              <w:t> </w:t>
            </w:r>
            <w:r>
              <w:rPr>
                <w:rFonts w:ascii="Arial" w:hAnsi="Arial" w:cs="Arial" w:eastAsia="Arial" w:hint="default"/>
                <w:sz w:val="18"/>
                <w:szCs w:val="18"/>
              </w:rPr>
              <w:t>15,788,979.08</w:t>
            </w:r>
            <w:r>
              <w:rPr>
                <w:rFonts w:ascii="Arial" w:hAnsi="Arial" w:cs="Arial" w:eastAsia="Arial" w:hint="default"/>
                <w:spacing w:val="-7"/>
                <w:sz w:val="18"/>
                <w:szCs w:val="18"/>
              </w:rPr>
              <w:t> </w:t>
            </w:r>
            <w:r>
              <w:rPr>
                <w:rFonts w:ascii="宋体" w:hAnsi="宋体" w:cs="宋体" w:eastAsia="宋体" w:hint="default"/>
                <w:sz w:val="18"/>
                <w:szCs w:val="18"/>
              </w:rPr>
              <w:t>元</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15,788,979.08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bl>
    <w:p>
      <w:pPr>
        <w:pStyle w:val="Heading3"/>
        <w:spacing w:line="240" w:lineRule="auto" w:before="79"/>
        <w:ind w:right="0"/>
        <w:jc w:val="left"/>
        <w:rPr>
          <w:b w:val="0"/>
          <w:bCs w:val="0"/>
        </w:rPr>
      </w:pPr>
      <w:r>
        <w:rPr>
          <w:rFonts w:ascii="Arial" w:hAnsi="Arial" w:cs="Arial" w:eastAsia="Arial" w:hint="default"/>
        </w:rPr>
        <w:t>7</w:t>
      </w:r>
      <w:r>
        <w:rPr/>
        <w:t>、存货</w:t>
      </w:r>
      <w:r>
        <w:rPr>
          <w:b w:val="0"/>
          <w:bCs w:val="0"/>
        </w:rPr>
      </w:r>
    </w:p>
    <w:p>
      <w:pPr>
        <w:pStyle w:val="Heading3"/>
        <w:spacing w:line="240" w:lineRule="auto" w:before="101"/>
        <w:ind w:right="0"/>
        <w:jc w:val="left"/>
        <w:rPr>
          <w:b w:val="0"/>
          <w:bCs w:val="0"/>
        </w:rPr>
      </w:pPr>
      <w:r>
        <w:rPr/>
        <w:t>（</w:t>
      </w:r>
      <w:r>
        <w:rPr>
          <w:rFonts w:ascii="Arial" w:hAnsi="Arial" w:cs="Arial" w:eastAsia="Arial" w:hint="default"/>
        </w:rPr>
        <w:t>1</w:t>
      </w:r>
      <w:r>
        <w:rPr/>
        <w:t>）存货分类</w:t>
      </w:r>
      <w:r>
        <w:rPr>
          <w:b w:val="0"/>
          <w:bCs w:val="0"/>
        </w:rPr>
      </w:r>
    </w:p>
    <w:p>
      <w:pPr>
        <w:spacing w:line="240" w:lineRule="auto" w:before="1"/>
        <w:rPr>
          <w:rFonts w:ascii="宋体" w:hAnsi="宋体" w:cs="宋体" w:eastAsia="宋体" w:hint="default"/>
          <w:b/>
          <w:bCs/>
          <w:sz w:val="8"/>
          <w:szCs w:val="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478"/>
        <w:gridCol w:w="1135"/>
        <w:gridCol w:w="1500"/>
        <w:gridCol w:w="1618"/>
        <w:gridCol w:w="994"/>
        <w:gridCol w:w="1490"/>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8"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500" w:type="dxa"/>
            <w:vMerge/>
            <w:tcBorders>
              <w:left w:val="single" w:sz="4"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9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18,815,764.17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18,815,764.17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10,947,334.68</w:t>
            </w:r>
          </w:p>
        </w:tc>
        <w:tc>
          <w:tcPr>
            <w:tcW w:w="99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10,947,334.68</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30,571,792.04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30,571,792.04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17,569,147.75</w:t>
            </w:r>
          </w:p>
        </w:tc>
        <w:tc>
          <w:tcPr>
            <w:tcW w:w="99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17,569,147.75</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320,464,551.15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320,464,551.15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171,668,116.15</w:t>
            </w:r>
          </w:p>
        </w:tc>
        <w:tc>
          <w:tcPr>
            <w:tcW w:w="99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171,668,116.15</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369,852,107.36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369,852,107.36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200,184,598.58</w:t>
            </w:r>
          </w:p>
        </w:tc>
        <w:tc>
          <w:tcPr>
            <w:tcW w:w="99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200,184,598.58</w:t>
            </w:r>
          </w:p>
        </w:tc>
      </w:tr>
    </w:tbl>
    <w:p>
      <w:pPr>
        <w:pStyle w:val="Heading3"/>
        <w:spacing w:line="240" w:lineRule="auto" w:before="79"/>
        <w:ind w:right="0"/>
        <w:jc w:val="left"/>
        <w:rPr>
          <w:b w:val="0"/>
          <w:bCs w:val="0"/>
        </w:rPr>
      </w:pPr>
      <w:r>
        <w:rPr>
          <w:rFonts w:ascii="Arial" w:hAnsi="Arial" w:cs="Arial" w:eastAsia="Arial" w:hint="default"/>
        </w:rPr>
        <w:t>8</w:t>
      </w:r>
      <w:r>
        <w:rPr/>
        <w:t>、其他流动资产</w:t>
      </w:r>
      <w:r>
        <w:rPr>
          <w:b w:val="0"/>
          <w:bCs w:val="0"/>
        </w:rPr>
      </w:r>
    </w:p>
    <w:p>
      <w:pPr>
        <w:spacing w:line="240" w:lineRule="auto" w:before="1"/>
        <w:rPr>
          <w:rFonts w:ascii="宋体" w:hAnsi="宋体" w:cs="宋体" w:eastAsia="宋体" w:hint="default"/>
          <w:b/>
          <w:bCs/>
          <w:sz w:val="8"/>
          <w:szCs w:val="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footerReference w:type="default" r:id="rId50"/>
          <w:pgSz w:w="11910" w:h="16840"/>
          <w:pgMar w:footer="1010" w:header="884" w:top="1140" w:bottom="1200" w:left="980" w:right="980"/>
          <w:pgNumType w:start="121"/>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829"/>
        <w:gridCol w:w="2976"/>
        <w:gridCol w:w="2765"/>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华宇软件预付租赁费及物业费</w:t>
            </w:r>
          </w:p>
        </w:tc>
        <w:tc>
          <w:tcPr>
            <w:tcW w:w="297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129,159.51</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华宇信息预付租赁费及物业费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3,199,619.02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亿信华辰预付租赁费及物业费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985,144.57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117,125.23</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华宇金信预付租赁费及物业费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989,141.47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371,194.07</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华宇信码预付租赁费及物业费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28,863.61</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大连华宇预付租金及物业费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142,765.90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华宇软件并购发行费用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6,345,534.57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617,478.81</w:t>
            </w:r>
          </w:p>
        </w:tc>
      </w:tr>
    </w:tbl>
    <w:p>
      <w:pPr>
        <w:pStyle w:val="BodyText"/>
        <w:spacing w:line="240" w:lineRule="auto" w:before="70"/>
        <w:ind w:right="0"/>
        <w:jc w:val="left"/>
      </w:pPr>
      <w:r>
        <w:rPr/>
        <w:t>其他说明：</w:t>
      </w:r>
    </w:p>
    <w:p>
      <w:pPr>
        <w:pStyle w:val="BodyText"/>
        <w:spacing w:line="309" w:lineRule="auto" w:before="151"/>
        <w:ind w:right="174" w:firstLine="480"/>
        <w:jc w:val="left"/>
      </w:pPr>
      <w:r>
        <w:rPr/>
        <w:t>本期其他流动资产同比增长较大主要由于预付的券商发行费用及预付的房租、物业费等 增加所致。</w:t>
      </w:r>
    </w:p>
    <w:p>
      <w:pPr>
        <w:pStyle w:val="Heading3"/>
        <w:spacing w:line="240" w:lineRule="auto" w:before="96"/>
        <w:ind w:right="0"/>
        <w:jc w:val="left"/>
        <w:rPr>
          <w:b w:val="0"/>
          <w:bCs w:val="0"/>
        </w:rPr>
      </w:pPr>
      <w:r>
        <w:rPr>
          <w:rFonts w:ascii="Arial" w:hAnsi="Arial" w:cs="Arial" w:eastAsia="Arial" w:hint="default"/>
        </w:rPr>
        <w:t>9</w:t>
      </w:r>
      <w:r>
        <w:rPr/>
        <w:t>、长期股权投资</w:t>
      </w:r>
      <w:r>
        <w:rPr>
          <w:b w:val="0"/>
          <w:bCs w:val="0"/>
        </w:rPr>
      </w:r>
    </w:p>
    <w:p>
      <w:pPr>
        <w:spacing w:line="240" w:lineRule="auto" w:before="0"/>
        <w:rPr>
          <w:rFonts w:ascii="宋体" w:hAnsi="宋体" w:cs="宋体" w:eastAsia="宋体" w:hint="default"/>
          <w:b/>
          <w:bCs/>
          <w:sz w:val="24"/>
          <w:szCs w:val="24"/>
        </w:rPr>
      </w:pPr>
    </w:p>
    <w:p>
      <w:pPr>
        <w:spacing w:before="18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42"/>
        <w:gridCol w:w="283"/>
        <w:gridCol w:w="994"/>
        <w:gridCol w:w="492"/>
        <w:gridCol w:w="1066"/>
        <w:gridCol w:w="799"/>
        <w:gridCol w:w="603"/>
        <w:gridCol w:w="850"/>
        <w:gridCol w:w="708"/>
        <w:gridCol w:w="300"/>
        <w:gridCol w:w="1263"/>
        <w:gridCol w:w="797"/>
      </w:tblGrid>
      <w:tr>
        <w:trPr>
          <w:trHeight w:val="401"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81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425" w:type="dxa"/>
            <w:gridSpan w:val="2"/>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50"/>
              <w:jc w:val="left"/>
              <w:rPr>
                <w:rFonts w:ascii="宋体" w:hAnsi="宋体" w:cs="宋体" w:eastAsia="宋体" w:hint="default"/>
                <w:sz w:val="18"/>
                <w:szCs w:val="18"/>
              </w:rPr>
            </w:pPr>
            <w:r>
              <w:rPr>
                <w:rFonts w:ascii="宋体" w:hAnsi="宋体" w:cs="宋体" w:eastAsia="宋体" w:hint="default"/>
                <w:sz w:val="18"/>
                <w:szCs w:val="18"/>
              </w:rPr>
              <w:t>其 他</w:t>
            </w:r>
          </w:p>
        </w:tc>
        <w:tc>
          <w:tcPr>
            <w:tcW w:w="12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深圳市捷视飞通 科技有限公司</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center"/>
              <w:rPr>
                <w:rFonts w:ascii="Arial" w:hAnsi="Arial" w:cs="Arial" w:eastAsia="Arial" w:hint="default"/>
                <w:sz w:val="18"/>
                <w:szCs w:val="18"/>
              </w:rPr>
            </w:pPr>
            <w:r>
              <w:rPr>
                <w:rFonts w:ascii="Arial"/>
                <w:sz w:val="18"/>
              </w:rPr>
              <w:t>30,000,000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25,518.99</w:t>
            </w:r>
          </w:p>
        </w:tc>
        <w:tc>
          <w:tcPr>
            <w:tcW w:w="799"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30,025,518.99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center"/>
              <w:rPr>
                <w:rFonts w:ascii="Arial" w:hAnsi="Arial" w:cs="Arial" w:eastAsia="Arial" w:hint="default"/>
                <w:sz w:val="18"/>
                <w:szCs w:val="18"/>
              </w:rPr>
            </w:pPr>
            <w:r>
              <w:rPr>
                <w:rFonts w:ascii="Arial"/>
                <w:sz w:val="18"/>
              </w:rPr>
              <w:t>30,000,000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25,518.99</w:t>
            </w:r>
          </w:p>
        </w:tc>
        <w:tc>
          <w:tcPr>
            <w:tcW w:w="799"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30,025,518.99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center"/>
              <w:rPr>
                <w:rFonts w:ascii="Arial" w:hAnsi="Arial" w:cs="Arial" w:eastAsia="Arial" w:hint="default"/>
                <w:sz w:val="18"/>
                <w:szCs w:val="18"/>
              </w:rPr>
            </w:pPr>
            <w:r>
              <w:rPr>
                <w:rFonts w:ascii="Arial"/>
                <w:sz w:val="18"/>
              </w:rPr>
              <w:t>30,000,000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25,518.99</w:t>
            </w:r>
          </w:p>
        </w:tc>
        <w:tc>
          <w:tcPr>
            <w:tcW w:w="799"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30,025,518.99</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79"/>
        <w:ind w:right="0"/>
        <w:jc w:val="left"/>
        <w:rPr>
          <w:b w:val="0"/>
          <w:bCs w:val="0"/>
        </w:rPr>
      </w:pPr>
      <w:r>
        <w:rPr>
          <w:rFonts w:ascii="Arial" w:hAnsi="Arial" w:cs="Arial" w:eastAsia="Arial" w:hint="default"/>
        </w:rPr>
        <w:t>10</w:t>
      </w:r>
      <w:r>
        <w:rPr/>
        <w:t>、固定资产</w:t>
      </w:r>
      <w:r>
        <w:rPr>
          <w:b w:val="0"/>
          <w:bCs w:val="0"/>
        </w:rPr>
      </w:r>
    </w:p>
    <w:p>
      <w:pPr>
        <w:pStyle w:val="Heading3"/>
        <w:spacing w:line="240" w:lineRule="auto" w:before="101"/>
        <w:ind w:right="0"/>
        <w:jc w:val="left"/>
        <w:rPr>
          <w:b w:val="0"/>
          <w:bCs w:val="0"/>
        </w:rPr>
      </w:pPr>
      <w:r>
        <w:rPr/>
        <w:t>（</w:t>
      </w:r>
      <w:r>
        <w:rPr>
          <w:rFonts w:ascii="Arial" w:hAnsi="Arial" w:cs="Arial" w:eastAsia="Arial" w:hint="default"/>
        </w:rPr>
        <w:t>1</w:t>
      </w:r>
      <w:r>
        <w:rPr/>
        <w:t>）固定资产情况</w:t>
      </w:r>
      <w:r>
        <w:rPr>
          <w:b w:val="0"/>
          <w:bCs w:val="0"/>
        </w:rPr>
      </w:r>
    </w:p>
    <w:p>
      <w:pPr>
        <w:spacing w:line="240" w:lineRule="auto" w:before="0"/>
        <w:rPr>
          <w:rFonts w:ascii="宋体" w:hAnsi="宋体" w:cs="宋体" w:eastAsia="宋体" w:hint="default"/>
          <w:b/>
          <w:bCs/>
          <w:sz w:val="8"/>
          <w:szCs w:val="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480"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2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36" w:space="0" w:color="D2D2D2"/>
              <w:left w:val="single" w:sz="10" w:space="0" w:color="D2D2D2"/>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39,010,747.2</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1195" w:type="dxa"/>
            <w:vMerge w:val="restart"/>
            <w:tcBorders>
              <w:top w:val="single" w:sz="36" w:space="0" w:color="D2D2D2"/>
              <w:left w:val="single" w:sz="4" w:space="0" w:color="000000"/>
              <w:right w:val="single" w:sz="4" w:space="0" w:color="000000"/>
            </w:tcBorders>
          </w:tcPr>
          <w:p>
            <w:pPr/>
          </w:p>
        </w:tc>
        <w:tc>
          <w:tcPr>
            <w:tcW w:w="1196" w:type="dxa"/>
            <w:vMerge w:val="restart"/>
            <w:tcBorders>
              <w:top w:val="single" w:sz="36" w:space="0" w:color="D2D2D2"/>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22,007,769.8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8</w:t>
            </w:r>
            <w:r>
              <w:rPr>
                <w:rFonts w:ascii="Arial"/>
                <w:sz w:val="18"/>
              </w:rPr>
            </w:r>
          </w:p>
        </w:tc>
        <w:tc>
          <w:tcPr>
            <w:tcW w:w="1195" w:type="dxa"/>
            <w:vMerge w:val="restart"/>
            <w:tcBorders>
              <w:top w:val="single" w:sz="36" w:space="0" w:color="D2D2D2"/>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12,509,230.2</w:t>
            </w:r>
          </w:p>
          <w:p>
            <w:pPr>
              <w:pStyle w:val="TableParagraph"/>
              <w:spacing w:line="240" w:lineRule="auto" w:before="105"/>
              <w:ind w:right="20"/>
              <w:jc w:val="right"/>
              <w:rPr>
                <w:rFonts w:ascii="Arial" w:hAnsi="Arial" w:cs="Arial" w:eastAsia="Arial" w:hint="default"/>
                <w:sz w:val="18"/>
                <w:szCs w:val="18"/>
              </w:rPr>
            </w:pPr>
            <w:r>
              <w:rPr>
                <w:rFonts w:ascii="Arial"/>
                <w:w w:val="99"/>
                <w:sz w:val="18"/>
              </w:rPr>
              <w:t>6</w:t>
            </w:r>
            <w:r>
              <w:rPr>
                <w:rFonts w:ascii="Arial"/>
                <w:sz w:val="18"/>
              </w:rPr>
            </w:r>
          </w:p>
        </w:tc>
        <w:tc>
          <w:tcPr>
            <w:tcW w:w="1287" w:type="dxa"/>
            <w:vMerge w:val="restart"/>
            <w:tcBorders>
              <w:top w:val="single" w:sz="36"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11,155,765.90</w:t>
            </w:r>
          </w:p>
        </w:tc>
        <w:tc>
          <w:tcPr>
            <w:tcW w:w="1368" w:type="dxa"/>
            <w:vMerge w:val="restart"/>
            <w:tcBorders>
              <w:top w:val="single" w:sz="36"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2" w:right="0"/>
              <w:jc w:val="left"/>
              <w:rPr>
                <w:rFonts w:ascii="Arial" w:hAnsi="Arial" w:cs="Arial" w:eastAsia="Arial" w:hint="default"/>
                <w:sz w:val="18"/>
                <w:szCs w:val="18"/>
              </w:rPr>
            </w:pPr>
            <w:r>
              <w:rPr>
                <w:rFonts w:ascii="Arial"/>
                <w:sz w:val="18"/>
              </w:rPr>
              <w:t>84,683,513.24</w:t>
            </w:r>
          </w:p>
        </w:tc>
      </w:tr>
      <w:tr>
        <w:trPr>
          <w:trHeight w:val="391" w:hRule="exact"/>
        </w:trPr>
        <w:tc>
          <w:tcPr>
            <w:tcW w:w="21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vMerge/>
            <w:tcBorders>
              <w:left w:val="single" w:sz="10"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2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163" w:hRule="exact"/>
        </w:trPr>
        <w:tc>
          <w:tcPr>
            <w:tcW w:w="2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39,010,747.2</w:t>
            </w:r>
          </w:p>
          <w:p>
            <w:pPr>
              <w:pStyle w:val="TableParagraph"/>
              <w:spacing w:line="240" w:lineRule="auto" w:before="102"/>
              <w:ind w:right="22"/>
              <w:jc w:val="right"/>
              <w:rPr>
                <w:rFonts w:ascii="Arial" w:hAnsi="Arial" w:cs="Arial" w:eastAsia="Arial" w:hint="default"/>
                <w:sz w:val="18"/>
                <w:szCs w:val="18"/>
              </w:rPr>
            </w:pPr>
            <w:r>
              <w:rPr>
                <w:rFonts w:ascii="Arial"/>
                <w:w w:val="99"/>
                <w:sz w:val="18"/>
              </w:rPr>
              <w:t>0</w:t>
            </w:r>
            <w:r>
              <w:rPr>
                <w:rFonts w:ascii="Arial"/>
                <w:sz w:val="18"/>
              </w:rPr>
            </w: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21,111,054.5</w:t>
            </w:r>
          </w:p>
          <w:p>
            <w:pPr>
              <w:pStyle w:val="TableParagraph"/>
              <w:spacing w:line="240" w:lineRule="auto" w:before="102"/>
              <w:ind w:right="20"/>
              <w:jc w:val="right"/>
              <w:rPr>
                <w:rFonts w:ascii="Arial" w:hAnsi="Arial" w:cs="Arial" w:eastAsia="Arial" w:hint="default"/>
                <w:sz w:val="18"/>
                <w:szCs w:val="18"/>
              </w:rPr>
            </w:pPr>
            <w:r>
              <w:rPr>
                <w:rFonts w:ascii="Arial"/>
                <w:w w:val="99"/>
                <w:sz w:val="18"/>
              </w:rPr>
              <w:t>1</w:t>
            </w:r>
            <w:r>
              <w:rPr>
                <w:rFonts w:ascii="Arial"/>
                <w:sz w:val="18"/>
              </w:rPr>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11,084,994.5</w:t>
            </w:r>
          </w:p>
          <w:p>
            <w:pPr>
              <w:pStyle w:val="TableParagraph"/>
              <w:spacing w:line="240" w:lineRule="auto" w:before="102"/>
              <w:ind w:right="20"/>
              <w:jc w:val="right"/>
              <w:rPr>
                <w:rFonts w:ascii="Arial" w:hAnsi="Arial" w:cs="Arial" w:eastAsia="Arial" w:hint="default"/>
                <w:sz w:val="18"/>
                <w:szCs w:val="18"/>
              </w:rPr>
            </w:pPr>
            <w:r>
              <w:rPr>
                <w:rFonts w:ascii="Arial"/>
                <w:w w:val="99"/>
                <w:sz w:val="18"/>
              </w:rPr>
              <w:t>9</w:t>
            </w:r>
            <w:r>
              <w:rPr>
                <w:rFonts w:ascii="Arial"/>
                <w:sz w:val="18"/>
              </w:rPr>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4" w:right="0"/>
              <w:jc w:val="left"/>
              <w:rPr>
                <w:rFonts w:ascii="Arial" w:hAnsi="Arial" w:cs="Arial" w:eastAsia="Arial" w:hint="default"/>
                <w:sz w:val="18"/>
                <w:szCs w:val="18"/>
              </w:rPr>
            </w:pPr>
            <w:r>
              <w:rPr>
                <w:rFonts w:ascii="Arial"/>
                <w:sz w:val="18"/>
              </w:rPr>
              <w:t>9,345,503.74</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2" w:right="0"/>
              <w:jc w:val="left"/>
              <w:rPr>
                <w:rFonts w:ascii="Arial" w:hAnsi="Arial" w:cs="Arial" w:eastAsia="Arial" w:hint="default"/>
                <w:sz w:val="18"/>
                <w:szCs w:val="18"/>
              </w:rPr>
            </w:pPr>
            <w:r>
              <w:rPr>
                <w:rFonts w:ascii="Arial"/>
                <w:sz w:val="18"/>
              </w:rPr>
              <w:t>80,552,300.04</w:t>
            </w:r>
          </w:p>
        </w:tc>
      </w:tr>
      <w:tr>
        <w:trPr>
          <w:trHeight w:val="391" w:hRule="exact"/>
        </w:trPr>
        <w:tc>
          <w:tcPr>
            <w:tcW w:w="21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198" w:type="dxa"/>
            <w:vMerge/>
            <w:tcBorders>
              <w:left w:val="single" w:sz="10"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2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center"/>
              <w:rPr>
                <w:rFonts w:ascii="Arial" w:hAnsi="Arial" w:cs="Arial" w:eastAsia="Arial" w:hint="default"/>
                <w:sz w:val="18"/>
                <w:szCs w:val="18"/>
              </w:rPr>
            </w:pPr>
            <w:r>
              <w:rPr>
                <w:rFonts w:ascii="Arial"/>
                <w:sz w:val="18"/>
              </w:rPr>
              <w:t>8,496,986.38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center"/>
              <w:rPr>
                <w:rFonts w:ascii="Arial" w:hAnsi="Arial" w:cs="Arial" w:eastAsia="Arial" w:hint="default"/>
                <w:sz w:val="18"/>
                <w:szCs w:val="18"/>
              </w:rPr>
            </w:pPr>
            <w:r>
              <w:rPr>
                <w:rFonts w:ascii="Arial"/>
                <w:sz w:val="18"/>
              </w:rPr>
              <w:t>3,956,887.27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4" w:right="0"/>
              <w:jc w:val="left"/>
              <w:rPr>
                <w:rFonts w:ascii="Arial" w:hAnsi="Arial" w:cs="Arial" w:eastAsia="Arial" w:hint="default"/>
                <w:sz w:val="18"/>
                <w:szCs w:val="18"/>
              </w:rPr>
            </w:pPr>
            <w:r>
              <w:rPr>
                <w:rFonts w:ascii="Arial"/>
                <w:sz w:val="18"/>
              </w:rPr>
              <w:t>1,941,679.16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2" w:right="0"/>
              <w:jc w:val="left"/>
              <w:rPr>
                <w:rFonts w:ascii="Arial" w:hAnsi="Arial" w:cs="Arial" w:eastAsia="Arial" w:hint="default"/>
                <w:sz w:val="18"/>
                <w:szCs w:val="18"/>
              </w:rPr>
            </w:pPr>
            <w:r>
              <w:rPr>
                <w:rFonts w:ascii="Arial"/>
                <w:sz w:val="18"/>
              </w:rPr>
              <w:t>14,395,552.81</w:t>
            </w:r>
          </w:p>
        </w:tc>
      </w:tr>
    </w:tbl>
    <w:p>
      <w:pPr>
        <w:spacing w:after="0" w:line="240" w:lineRule="auto"/>
        <w:jc w:val="left"/>
        <w:rPr>
          <w:rFonts w:ascii="Arial" w:hAnsi="Arial" w:cs="Arial" w:eastAsia="Arial" w:hint="default"/>
          <w:sz w:val="18"/>
          <w:szCs w:val="18"/>
        </w:rPr>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195"/>
        <w:gridCol w:w="1196"/>
        <w:gridCol w:w="1195"/>
        <w:gridCol w:w="1287"/>
        <w:gridCol w:w="1368"/>
      </w:tblGrid>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center"/>
              <w:rPr>
                <w:rFonts w:ascii="Arial" w:hAnsi="Arial" w:cs="Arial" w:eastAsia="Arial" w:hint="default"/>
                <w:sz w:val="18"/>
                <w:szCs w:val="18"/>
              </w:rPr>
            </w:pPr>
            <w:r>
              <w:rPr>
                <w:rFonts w:ascii="Arial"/>
                <w:sz w:val="18"/>
              </w:rPr>
              <w:t>8,496,986.38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3,956,887.27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1,941,679.16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14,395,552.81</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center"/>
              <w:rPr>
                <w:rFonts w:ascii="Arial" w:hAnsi="Arial" w:cs="Arial" w:eastAsia="Arial" w:hint="default"/>
                <w:sz w:val="18"/>
                <w:szCs w:val="18"/>
              </w:rPr>
            </w:pPr>
            <w:r>
              <w:rPr>
                <w:rFonts w:ascii="Arial"/>
                <w:sz w:val="18"/>
              </w:rPr>
              <w:t>7,600,271.01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2,532,651.60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131,417.00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10,264,339.61</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center"/>
              <w:rPr>
                <w:rFonts w:ascii="Arial" w:hAnsi="Arial" w:cs="Arial" w:eastAsia="Arial" w:hint="default"/>
                <w:sz w:val="18"/>
                <w:szCs w:val="18"/>
              </w:rPr>
            </w:pPr>
            <w:r>
              <w:rPr>
                <w:rFonts w:ascii="Arial"/>
                <w:sz w:val="18"/>
              </w:rPr>
              <w:t>7,600,271.01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2,532,651.60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131,417.00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10,264,339.61</w:t>
            </w:r>
          </w:p>
        </w:tc>
      </w:tr>
      <w:tr>
        <w:trPr>
          <w:trHeight w:val="715"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39,010,747.2</w:t>
            </w:r>
          </w:p>
          <w:p>
            <w:pPr>
              <w:pStyle w:val="TableParagraph"/>
              <w:spacing w:line="240" w:lineRule="auto" w:before="102"/>
              <w:ind w:right="22"/>
              <w:jc w:val="right"/>
              <w:rPr>
                <w:rFonts w:ascii="Arial" w:hAnsi="Arial" w:cs="Arial" w:eastAsia="Arial" w:hint="default"/>
                <w:sz w:val="18"/>
                <w:szCs w:val="18"/>
              </w:rPr>
            </w:pPr>
            <w:r>
              <w:rPr>
                <w:rFonts w:ascii="Arial"/>
                <w:w w:val="99"/>
                <w:sz w:val="18"/>
              </w:rPr>
              <w:t>0</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22,007,769.8</w:t>
            </w:r>
          </w:p>
          <w:p>
            <w:pPr>
              <w:pStyle w:val="TableParagraph"/>
              <w:spacing w:line="240" w:lineRule="auto" w:before="102"/>
              <w:ind w:right="20"/>
              <w:jc w:val="right"/>
              <w:rPr>
                <w:rFonts w:ascii="Arial" w:hAnsi="Arial" w:cs="Arial" w:eastAsia="Arial" w:hint="default"/>
                <w:sz w:val="18"/>
                <w:szCs w:val="18"/>
              </w:rPr>
            </w:pPr>
            <w:r>
              <w:rPr>
                <w:rFonts w:ascii="Arial"/>
                <w:w w:val="99"/>
                <w:sz w:val="18"/>
              </w:rPr>
              <w:t>8</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12,509,230.2</w:t>
            </w:r>
          </w:p>
          <w:p>
            <w:pPr>
              <w:pStyle w:val="TableParagraph"/>
              <w:spacing w:line="240" w:lineRule="auto" w:before="102"/>
              <w:ind w:right="20"/>
              <w:jc w:val="right"/>
              <w:rPr>
                <w:rFonts w:ascii="Arial" w:hAnsi="Arial" w:cs="Arial" w:eastAsia="Arial" w:hint="default"/>
                <w:sz w:val="18"/>
                <w:szCs w:val="18"/>
              </w:rPr>
            </w:pPr>
            <w:r>
              <w:rPr>
                <w:rFonts w:ascii="Arial"/>
                <w:w w:val="99"/>
                <w:sz w:val="18"/>
              </w:rPr>
              <w:t>6</w:t>
            </w:r>
            <w:r>
              <w:rPr>
                <w:rFonts w:ascii="Arial"/>
                <w:sz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11,155,765.90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84,683,513.24</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7,164,669.70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center"/>
              <w:rPr>
                <w:rFonts w:ascii="Arial" w:hAnsi="Arial" w:cs="Arial" w:eastAsia="Arial" w:hint="default"/>
                <w:sz w:val="18"/>
                <w:szCs w:val="18"/>
              </w:rPr>
            </w:pPr>
            <w:r>
              <w:rPr>
                <w:rFonts w:ascii="Arial"/>
                <w:sz w:val="18"/>
              </w:rPr>
              <w:t>6,110,022.51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3,576,175.82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5,751,812.03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22,602,680.06</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6,381,380.38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center"/>
              <w:rPr>
                <w:rFonts w:ascii="Arial" w:hAnsi="Arial" w:cs="Arial" w:eastAsia="Arial" w:hint="default"/>
                <w:sz w:val="18"/>
                <w:szCs w:val="18"/>
              </w:rPr>
            </w:pPr>
            <w:r>
              <w:rPr>
                <w:rFonts w:ascii="Arial"/>
                <w:sz w:val="18"/>
              </w:rPr>
              <w:t>9,370,753.77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4,609,145.14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4,672,205.47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25,033,484.76</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783,289.32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center"/>
              <w:rPr>
                <w:rFonts w:ascii="Arial" w:hAnsi="Arial" w:cs="Arial" w:eastAsia="Arial" w:hint="default"/>
                <w:sz w:val="18"/>
                <w:szCs w:val="18"/>
              </w:rPr>
            </w:pPr>
            <w:r>
              <w:rPr>
                <w:rFonts w:ascii="Arial"/>
                <w:sz w:val="18"/>
              </w:rPr>
              <w:t>3,961,817.27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1,326,478.41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1,202,390.71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7,273,975.71</w:t>
            </w:r>
          </w:p>
        </w:tc>
      </w:tr>
      <w:tr>
        <w:trPr>
          <w:trHeight w:val="404"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783,289.32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center"/>
              <w:rPr>
                <w:rFonts w:ascii="Arial" w:hAnsi="Arial" w:cs="Arial" w:eastAsia="Arial" w:hint="default"/>
                <w:sz w:val="18"/>
                <w:szCs w:val="18"/>
              </w:rPr>
            </w:pPr>
            <w:r>
              <w:rPr>
                <w:rFonts w:ascii="Arial"/>
                <w:sz w:val="18"/>
              </w:rPr>
              <w:t>3,885,687.96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970,381.18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1,021,054.01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6,660,412.47</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center"/>
              <w:rPr>
                <w:rFonts w:ascii="Arial" w:hAnsi="Arial" w:cs="Arial" w:eastAsia="Arial" w:hint="default"/>
                <w:sz w:val="18"/>
                <w:szCs w:val="18"/>
              </w:rPr>
            </w:pPr>
            <w:r>
              <w:rPr>
                <w:rFonts w:ascii="Arial"/>
                <w:sz w:val="18"/>
              </w:rPr>
              <w:t>7,222,548.53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2,359,447.73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122,784.15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9,704,780.41</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7,164,669.70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center"/>
              <w:rPr>
                <w:rFonts w:ascii="Arial" w:hAnsi="Arial" w:cs="Arial" w:eastAsia="Arial" w:hint="default"/>
                <w:sz w:val="18"/>
                <w:szCs w:val="18"/>
              </w:rPr>
            </w:pPr>
            <w:r>
              <w:rPr>
                <w:rFonts w:ascii="Arial"/>
                <w:sz w:val="18"/>
              </w:rPr>
              <w:t>6,110,022.51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3,576,175.82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5,751,812.03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22,602,680.06</w:t>
            </w:r>
          </w:p>
        </w:tc>
      </w:tr>
      <w:tr>
        <w:trPr>
          <w:trHeight w:val="71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31,846,077.5</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15,897,747.3</w:t>
            </w:r>
          </w:p>
          <w:p>
            <w:pPr>
              <w:pStyle w:val="TableParagraph"/>
              <w:spacing w:line="240" w:lineRule="auto" w:before="105"/>
              <w:ind w:right="20"/>
              <w:jc w:val="right"/>
              <w:rPr>
                <w:rFonts w:ascii="Arial" w:hAnsi="Arial" w:cs="Arial" w:eastAsia="Arial" w:hint="default"/>
                <w:sz w:val="18"/>
                <w:szCs w:val="18"/>
              </w:rPr>
            </w:pPr>
            <w:r>
              <w:rPr>
                <w:rFonts w:ascii="Arial"/>
                <w:w w:val="99"/>
                <w:sz w:val="18"/>
              </w:rPr>
              <w:t>7</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8,933,054.44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5,403,953.87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62,080,833.18</w:t>
            </w:r>
          </w:p>
        </w:tc>
      </w:tr>
      <w:tr>
        <w:trPr>
          <w:trHeight w:val="715"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31,846,077.5</w:t>
            </w:r>
          </w:p>
          <w:p>
            <w:pPr>
              <w:pStyle w:val="TableParagraph"/>
              <w:spacing w:line="240" w:lineRule="auto" w:before="102"/>
              <w:ind w:right="22"/>
              <w:jc w:val="right"/>
              <w:rPr>
                <w:rFonts w:ascii="Arial" w:hAnsi="Arial" w:cs="Arial" w:eastAsia="Arial" w:hint="default"/>
                <w:sz w:val="18"/>
                <w:szCs w:val="18"/>
              </w:rPr>
            </w:pPr>
            <w:r>
              <w:rPr>
                <w:rFonts w:ascii="Arial"/>
                <w:w w:val="99"/>
                <w:sz w:val="18"/>
              </w:rPr>
              <w:t>0</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15,897,747.3</w:t>
            </w:r>
          </w:p>
          <w:p>
            <w:pPr>
              <w:pStyle w:val="TableParagraph"/>
              <w:spacing w:line="240" w:lineRule="auto" w:before="102"/>
              <w:ind w:right="20"/>
              <w:jc w:val="right"/>
              <w:rPr>
                <w:rFonts w:ascii="Arial" w:hAnsi="Arial" w:cs="Arial" w:eastAsia="Arial" w:hint="default"/>
                <w:sz w:val="18"/>
                <w:szCs w:val="18"/>
              </w:rPr>
            </w:pPr>
            <w:r>
              <w:rPr>
                <w:rFonts w:ascii="Arial"/>
                <w:w w:val="99"/>
                <w:sz w:val="18"/>
              </w:rPr>
              <w:t>7</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8,933,054.44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5,403,953.87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62,080,833.18</w:t>
            </w:r>
          </w:p>
        </w:tc>
      </w:tr>
      <w:tr>
        <w:trPr>
          <w:trHeight w:val="715"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32,629,366.8</w:t>
            </w:r>
          </w:p>
          <w:p>
            <w:pPr>
              <w:pStyle w:val="TableParagraph"/>
              <w:spacing w:line="240" w:lineRule="auto" w:before="105"/>
              <w:ind w:right="22"/>
              <w:jc w:val="right"/>
              <w:rPr>
                <w:rFonts w:ascii="Arial" w:hAnsi="Arial" w:cs="Arial" w:eastAsia="Arial" w:hint="default"/>
                <w:sz w:val="18"/>
                <w:szCs w:val="18"/>
              </w:rPr>
            </w:pPr>
            <w:r>
              <w:rPr>
                <w:rFonts w:ascii="Arial"/>
                <w:w w:val="99"/>
                <w:sz w:val="18"/>
              </w:rPr>
              <w:t>2</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11,740,300.7</w:t>
            </w:r>
          </w:p>
          <w:p>
            <w:pPr>
              <w:pStyle w:val="TableParagraph"/>
              <w:spacing w:line="240" w:lineRule="auto" w:before="105"/>
              <w:ind w:right="20"/>
              <w:jc w:val="right"/>
              <w:rPr>
                <w:rFonts w:ascii="Arial" w:hAnsi="Arial" w:cs="Arial" w:eastAsia="Arial" w:hint="default"/>
                <w:sz w:val="18"/>
                <w:szCs w:val="18"/>
              </w:rPr>
            </w:pPr>
            <w:r>
              <w:rPr>
                <w:rFonts w:ascii="Arial"/>
                <w:w w:val="99"/>
                <w:sz w:val="18"/>
              </w:rPr>
              <w:t>4</w:t>
            </w:r>
            <w:r>
              <w:rPr>
                <w:rFonts w:ascii="Arial"/>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6,475,849.45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4,673,298.27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55,518,815.28</w:t>
            </w:r>
          </w:p>
        </w:tc>
      </w:tr>
    </w:tbl>
    <w:p>
      <w:pPr>
        <w:pStyle w:val="Heading3"/>
        <w:spacing w:line="338" w:lineRule="auto" w:before="70"/>
        <w:ind w:right="6508"/>
        <w:jc w:val="left"/>
        <w:rPr>
          <w:rFonts w:ascii="宋体" w:hAnsi="宋体" w:cs="宋体" w:eastAsia="宋体" w:hint="default"/>
          <w:b w:val="0"/>
          <w:bCs w:val="0"/>
        </w:rPr>
      </w:pPr>
      <w:r>
        <w:rPr/>
        <w:t>（</w:t>
      </w:r>
      <w:r>
        <w:rPr>
          <w:rFonts w:ascii="Arial" w:hAnsi="Arial" w:cs="Arial" w:eastAsia="Arial" w:hint="default"/>
        </w:rPr>
        <w:t>2</w:t>
      </w:r>
      <w:r>
        <w:rPr/>
        <w:t>）暂时闲置的固定资产情况</w:t>
      </w:r>
      <w:r>
        <w:rPr>
          <w:w w:val="99"/>
        </w:rPr>
        <w:t> </w:t>
      </w:r>
      <w:r>
        <w:rPr>
          <w:rFonts w:ascii="宋体" w:hAnsi="宋体" w:cs="宋体" w:eastAsia="宋体" w:hint="default"/>
          <w:b w:val="0"/>
          <w:bCs w:val="0"/>
        </w:rPr>
        <w:t>不适用</w:t>
      </w:r>
    </w:p>
    <w:p>
      <w:pPr>
        <w:pStyle w:val="Heading3"/>
        <w:spacing w:line="240" w:lineRule="auto" w:before="55"/>
        <w:ind w:right="0"/>
        <w:jc w:val="left"/>
        <w:rPr>
          <w:b w:val="0"/>
          <w:bCs w:val="0"/>
        </w:rPr>
      </w:pPr>
      <w:r>
        <w:rPr>
          <w:rFonts w:ascii="Arial" w:hAnsi="Arial" w:cs="Arial" w:eastAsia="Arial" w:hint="default"/>
        </w:rPr>
        <w:t>11</w:t>
      </w:r>
      <w:r>
        <w:rPr/>
        <w:t>、在建工程</w:t>
      </w:r>
      <w:r>
        <w:rPr>
          <w:b w:val="0"/>
          <w:bCs w:val="0"/>
        </w:rPr>
      </w:r>
    </w:p>
    <w:p>
      <w:pPr>
        <w:pStyle w:val="Heading3"/>
        <w:spacing w:line="240" w:lineRule="auto" w:before="137"/>
        <w:ind w:right="0"/>
        <w:jc w:val="left"/>
        <w:rPr>
          <w:b w:val="0"/>
          <w:bCs w:val="0"/>
        </w:rPr>
      </w:pPr>
      <w:r>
        <w:rPr/>
        <w:t>（</w:t>
      </w:r>
      <w:r>
        <w:rPr>
          <w:rFonts w:ascii="Arial" w:hAnsi="Arial" w:cs="Arial" w:eastAsia="Arial" w:hint="default"/>
        </w:rPr>
        <w:t>1</w:t>
      </w:r>
      <w:r>
        <w:rPr/>
        <w:t>）在建工程情况</w:t>
      </w:r>
      <w:r>
        <w:rPr>
          <w:b w:val="0"/>
          <w:bCs w:val="0"/>
        </w:rPr>
      </w:r>
    </w:p>
    <w:p>
      <w:pPr>
        <w:spacing w:before="13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419"/>
        <w:gridCol w:w="991"/>
        <w:gridCol w:w="1277"/>
        <w:gridCol w:w="1274"/>
        <w:gridCol w:w="1117"/>
        <w:gridCol w:w="1368"/>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华宇软件租用办公楼装修</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750,000.00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750,000.00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华宇信息租用办公楼装修</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2,139,940.82</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2,139,940.82</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亿信华辰租用办公楼装修</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175,872.12</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175,872.12</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大连华宇研发基地建设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68,978,222.89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sz w:val="18"/>
              </w:rPr>
              <w:t>68,978,222.89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8,437,982.40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8,437,982.40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68,978,222.89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Arial" w:hAnsi="Arial" w:cs="Arial" w:eastAsia="Arial" w:hint="default"/>
                <w:sz w:val="18"/>
                <w:szCs w:val="18"/>
              </w:rPr>
            </w:pPr>
            <w:r>
              <w:rPr>
                <w:rFonts w:ascii="Arial"/>
                <w:sz w:val="18"/>
              </w:rPr>
              <w:t>68,978,222.89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11,503,795.34</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11,503,795.34</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w:t>
      </w:r>
      <w:r>
        <w:rPr>
          <w:rFonts w:ascii="Arial" w:hAnsi="Arial" w:cs="Arial" w:eastAsia="Arial" w:hint="default"/>
        </w:rPr>
        <w:t>2</w:t>
      </w:r>
      <w:r>
        <w:rPr/>
        <w:t>）重要在建工程项目本期变动情况</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277"/>
        <w:gridCol w:w="425"/>
        <w:gridCol w:w="994"/>
        <w:gridCol w:w="991"/>
        <w:gridCol w:w="670"/>
        <w:gridCol w:w="924"/>
        <w:gridCol w:w="1099"/>
        <w:gridCol w:w="566"/>
        <w:gridCol w:w="425"/>
        <w:gridCol w:w="569"/>
        <w:gridCol w:w="566"/>
        <w:gridCol w:w="566"/>
        <w:gridCol w:w="492"/>
      </w:tblGrid>
      <w:tr>
        <w:trPr>
          <w:trHeight w:val="133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0"/>
                <w:sz w:val="18"/>
                <w:szCs w:val="18"/>
              </w:rPr>
              <w:t>项目名称</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36" w:right="60" w:hanging="72"/>
              <w:jc w:val="left"/>
              <w:rPr>
                <w:rFonts w:ascii="宋体" w:hAnsi="宋体" w:cs="宋体" w:eastAsia="宋体" w:hint="default"/>
                <w:sz w:val="18"/>
                <w:szCs w:val="18"/>
              </w:rPr>
            </w:pPr>
            <w:r>
              <w:rPr>
                <w:rFonts w:ascii="宋体" w:hAnsi="宋体" w:cs="宋体" w:eastAsia="宋体" w:hint="default"/>
                <w:w w:val="80"/>
                <w:sz w:val="18"/>
                <w:szCs w:val="18"/>
              </w:rPr>
              <w:t>预算</w:t>
            </w:r>
            <w:r>
              <w:rPr>
                <w:rFonts w:ascii="宋体" w:hAnsi="宋体" w:cs="宋体" w:eastAsia="宋体" w:hint="default"/>
                <w:spacing w:val="1"/>
                <w:w w:val="78"/>
                <w:sz w:val="18"/>
                <w:szCs w:val="18"/>
              </w:rPr>
              <w:t> </w:t>
            </w:r>
            <w:r>
              <w:rPr>
                <w:rFonts w:ascii="宋体" w:hAnsi="宋体" w:cs="宋体" w:eastAsia="宋体" w:hint="default"/>
                <w:w w:val="90"/>
                <w:sz w:val="18"/>
                <w:szCs w:val="18"/>
              </w:rPr>
              <w:t>数</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w w:val="90"/>
                <w:sz w:val="18"/>
                <w:szCs w:val="18"/>
              </w:rPr>
              <w:t>期初余额</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w w:val="80"/>
                <w:sz w:val="18"/>
                <w:szCs w:val="18"/>
              </w:rPr>
              <w:t>本期增加金额</w:t>
            </w:r>
            <w:r>
              <w:rPr>
                <w:rFonts w:ascii="宋体" w:hAnsi="宋体" w:cs="宋体" w:eastAsia="宋体" w:hint="default"/>
                <w:sz w:val="18"/>
                <w:szCs w:val="18"/>
              </w:rPr>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38"/>
              <w:jc w:val="center"/>
              <w:rPr>
                <w:rFonts w:ascii="宋体" w:hAnsi="宋体" w:cs="宋体" w:eastAsia="宋体" w:hint="default"/>
                <w:sz w:val="18"/>
                <w:szCs w:val="18"/>
              </w:rPr>
            </w:pPr>
            <w:r>
              <w:rPr>
                <w:rFonts w:ascii="宋体" w:hAnsi="宋体" w:cs="宋体" w:eastAsia="宋体" w:hint="default"/>
                <w:w w:val="80"/>
                <w:sz w:val="18"/>
                <w:szCs w:val="18"/>
              </w:rPr>
              <w:t>本期转入</w:t>
            </w:r>
            <w:r>
              <w:rPr>
                <w:rFonts w:ascii="宋体" w:hAnsi="宋体" w:cs="宋体" w:eastAsia="宋体" w:hint="default"/>
                <w:spacing w:val="1"/>
                <w:w w:val="78"/>
                <w:sz w:val="18"/>
                <w:szCs w:val="18"/>
              </w:rPr>
              <w:t> </w:t>
            </w:r>
            <w:r>
              <w:rPr>
                <w:rFonts w:ascii="宋体" w:hAnsi="宋体" w:cs="宋体" w:eastAsia="宋体" w:hint="default"/>
                <w:w w:val="80"/>
                <w:sz w:val="18"/>
                <w:szCs w:val="18"/>
              </w:rPr>
              <w:t>固定资产</w:t>
            </w:r>
            <w:r>
              <w:rPr>
                <w:rFonts w:ascii="宋体" w:hAnsi="宋体" w:cs="宋体" w:eastAsia="宋体" w:hint="default"/>
                <w:spacing w:val="1"/>
                <w:w w:val="78"/>
                <w:sz w:val="18"/>
                <w:szCs w:val="18"/>
              </w:rPr>
              <w:t> </w:t>
            </w:r>
            <w:r>
              <w:rPr>
                <w:rFonts w:ascii="宋体" w:hAnsi="宋体" w:cs="宋体" w:eastAsia="宋体" w:hint="default"/>
                <w:w w:val="90"/>
                <w:sz w:val="18"/>
                <w:szCs w:val="18"/>
              </w:rPr>
              <w:t>金额</w:t>
            </w:r>
            <w:r>
              <w:rPr>
                <w:rFonts w:ascii="宋体" w:hAnsi="宋体" w:cs="宋体" w:eastAsia="宋体" w:hint="default"/>
                <w:sz w:val="18"/>
                <w:szCs w:val="18"/>
              </w:rPr>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57" w:lineRule="auto"/>
              <w:ind w:left="170" w:right="166"/>
              <w:jc w:val="left"/>
              <w:rPr>
                <w:rFonts w:ascii="宋体" w:hAnsi="宋体" w:cs="宋体" w:eastAsia="宋体" w:hint="default"/>
                <w:sz w:val="18"/>
                <w:szCs w:val="18"/>
              </w:rPr>
            </w:pPr>
            <w:r>
              <w:rPr>
                <w:rFonts w:ascii="宋体" w:hAnsi="宋体" w:cs="宋体" w:eastAsia="宋体" w:hint="default"/>
                <w:w w:val="80"/>
                <w:sz w:val="18"/>
                <w:szCs w:val="18"/>
              </w:rPr>
              <w:t>本期其他</w:t>
            </w:r>
            <w:r>
              <w:rPr>
                <w:rFonts w:ascii="宋体" w:hAnsi="宋体" w:cs="宋体" w:eastAsia="宋体" w:hint="default"/>
                <w:spacing w:val="1"/>
                <w:w w:val="78"/>
                <w:sz w:val="18"/>
                <w:szCs w:val="18"/>
              </w:rPr>
              <w:t> </w:t>
            </w:r>
            <w:r>
              <w:rPr>
                <w:rFonts w:ascii="宋体" w:hAnsi="宋体" w:cs="宋体" w:eastAsia="宋体" w:hint="default"/>
                <w:w w:val="80"/>
                <w:sz w:val="18"/>
                <w:szCs w:val="18"/>
              </w:rPr>
              <w:t>减少金额</w:t>
            </w:r>
            <w:r>
              <w:rPr>
                <w:rFonts w:ascii="宋体" w:hAnsi="宋体" w:cs="宋体" w:eastAsia="宋体" w:hint="default"/>
                <w:sz w:val="18"/>
                <w:szCs w:val="18"/>
              </w:rPr>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90"/>
                <w:sz w:val="18"/>
                <w:szCs w:val="18"/>
              </w:rPr>
              <w:t>期末余额</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8"/>
              <w:jc w:val="both"/>
              <w:rPr>
                <w:rFonts w:ascii="宋体" w:hAnsi="宋体" w:cs="宋体" w:eastAsia="宋体" w:hint="default"/>
                <w:sz w:val="18"/>
                <w:szCs w:val="18"/>
              </w:rPr>
            </w:pPr>
            <w:r>
              <w:rPr>
                <w:rFonts w:ascii="宋体" w:hAnsi="宋体" w:cs="宋体" w:eastAsia="宋体" w:hint="default"/>
                <w:w w:val="80"/>
                <w:sz w:val="18"/>
                <w:szCs w:val="18"/>
              </w:rPr>
              <w:t>工程累</w:t>
            </w:r>
            <w:r>
              <w:rPr>
                <w:rFonts w:ascii="宋体" w:hAnsi="宋体" w:cs="宋体" w:eastAsia="宋体" w:hint="default"/>
                <w:spacing w:val="1"/>
                <w:w w:val="78"/>
                <w:sz w:val="18"/>
                <w:szCs w:val="18"/>
              </w:rPr>
              <w:t> </w:t>
            </w:r>
            <w:r>
              <w:rPr>
                <w:rFonts w:ascii="宋体" w:hAnsi="宋体" w:cs="宋体" w:eastAsia="宋体" w:hint="default"/>
                <w:w w:val="80"/>
                <w:sz w:val="18"/>
                <w:szCs w:val="18"/>
              </w:rPr>
              <w:t>计投入</w:t>
            </w:r>
            <w:r>
              <w:rPr>
                <w:rFonts w:ascii="宋体" w:hAnsi="宋体" w:cs="宋体" w:eastAsia="宋体" w:hint="default"/>
                <w:spacing w:val="1"/>
                <w:w w:val="78"/>
                <w:sz w:val="18"/>
                <w:szCs w:val="18"/>
              </w:rPr>
              <w:t> </w:t>
            </w:r>
            <w:r>
              <w:rPr>
                <w:rFonts w:ascii="宋体" w:hAnsi="宋体" w:cs="宋体" w:eastAsia="宋体" w:hint="default"/>
                <w:w w:val="80"/>
                <w:sz w:val="18"/>
                <w:szCs w:val="18"/>
              </w:rPr>
              <w:t>占预算</w:t>
            </w:r>
            <w:r>
              <w:rPr>
                <w:rFonts w:ascii="宋体" w:hAnsi="宋体" w:cs="宋体" w:eastAsia="宋体" w:hint="default"/>
                <w:spacing w:val="1"/>
                <w:w w:val="78"/>
                <w:sz w:val="18"/>
                <w:szCs w:val="18"/>
              </w:rPr>
              <w:t> </w:t>
            </w:r>
            <w:r>
              <w:rPr>
                <w:rFonts w:ascii="宋体" w:hAnsi="宋体" w:cs="宋体" w:eastAsia="宋体" w:hint="default"/>
                <w:w w:val="90"/>
                <w:sz w:val="18"/>
                <w:szCs w:val="18"/>
              </w:rPr>
              <w:t>比例</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4" w:right="60"/>
              <w:jc w:val="left"/>
              <w:rPr>
                <w:rFonts w:ascii="宋体" w:hAnsi="宋体" w:cs="宋体" w:eastAsia="宋体" w:hint="default"/>
                <w:sz w:val="18"/>
                <w:szCs w:val="18"/>
              </w:rPr>
            </w:pPr>
            <w:r>
              <w:rPr>
                <w:rFonts w:ascii="宋体" w:hAnsi="宋体" w:cs="宋体" w:eastAsia="宋体" w:hint="default"/>
                <w:w w:val="80"/>
                <w:sz w:val="18"/>
                <w:szCs w:val="18"/>
              </w:rPr>
              <w:t>工程</w:t>
            </w:r>
            <w:r>
              <w:rPr>
                <w:rFonts w:ascii="宋体" w:hAnsi="宋体" w:cs="宋体" w:eastAsia="宋体" w:hint="default"/>
                <w:spacing w:val="1"/>
                <w:w w:val="78"/>
                <w:sz w:val="18"/>
                <w:szCs w:val="18"/>
              </w:rPr>
              <w:t> </w:t>
            </w:r>
            <w:r>
              <w:rPr>
                <w:rFonts w:ascii="宋体" w:hAnsi="宋体" w:cs="宋体" w:eastAsia="宋体" w:hint="default"/>
                <w:w w:val="80"/>
                <w:sz w:val="18"/>
                <w:szCs w:val="18"/>
              </w:rPr>
              <w:t>进度</w:t>
            </w:r>
            <w:r>
              <w:rPr>
                <w:rFonts w:ascii="宋体" w:hAnsi="宋体" w:cs="宋体" w:eastAsia="宋体" w:hint="default"/>
                <w:sz w:val="18"/>
                <w:szCs w:val="18"/>
              </w:rPr>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1"/>
              <w:jc w:val="both"/>
              <w:rPr>
                <w:rFonts w:ascii="宋体" w:hAnsi="宋体" w:cs="宋体" w:eastAsia="宋体" w:hint="default"/>
                <w:sz w:val="18"/>
                <w:szCs w:val="18"/>
              </w:rPr>
            </w:pPr>
            <w:r>
              <w:rPr>
                <w:rFonts w:ascii="宋体" w:hAnsi="宋体" w:cs="宋体" w:eastAsia="宋体" w:hint="default"/>
                <w:w w:val="80"/>
                <w:sz w:val="18"/>
                <w:szCs w:val="18"/>
              </w:rPr>
              <w:t>利息资</w:t>
            </w:r>
            <w:r>
              <w:rPr>
                <w:rFonts w:ascii="宋体" w:hAnsi="宋体" w:cs="宋体" w:eastAsia="宋体" w:hint="default"/>
                <w:spacing w:val="1"/>
                <w:w w:val="78"/>
                <w:sz w:val="18"/>
                <w:szCs w:val="18"/>
              </w:rPr>
              <w:t> </w:t>
            </w:r>
            <w:r>
              <w:rPr>
                <w:rFonts w:ascii="宋体" w:hAnsi="宋体" w:cs="宋体" w:eastAsia="宋体" w:hint="default"/>
                <w:w w:val="80"/>
                <w:sz w:val="18"/>
                <w:szCs w:val="18"/>
              </w:rPr>
              <w:t>本化累</w:t>
            </w:r>
            <w:r>
              <w:rPr>
                <w:rFonts w:ascii="宋体" w:hAnsi="宋体" w:cs="宋体" w:eastAsia="宋体" w:hint="default"/>
                <w:spacing w:val="1"/>
                <w:w w:val="78"/>
                <w:sz w:val="18"/>
                <w:szCs w:val="18"/>
              </w:rPr>
              <w:t> </w:t>
            </w:r>
            <w:r>
              <w:rPr>
                <w:rFonts w:ascii="宋体" w:hAnsi="宋体" w:cs="宋体" w:eastAsia="宋体" w:hint="default"/>
                <w:w w:val="80"/>
                <w:sz w:val="18"/>
                <w:szCs w:val="18"/>
              </w:rPr>
              <w:t>计金额</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19" w:hanging="41"/>
              <w:jc w:val="both"/>
              <w:rPr>
                <w:rFonts w:ascii="宋体" w:hAnsi="宋体" w:cs="宋体" w:eastAsia="宋体" w:hint="default"/>
                <w:sz w:val="18"/>
                <w:szCs w:val="18"/>
              </w:rPr>
            </w:pPr>
            <w:r>
              <w:rPr>
                <w:rFonts w:ascii="宋体" w:hAnsi="宋体" w:cs="宋体" w:eastAsia="宋体" w:hint="default"/>
                <w:spacing w:val="-19"/>
                <w:w w:val="78"/>
                <w:sz w:val="18"/>
                <w:szCs w:val="18"/>
              </w:rPr>
              <w:t>其中：本</w:t>
            </w:r>
            <w:r>
              <w:rPr>
                <w:rFonts w:ascii="宋体" w:hAnsi="宋体" w:cs="宋体" w:eastAsia="宋体" w:hint="default"/>
                <w:spacing w:val="-55"/>
                <w:w w:val="78"/>
                <w:sz w:val="18"/>
                <w:szCs w:val="18"/>
              </w:rPr>
              <w:t> </w:t>
            </w:r>
            <w:r>
              <w:rPr>
                <w:rFonts w:ascii="宋体" w:hAnsi="宋体" w:cs="宋体" w:eastAsia="宋体" w:hint="default"/>
                <w:spacing w:val="-55"/>
                <w:w w:val="78"/>
                <w:sz w:val="18"/>
                <w:szCs w:val="18"/>
              </w:rPr>
            </w:r>
            <w:r>
              <w:rPr>
                <w:rFonts w:ascii="宋体" w:hAnsi="宋体" w:cs="宋体" w:eastAsia="宋体" w:hint="default"/>
                <w:w w:val="85"/>
                <w:sz w:val="18"/>
                <w:szCs w:val="18"/>
              </w:rPr>
              <w:t>期利息</w:t>
            </w:r>
            <w:r>
              <w:rPr>
                <w:rFonts w:ascii="宋体" w:hAnsi="宋体" w:cs="宋体" w:eastAsia="宋体" w:hint="default"/>
                <w:spacing w:val="1"/>
                <w:w w:val="78"/>
                <w:sz w:val="18"/>
                <w:szCs w:val="18"/>
              </w:rPr>
              <w:t> </w:t>
            </w:r>
            <w:r>
              <w:rPr>
                <w:rFonts w:ascii="宋体" w:hAnsi="宋体" w:cs="宋体" w:eastAsia="宋体" w:hint="default"/>
                <w:w w:val="85"/>
                <w:sz w:val="18"/>
                <w:szCs w:val="18"/>
              </w:rPr>
              <w:t>资本化</w:t>
            </w:r>
            <w:r>
              <w:rPr>
                <w:rFonts w:ascii="宋体" w:hAnsi="宋体" w:cs="宋体" w:eastAsia="宋体" w:hint="default"/>
                <w:spacing w:val="1"/>
                <w:w w:val="78"/>
                <w:sz w:val="18"/>
                <w:szCs w:val="18"/>
              </w:rPr>
              <w:t> </w:t>
            </w:r>
            <w:r>
              <w:rPr>
                <w:rFonts w:ascii="宋体" w:hAnsi="宋体" w:cs="宋体" w:eastAsia="宋体" w:hint="default"/>
                <w:w w:val="90"/>
                <w:sz w:val="18"/>
                <w:szCs w:val="18"/>
              </w:rPr>
              <w:t>金额</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58"/>
              <w:jc w:val="both"/>
              <w:rPr>
                <w:rFonts w:ascii="宋体" w:hAnsi="宋体" w:cs="宋体" w:eastAsia="宋体" w:hint="default"/>
                <w:sz w:val="18"/>
                <w:szCs w:val="18"/>
              </w:rPr>
            </w:pPr>
            <w:r>
              <w:rPr>
                <w:rFonts w:ascii="宋体" w:hAnsi="宋体" w:cs="宋体" w:eastAsia="宋体" w:hint="default"/>
                <w:w w:val="80"/>
                <w:sz w:val="18"/>
                <w:szCs w:val="18"/>
              </w:rPr>
              <w:t>本期利</w:t>
            </w:r>
            <w:r>
              <w:rPr>
                <w:rFonts w:ascii="宋体" w:hAnsi="宋体" w:cs="宋体" w:eastAsia="宋体" w:hint="default"/>
                <w:spacing w:val="1"/>
                <w:w w:val="78"/>
                <w:sz w:val="18"/>
                <w:szCs w:val="18"/>
              </w:rPr>
              <w:t> </w:t>
            </w:r>
            <w:r>
              <w:rPr>
                <w:rFonts w:ascii="宋体" w:hAnsi="宋体" w:cs="宋体" w:eastAsia="宋体" w:hint="default"/>
                <w:w w:val="80"/>
                <w:sz w:val="18"/>
                <w:szCs w:val="18"/>
              </w:rPr>
              <w:t>息资本</w:t>
            </w:r>
            <w:r>
              <w:rPr>
                <w:rFonts w:ascii="宋体" w:hAnsi="宋体" w:cs="宋体" w:eastAsia="宋体" w:hint="default"/>
                <w:spacing w:val="1"/>
                <w:w w:val="78"/>
                <w:sz w:val="18"/>
                <w:szCs w:val="18"/>
              </w:rPr>
              <w:t> </w:t>
            </w:r>
            <w:r>
              <w:rPr>
                <w:rFonts w:ascii="宋体" w:hAnsi="宋体" w:cs="宋体" w:eastAsia="宋体" w:hint="default"/>
                <w:w w:val="90"/>
                <w:sz w:val="18"/>
                <w:szCs w:val="18"/>
              </w:rPr>
              <w:t>化率</w:t>
            </w:r>
            <w:r>
              <w:rPr>
                <w:rFonts w:ascii="宋体" w:hAnsi="宋体" w:cs="宋体" w:eastAsia="宋体" w:hint="default"/>
                <w:sz w:val="18"/>
                <w:szCs w:val="18"/>
              </w:rPr>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57" w:lineRule="auto"/>
              <w:ind w:left="95" w:right="96"/>
              <w:jc w:val="left"/>
              <w:rPr>
                <w:rFonts w:ascii="宋体" w:hAnsi="宋体" w:cs="宋体" w:eastAsia="宋体" w:hint="default"/>
                <w:sz w:val="18"/>
                <w:szCs w:val="18"/>
              </w:rPr>
            </w:pPr>
            <w:r>
              <w:rPr>
                <w:rFonts w:ascii="宋体" w:hAnsi="宋体" w:cs="宋体" w:eastAsia="宋体" w:hint="default"/>
                <w:w w:val="80"/>
                <w:sz w:val="18"/>
                <w:szCs w:val="18"/>
              </w:rPr>
              <w:t>资金</w:t>
            </w:r>
            <w:r>
              <w:rPr>
                <w:rFonts w:ascii="宋体" w:hAnsi="宋体" w:cs="宋体" w:eastAsia="宋体" w:hint="default"/>
                <w:spacing w:val="1"/>
                <w:w w:val="78"/>
                <w:sz w:val="18"/>
                <w:szCs w:val="18"/>
              </w:rPr>
              <w:t> </w:t>
            </w:r>
            <w:r>
              <w:rPr>
                <w:rFonts w:ascii="宋体" w:hAnsi="宋体" w:cs="宋体" w:eastAsia="宋体" w:hint="default"/>
                <w:w w:val="80"/>
                <w:sz w:val="18"/>
                <w:szCs w:val="18"/>
              </w:rPr>
              <w:t>来源</w:t>
            </w:r>
            <w:r>
              <w:rPr>
                <w:rFonts w:ascii="宋体" w:hAnsi="宋体" w:cs="宋体" w:eastAsia="宋体" w:hint="default"/>
                <w:sz w:val="18"/>
                <w:szCs w:val="18"/>
              </w:rPr>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大连华宇研发 基地建设</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Arial" w:hAnsi="Arial" w:cs="Arial" w:eastAsia="Arial" w:hint="default"/>
                <w:sz w:val="18"/>
                <w:szCs w:val="18"/>
              </w:rPr>
            </w:pPr>
            <w:r>
              <w:rPr>
                <w:rFonts w:ascii="Arial"/>
                <w:w w:val="85"/>
                <w:sz w:val="18"/>
              </w:rPr>
              <w:t>8,437,982.4</w:t>
            </w:r>
            <w:r>
              <w:rPr>
                <w:rFonts w:ascii="Arial"/>
                <w:sz w:val="18"/>
              </w:rPr>
            </w:r>
          </w:p>
          <w:p>
            <w:pPr>
              <w:pStyle w:val="TableParagraph"/>
              <w:spacing w:line="240" w:lineRule="auto" w:before="102"/>
              <w:ind w:right="25"/>
              <w:jc w:val="right"/>
              <w:rPr>
                <w:rFonts w:ascii="Arial" w:hAnsi="Arial" w:cs="Arial" w:eastAsia="Arial" w:hint="default"/>
                <w:sz w:val="18"/>
                <w:szCs w:val="18"/>
              </w:rPr>
            </w:pPr>
            <w:r>
              <w:rPr>
                <w:rFonts w:ascii="Arial"/>
                <w:w w:val="87"/>
                <w:sz w:val="18"/>
              </w:rPr>
              <w:t>0</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w w:val="85"/>
                <w:sz w:val="18"/>
              </w:rPr>
              <w:t>60,540,240.</w:t>
            </w:r>
            <w:r>
              <w:rPr>
                <w:rFonts w:ascii="Arial"/>
                <w:sz w:val="18"/>
              </w:rPr>
            </w:r>
          </w:p>
          <w:p>
            <w:pPr>
              <w:pStyle w:val="TableParagraph"/>
              <w:spacing w:line="240" w:lineRule="auto" w:before="102"/>
              <w:ind w:right="22"/>
              <w:jc w:val="right"/>
              <w:rPr>
                <w:rFonts w:ascii="Arial" w:hAnsi="Arial" w:cs="Arial" w:eastAsia="Arial" w:hint="default"/>
                <w:sz w:val="18"/>
                <w:szCs w:val="18"/>
              </w:rPr>
            </w:pPr>
            <w:r>
              <w:rPr>
                <w:rFonts w:ascii="Arial"/>
                <w:w w:val="85"/>
                <w:sz w:val="18"/>
              </w:rPr>
              <w:t>49</w:t>
            </w:r>
            <w:r>
              <w:rPr>
                <w:rFonts w:ascii="Arial"/>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 w:right="0"/>
              <w:jc w:val="center"/>
              <w:rPr>
                <w:rFonts w:ascii="Arial" w:hAnsi="Arial" w:cs="Arial" w:eastAsia="Arial" w:hint="default"/>
                <w:sz w:val="18"/>
                <w:szCs w:val="18"/>
              </w:rPr>
            </w:pPr>
            <w:r>
              <w:rPr>
                <w:rFonts w:ascii="Arial"/>
                <w:w w:val="90"/>
                <w:sz w:val="18"/>
              </w:rPr>
              <w:t>68,978,222.89</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79" w:right="74"/>
              <w:jc w:val="left"/>
              <w:rPr>
                <w:rFonts w:ascii="宋体" w:hAnsi="宋体" w:cs="宋体" w:eastAsia="宋体" w:hint="default"/>
                <w:sz w:val="18"/>
                <w:szCs w:val="18"/>
              </w:rPr>
            </w:pPr>
            <w:r>
              <w:rPr>
                <w:rFonts w:ascii="宋体" w:hAnsi="宋体" w:cs="宋体" w:eastAsia="宋体" w:hint="default"/>
                <w:w w:val="90"/>
                <w:sz w:val="18"/>
                <w:szCs w:val="18"/>
              </w:rPr>
              <w:t>超募</w:t>
            </w:r>
            <w:r>
              <w:rPr>
                <w:rFonts w:ascii="宋体" w:hAnsi="宋体" w:cs="宋体" w:eastAsia="宋体" w:hint="default"/>
                <w:w w:val="89"/>
                <w:sz w:val="18"/>
                <w:szCs w:val="18"/>
              </w:rPr>
              <w:t> </w:t>
            </w:r>
            <w:r>
              <w:rPr>
                <w:rFonts w:ascii="宋体" w:hAnsi="宋体" w:cs="宋体" w:eastAsia="宋体" w:hint="default"/>
                <w:w w:val="90"/>
                <w:sz w:val="18"/>
                <w:szCs w:val="18"/>
              </w:rPr>
              <w:t>资金</w:t>
            </w:r>
            <w:r>
              <w:rPr>
                <w:rFonts w:ascii="宋体" w:hAnsi="宋体" w:cs="宋体" w:eastAsia="宋体" w:hint="default"/>
                <w:sz w:val="18"/>
                <w:szCs w:val="18"/>
              </w:rPr>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7"/>
              <w:jc w:val="right"/>
              <w:rPr>
                <w:rFonts w:ascii="Arial" w:hAnsi="Arial" w:cs="Arial" w:eastAsia="Arial" w:hint="default"/>
                <w:sz w:val="18"/>
                <w:szCs w:val="18"/>
              </w:rPr>
            </w:pPr>
            <w:r>
              <w:rPr>
                <w:rFonts w:ascii="Arial"/>
                <w:w w:val="85"/>
                <w:sz w:val="18"/>
              </w:rPr>
              <w:t>8,437,982.4</w:t>
            </w:r>
            <w:r>
              <w:rPr>
                <w:rFonts w:ascii="Arial"/>
                <w:sz w:val="18"/>
              </w:rPr>
            </w:r>
          </w:p>
          <w:p>
            <w:pPr>
              <w:pStyle w:val="TableParagraph"/>
              <w:spacing w:line="240" w:lineRule="auto" w:before="105"/>
              <w:ind w:right="25"/>
              <w:jc w:val="right"/>
              <w:rPr>
                <w:rFonts w:ascii="Arial" w:hAnsi="Arial" w:cs="Arial" w:eastAsia="Arial" w:hint="default"/>
                <w:sz w:val="18"/>
                <w:szCs w:val="18"/>
              </w:rPr>
            </w:pPr>
            <w:r>
              <w:rPr>
                <w:rFonts w:ascii="Arial"/>
                <w:w w:val="87"/>
                <w:sz w:val="18"/>
              </w:rPr>
              <w:t>0</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85"/>
                <w:sz w:val="18"/>
              </w:rPr>
              <w:t>60,540,240.</w:t>
            </w:r>
            <w:r>
              <w:rPr>
                <w:rFonts w:ascii="Arial"/>
                <w:sz w:val="18"/>
              </w:rPr>
            </w:r>
          </w:p>
          <w:p>
            <w:pPr>
              <w:pStyle w:val="TableParagraph"/>
              <w:spacing w:line="240" w:lineRule="auto" w:before="105"/>
              <w:ind w:right="22"/>
              <w:jc w:val="right"/>
              <w:rPr>
                <w:rFonts w:ascii="Arial" w:hAnsi="Arial" w:cs="Arial" w:eastAsia="Arial" w:hint="default"/>
                <w:sz w:val="18"/>
                <w:szCs w:val="18"/>
              </w:rPr>
            </w:pPr>
            <w:r>
              <w:rPr>
                <w:rFonts w:ascii="Arial"/>
                <w:w w:val="85"/>
                <w:sz w:val="18"/>
              </w:rPr>
              <w:t>49</w:t>
            </w:r>
            <w:r>
              <w:rPr>
                <w:rFonts w:ascii="Arial"/>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 w:right="0"/>
              <w:jc w:val="center"/>
              <w:rPr>
                <w:rFonts w:ascii="Arial" w:hAnsi="Arial" w:cs="Arial" w:eastAsia="Arial" w:hint="default"/>
                <w:sz w:val="18"/>
                <w:szCs w:val="18"/>
              </w:rPr>
            </w:pPr>
            <w:r>
              <w:rPr>
                <w:rFonts w:ascii="Arial"/>
                <w:w w:val="90"/>
                <w:sz w:val="18"/>
              </w:rPr>
              <w:t>68,978,222.89</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12</w:t>
      </w:r>
      <w:r>
        <w:rPr/>
        <w:t>、无形资产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Arial" w:hAnsi="Arial" w:cs="Arial" w:eastAsia="Arial" w:hint="default"/>
        </w:rPr>
        <w:t>1</w:t>
      </w:r>
      <w:r>
        <w:rPr/>
        <w:t>）无形资产情况</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440"/>
        <w:gridCol w:w="1408"/>
        <w:gridCol w:w="1368"/>
        <w:gridCol w:w="1382"/>
        <w:gridCol w:w="1381"/>
        <w:gridCol w:w="1579"/>
      </w:tblGrid>
      <w:tr>
        <w:trPr>
          <w:trHeight w:val="46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24" w:space="0" w:color="D2D2D2"/>
              <w:left w:val="single" w:sz="10" w:space="0" w:color="D2D2D2"/>
              <w:bottom w:val="single" w:sz="4" w:space="0" w:color="000000"/>
              <w:right w:val="single" w:sz="4" w:space="0" w:color="000000"/>
            </w:tcBorders>
          </w:tcPr>
          <w:p>
            <w:pPr/>
          </w:p>
        </w:tc>
        <w:tc>
          <w:tcPr>
            <w:tcW w:w="1368" w:type="dxa"/>
            <w:tcBorders>
              <w:top w:val="single" w:sz="24" w:space="0" w:color="D2D2D2"/>
              <w:left w:val="single" w:sz="4" w:space="0" w:color="000000"/>
              <w:bottom w:val="single" w:sz="4" w:space="0" w:color="000000"/>
              <w:right w:val="single" w:sz="4" w:space="0" w:color="000000"/>
            </w:tcBorders>
          </w:tcPr>
          <w:p>
            <w:pPr/>
          </w:p>
        </w:tc>
        <w:tc>
          <w:tcPr>
            <w:tcW w:w="1382" w:type="dxa"/>
            <w:tcBorders>
              <w:top w:val="single" w:sz="24" w:space="0" w:color="D2D2D2"/>
              <w:left w:val="single" w:sz="4" w:space="0" w:color="000000"/>
              <w:bottom w:val="single" w:sz="4" w:space="0" w:color="000000"/>
              <w:right w:val="single" w:sz="4" w:space="0" w:color="000000"/>
            </w:tcBorders>
          </w:tcPr>
          <w:p>
            <w:pPr/>
          </w:p>
        </w:tc>
        <w:tc>
          <w:tcPr>
            <w:tcW w:w="1381" w:type="dxa"/>
            <w:tcBorders>
              <w:top w:val="single" w:sz="24" w:space="0" w:color="D2D2D2"/>
              <w:left w:val="single" w:sz="4" w:space="0" w:color="000000"/>
              <w:bottom w:val="single" w:sz="4" w:space="0" w:color="000000"/>
              <w:right w:val="single" w:sz="4" w:space="0" w:color="000000"/>
            </w:tcBorders>
          </w:tcPr>
          <w:p>
            <w:pPr/>
          </w:p>
        </w:tc>
        <w:tc>
          <w:tcPr>
            <w:tcW w:w="1579" w:type="dxa"/>
            <w:tcBorders>
              <w:top w:val="single" w:sz="24" w:space="0" w:color="D2D2D2"/>
              <w:left w:val="single" w:sz="4" w:space="0" w:color="000000"/>
              <w:bottom w:val="single" w:sz="4" w:space="0" w:color="000000"/>
              <w:right w:val="single" w:sz="4" w:space="0" w:color="000000"/>
            </w:tcBorders>
          </w:tcPr>
          <w:p>
            <w:pP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14,880,800.00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41,295,273.91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56,176,073.91</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130,076,154.02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130,076,154.02</w:t>
            </w:r>
          </w:p>
        </w:tc>
      </w:tr>
      <w:tr>
        <w:trPr>
          <w:trHeight w:val="40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138,491.78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138,491.78</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129,937,662.24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129,937,662.24</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14,880,800.00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171,371,427.93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186,252,227.93</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248,013.30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28,382,980.87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28,630,994.17</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297,615.96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15,473,798.41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15,771,414.37</w:t>
            </w:r>
          </w:p>
        </w:tc>
      </w:tr>
      <w:tr>
        <w:trPr>
          <w:trHeight w:val="40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297,615.96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15,473,798.41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15,771,414.37</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545,629.26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43,856,779.28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44,402,408.54</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451"/>
        <w:gridCol w:w="1408"/>
        <w:gridCol w:w="1368"/>
        <w:gridCol w:w="1382"/>
        <w:gridCol w:w="1381"/>
        <w:gridCol w:w="1579"/>
      </w:tblGrid>
      <w:tr>
        <w:trPr>
          <w:trHeight w:val="401"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14,335,170.74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127,514,648.65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141,849,819.39</w:t>
            </w:r>
          </w:p>
        </w:tc>
      </w:tr>
      <w:tr>
        <w:trPr>
          <w:trHeight w:val="403"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14,632,786.70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12,912,293.04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27,545,079.74</w:t>
            </w:r>
          </w:p>
        </w:tc>
      </w:tr>
    </w:tbl>
    <w:p>
      <w:pPr>
        <w:pStyle w:val="BodyText"/>
        <w:spacing w:line="240" w:lineRule="auto"/>
        <w:ind w:right="0"/>
        <w:jc w:val="left"/>
        <w:rPr>
          <w:rFonts w:ascii="Arial" w:hAnsi="Arial" w:cs="Arial" w:eastAsia="Arial" w:hint="default"/>
        </w:rPr>
      </w:pPr>
      <w:r>
        <w:rPr/>
        <w:t>本期末通过公司内部研发形成的无形资产占无形资产余额的比例</w:t>
      </w:r>
      <w:r>
        <w:rPr>
          <w:spacing w:val="-60"/>
        </w:rPr>
        <w:t> </w:t>
      </w:r>
      <w:r>
        <w:rPr>
          <w:rFonts w:ascii="Arial" w:hAnsi="Arial" w:cs="Arial" w:eastAsia="Arial" w:hint="default"/>
        </w:rPr>
        <w:t>83.31%</w:t>
      </w:r>
    </w:p>
    <w:p>
      <w:pPr>
        <w:spacing w:line="240" w:lineRule="auto" w:before="5"/>
        <w:rPr>
          <w:rFonts w:ascii="Arial" w:hAnsi="Arial" w:cs="Arial" w:eastAsia="Arial" w:hint="default"/>
          <w:sz w:val="24"/>
          <w:szCs w:val="24"/>
        </w:rPr>
      </w:pPr>
    </w:p>
    <w:p>
      <w:pPr>
        <w:pStyle w:val="Heading3"/>
        <w:spacing w:line="240" w:lineRule="auto"/>
        <w:ind w:right="0"/>
        <w:jc w:val="left"/>
        <w:rPr>
          <w:b w:val="0"/>
          <w:bCs w:val="0"/>
        </w:rPr>
      </w:pPr>
      <w:r>
        <w:rPr>
          <w:rFonts w:ascii="Arial" w:hAnsi="Arial" w:cs="Arial" w:eastAsia="Arial" w:hint="default"/>
        </w:rPr>
        <w:t>13</w:t>
      </w:r>
      <w:r>
        <w:rPr/>
        <w:t>、开发支出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277"/>
        <w:gridCol w:w="1277"/>
        <w:gridCol w:w="567"/>
        <w:gridCol w:w="1416"/>
        <w:gridCol w:w="710"/>
        <w:gridCol w:w="716"/>
        <w:gridCol w:w="1198"/>
      </w:tblGrid>
      <w:tr>
        <w:trPr>
          <w:trHeight w:val="403"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9" w:right="79"/>
              <w:jc w:val="left"/>
              <w:rPr>
                <w:rFonts w:ascii="宋体" w:hAnsi="宋体" w:cs="宋体" w:eastAsia="宋体" w:hint="default"/>
                <w:sz w:val="18"/>
                <w:szCs w:val="18"/>
              </w:rPr>
            </w:pPr>
            <w:r>
              <w:rPr>
                <w:rFonts w:ascii="宋体" w:hAnsi="宋体" w:cs="宋体" w:eastAsia="宋体" w:hint="default"/>
                <w:sz w:val="18"/>
                <w:szCs w:val="18"/>
              </w:rPr>
              <w:t>转入当 期损益</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电子检务新一代业务系统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26,235,274.48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197,431.34</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26,432,705.82</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数字法院新一代业务系统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39,482,631.10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196,346.09</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39,678,977.19</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4" w:right="62"/>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华宇政务应用支撑和研发平</w:t>
            </w:r>
            <w:r>
              <w:rPr>
                <w:rFonts w:ascii="宋体" w:hAnsi="宋体" w:cs="宋体" w:eastAsia="宋体" w:hint="default"/>
                <w:w w:val="100"/>
                <w:sz w:val="18"/>
                <w:szCs w:val="18"/>
              </w:rPr>
              <w:t> </w:t>
            </w:r>
            <w:r>
              <w:rPr>
                <w:rFonts w:ascii="宋体" w:hAnsi="宋体" w:cs="宋体" w:eastAsia="宋体" w:hint="default"/>
                <w:sz w:val="18"/>
                <w:szCs w:val="18"/>
              </w:rPr>
              <w:t>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7,551,962.00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256,124.87</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7,808,086.87</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商业智能分析应用平台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9,306,719.66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260,991.46</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9,567,711.12</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4" w:right="62"/>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信息应用运维管理与服务系</w:t>
            </w:r>
            <w:r>
              <w:rPr>
                <w:rFonts w:ascii="宋体" w:hAnsi="宋体" w:cs="宋体" w:eastAsia="宋体" w:hint="default"/>
                <w:w w:val="100"/>
                <w:sz w:val="18"/>
                <w:szCs w:val="18"/>
              </w:rPr>
              <w:t> </w:t>
            </w:r>
            <w:r>
              <w:rPr>
                <w:rFonts w:ascii="宋体" w:hAnsi="宋体" w:cs="宋体" w:eastAsia="宋体" w:hint="default"/>
                <w:sz w:val="18"/>
                <w:szCs w:val="18"/>
              </w:rPr>
              <w:t>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33,571,087.89</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33,571,087.89</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数字法院系统（二期）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6,661,819.48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18,267,604.96</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24,929,424.4</w:t>
            </w:r>
          </w:p>
          <w:p>
            <w:pPr>
              <w:pStyle w:val="TableParagraph"/>
              <w:spacing w:line="240" w:lineRule="auto" w:before="103"/>
              <w:ind w:right="22"/>
              <w:jc w:val="right"/>
              <w:rPr>
                <w:rFonts w:ascii="Arial" w:hAnsi="Arial" w:cs="Arial" w:eastAsia="Arial" w:hint="default"/>
                <w:sz w:val="18"/>
                <w:szCs w:val="18"/>
              </w:rPr>
            </w:pPr>
            <w:r>
              <w:rPr>
                <w:rFonts w:ascii="Arial"/>
                <w:w w:val="99"/>
                <w:sz w:val="18"/>
              </w:rPr>
              <w:t>4</w:t>
            </w:r>
            <w:r>
              <w:rPr>
                <w:rFonts w:ascii="Arial"/>
                <w:sz w:val="18"/>
              </w:rPr>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现场业务应用系统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1,981,084.13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19,577,214.34</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21,558,298.4</w:t>
            </w:r>
          </w:p>
          <w:p>
            <w:pPr>
              <w:pStyle w:val="TableParagraph"/>
              <w:spacing w:line="240" w:lineRule="auto" w:before="105"/>
              <w:ind w:right="22"/>
              <w:jc w:val="right"/>
              <w:rPr>
                <w:rFonts w:ascii="Arial" w:hAnsi="Arial" w:cs="Arial" w:eastAsia="Arial" w:hint="default"/>
                <w:sz w:val="18"/>
                <w:szCs w:val="18"/>
              </w:rPr>
            </w:pPr>
            <w:r>
              <w:rPr>
                <w:rFonts w:ascii="Arial"/>
                <w:w w:val="99"/>
                <w:sz w:val="18"/>
              </w:rPr>
              <w:t>7</w:t>
            </w:r>
            <w:r>
              <w:rPr>
                <w:rFonts w:ascii="Arial"/>
                <w:sz w:val="18"/>
              </w:rPr>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智能辅助侦查系统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1,747,000.67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3,104,949.03</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4,851,949.70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司法行政信息管理系统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1,609,018.83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4,187,120.94</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5,796,139.77</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10.</w:t>
            </w:r>
            <w:r>
              <w:rPr>
                <w:rFonts w:ascii="宋体" w:hAnsi="宋体" w:cs="宋体" w:eastAsia="宋体" w:hint="default"/>
                <w:sz w:val="18"/>
                <w:szCs w:val="18"/>
              </w:rPr>
              <w:t>政法信息共享平台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2,220,418.61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2,446,180.14</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4,666,598.75</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11.</w:t>
            </w:r>
            <w:r>
              <w:rPr>
                <w:rFonts w:ascii="宋体" w:hAnsi="宋体" w:cs="宋体" w:eastAsia="宋体" w:hint="default"/>
                <w:sz w:val="18"/>
                <w:szCs w:val="18"/>
              </w:rPr>
              <w:t>商业智能平台（二期）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2,221,749.56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3,692,608.63</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5,914,358.19</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诉讼无忧服务平台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1,814,109.92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6,227,512.40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8,041,622.32</w:t>
            </w:r>
          </w:p>
        </w:tc>
      </w:tr>
      <w:tr>
        <w:trPr>
          <w:trHeight w:val="71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4" w:right="115"/>
              <w:jc w:val="left"/>
              <w:rPr>
                <w:rFonts w:ascii="宋体" w:hAnsi="宋体" w:cs="宋体" w:eastAsia="宋体" w:hint="default"/>
                <w:sz w:val="18"/>
                <w:szCs w:val="18"/>
              </w:rPr>
            </w:pPr>
            <w:r>
              <w:rPr>
                <w:rFonts w:ascii="Arial" w:hAnsi="Arial" w:cs="Arial" w:eastAsia="Arial" w:hint="default"/>
                <w:sz w:val="18"/>
                <w:szCs w:val="18"/>
              </w:rPr>
              <w:t>13.EsDataClean</w:t>
            </w:r>
            <w:r>
              <w:rPr>
                <w:rFonts w:ascii="Arial" w:hAnsi="Arial" w:cs="Arial" w:eastAsia="Arial" w:hint="default"/>
                <w:spacing w:val="-6"/>
                <w:sz w:val="18"/>
                <w:szCs w:val="18"/>
              </w:rPr>
              <w:t> </w:t>
            </w:r>
            <w:r>
              <w:rPr>
                <w:rFonts w:ascii="宋体" w:hAnsi="宋体" w:cs="宋体" w:eastAsia="宋体" w:hint="default"/>
                <w:sz w:val="18"/>
                <w:szCs w:val="18"/>
              </w:rPr>
              <w:t>数据质量管 理平台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2,052,954.30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3,570,981.18</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5,623,935.48</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Arial" w:hAnsi="Arial" w:cs="Arial" w:eastAsia="Arial" w:hint="default"/>
                <w:sz w:val="18"/>
                <w:szCs w:val="18"/>
              </w:rPr>
              <w:t>14.EsDataPump </w:t>
            </w:r>
            <w:r>
              <w:rPr>
                <w:rFonts w:ascii="宋体" w:hAnsi="宋体" w:cs="宋体" w:eastAsia="宋体" w:hint="default"/>
                <w:sz w:val="18"/>
                <w:szCs w:val="18"/>
              </w:rPr>
              <w:t>数据</w:t>
            </w:r>
            <w:r>
              <w:rPr>
                <w:rFonts w:ascii="宋体" w:hAnsi="宋体" w:cs="宋体" w:eastAsia="宋体" w:hint="default"/>
                <w:spacing w:val="-52"/>
                <w:sz w:val="18"/>
                <w:szCs w:val="18"/>
              </w:rPr>
              <w:t> </w:t>
            </w:r>
            <w:r>
              <w:rPr>
                <w:rFonts w:ascii="Arial" w:hAnsi="Arial" w:cs="Arial" w:eastAsia="Arial" w:hint="default"/>
                <w:sz w:val="18"/>
                <w:szCs w:val="18"/>
              </w:rPr>
              <w:t>ETL</w:t>
            </w:r>
            <w:r>
              <w:rPr>
                <w:rFonts w:ascii="宋体" w:hAnsi="宋体" w:cs="宋体" w:eastAsia="宋体" w:hint="default"/>
                <w:sz w:val="18"/>
                <w:szCs w:val="18"/>
              </w:rPr>
              <w:t>、 建模平台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1,936,386.83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3,215,165.07</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5,151,551.90</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4" w:right="141"/>
              <w:jc w:val="left"/>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网络商品交易与服务行为 监管系统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3,808,906.56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2,114,047.98</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5,922,954.54</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16.</w:t>
            </w:r>
            <w:r>
              <w:rPr>
                <w:rFonts w:ascii="宋体" w:hAnsi="宋体" w:cs="宋体" w:eastAsia="宋体" w:hint="default"/>
                <w:sz w:val="18"/>
                <w:szCs w:val="18"/>
              </w:rPr>
              <w:t>街道食品安全保障系统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622,006.60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159,253.51</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781,260.11</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17.</w:t>
            </w:r>
            <w:r>
              <w:rPr>
                <w:rFonts w:ascii="宋体" w:hAnsi="宋体" w:cs="宋体" w:eastAsia="宋体" w:hint="default"/>
                <w:sz w:val="18"/>
                <w:szCs w:val="18"/>
              </w:rPr>
              <w:t>城市食品安全保障系统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491,144.47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5,456,380.58</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5,947,525.05</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18.</w:t>
            </w:r>
            <w:r>
              <w:rPr>
                <w:rFonts w:ascii="宋体" w:hAnsi="宋体" w:cs="宋体" w:eastAsia="宋体" w:hint="default"/>
                <w:sz w:val="18"/>
                <w:szCs w:val="18"/>
              </w:rPr>
              <w:t>食品企业追溯管理系统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2,167,487.44</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2,167,487.44</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Arial" w:hAnsi="Arial" w:cs="Arial" w:eastAsia="Arial" w:hint="default"/>
                <w:sz w:val="18"/>
                <w:szCs w:val="18"/>
              </w:rPr>
            </w:pPr>
            <w:r>
              <w:rPr>
                <w:rFonts w:ascii="Arial" w:hAnsi="Arial" w:cs="Arial" w:eastAsia="Arial" w:hint="default"/>
                <w:sz w:val="18"/>
                <w:szCs w:val="18"/>
              </w:rPr>
              <w:t>19.</w:t>
            </w:r>
            <w:r>
              <w:rPr>
                <w:rFonts w:ascii="宋体" w:hAnsi="宋体" w:cs="宋体" w:eastAsia="宋体" w:hint="default"/>
                <w:sz w:val="18"/>
                <w:szCs w:val="18"/>
              </w:rPr>
              <w:t>数字法院业务应用系统</w:t>
            </w:r>
            <w:r>
              <w:rPr>
                <w:rFonts w:ascii="宋体" w:hAnsi="宋体" w:cs="宋体" w:eastAsia="宋体" w:hint="default"/>
                <w:spacing w:val="-48"/>
                <w:sz w:val="18"/>
                <w:szCs w:val="18"/>
              </w:rPr>
              <w:t> </w:t>
            </w:r>
            <w:r>
              <w:rPr>
                <w:rFonts w:ascii="Arial" w:hAnsi="Arial" w:cs="Arial" w:eastAsia="Arial" w:hint="default"/>
                <w:sz w:val="18"/>
                <w:szCs w:val="18"/>
              </w:rPr>
              <w:t>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271,134.40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1,940,698.85</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2,211,833.25</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20.</w:t>
            </w:r>
            <w:r>
              <w:rPr>
                <w:rFonts w:ascii="宋体" w:hAnsi="宋体" w:cs="宋体" w:eastAsia="宋体" w:hint="default"/>
                <w:sz w:val="18"/>
                <w:szCs w:val="18"/>
              </w:rPr>
              <w:t>检察院检察统计分析系统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234,505.65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415,574.60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650,080.25</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410"/>
        <w:gridCol w:w="1277"/>
        <w:gridCol w:w="1277"/>
        <w:gridCol w:w="567"/>
        <w:gridCol w:w="1416"/>
        <w:gridCol w:w="710"/>
        <w:gridCol w:w="716"/>
        <w:gridCol w:w="1198"/>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Arial" w:hAnsi="Arial" w:cs="Arial" w:eastAsia="Arial" w:hint="default"/>
                <w:sz w:val="18"/>
                <w:szCs w:val="18"/>
              </w:rPr>
            </w:pPr>
            <w:r>
              <w:rPr>
                <w:rFonts w:ascii="Arial" w:hAnsi="Arial" w:cs="Arial" w:eastAsia="Arial" w:hint="default"/>
                <w:sz w:val="18"/>
                <w:szCs w:val="18"/>
              </w:rPr>
              <w:t>21.</w:t>
            </w:r>
            <w:r>
              <w:rPr>
                <w:rFonts w:ascii="宋体" w:hAnsi="宋体" w:cs="宋体" w:eastAsia="宋体" w:hint="default"/>
                <w:sz w:val="18"/>
                <w:szCs w:val="18"/>
              </w:rPr>
              <w:t>检察院档案管理系统</w:t>
            </w:r>
            <w:r>
              <w:rPr>
                <w:rFonts w:ascii="宋体" w:hAnsi="宋体" w:cs="宋体" w:eastAsia="宋体" w:hint="default"/>
                <w:spacing w:val="-48"/>
                <w:sz w:val="18"/>
                <w:szCs w:val="18"/>
              </w:rPr>
              <w:t> </w:t>
            </w:r>
            <w:r>
              <w:rPr>
                <w:rFonts w:ascii="Arial" w:hAnsi="Arial" w:cs="Arial" w:eastAsia="Arial" w:hint="default"/>
                <w:sz w:val="18"/>
                <w:szCs w:val="18"/>
              </w:rPr>
              <w:t>V2.0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3" w:right="0"/>
              <w:jc w:val="left"/>
              <w:rPr>
                <w:rFonts w:ascii="Arial" w:hAnsi="Arial" w:cs="Arial" w:eastAsia="Arial" w:hint="default"/>
                <w:sz w:val="18"/>
                <w:szCs w:val="18"/>
              </w:rPr>
            </w:pPr>
            <w:r>
              <w:rPr>
                <w:rFonts w:ascii="Arial"/>
                <w:sz w:val="18"/>
              </w:rPr>
              <w:t>227,636.96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429,734.66</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657,371.62</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Arial" w:hAnsi="Arial" w:cs="Arial" w:eastAsia="Arial" w:hint="default"/>
                <w:sz w:val="18"/>
                <w:szCs w:val="18"/>
              </w:rPr>
            </w:pPr>
            <w:r>
              <w:rPr>
                <w:rFonts w:ascii="Arial" w:hAnsi="Arial" w:cs="Arial" w:eastAsia="Arial" w:hint="default"/>
                <w:sz w:val="18"/>
                <w:szCs w:val="18"/>
              </w:rPr>
              <w:t>22.</w:t>
            </w:r>
            <w:r>
              <w:rPr>
                <w:rFonts w:ascii="宋体" w:hAnsi="宋体" w:cs="宋体" w:eastAsia="宋体" w:hint="default"/>
                <w:sz w:val="18"/>
                <w:szCs w:val="18"/>
              </w:rPr>
              <w:t>执行联动管理系统</w:t>
            </w:r>
            <w:r>
              <w:rPr>
                <w:rFonts w:ascii="宋体" w:hAnsi="宋体" w:cs="宋体" w:eastAsia="宋体" w:hint="default"/>
                <w:spacing w:val="-48"/>
                <w:sz w:val="18"/>
                <w:szCs w:val="18"/>
              </w:rPr>
              <w:t> </w:t>
            </w:r>
            <w:r>
              <w:rPr>
                <w:rFonts w:ascii="Arial" w:hAnsi="Arial" w:cs="Arial" w:eastAsia="Arial" w:hint="default"/>
                <w:sz w:val="18"/>
                <w:szCs w:val="18"/>
              </w:rPr>
              <w:t>V2.0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1,725,421.76</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1,725,421.76</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Arial" w:hAnsi="Arial" w:cs="Arial" w:eastAsia="Arial" w:hint="default"/>
                <w:sz w:val="18"/>
                <w:szCs w:val="18"/>
              </w:rPr>
            </w:pPr>
            <w:r>
              <w:rPr>
                <w:rFonts w:ascii="Arial" w:hAnsi="Arial" w:cs="Arial" w:eastAsia="Arial" w:hint="default"/>
                <w:sz w:val="18"/>
                <w:szCs w:val="18"/>
              </w:rPr>
              <w:t>23.</w:t>
            </w:r>
            <w:r>
              <w:rPr>
                <w:rFonts w:ascii="宋体" w:hAnsi="宋体" w:cs="宋体" w:eastAsia="宋体" w:hint="default"/>
                <w:sz w:val="18"/>
                <w:szCs w:val="18"/>
              </w:rPr>
              <w:t>华宇食品安全系统</w:t>
            </w:r>
            <w:r>
              <w:rPr>
                <w:rFonts w:ascii="宋体" w:hAnsi="宋体" w:cs="宋体" w:eastAsia="宋体" w:hint="default"/>
                <w:spacing w:val="-48"/>
                <w:sz w:val="18"/>
                <w:szCs w:val="18"/>
              </w:rPr>
              <w:t> </w:t>
            </w:r>
            <w:r>
              <w:rPr>
                <w:rFonts w:ascii="Arial" w:hAnsi="Arial" w:cs="Arial" w:eastAsia="Arial" w:hint="default"/>
                <w:sz w:val="18"/>
                <w:szCs w:val="18"/>
              </w:rPr>
              <w:t>V2.0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1,711,431.93</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1,711,431.93</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144,047,552.1</w:t>
            </w:r>
          </w:p>
          <w:p>
            <w:pPr>
              <w:pStyle w:val="TableParagraph"/>
              <w:spacing w:line="240" w:lineRule="auto" w:before="102"/>
              <w:ind w:right="22"/>
              <w:jc w:val="right"/>
              <w:rPr>
                <w:rFonts w:ascii="Arial" w:hAnsi="Arial" w:cs="Arial" w:eastAsia="Arial" w:hint="default"/>
                <w:sz w:val="18"/>
                <w:szCs w:val="18"/>
              </w:rPr>
            </w:pPr>
            <w:r>
              <w:rPr>
                <w:rFonts w:ascii="Arial"/>
                <w:w w:val="99"/>
                <w:sz w:val="18"/>
              </w:rPr>
              <w:t>0</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81,320,261.76</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129,937,662.24</w:t>
            </w:r>
          </w:p>
        </w:tc>
        <w:tc>
          <w:tcPr>
            <w:tcW w:w="71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95,430,151.6</w:t>
            </w:r>
          </w:p>
          <w:p>
            <w:pPr>
              <w:pStyle w:val="TableParagraph"/>
              <w:spacing w:line="240" w:lineRule="auto" w:before="102"/>
              <w:ind w:right="22"/>
              <w:jc w:val="right"/>
              <w:rPr>
                <w:rFonts w:ascii="Arial" w:hAnsi="Arial" w:cs="Arial" w:eastAsia="Arial" w:hint="default"/>
                <w:sz w:val="18"/>
                <w:szCs w:val="18"/>
              </w:rPr>
            </w:pPr>
            <w:r>
              <w:rPr>
                <w:rFonts w:ascii="Arial"/>
                <w:w w:val="99"/>
                <w:sz w:val="18"/>
              </w:rPr>
              <w:t>2</w:t>
            </w:r>
            <w:r>
              <w:rPr>
                <w:rFonts w:ascii="Arial"/>
                <w:sz w:val="18"/>
              </w:rPr>
            </w:r>
          </w:p>
        </w:tc>
      </w:tr>
    </w:tbl>
    <w:p>
      <w:pPr>
        <w:pStyle w:val="BodyText"/>
        <w:spacing w:line="240" w:lineRule="auto"/>
        <w:ind w:right="0"/>
        <w:jc w:val="left"/>
      </w:pPr>
      <w:r>
        <w:rPr/>
        <w:t>其他说明：</w:t>
      </w:r>
    </w:p>
    <w:p>
      <w:pPr>
        <w:pStyle w:val="BodyText"/>
        <w:spacing w:line="312" w:lineRule="exact" w:before="67"/>
        <w:ind w:right="174" w:firstLine="480"/>
        <w:jc w:val="left"/>
      </w:pPr>
      <w:r>
        <w:rPr/>
        <w:t>本期开发支出减幅较大是由于公司上市时五个募投项目在本报告期内全部结题，转入无 形资产。</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Arial" w:hAnsi="Arial" w:cs="Arial" w:eastAsia="Arial" w:hint="default"/>
        </w:rPr>
        <w:t>14</w:t>
      </w:r>
      <w:r>
        <w:rPr/>
        <w:t>、长期待摊费用</w:t>
      </w:r>
      <w:r>
        <w:rPr>
          <w:b w:val="0"/>
          <w:bCs w:val="0"/>
        </w:rPr>
      </w:r>
    </w:p>
    <w:p>
      <w:pPr>
        <w:spacing w:line="240" w:lineRule="auto" w:before="2"/>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347"/>
        <w:gridCol w:w="1594"/>
        <w:gridCol w:w="1596"/>
        <w:gridCol w:w="1594"/>
        <w:gridCol w:w="1594"/>
      </w:tblGrid>
      <w:tr>
        <w:trPr>
          <w:trHeight w:val="53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华宇软件装修费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2,789,063.32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1,442,603.80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2,967,351.86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1,264,315.26</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华宇信息装修费</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7,364,703.30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2,210,546.03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5,154,157.27</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亿信华辰装修费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5,225,247.09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910,928.21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1,752,505.30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4,383,670.00</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广州华宇装修费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216,903.40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123,952.98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92,950.42</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广州数字方舟装修费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464,467.01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127,942.41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116,974.75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475,434.67</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大连华宇装修费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939,939.96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161,169.00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241,702.50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859,406.46</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华宇信码装修费</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5,333.36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34,666.64</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9,635,620.78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10,047,346.72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7,418,366.78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12,264,600.72</w:t>
            </w:r>
          </w:p>
        </w:tc>
      </w:tr>
    </w:tbl>
    <w:p>
      <w:pPr>
        <w:pStyle w:val="BodyText"/>
        <w:spacing w:line="307" w:lineRule="auto" w:before="70"/>
        <w:ind w:right="174"/>
        <w:jc w:val="left"/>
      </w:pPr>
      <w:r>
        <w:rPr/>
        <w:t>其他说明：公司长期待摊费用全部为公司及子公司对租赁办公场地的装修费用，自发生月份 的次月起，分期摊销，摊销年限依据合同规定受益年限。</w:t>
      </w:r>
    </w:p>
    <w:p>
      <w:pPr>
        <w:pStyle w:val="Heading3"/>
        <w:spacing w:line="240" w:lineRule="auto" w:before="86"/>
        <w:ind w:right="0"/>
        <w:jc w:val="left"/>
        <w:rPr>
          <w:b w:val="0"/>
          <w:bCs w:val="0"/>
        </w:rPr>
      </w:pPr>
      <w:r>
        <w:rPr>
          <w:rFonts w:ascii="Arial" w:hAnsi="Arial" w:cs="Arial" w:eastAsia="Arial" w:hint="default"/>
        </w:rPr>
        <w:t>15</w:t>
      </w:r>
      <w:r>
        <w:rPr/>
        <w:t>、递延所得税资产</w:t>
      </w:r>
      <w:r>
        <w:rPr>
          <w:rFonts w:ascii="Arial" w:hAnsi="Arial" w:cs="Arial" w:eastAsia="Arial" w:hint="default"/>
        </w:rPr>
        <w:t>/</w:t>
      </w:r>
      <w:r>
        <w:rPr/>
        <w:t>递延所得税负债</w:t>
      </w:r>
      <w:r>
        <w:rPr>
          <w:b w:val="0"/>
          <w:bCs w:val="0"/>
        </w:rPr>
      </w:r>
    </w:p>
    <w:p>
      <w:pPr>
        <w:pStyle w:val="Heading3"/>
        <w:spacing w:line="240" w:lineRule="auto" w:before="137"/>
        <w:ind w:right="0"/>
        <w:jc w:val="left"/>
        <w:rPr>
          <w:b w:val="0"/>
          <w:bCs w:val="0"/>
        </w:rPr>
      </w:pPr>
      <w:r>
        <w:rPr/>
        <w:t>（</w:t>
      </w:r>
      <w:r>
        <w:rPr>
          <w:rFonts w:ascii="Arial" w:hAnsi="Arial" w:cs="Arial" w:eastAsia="Arial" w:hint="default"/>
        </w:rPr>
        <w:t>1</w:t>
      </w:r>
      <w:r>
        <w:rPr/>
        <w:t>）未经抵销的递延所得税资产</w:t>
      </w:r>
      <w:r>
        <w:rPr>
          <w:b w:val="0"/>
          <w:bCs w:val="0"/>
        </w:rPr>
      </w:r>
    </w:p>
    <w:p>
      <w:pPr>
        <w:spacing w:before="13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4"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32,517,765.30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4,887,573.11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25,140,487.20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3,771,353.26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12,197,374.75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1,563,104.77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5,018,785.07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588,460.94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39,538,283.46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5,930,742.52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21,918,551.32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3,962,754.74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17,261,166.18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3,047,650.39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未行权股权激励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52,245,517.75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7,836,827.66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5,711,596.47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856,739.47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158,417,492.58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24,181,002.80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53,132,034.92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8,264,204.06</w:t>
            </w:r>
          </w:p>
        </w:tc>
      </w:tr>
    </w:tbl>
    <w:p>
      <w:pPr>
        <w:spacing w:after="0" w:line="240" w:lineRule="auto"/>
        <w:jc w:val="right"/>
        <w:rPr>
          <w:rFonts w:ascii="Arial" w:hAnsi="Arial" w:cs="Arial" w:eastAsia="Arial" w:hint="default"/>
          <w:sz w:val="18"/>
          <w:szCs w:val="18"/>
        </w:rPr>
        <w:sectPr>
          <w:pgSz w:w="11910" w:h="16840"/>
          <w:pgMar w:header="884" w:footer="1010" w:top="1140" w:bottom="1200" w:left="980" w:right="980"/>
        </w:sectPr>
      </w:pPr>
    </w:p>
    <w:p>
      <w:pPr>
        <w:spacing w:line="240" w:lineRule="auto" w:before="8"/>
        <w:rPr>
          <w:rFonts w:ascii="宋体" w:hAnsi="宋体" w:cs="宋体" w:eastAsia="宋体" w:hint="default"/>
          <w:sz w:val="16"/>
          <w:szCs w:val="16"/>
        </w:rPr>
      </w:pPr>
    </w:p>
    <w:p>
      <w:pPr>
        <w:pStyle w:val="Heading3"/>
        <w:spacing w:line="240" w:lineRule="auto" w:before="26"/>
        <w:ind w:right="0"/>
        <w:jc w:val="left"/>
        <w:rPr>
          <w:b w:val="0"/>
          <w:bCs w:val="0"/>
        </w:rPr>
      </w:pPr>
      <w:r>
        <w:rPr/>
        <w:t>（</w:t>
      </w:r>
      <w:r>
        <w:rPr>
          <w:rFonts w:ascii="Arial" w:hAnsi="Arial" w:cs="Arial" w:eastAsia="Arial" w:hint="default"/>
        </w:rPr>
        <w:t>2</w:t>
      </w:r>
      <w:r>
        <w:rPr/>
        <w:t>）未经抵销的递延所得税负债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105,000.42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15,750.06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105,000.42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15,750.06</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w:t>
      </w:r>
      <w:r>
        <w:rPr>
          <w:rFonts w:ascii="Arial" w:hAnsi="Arial" w:cs="Arial" w:eastAsia="Arial" w:hint="default"/>
        </w:rPr>
        <w:t>3</w:t>
      </w:r>
      <w:r>
        <w:rPr/>
        <w:t>）以抵销后净额列示的递延所得税资产或负债</w:t>
      </w:r>
      <w:r>
        <w:rPr>
          <w:b w:val="0"/>
          <w:bCs w:val="0"/>
        </w:rPr>
      </w:r>
    </w:p>
    <w:p>
      <w:pPr>
        <w:spacing w:line="240" w:lineRule="auto" w:before="11"/>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29" w:right="0"/>
              <w:jc w:val="left"/>
              <w:rPr>
                <w:rFonts w:ascii="Arial" w:hAnsi="Arial" w:cs="Arial" w:eastAsia="Arial" w:hint="default"/>
                <w:sz w:val="18"/>
                <w:szCs w:val="18"/>
              </w:rPr>
            </w:pPr>
            <w:r>
              <w:rPr>
                <w:rFonts w:ascii="Arial"/>
                <w:sz w:val="18"/>
              </w:rPr>
              <w:t>24,181,002.80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8,264,204.06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15,750.06</w:t>
            </w:r>
          </w:p>
        </w:tc>
      </w:tr>
    </w:tbl>
    <w:p>
      <w:pPr>
        <w:spacing w:after="0" w:line="240" w:lineRule="auto"/>
        <w:jc w:val="right"/>
        <w:rPr>
          <w:rFonts w:ascii="Arial" w:hAnsi="Arial" w:cs="Arial" w:eastAsia="Arial" w:hint="default"/>
          <w:sz w:val="18"/>
          <w:szCs w:val="18"/>
        </w:rPr>
        <w:sectPr>
          <w:pgSz w:w="11910" w:h="16840"/>
          <w:pgMar w:header="884" w:footer="1010" w:top="1140" w:bottom="1200" w:left="980" w:right="980"/>
        </w:sectPr>
      </w:pPr>
    </w:p>
    <w:p>
      <w:pPr>
        <w:pStyle w:val="Heading3"/>
        <w:spacing w:line="240" w:lineRule="auto" w:before="12"/>
        <w:ind w:right="-19"/>
        <w:jc w:val="left"/>
        <w:rPr>
          <w:b w:val="0"/>
          <w:bCs w:val="0"/>
        </w:rPr>
      </w:pPr>
      <w:r>
        <w:rPr>
          <w:rFonts w:ascii="Arial" w:hAnsi="Arial" w:cs="Arial" w:eastAsia="Arial" w:hint="default"/>
        </w:rPr>
        <w:t>16</w:t>
      </w:r>
      <w:r>
        <w:rPr/>
        <w:t>、短期借款</w:t>
      </w:r>
      <w:r>
        <w:rPr>
          <w:b w:val="0"/>
          <w:bCs w:val="0"/>
        </w:rPr>
      </w:r>
    </w:p>
    <w:p>
      <w:pPr>
        <w:pStyle w:val="Heading3"/>
        <w:spacing w:line="240" w:lineRule="auto" w:before="79"/>
        <w:ind w:right="-19"/>
        <w:jc w:val="left"/>
        <w:rPr>
          <w:b w:val="0"/>
          <w:bCs w:val="0"/>
        </w:rPr>
      </w:pPr>
      <w:r>
        <w:rPr/>
        <w:t>（</w:t>
      </w:r>
      <w:r>
        <w:rPr>
          <w:rFonts w:ascii="Arial" w:hAnsi="Arial" w:cs="Arial" w:eastAsia="Arial" w:hint="default"/>
        </w:rPr>
        <w:t>1</w:t>
      </w:r>
      <w:r>
        <w:rPr/>
        <w:t>）短期借款分类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980" w:right="980"/>
          <w:cols w:num="2" w:equalWidth="0">
            <w:col w:w="2215" w:space="6706"/>
            <w:col w:w="102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2,000,000.00</w:t>
            </w:r>
          </w:p>
        </w:tc>
      </w:tr>
    </w:tbl>
    <w:p>
      <w:pPr>
        <w:pStyle w:val="BodyText"/>
        <w:spacing w:line="268" w:lineRule="auto"/>
        <w:ind w:left="633" w:right="252" w:hanging="481"/>
        <w:jc w:val="left"/>
      </w:pPr>
      <w:r>
        <w:rPr/>
        <w:t>短期借款分类的说明： 公司子公司亿信华辰取得的北京银行股份有限公司中关村海淀园区支行</w:t>
      </w:r>
      <w:r>
        <w:rPr>
          <w:rFonts w:ascii="Arial" w:hAnsi="Arial" w:cs="Arial" w:eastAsia="Arial" w:hint="default"/>
        </w:rPr>
        <w:t>200</w:t>
      </w:r>
      <w:r>
        <w:rPr/>
        <w:t>万元借款，</w:t>
      </w:r>
    </w:p>
    <w:p>
      <w:pPr>
        <w:pStyle w:val="BodyText"/>
        <w:spacing w:line="280" w:lineRule="exact"/>
        <w:ind w:right="0"/>
        <w:jc w:val="left"/>
      </w:pPr>
      <w:r>
        <w:rPr/>
        <w:t>该借款由亿信华辰总经理吕宾先生提供担保</w:t>
      </w:r>
      <w:r>
        <w:rPr>
          <w:spacing w:val="-116"/>
        </w:rPr>
        <w:t>，</w:t>
      </w:r>
      <w:r>
        <w:rPr/>
        <w:t>用于补充亿信华辰流动资金</w:t>
      </w:r>
      <w:r>
        <w:rPr>
          <w:spacing w:val="-116"/>
        </w:rPr>
        <w:t>，</w:t>
      </w:r>
      <w:r>
        <w:rPr/>
        <w:t>贷款期限</w:t>
      </w:r>
      <w:r>
        <w:rPr>
          <w:rFonts w:ascii="Arial" w:hAnsi="Arial" w:cs="Arial" w:eastAsia="Arial" w:hint="default"/>
          <w:w w:val="99"/>
        </w:rPr>
        <w:t>12</w:t>
      </w:r>
      <w:r>
        <w:rPr/>
        <w:t>个月。</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Arial" w:hAnsi="Arial" w:cs="Arial" w:eastAsia="Arial" w:hint="default"/>
        </w:rPr>
        <w:t>17</w:t>
      </w:r>
      <w:r>
        <w:rPr/>
        <w:t>、应付票据</w:t>
      </w:r>
      <w:r>
        <w:rPr>
          <w:b w:val="0"/>
          <w:bCs w:val="0"/>
        </w:rPr>
      </w:r>
    </w:p>
    <w:p>
      <w:pPr>
        <w:spacing w:line="240" w:lineRule="auto" w:before="0"/>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2,739,000.00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2,739,000.00</w:t>
            </w:r>
          </w:p>
        </w:tc>
      </w:tr>
    </w:tbl>
    <w:p>
      <w:pPr>
        <w:pStyle w:val="BodyText"/>
        <w:spacing w:line="240" w:lineRule="auto" w:before="70"/>
        <w:ind w:right="0"/>
        <w:jc w:val="left"/>
      </w:pPr>
      <w:r>
        <w:rPr/>
        <w:t>本期末已到期未支付的应付票据总额为</w:t>
      </w:r>
      <w:r>
        <w:rPr>
          <w:spacing w:val="-59"/>
        </w:rPr>
        <w:t> </w:t>
      </w:r>
      <w:r>
        <w:rPr>
          <w:rFonts w:ascii="Arial" w:hAnsi="Arial" w:cs="Arial" w:eastAsia="Arial" w:hint="default"/>
        </w:rPr>
        <w:t>0</w:t>
      </w:r>
      <w:r>
        <w:rPr>
          <w:rFonts w:ascii="Arial" w:hAnsi="Arial" w:cs="Arial" w:eastAsia="Arial" w:hint="default"/>
          <w:spacing w:val="-6"/>
        </w:rPr>
        <w:t> </w:t>
      </w:r>
      <w:r>
        <w:rPr/>
        <w:t>元。</w:t>
      </w:r>
    </w:p>
    <w:p>
      <w:pPr>
        <w:pStyle w:val="Heading3"/>
        <w:spacing w:line="240" w:lineRule="auto" w:before="134"/>
        <w:ind w:right="0"/>
        <w:jc w:val="left"/>
        <w:rPr>
          <w:b w:val="0"/>
          <w:bCs w:val="0"/>
        </w:rPr>
      </w:pPr>
      <w:r>
        <w:rPr>
          <w:rFonts w:ascii="Arial" w:hAnsi="Arial" w:cs="Arial" w:eastAsia="Arial" w:hint="default"/>
        </w:rPr>
        <w:t>18</w:t>
      </w:r>
      <w:r>
        <w:rPr/>
        <w:t>、应付账款</w:t>
      </w:r>
      <w:r>
        <w:rPr>
          <w:b w:val="0"/>
          <w:bCs w:val="0"/>
        </w:rPr>
      </w:r>
    </w:p>
    <w:p>
      <w:pPr>
        <w:pStyle w:val="Heading3"/>
        <w:spacing w:line="240" w:lineRule="auto" w:before="137"/>
        <w:ind w:right="0"/>
        <w:jc w:val="left"/>
        <w:rPr>
          <w:b w:val="0"/>
          <w:bCs w:val="0"/>
        </w:rPr>
      </w:pPr>
      <w:r>
        <w:rPr/>
        <w:t>（</w:t>
      </w:r>
      <w:r>
        <w:rPr>
          <w:rFonts w:ascii="Arial" w:hAnsi="Arial" w:cs="Arial" w:eastAsia="Arial" w:hint="default"/>
        </w:rPr>
        <w:t>1</w:t>
      </w:r>
      <w:r>
        <w:rPr/>
        <w:t>）应付账款列示</w:t>
      </w:r>
      <w:r>
        <w:rPr>
          <w:b w:val="0"/>
          <w:bCs w:val="0"/>
        </w:rPr>
      </w:r>
    </w:p>
    <w:p>
      <w:pPr>
        <w:spacing w:before="13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115,735,334.28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78,222,261.38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2,629,323.07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1,624,507.67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118,364,657.35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79,846,769.05</w:t>
            </w:r>
          </w:p>
        </w:tc>
      </w:tr>
    </w:tbl>
    <w:p>
      <w:pPr>
        <w:spacing w:line="240" w:lineRule="auto" w:before="5"/>
        <w:rPr>
          <w:rFonts w:ascii="宋体" w:hAnsi="宋体" w:cs="宋体" w:eastAsia="宋体" w:hint="default"/>
          <w:sz w:val="28"/>
          <w:szCs w:val="28"/>
        </w:rPr>
      </w:pPr>
    </w:p>
    <w:p>
      <w:pPr>
        <w:spacing w:before="14"/>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Arial" w:hAnsi="Arial" w:cs="Arial" w:eastAsia="Arial" w:hint="default"/>
          <w:b/>
          <w:bCs/>
          <w:sz w:val="28"/>
          <w:szCs w:val="28"/>
        </w:rPr>
        <w:t>2</w:t>
      </w:r>
      <w:r>
        <w:rPr>
          <w:rFonts w:ascii="宋体" w:hAnsi="宋体" w:cs="宋体" w:eastAsia="宋体" w:hint="default"/>
          <w:b/>
          <w:bCs/>
          <w:sz w:val="28"/>
          <w:szCs w:val="28"/>
        </w:rPr>
        <w:t>）账龄超过</w:t>
      </w:r>
      <w:r>
        <w:rPr>
          <w:rFonts w:ascii="宋体" w:hAnsi="宋体" w:cs="宋体" w:eastAsia="宋体" w:hint="default"/>
          <w:b/>
          <w:bCs/>
          <w:spacing w:val="-71"/>
          <w:sz w:val="28"/>
          <w:szCs w:val="28"/>
        </w:rPr>
        <w:t> </w:t>
      </w:r>
      <w:r>
        <w:rPr>
          <w:rFonts w:ascii="Arial" w:hAnsi="Arial" w:cs="Arial" w:eastAsia="Arial" w:hint="default"/>
          <w:b/>
          <w:bCs/>
          <w:sz w:val="28"/>
          <w:szCs w:val="28"/>
        </w:rPr>
        <w:t>1</w:t>
      </w:r>
      <w:r>
        <w:rPr>
          <w:rFonts w:ascii="Arial" w:hAnsi="Arial" w:cs="Arial" w:eastAsia="Arial" w:hint="default"/>
          <w:b/>
          <w:bCs/>
          <w:spacing w:val="-12"/>
          <w:sz w:val="28"/>
          <w:szCs w:val="28"/>
        </w:rPr>
        <w:t> </w:t>
      </w:r>
      <w:r>
        <w:rPr>
          <w:rFonts w:ascii="宋体" w:hAnsi="宋体" w:cs="宋体" w:eastAsia="宋体" w:hint="default"/>
          <w:b/>
          <w:bCs/>
          <w:sz w:val="28"/>
          <w:szCs w:val="28"/>
        </w:rPr>
        <w:t>年的重要应付账款</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广州宽带主干网络有限公司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2,245,283.04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2,245,283.04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bl>
    <w:p>
      <w:pPr>
        <w:pStyle w:val="BodyText"/>
        <w:spacing w:line="268" w:lineRule="auto"/>
        <w:ind w:right="2334"/>
        <w:jc w:val="left"/>
      </w:pPr>
      <w:r>
        <w:rPr/>
        <w:t>其他说明： 本期应付账款余额增福较大主要是由于处于实施阶段的项目增加所致。</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rFonts w:ascii="Arial" w:hAnsi="Arial" w:cs="Arial" w:eastAsia="Arial" w:hint="default"/>
        </w:rPr>
        <w:t>19</w:t>
      </w:r>
      <w:r>
        <w:rPr/>
        <w:t>、预收款项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Arial" w:hAnsi="Arial" w:cs="Arial" w:eastAsia="Arial" w:hint="default"/>
        </w:rPr>
        <w:t>1</w:t>
      </w:r>
      <w:r>
        <w:rPr/>
        <w:t>）预收款项列示</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453,385,479.85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173,188,961.14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453,385,479.85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173,188,961.14</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w:t>
      </w:r>
      <w:r>
        <w:rPr>
          <w:rFonts w:ascii="Arial" w:hAnsi="Arial" w:cs="Arial" w:eastAsia="Arial" w:hint="default"/>
        </w:rPr>
        <w:t>2</w:t>
      </w:r>
      <w:r>
        <w:rPr/>
        <w:t>）账龄超过</w:t>
      </w:r>
      <w:r>
        <w:rPr>
          <w:spacing w:val="-61"/>
        </w:rPr>
        <w:t> </w:t>
      </w:r>
      <w:r>
        <w:rPr>
          <w:rFonts w:ascii="Arial" w:hAnsi="Arial" w:cs="Arial" w:eastAsia="Arial" w:hint="default"/>
        </w:rPr>
        <w:t>1</w:t>
      </w:r>
      <w:r>
        <w:rPr>
          <w:rFonts w:ascii="Arial" w:hAnsi="Arial" w:cs="Arial" w:eastAsia="Arial" w:hint="default"/>
          <w:spacing w:val="-11"/>
        </w:rPr>
        <w:t> </w:t>
      </w:r>
      <w:r>
        <w:rPr/>
        <w:t>年的重要预收款项</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天津市人民检察院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7,935,897.42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云南省高级人民法院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3,839,094.03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广州市海珠区人民检察院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3,548,717.93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15,323,709.38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bl>
    <w:p>
      <w:pPr>
        <w:pStyle w:val="BodyText"/>
        <w:spacing w:line="240" w:lineRule="auto"/>
        <w:ind w:right="0"/>
        <w:jc w:val="left"/>
      </w:pPr>
      <w:r>
        <w:rPr/>
        <w:t>其他说明：</w:t>
      </w:r>
    </w:p>
    <w:p>
      <w:pPr>
        <w:pStyle w:val="BodyText"/>
        <w:spacing w:line="312" w:lineRule="exact" w:before="67"/>
        <w:ind w:right="174" w:firstLine="480"/>
        <w:jc w:val="left"/>
      </w:pPr>
      <w:r>
        <w:rPr/>
        <w:t>预收账款余额增幅较大主要原因是报告期内公司业绩提升，订单量大幅增长带来较多的 预收账款。</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rFonts w:ascii="Arial" w:hAnsi="Arial" w:cs="Arial" w:eastAsia="Arial" w:hint="default"/>
        </w:rPr>
        <w:t>20</w:t>
      </w:r>
      <w:r>
        <w:rPr/>
        <w:t>、应付职工薪酬</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Arial" w:hAnsi="Arial" w:cs="Arial" w:eastAsia="Arial" w:hint="default"/>
        </w:rPr>
        <w:t>1</w:t>
      </w:r>
      <w:r>
        <w:rPr/>
        <w:t>）应付职工薪酬列示</w:t>
      </w:r>
      <w:r>
        <w:rPr>
          <w:b w:val="0"/>
          <w:bCs w:val="0"/>
        </w:rPr>
      </w:r>
    </w:p>
    <w:p>
      <w:pPr>
        <w:spacing w:line="240" w:lineRule="auto" w:before="2"/>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517,747.85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232,138,349.55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231,865,733.12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790,364.28</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Arial" w:hAnsi="Arial" w:cs="Arial" w:eastAsia="Arial"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1,054,060.17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18,138,555.03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17,914,260.51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1,278,354.69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494,126.66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494,126.66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1,571,808.02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250,771,031.24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250,274,120.29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2,068,718.97</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w:t>
      </w:r>
      <w:r>
        <w:rPr>
          <w:rFonts w:ascii="Arial" w:hAnsi="Arial" w:cs="Arial" w:eastAsia="Arial" w:hint="default"/>
        </w:rPr>
        <w:t>2</w:t>
      </w:r>
      <w:r>
        <w:rPr/>
        <w:t>）短期薪酬列示</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855"/>
        <w:gridCol w:w="1844"/>
        <w:gridCol w:w="1844"/>
        <w:gridCol w:w="1774"/>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pacing w:val="-4"/>
                <w:sz w:val="18"/>
                <w:szCs w:val="18"/>
              </w:rPr>
              <w:t>1</w:t>
            </w:r>
            <w:r>
              <w:rPr>
                <w:rFonts w:ascii="宋体" w:hAnsi="宋体" w:cs="宋体" w:eastAsia="宋体" w:hint="default"/>
                <w:spacing w:val="-4"/>
                <w:sz w:val="18"/>
                <w:szCs w:val="18"/>
              </w:rPr>
              <w:t>、工资、奖金、津贴和补贴</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185,581,508.19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185,581,508.19</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、职工福利费</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13,305,045.58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13,305,045.58</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、社会保险费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361,697.69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10,350,888.57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10,201,410.33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511,175.93</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378,036.48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8,959,561.07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8,806,677.80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530,919.75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-17,814.08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713,116.01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714,967.17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-19,665.24</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1,475.29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678,211.49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679,765.36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-78.58</w:t>
            </w:r>
            <w:r>
              <w:rPr>
                <w:rFonts w:ascii="Arial"/>
                <w:sz w:val="18"/>
              </w:rPr>
            </w: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、住房公积金</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110,054.00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15,525,717.79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15,546,336.79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89,435.00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pacing w:val="-4"/>
                <w:sz w:val="18"/>
                <w:szCs w:val="18"/>
              </w:rPr>
              <w:t>5</w:t>
            </w:r>
            <w:r>
              <w:rPr>
                <w:rFonts w:ascii="宋体" w:hAnsi="宋体" w:cs="宋体" w:eastAsia="宋体" w:hint="default"/>
                <w:spacing w:val="-4"/>
                <w:sz w:val="18"/>
                <w:szCs w:val="18"/>
              </w:rPr>
              <w:t>、工会经费和职工教育经费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45,996.16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7,375,189.42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7,231,432.23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189,753.35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517,747.85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232,138,349.55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231,865,733.12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790,364.28</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3</w:t>
      </w:r>
      <w:r>
        <w:rPr>
          <w:rFonts w:ascii="宋体" w:hAnsi="宋体" w:cs="宋体" w:eastAsia="宋体" w:hint="default"/>
          <w:b/>
          <w:bCs/>
          <w:sz w:val="20"/>
          <w:szCs w:val="20"/>
        </w:rPr>
        <w:t>）设定提存计划列示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6"/>
        <w:gridCol w:w="1844"/>
        <w:gridCol w:w="1844"/>
        <w:gridCol w:w="1844"/>
        <w:gridCol w:w="1774"/>
      </w:tblGrid>
      <w:tr>
        <w:trPr>
          <w:trHeight w:val="403"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、基本养老保险</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999,063.67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17,056,273.96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16,885,600.14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1,169,737.49</w:t>
            </w:r>
          </w:p>
        </w:tc>
      </w:tr>
      <w:tr>
        <w:trPr>
          <w:trHeight w:val="404"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、失业保险费</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54,996.50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1,042,336.75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988,716.05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108,617.20</w:t>
            </w:r>
          </w:p>
        </w:tc>
      </w:tr>
      <w:tr>
        <w:trPr>
          <w:trHeight w:val="401"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、综合保险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39,944.32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39,944.32</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1,054,060.17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18,138,555.03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17,914,260.51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1,278,354.69</w:t>
            </w:r>
          </w:p>
        </w:tc>
      </w:tr>
    </w:tbl>
    <w:p>
      <w:pPr>
        <w:pStyle w:val="BodyText"/>
        <w:spacing w:line="240" w:lineRule="auto" w:before="70"/>
        <w:ind w:right="0"/>
        <w:jc w:val="left"/>
      </w:pPr>
      <w:r>
        <w:rPr/>
        <w:t>其他说明：</w:t>
      </w:r>
    </w:p>
    <w:p>
      <w:pPr>
        <w:pStyle w:val="BodyText"/>
        <w:spacing w:line="309" w:lineRule="auto" w:before="154"/>
        <w:ind w:right="174" w:firstLine="480"/>
        <w:jc w:val="left"/>
      </w:pPr>
      <w:r>
        <w:rPr/>
        <w:t>本期应付职工薪酬余额增幅较大主要是职工人数增长，导致短期薪酬和设定提存计划的 相关提存增加。</w:t>
      </w:r>
    </w:p>
    <w:p>
      <w:pPr>
        <w:pStyle w:val="Heading3"/>
        <w:spacing w:line="240" w:lineRule="auto" w:before="82"/>
        <w:ind w:right="0"/>
        <w:jc w:val="left"/>
        <w:rPr>
          <w:b w:val="0"/>
          <w:bCs w:val="0"/>
        </w:rPr>
      </w:pPr>
      <w:r>
        <w:rPr>
          <w:rFonts w:ascii="Arial" w:hAnsi="Arial" w:cs="Arial" w:eastAsia="Arial" w:hint="default"/>
        </w:rPr>
        <w:t>21</w:t>
      </w:r>
      <w:r>
        <w:rPr/>
        <w:t>、应交税费</w:t>
      </w:r>
      <w:r>
        <w:rPr>
          <w:b w:val="0"/>
          <w:bCs w:val="0"/>
        </w:rPr>
      </w:r>
    </w:p>
    <w:p>
      <w:pPr>
        <w:spacing w:before="13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left="2008" w:right="0"/>
              <w:jc w:val="left"/>
              <w:rPr>
                <w:rFonts w:ascii="Arial" w:hAnsi="Arial" w:cs="Arial" w:eastAsia="Arial" w:hint="default"/>
                <w:sz w:val="18"/>
                <w:szCs w:val="18"/>
              </w:rPr>
            </w:pPr>
            <w:r>
              <w:rPr>
                <w:rFonts w:ascii="Arial"/>
                <w:sz w:val="18"/>
              </w:rPr>
              <w:t>25,625,505.55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4" w:right="0"/>
              <w:jc w:val="left"/>
              <w:rPr>
                <w:rFonts w:ascii="Arial" w:hAnsi="Arial" w:cs="Arial" w:eastAsia="Arial" w:hint="default"/>
                <w:sz w:val="18"/>
                <w:szCs w:val="18"/>
              </w:rPr>
            </w:pPr>
            <w:r>
              <w:rPr>
                <w:rFonts w:ascii="Arial"/>
                <w:sz w:val="18"/>
              </w:rPr>
              <w:t>10,218,839.20</w:t>
            </w:r>
          </w:p>
        </w:tc>
      </w:tr>
    </w:tbl>
    <w:p>
      <w:pPr>
        <w:spacing w:after="0" w:line="240" w:lineRule="auto"/>
        <w:jc w:val="left"/>
        <w:rPr>
          <w:rFonts w:ascii="Arial" w:hAnsi="Arial" w:cs="Arial" w:eastAsia="Arial" w:hint="default"/>
          <w:sz w:val="18"/>
          <w:szCs w:val="18"/>
        </w:rPr>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491,345.94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462,981.75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9,576,469.22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753,816.89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514,144.71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411,845.21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1,857,616.50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842,350.37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783,035.82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321,133.00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533,963.86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270,606.20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21,714.30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41,893.01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39,403,795.90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13,323,465.63</w:t>
            </w:r>
          </w:p>
        </w:tc>
      </w:tr>
    </w:tbl>
    <w:p>
      <w:pPr>
        <w:pStyle w:val="BodyText"/>
        <w:spacing w:line="240" w:lineRule="auto" w:before="49"/>
        <w:ind w:right="0"/>
        <w:jc w:val="left"/>
      </w:pPr>
      <w:r>
        <w:rPr/>
        <w:t>其他说明：</w:t>
      </w:r>
    </w:p>
    <w:p>
      <w:pPr>
        <w:pStyle w:val="BodyText"/>
        <w:spacing w:line="240" w:lineRule="auto" w:before="130"/>
        <w:ind w:left="613" w:right="518"/>
        <w:jc w:val="center"/>
      </w:pPr>
      <w:r>
        <w:rPr/>
        <w:t>本期应交税费余额增幅较大主要是由于：（</w:t>
      </w:r>
      <w:r>
        <w:rPr>
          <w:rFonts w:ascii="Arial" w:hAnsi="Arial" w:cs="Arial" w:eastAsia="Arial" w:hint="default"/>
        </w:rPr>
        <w:t>1</w:t>
      </w:r>
      <w:r>
        <w:rPr/>
        <w:t>）公司业务增长，导致应交增值税增加</w:t>
      </w:r>
    </w:p>
    <w:p>
      <w:pPr>
        <w:pStyle w:val="BodyText"/>
        <w:spacing w:line="240" w:lineRule="auto" w:before="74"/>
        <w:ind w:right="0"/>
        <w:jc w:val="left"/>
      </w:pPr>
      <w:r>
        <w:rPr>
          <w:rFonts w:ascii="Arial" w:hAnsi="Arial" w:cs="Arial" w:eastAsia="Arial" w:hint="default"/>
          <w:w w:val="99"/>
        </w:rPr>
        <w:t>1</w:t>
      </w:r>
      <w:r>
        <w:rPr>
          <w:rFonts w:ascii="Arial" w:hAnsi="Arial" w:cs="Arial" w:eastAsia="Arial" w:hint="default"/>
          <w:w w:val="100"/>
        </w:rPr>
        <w:t>,</w:t>
      </w:r>
      <w:r>
        <w:rPr>
          <w:rFonts w:ascii="Arial" w:hAnsi="Arial" w:cs="Arial" w:eastAsia="Arial" w:hint="default"/>
          <w:spacing w:val="1"/>
          <w:w w:val="100"/>
        </w:rPr>
        <w:t>5</w:t>
      </w:r>
      <w:r>
        <w:rPr>
          <w:rFonts w:ascii="Arial" w:hAnsi="Arial" w:cs="Arial" w:eastAsia="Arial" w:hint="default"/>
          <w:spacing w:val="-2"/>
          <w:w w:val="99"/>
        </w:rPr>
        <w:t>4</w:t>
      </w:r>
      <w:r>
        <w:rPr>
          <w:rFonts w:ascii="Arial" w:hAnsi="Arial" w:cs="Arial" w:eastAsia="Arial" w:hint="default"/>
          <w:w w:val="99"/>
        </w:rPr>
        <w:t>0</w:t>
      </w:r>
      <w:r>
        <w:rPr>
          <w:rFonts w:ascii="Arial" w:hAnsi="Arial" w:cs="Arial" w:eastAsia="Arial" w:hint="default"/>
          <w:w w:val="100"/>
        </w:rPr>
        <w:t>.</w:t>
      </w:r>
      <w:r>
        <w:rPr>
          <w:rFonts w:ascii="Arial" w:hAnsi="Arial" w:cs="Arial" w:eastAsia="Arial" w:hint="default"/>
          <w:spacing w:val="-1"/>
          <w:w w:val="100"/>
        </w:rPr>
        <w:t>6</w:t>
      </w:r>
      <w:r>
        <w:rPr>
          <w:rFonts w:ascii="Arial" w:hAnsi="Arial" w:cs="Arial" w:eastAsia="Arial" w:hint="default"/>
          <w:spacing w:val="2"/>
          <w:w w:val="99"/>
        </w:rPr>
        <w:t>7</w:t>
      </w:r>
      <w:r>
        <w:rPr/>
        <w:t>万元</w:t>
      </w:r>
      <w:r>
        <w:rPr>
          <w:spacing w:val="-135"/>
        </w:rPr>
        <w:t>；</w:t>
      </w:r>
      <w:r>
        <w:rPr/>
        <w:t>（</w:t>
      </w:r>
      <w:r>
        <w:rPr>
          <w:rFonts w:ascii="Arial" w:hAnsi="Arial" w:cs="Arial" w:eastAsia="Arial" w:hint="default"/>
          <w:w w:val="99"/>
        </w:rPr>
        <w:t>2</w:t>
      </w:r>
      <w:r>
        <w:rPr>
          <w:spacing w:val="-68"/>
        </w:rPr>
        <w:t>）</w:t>
      </w:r>
      <w:r>
        <w:rPr>
          <w:spacing w:val="-3"/>
        </w:rPr>
        <w:t>子</w:t>
      </w:r>
      <w:r>
        <w:rPr/>
        <w:t>公司华宇信息所得税免税期已过</w:t>
      </w:r>
      <w:r>
        <w:rPr>
          <w:spacing w:val="-68"/>
        </w:rPr>
        <w:t>，</w:t>
      </w:r>
      <w:r>
        <w:rPr/>
        <w:t>执</w:t>
      </w:r>
      <w:r>
        <w:rPr>
          <w:spacing w:val="1"/>
        </w:rPr>
        <w:t>行</w:t>
      </w:r>
      <w:r>
        <w:rPr>
          <w:rFonts w:ascii="Arial" w:hAnsi="Arial" w:cs="Arial" w:eastAsia="Arial" w:hint="default"/>
          <w:w w:val="99"/>
        </w:rPr>
        <w:t>12</w:t>
      </w:r>
      <w:r>
        <w:rPr>
          <w:rFonts w:ascii="Arial" w:hAnsi="Arial" w:cs="Arial" w:eastAsia="Arial" w:hint="default"/>
          <w:w w:val="100"/>
        </w:rPr>
        <w:t>.</w:t>
      </w:r>
      <w:r>
        <w:rPr>
          <w:rFonts w:ascii="Arial" w:hAnsi="Arial" w:cs="Arial" w:eastAsia="Arial" w:hint="default"/>
          <w:spacing w:val="-1"/>
          <w:w w:val="100"/>
        </w:rPr>
        <w:t>5</w:t>
      </w:r>
      <w:r>
        <w:rPr>
          <w:rFonts w:ascii="Arial" w:hAnsi="Arial" w:cs="Arial" w:eastAsia="Arial" w:hint="default"/>
          <w:spacing w:val="-2"/>
          <w:w w:val="99"/>
        </w:rPr>
        <w:t>%</w:t>
      </w:r>
      <w:r>
        <w:rPr/>
        <w:t>税率使应交所得税增加。</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5"/>
          <w:szCs w:val="35"/>
        </w:rPr>
      </w:pPr>
    </w:p>
    <w:p>
      <w:pPr>
        <w:pStyle w:val="Heading3"/>
        <w:spacing w:line="240" w:lineRule="auto"/>
        <w:ind w:right="0"/>
        <w:jc w:val="left"/>
        <w:rPr>
          <w:b w:val="0"/>
          <w:bCs w:val="0"/>
        </w:rPr>
      </w:pPr>
      <w:r>
        <w:rPr>
          <w:rFonts w:ascii="Arial" w:hAnsi="Arial" w:cs="Arial" w:eastAsia="Arial" w:hint="default"/>
        </w:rPr>
        <w:t>22</w:t>
      </w:r>
      <w:r>
        <w:rPr/>
        <w:t>、其他应付款</w:t>
      </w:r>
      <w:r>
        <w:rPr>
          <w:b w:val="0"/>
          <w:bCs w:val="0"/>
        </w:rPr>
      </w:r>
    </w:p>
    <w:p>
      <w:pPr>
        <w:spacing w:line="240" w:lineRule="auto" w:before="8"/>
        <w:rPr>
          <w:rFonts w:ascii="宋体" w:hAnsi="宋体" w:cs="宋体" w:eastAsia="宋体" w:hint="default"/>
          <w:b/>
          <w:bCs/>
          <w:sz w:val="28"/>
          <w:szCs w:val="28"/>
        </w:rPr>
      </w:pPr>
    </w:p>
    <w:p>
      <w:pPr>
        <w:pStyle w:val="Heading3"/>
        <w:spacing w:line="240" w:lineRule="auto"/>
        <w:ind w:right="0"/>
        <w:jc w:val="left"/>
        <w:rPr>
          <w:b w:val="0"/>
          <w:bCs w:val="0"/>
        </w:rPr>
      </w:pPr>
      <w:r>
        <w:rPr/>
        <w:t>（</w:t>
      </w:r>
      <w:r>
        <w:rPr>
          <w:rFonts w:ascii="Arial" w:hAnsi="Arial" w:cs="Arial" w:eastAsia="Arial" w:hint="default"/>
        </w:rPr>
        <w:t>1</w:t>
      </w:r>
      <w:r>
        <w:rPr/>
        <w:t>）按款项性质列示其他应付款</w:t>
      </w:r>
      <w:r>
        <w:rPr>
          <w:b w:val="0"/>
          <w:bCs w:val="0"/>
        </w:rPr>
      </w:r>
    </w:p>
    <w:p>
      <w:pPr>
        <w:spacing w:line="240" w:lineRule="auto" w:before="9"/>
        <w:rPr>
          <w:rFonts w:ascii="宋体" w:hAnsi="宋体" w:cs="宋体" w:eastAsia="宋体" w:hint="default"/>
          <w:b/>
          <w:bCs/>
          <w:sz w:val="28"/>
          <w:szCs w:val="28"/>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5,412,464.40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3,729,285.68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5,412,464.40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3,729,285.68</w:t>
            </w:r>
          </w:p>
        </w:tc>
      </w:tr>
    </w:tbl>
    <w:p>
      <w:pPr>
        <w:pStyle w:val="BodyText"/>
        <w:spacing w:line="240" w:lineRule="auto"/>
        <w:ind w:right="0"/>
        <w:jc w:val="left"/>
      </w:pPr>
      <w:r>
        <w:rPr/>
        <w:t>其他说明：</w:t>
      </w:r>
    </w:p>
    <w:p>
      <w:pPr>
        <w:pStyle w:val="BodyText"/>
        <w:spacing w:line="312" w:lineRule="exact" w:before="67"/>
        <w:ind w:right="174" w:firstLine="480"/>
        <w:jc w:val="left"/>
      </w:pPr>
      <w:r>
        <w:rPr/>
        <w:t>本期其他应付款余额增幅较大，主要是由于业务增长，本期收到的业务性质保证金增加 所致。</w:t>
      </w:r>
    </w:p>
    <w:p>
      <w:pPr>
        <w:spacing w:line="240" w:lineRule="auto" w:before="6"/>
        <w:rPr>
          <w:rFonts w:ascii="宋体" w:hAnsi="宋体" w:cs="宋体" w:eastAsia="宋体" w:hint="default"/>
          <w:sz w:val="24"/>
          <w:szCs w:val="24"/>
        </w:rPr>
      </w:pPr>
    </w:p>
    <w:p>
      <w:pPr>
        <w:pStyle w:val="Heading3"/>
        <w:spacing w:line="475" w:lineRule="auto"/>
        <w:ind w:right="5776"/>
        <w:jc w:val="left"/>
        <w:rPr>
          <w:rFonts w:ascii="宋体" w:hAnsi="宋体" w:cs="宋体" w:eastAsia="宋体" w:hint="default"/>
          <w:b w:val="0"/>
          <w:bCs w:val="0"/>
        </w:rPr>
      </w:pPr>
      <w:r>
        <w:rPr/>
        <w:t>（</w:t>
      </w:r>
      <w:r>
        <w:rPr>
          <w:rFonts w:ascii="Arial" w:hAnsi="Arial" w:cs="Arial" w:eastAsia="Arial" w:hint="default"/>
        </w:rPr>
        <w:t>2</w:t>
      </w:r>
      <w:r>
        <w:rPr/>
        <w:t>）账龄超过</w:t>
      </w:r>
      <w:r>
        <w:rPr>
          <w:spacing w:val="-61"/>
        </w:rPr>
        <w:t> </w:t>
      </w:r>
      <w:r>
        <w:rPr>
          <w:rFonts w:ascii="Arial" w:hAnsi="Arial" w:cs="Arial" w:eastAsia="Arial" w:hint="default"/>
        </w:rPr>
        <w:t>1</w:t>
      </w:r>
      <w:r>
        <w:rPr>
          <w:rFonts w:ascii="Arial" w:hAnsi="Arial" w:cs="Arial" w:eastAsia="Arial" w:hint="default"/>
          <w:spacing w:val="-10"/>
        </w:rPr>
        <w:t> </w:t>
      </w:r>
      <w:r>
        <w:rPr/>
        <w:t>年的重要其他应付款</w:t>
      </w:r>
      <w:r>
        <w:rPr>
          <w:w w:val="99"/>
        </w:rPr>
        <w:t> </w:t>
      </w:r>
      <w:r>
        <w:rPr>
          <w:rFonts w:ascii="宋体" w:hAnsi="宋体" w:cs="宋体" w:eastAsia="宋体" w:hint="default"/>
          <w:b w:val="0"/>
          <w:bCs w:val="0"/>
        </w:rPr>
        <w:t>无</w:t>
      </w:r>
    </w:p>
    <w:p>
      <w:pPr>
        <w:pStyle w:val="Heading3"/>
        <w:spacing w:line="240" w:lineRule="auto" w:before="65"/>
        <w:ind w:right="0"/>
        <w:jc w:val="left"/>
        <w:rPr>
          <w:b w:val="0"/>
          <w:bCs w:val="0"/>
        </w:rPr>
      </w:pPr>
      <w:r>
        <w:rPr>
          <w:rFonts w:ascii="Arial" w:hAnsi="Arial" w:cs="Arial" w:eastAsia="Arial" w:hint="default"/>
        </w:rPr>
        <w:t>23</w:t>
      </w:r>
      <w:r>
        <w:rPr/>
        <w:t>、递延收益</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0" w:right="151"/>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left="416" w:right="0"/>
              <w:jc w:val="left"/>
              <w:rPr>
                <w:rFonts w:ascii="Arial" w:hAnsi="Arial" w:cs="Arial" w:eastAsia="Arial" w:hint="default"/>
                <w:sz w:val="18"/>
                <w:szCs w:val="18"/>
              </w:rPr>
            </w:pPr>
            <w:r>
              <w:rPr>
                <w:rFonts w:ascii="Arial"/>
                <w:sz w:val="18"/>
              </w:rPr>
              <w:t>13,400,000.00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1" w:right="0"/>
              <w:jc w:val="left"/>
              <w:rPr>
                <w:rFonts w:ascii="Arial" w:hAnsi="Arial" w:cs="Arial" w:eastAsia="Arial" w:hint="default"/>
                <w:sz w:val="18"/>
                <w:szCs w:val="18"/>
              </w:rPr>
            </w:pPr>
            <w:r>
              <w:rPr>
                <w:rFonts w:ascii="Arial"/>
                <w:sz w:val="18"/>
              </w:rPr>
              <w:t>1,450,000.00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34,858.85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0" w:right="0"/>
              <w:jc w:val="left"/>
              <w:rPr>
                <w:rFonts w:ascii="Arial" w:hAnsi="Arial" w:cs="Arial" w:eastAsia="Arial" w:hint="default"/>
                <w:sz w:val="18"/>
                <w:szCs w:val="18"/>
              </w:rPr>
            </w:pPr>
            <w:r>
              <w:rPr>
                <w:rFonts w:ascii="Arial"/>
                <w:sz w:val="18"/>
              </w:rPr>
              <w:t>14,815,141.15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416" w:right="0"/>
              <w:jc w:val="left"/>
              <w:rPr>
                <w:rFonts w:ascii="Arial" w:hAnsi="Arial" w:cs="Arial" w:eastAsia="Arial" w:hint="default"/>
                <w:sz w:val="18"/>
                <w:szCs w:val="18"/>
              </w:rPr>
            </w:pPr>
            <w:r>
              <w:rPr>
                <w:rFonts w:ascii="Arial"/>
                <w:sz w:val="18"/>
              </w:rPr>
              <w:t>13,400,000.00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1" w:right="0"/>
              <w:jc w:val="left"/>
              <w:rPr>
                <w:rFonts w:ascii="Arial" w:hAnsi="Arial" w:cs="Arial" w:eastAsia="Arial" w:hint="default"/>
                <w:sz w:val="18"/>
                <w:szCs w:val="18"/>
              </w:rPr>
            </w:pPr>
            <w:r>
              <w:rPr>
                <w:rFonts w:ascii="Arial"/>
                <w:sz w:val="18"/>
              </w:rPr>
              <w:t>1,450,000.00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34,858.85</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410" w:right="0"/>
              <w:jc w:val="left"/>
              <w:rPr>
                <w:rFonts w:ascii="Arial" w:hAnsi="Arial" w:cs="Arial" w:eastAsia="Arial" w:hint="default"/>
                <w:sz w:val="18"/>
                <w:szCs w:val="18"/>
              </w:rPr>
            </w:pPr>
            <w:r>
              <w:rPr>
                <w:rFonts w:ascii="Arial"/>
                <w:sz w:val="18"/>
              </w:rPr>
              <w:t>14,815,141.15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spacing w:line="240" w:lineRule="auto" w:before="11"/>
        <w:rPr>
          <w:rFonts w:ascii="宋体" w:hAnsi="宋体" w:cs="宋体" w:eastAsia="宋体" w:hint="default"/>
          <w:sz w:val="24"/>
          <w:szCs w:val="24"/>
        </w:rPr>
      </w:pPr>
    </w:p>
    <w:p>
      <w:pPr>
        <w:pStyle w:val="BodyText"/>
        <w:spacing w:line="240" w:lineRule="auto" w:before="26"/>
        <w:ind w:right="0"/>
        <w:jc w:val="left"/>
      </w:pPr>
      <w:r>
        <w:rPr/>
        <w:t>涉及政府补助的项目：</w:t>
      </w:r>
    </w:p>
    <w:p>
      <w:pPr>
        <w:spacing w:after="0" w:line="240" w:lineRule="auto"/>
        <w:jc w:val="left"/>
        <w:sectPr>
          <w:footerReference w:type="default" r:id="rId51"/>
          <w:pgSz w:w="11910" w:h="16840"/>
          <w:pgMar w:footer="1010" w:header="884" w:top="1140" w:bottom="1200" w:left="980" w:right="980"/>
        </w:sectPr>
      </w:pPr>
    </w:p>
    <w:p>
      <w:pPr>
        <w:spacing w:line="240" w:lineRule="auto" w:before="9"/>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1274"/>
        <w:gridCol w:w="1277"/>
        <w:gridCol w:w="850"/>
        <w:gridCol w:w="1369"/>
        <w:gridCol w:w="1366"/>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53" w:right="89"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宋体" w:hAnsi="宋体" w:cs="宋体" w:eastAsia="宋体" w:hint="default"/>
                <w:sz w:val="18"/>
                <w:szCs w:val="18"/>
              </w:rPr>
              <w:t>与收 益相关</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基于私有云的商业智能服务 平台软件项目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促进产学研合作专项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食品安全追溯关键技术及规 范研究与监管科技支撑体系 构建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4,300,000.00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4,300,000.00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7" w:right="47" w:hanging="540"/>
              <w:jc w:val="left"/>
              <w:rPr>
                <w:rFonts w:ascii="宋体" w:hAnsi="宋体" w:cs="宋体" w:eastAsia="宋体" w:hint="default"/>
                <w:sz w:val="18"/>
                <w:szCs w:val="18"/>
              </w:rPr>
            </w:pPr>
            <w:r>
              <w:rPr>
                <w:rFonts w:ascii="宋体" w:hAnsi="宋体" w:cs="宋体" w:eastAsia="宋体" w:hint="default"/>
                <w:sz w:val="18"/>
                <w:szCs w:val="18"/>
              </w:rPr>
              <w:t>与资产、收益相 关</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食品可追溯智能超市及智能 餐厅的示范应用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2,200,000.00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与资产、收益相 关</w:t>
            </w:r>
          </w:p>
        </w:tc>
      </w:tr>
      <w:tr>
        <w:trPr>
          <w:trHeight w:val="102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基于私有云的政法应用支撑 与研发平台建设项目中央补 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3,500,000.00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中关村科技园区海淀园管委 会研发中心研发投入补贴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700,000.00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34,858.85</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665,141.15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中关村技术创新能力建设款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重大联合攻关项目研发资助 专项资金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1,400,000.00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13,400,000.00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34,858.85</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14,815,141.15</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24</w:t>
      </w:r>
      <w:r>
        <w:rPr/>
        <w:t>、股本</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148,708,500.</w:t>
            </w:r>
          </w:p>
          <w:p>
            <w:pPr>
              <w:pStyle w:val="TableParagraph"/>
              <w:spacing w:line="240" w:lineRule="auto" w:before="105"/>
              <w:ind w:right="19"/>
              <w:jc w:val="right"/>
              <w:rPr>
                <w:rFonts w:ascii="Arial" w:hAnsi="Arial" w:cs="Arial" w:eastAsia="Arial" w:hint="default"/>
                <w:sz w:val="18"/>
                <w:szCs w:val="18"/>
              </w:rPr>
            </w:pPr>
            <w:r>
              <w:rPr>
                <w:rFonts w:ascii="Arial"/>
                <w:w w:val="95"/>
                <w:sz w:val="18"/>
              </w:rPr>
              <w:t>00</w:t>
            </w:r>
            <w:r>
              <w:rPr>
                <w:rFonts w:ascii="Arial"/>
                <w:sz w:val="18"/>
              </w:rPr>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2" w:right="0"/>
              <w:jc w:val="left"/>
              <w:rPr>
                <w:rFonts w:ascii="Arial" w:hAnsi="Arial" w:cs="Arial" w:eastAsia="Arial" w:hint="default"/>
                <w:sz w:val="18"/>
                <w:szCs w:val="18"/>
              </w:rPr>
            </w:pPr>
            <w:r>
              <w:rPr>
                <w:rFonts w:ascii="Arial"/>
                <w:sz w:val="18"/>
              </w:rPr>
              <w:t>1,246,050.00</w:t>
            </w: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2" w:right="0"/>
              <w:jc w:val="left"/>
              <w:rPr>
                <w:rFonts w:ascii="Arial" w:hAnsi="Arial" w:cs="Arial" w:eastAsia="Arial" w:hint="default"/>
                <w:sz w:val="18"/>
                <w:szCs w:val="18"/>
              </w:rPr>
            </w:pPr>
            <w:r>
              <w:rPr>
                <w:rFonts w:ascii="Arial"/>
                <w:sz w:val="18"/>
              </w:rPr>
              <w:t>1,246,050.00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149,954,550.</w:t>
            </w:r>
          </w:p>
          <w:p>
            <w:pPr>
              <w:pStyle w:val="TableParagraph"/>
              <w:spacing w:line="240" w:lineRule="auto" w:before="105"/>
              <w:ind w:right="19"/>
              <w:jc w:val="right"/>
              <w:rPr>
                <w:rFonts w:ascii="Arial" w:hAnsi="Arial" w:cs="Arial" w:eastAsia="Arial" w:hint="default"/>
                <w:sz w:val="18"/>
                <w:szCs w:val="18"/>
              </w:rPr>
            </w:pPr>
            <w:r>
              <w:rPr>
                <w:rFonts w:ascii="Arial"/>
                <w:w w:val="95"/>
                <w:sz w:val="18"/>
              </w:rPr>
              <w:t>00</w:t>
            </w:r>
            <w:r>
              <w:rPr>
                <w:rFonts w:ascii="Arial"/>
                <w:sz w:val="18"/>
              </w:rPr>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25</w:t>
      </w:r>
      <w:r>
        <w:rPr/>
        <w:t>、资本公积</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437,395,910.80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20,746,191.70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458,142,102.50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4,087,967.23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11,529,894.54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1,373,306.78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14,244,554.99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1,000,000.00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442,483,878.03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32,276,086.24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1,373,306.78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473,386,657.49</w:t>
            </w:r>
          </w:p>
        </w:tc>
      </w:tr>
    </w:tbl>
    <w:p>
      <w:pPr>
        <w:pStyle w:val="BodyText"/>
        <w:spacing w:line="240" w:lineRule="auto" w:before="70"/>
        <w:ind w:right="0"/>
        <w:jc w:val="left"/>
      </w:pPr>
      <w:r>
        <w:rPr/>
        <w:t>其他说明，包括本期增减变动情况、变动原因说明：</w:t>
      </w:r>
    </w:p>
    <w:p>
      <w:pPr>
        <w:spacing w:after="0" w:line="240" w:lineRule="auto"/>
        <w:jc w:val="left"/>
        <w:sectPr>
          <w:footerReference w:type="default" r:id="rId52"/>
          <w:pgSz w:w="11910" w:h="16840"/>
          <w:pgMar w:footer="1010" w:header="884" w:top="1140" w:bottom="1200" w:left="980" w:right="980"/>
          <w:pgNumType w:start="131"/>
        </w:sectPr>
      </w:pPr>
    </w:p>
    <w:p>
      <w:pPr>
        <w:spacing w:line="240" w:lineRule="auto" w:before="6"/>
        <w:rPr>
          <w:rFonts w:ascii="宋体" w:hAnsi="宋体" w:cs="宋体" w:eastAsia="宋体" w:hint="default"/>
          <w:sz w:val="16"/>
          <w:szCs w:val="16"/>
        </w:rPr>
      </w:pPr>
    </w:p>
    <w:p>
      <w:pPr>
        <w:pStyle w:val="BodyText"/>
        <w:spacing w:line="292" w:lineRule="auto" w:before="26"/>
        <w:ind w:right="151" w:firstLine="470"/>
        <w:jc w:val="both"/>
      </w:pPr>
      <w:r>
        <w:rPr>
          <w:rFonts w:ascii="Arial" w:hAnsi="Arial" w:cs="Arial" w:eastAsia="Arial" w:hint="default"/>
          <w:spacing w:val="-14"/>
          <w:w w:val="99"/>
        </w:rPr>
        <w:t>1</w:t>
      </w:r>
      <w:r>
        <w:rPr>
          <w:spacing w:val="-14"/>
          <w:w w:val="99"/>
        </w:rPr>
        <w:t>、资本溢价：根据经中国证券监督管理委员会审核无异议的《股票期权激励计划（草案）》</w:t>
      </w:r>
      <w:r>
        <w:rPr/>
        <w:t> 公司</w:t>
      </w:r>
      <w:r>
        <w:rPr>
          <w:spacing w:val="-65"/>
        </w:rPr>
        <w:t> </w:t>
      </w:r>
      <w:r>
        <w:rPr>
          <w:rFonts w:ascii="Arial" w:hAnsi="Arial" w:cs="Arial" w:eastAsia="Arial" w:hint="default"/>
        </w:rPr>
        <w:t>2012</w:t>
      </w:r>
      <w:r>
        <w:rPr>
          <w:rFonts w:ascii="Arial" w:hAnsi="Arial" w:cs="Arial" w:eastAsia="Arial" w:hint="default"/>
          <w:spacing w:val="-12"/>
        </w:rPr>
        <w:t> </w:t>
      </w:r>
      <w:r>
        <w:rPr/>
        <w:t>年度、</w:t>
      </w:r>
      <w:r>
        <w:rPr>
          <w:rFonts w:ascii="Arial" w:hAnsi="Arial" w:cs="Arial" w:eastAsia="Arial" w:hint="default"/>
        </w:rPr>
        <w:t>2013</w:t>
      </w:r>
      <w:r>
        <w:rPr>
          <w:rFonts w:ascii="Arial" w:hAnsi="Arial" w:cs="Arial" w:eastAsia="Arial" w:hint="default"/>
          <w:spacing w:val="-13"/>
        </w:rPr>
        <w:t> </w:t>
      </w:r>
      <w:r>
        <w:rPr/>
        <w:t>年度达到绩效考核目标，首次第一期、首次第二期及预留第一期可以 行权，</w:t>
      </w:r>
      <w:r>
        <w:rPr>
          <w:spacing w:val="-3"/>
        </w:rPr>
        <w:t> </w:t>
      </w:r>
      <w:r>
        <w:rPr>
          <w:rFonts w:ascii="Arial" w:hAnsi="Arial" w:cs="Arial" w:eastAsia="Arial" w:hint="default"/>
        </w:rPr>
        <w:t>2014</w:t>
      </w:r>
      <w:r>
        <w:rPr>
          <w:rFonts w:ascii="Arial" w:hAnsi="Arial" w:cs="Arial" w:eastAsia="Arial" w:hint="default"/>
          <w:spacing w:val="11"/>
        </w:rPr>
        <w:t> </w:t>
      </w:r>
      <w:r>
        <w:rPr/>
        <w:t>年度，行权数量为</w:t>
      </w:r>
      <w:r>
        <w:rPr>
          <w:spacing w:val="-43"/>
        </w:rPr>
        <w:t> </w:t>
      </w:r>
      <w:r>
        <w:rPr>
          <w:rFonts w:ascii="Arial" w:hAnsi="Arial" w:cs="Arial" w:eastAsia="Arial" w:hint="default"/>
        </w:rPr>
        <w:t>1,246,050.00</w:t>
      </w:r>
      <w:r>
        <w:rPr>
          <w:rFonts w:ascii="Arial" w:hAnsi="Arial" w:cs="Arial" w:eastAsia="Arial" w:hint="default"/>
          <w:spacing w:val="12"/>
        </w:rPr>
        <w:t> </w:t>
      </w:r>
      <w:r>
        <w:rPr/>
        <w:t>股，每股面值</w:t>
      </w:r>
      <w:r>
        <w:rPr>
          <w:spacing w:val="-43"/>
        </w:rPr>
        <w:t> </w:t>
      </w:r>
      <w:r>
        <w:rPr>
          <w:rFonts w:ascii="Arial" w:hAnsi="Arial" w:cs="Arial" w:eastAsia="Arial" w:hint="default"/>
        </w:rPr>
        <w:t>1.00</w:t>
      </w:r>
      <w:r>
        <w:rPr>
          <w:rFonts w:ascii="Arial" w:hAnsi="Arial" w:cs="Arial" w:eastAsia="Arial" w:hint="default"/>
          <w:spacing w:val="9"/>
        </w:rPr>
        <w:t> </w:t>
      </w:r>
      <w:r>
        <w:rPr/>
        <w:t>元，行权价格超过面值部</w:t>
      </w:r>
    </w:p>
    <w:p>
      <w:pPr>
        <w:pStyle w:val="BodyText"/>
        <w:spacing w:line="240" w:lineRule="auto" w:before="15"/>
        <w:ind w:right="0"/>
        <w:jc w:val="left"/>
        <w:rPr>
          <w:rFonts w:ascii="Arial" w:hAnsi="Arial" w:cs="Arial" w:eastAsia="Arial" w:hint="default"/>
        </w:rPr>
      </w:pPr>
      <w:r>
        <w:rPr/>
        <w:t>分共计 </w:t>
      </w:r>
      <w:r>
        <w:rPr>
          <w:rFonts w:ascii="Arial" w:hAnsi="Arial" w:cs="Arial" w:eastAsia="Arial" w:hint="default"/>
        </w:rPr>
        <w:t>19,368,888.50 </w:t>
      </w:r>
      <w:r>
        <w:rPr/>
        <w:t>元，收到行权款利息 </w:t>
      </w:r>
      <w:r>
        <w:rPr>
          <w:rFonts w:ascii="Arial" w:hAnsi="Arial" w:cs="Arial" w:eastAsia="Arial" w:hint="default"/>
        </w:rPr>
        <w:t>3,996.41</w:t>
      </w:r>
      <w:r>
        <w:rPr>
          <w:rFonts w:ascii="Arial" w:hAnsi="Arial" w:cs="Arial" w:eastAsia="Arial" w:hint="default"/>
          <w:spacing w:val="-16"/>
        </w:rPr>
        <w:t> </w:t>
      </w:r>
      <w:r>
        <w:rPr/>
        <w:t>元，本期行权期权已确认的资本公积</w:t>
      </w:r>
      <w:r>
        <w:rPr>
          <w:rFonts w:ascii="Arial" w:hAnsi="Arial" w:cs="Arial" w:eastAsia="Arial" w:hint="default"/>
        </w:rPr>
        <w:t>-</w:t>
      </w:r>
    </w:p>
    <w:p>
      <w:pPr>
        <w:pStyle w:val="BodyText"/>
        <w:spacing w:line="240" w:lineRule="auto" w:before="72"/>
        <w:ind w:right="0"/>
        <w:jc w:val="left"/>
      </w:pPr>
      <w:r>
        <w:rPr/>
        <w:t>其他资本公积转入资本溢价</w:t>
      </w:r>
      <w:r>
        <w:rPr>
          <w:spacing w:val="-62"/>
        </w:rPr>
        <w:t> </w:t>
      </w:r>
      <w:r>
        <w:rPr>
          <w:rFonts w:ascii="Arial" w:hAnsi="Arial" w:cs="Arial" w:eastAsia="Arial" w:hint="default"/>
        </w:rPr>
        <w:t>1,373,306.79</w:t>
      </w:r>
      <w:r>
        <w:rPr>
          <w:rFonts w:ascii="Arial" w:hAnsi="Arial" w:cs="Arial" w:eastAsia="Arial" w:hint="default"/>
          <w:spacing w:val="-8"/>
        </w:rPr>
        <w:t> </w:t>
      </w:r>
      <w:r>
        <w:rPr/>
        <w:t>元，资本溢价合计为</w:t>
      </w:r>
      <w:r>
        <w:rPr>
          <w:spacing w:val="-63"/>
        </w:rPr>
        <w:t> </w:t>
      </w:r>
      <w:r>
        <w:rPr>
          <w:rFonts w:ascii="Arial" w:hAnsi="Arial" w:cs="Arial" w:eastAsia="Arial" w:hint="default"/>
        </w:rPr>
        <w:t>20,746,191.70</w:t>
      </w:r>
      <w:r>
        <w:rPr>
          <w:rFonts w:ascii="Arial" w:hAnsi="Arial" w:cs="Arial" w:eastAsia="Arial" w:hint="default"/>
          <w:spacing w:val="-7"/>
        </w:rPr>
        <w:t> </w:t>
      </w:r>
      <w:r>
        <w:rPr/>
        <w:t>元。</w:t>
      </w:r>
    </w:p>
    <w:p>
      <w:pPr>
        <w:pStyle w:val="BodyText"/>
        <w:spacing w:line="295" w:lineRule="auto" w:before="137"/>
        <w:ind w:right="149" w:firstLine="470"/>
        <w:jc w:val="both"/>
      </w:pPr>
      <w:r>
        <w:rPr>
          <w:rFonts w:ascii="Arial" w:hAnsi="Arial" w:cs="Arial" w:eastAsia="Arial" w:hint="default"/>
          <w:spacing w:val="-9"/>
        </w:rPr>
        <w:t>2</w:t>
      </w:r>
      <w:r>
        <w:rPr>
          <w:spacing w:val="-9"/>
        </w:rPr>
        <w:t>、其他资本公积：根据经中国证券监督管理委员会审核无异议的《股票期权激励计划（草</w:t>
      </w:r>
      <w:r>
        <w:rPr/>
        <w:t> 案）》公司 </w:t>
      </w:r>
      <w:r>
        <w:rPr>
          <w:rFonts w:ascii="Arial" w:hAnsi="Arial" w:cs="Arial" w:eastAsia="Arial" w:hint="default"/>
        </w:rPr>
        <w:t>2012 </w:t>
      </w:r>
      <w:r>
        <w:rPr/>
        <w:t>年度、</w:t>
      </w:r>
      <w:r>
        <w:rPr>
          <w:rFonts w:ascii="Arial" w:hAnsi="Arial" w:cs="Arial" w:eastAsia="Arial" w:hint="default"/>
        </w:rPr>
        <w:t>2014 </w:t>
      </w:r>
      <w:r>
        <w:rPr/>
        <w:t>年度达到绩效考核目标。</w:t>
      </w:r>
      <w:r>
        <w:rPr>
          <w:rFonts w:ascii="Arial" w:hAnsi="Arial" w:cs="Arial" w:eastAsia="Arial" w:hint="default"/>
        </w:rPr>
        <w:t>2014</w:t>
      </w:r>
      <w:r>
        <w:rPr>
          <w:rFonts w:ascii="Arial" w:hAnsi="Arial" w:cs="Arial" w:eastAsia="Arial" w:hint="default"/>
          <w:spacing w:val="28"/>
        </w:rPr>
        <w:t> </w:t>
      </w:r>
      <w:r>
        <w:rPr/>
        <w:t>年度公司根据权益工具的公允 价值和预计可行权的权益工具数量，确认成本费用</w:t>
      </w:r>
      <w:r>
        <w:rPr>
          <w:spacing w:val="-66"/>
        </w:rPr>
        <w:t> </w:t>
      </w:r>
      <w:r>
        <w:rPr>
          <w:rFonts w:ascii="Arial" w:hAnsi="Arial" w:cs="Arial" w:eastAsia="Arial" w:hint="default"/>
        </w:rPr>
        <w:t>2,275,988.48</w:t>
      </w:r>
      <w:r>
        <w:rPr>
          <w:rFonts w:ascii="Arial" w:hAnsi="Arial" w:cs="Arial" w:eastAsia="Arial" w:hint="default"/>
          <w:spacing w:val="-12"/>
        </w:rPr>
        <w:t> </w:t>
      </w:r>
      <w:r>
        <w:rPr>
          <w:spacing w:val="-3"/>
        </w:rPr>
        <w:t>元，预计未来期间税前可扣</w:t>
      </w:r>
      <w:r>
        <w:rPr/>
        <w:t> 除的金额超过按照企业会计准则规定确认的与股份支付相关的成本费用，超过部分的所得税</w:t>
      </w:r>
      <w:r>
        <w:rPr>
          <w:spacing w:val="-91"/>
        </w:rPr>
        <w:t> </w:t>
      </w:r>
      <w:r>
        <w:rPr>
          <w:spacing w:val="-91"/>
        </w:rPr>
      </w:r>
      <w:r>
        <w:rPr/>
        <w:t>影响金额为 </w:t>
      </w:r>
      <w:r>
        <w:rPr>
          <w:rFonts w:ascii="Arial" w:hAnsi="Arial" w:cs="Arial" w:eastAsia="Arial" w:hint="default"/>
        </w:rPr>
        <w:t>6,980,088.19 </w:t>
      </w:r>
      <w:r>
        <w:rPr/>
        <w:t>元，本期已行权期权对所得税影响金额为 </w:t>
      </w:r>
      <w:r>
        <w:rPr>
          <w:rFonts w:ascii="Arial" w:hAnsi="Arial" w:cs="Arial" w:eastAsia="Arial" w:hint="default"/>
        </w:rPr>
        <w:t>2,757,137.27</w:t>
      </w:r>
      <w:r>
        <w:rPr>
          <w:rFonts w:ascii="Arial" w:hAnsi="Arial" w:cs="Arial" w:eastAsia="Arial" w:hint="default"/>
          <w:spacing w:val="-26"/>
        </w:rPr>
        <w:t> </w:t>
      </w:r>
      <w:r>
        <w:rPr/>
        <w:t>元，未行 权对所得税影响金额为</w:t>
      </w:r>
      <w:r>
        <w:rPr>
          <w:rFonts w:ascii="Arial" w:hAnsi="Arial" w:cs="Arial" w:eastAsia="Arial" w:hint="default"/>
        </w:rPr>
        <w:t>-483,319.40</w:t>
      </w:r>
      <w:r>
        <w:rPr>
          <w:rFonts w:ascii="Arial" w:hAnsi="Arial" w:cs="Arial" w:eastAsia="Arial" w:hint="default"/>
          <w:spacing w:val="47"/>
        </w:rPr>
        <w:t> </w:t>
      </w:r>
      <w:r>
        <w:rPr/>
        <w:t>元。另外，本期行权期权已确认的资本公积</w:t>
      </w:r>
      <w:r>
        <w:rPr>
          <w:rFonts w:ascii="Arial" w:hAnsi="Arial" w:cs="Arial" w:eastAsia="Arial" w:hint="default"/>
        </w:rPr>
        <w:t>-</w:t>
      </w:r>
      <w:r>
        <w:rPr/>
        <w:t>其他资本公 积转入资本溢价</w:t>
      </w:r>
      <w:r>
        <w:rPr>
          <w:spacing w:val="-63"/>
        </w:rPr>
        <w:t> </w:t>
      </w:r>
      <w:r>
        <w:rPr>
          <w:rFonts w:ascii="Arial" w:hAnsi="Arial" w:cs="Arial" w:eastAsia="Arial" w:hint="default"/>
        </w:rPr>
        <w:t>1,373,306.79</w:t>
      </w:r>
      <w:r>
        <w:rPr>
          <w:rFonts w:ascii="Arial" w:hAnsi="Arial" w:cs="Arial" w:eastAsia="Arial" w:hint="default"/>
          <w:spacing w:val="-7"/>
        </w:rPr>
        <w:t> </w:t>
      </w:r>
      <w:r>
        <w:rPr/>
        <w:t>元。</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r>
        <w:rPr>
          <w:rFonts w:ascii="Arial" w:hAnsi="Arial" w:cs="Arial" w:eastAsia="Arial" w:hint="default"/>
        </w:rPr>
        <w:t>26</w:t>
      </w:r>
      <w:r>
        <w:rPr/>
        <w:t>、盈余公积</w:t>
      </w:r>
      <w:r>
        <w:rPr>
          <w:b w:val="0"/>
          <w:bCs w:val="0"/>
        </w:rPr>
      </w:r>
    </w:p>
    <w:p>
      <w:pPr>
        <w:spacing w:line="240" w:lineRule="auto" w:before="13"/>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37,280,137.26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37,280,137.26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27</w:t>
      </w:r>
      <w:r>
        <w:rPr/>
        <w:t>、未分配利润</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333,512,382.66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244,245,882.00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333,512,382.66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244,245,882.00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147,380,514.39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120,210,161.30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1,343,660.64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22,306,265.47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29,600,000.00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458,586,631.58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333,512,382.66</w:t>
            </w:r>
          </w:p>
        </w:tc>
      </w:tr>
    </w:tbl>
    <w:p>
      <w:pPr>
        <w:pStyle w:val="BodyText"/>
        <w:spacing w:line="240" w:lineRule="auto"/>
        <w:ind w:right="0"/>
        <w:jc w:val="left"/>
      </w:pPr>
      <w:r>
        <w:rPr/>
        <w:t>调整期初未分配利润明细：无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28</w:t>
      </w:r>
      <w:r>
        <w:rPr/>
        <w:t>、营业收入和营业成本</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902,602,843.61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493,984,245.17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669,847,315.79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364,360,058.06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902,602,843.61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493,984,245.17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669,847,315.79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364,360,058.06</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29</w:t>
      </w:r>
      <w:r>
        <w:rPr/>
        <w:t>、营业税金及附加</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926,446.72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148,556.64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6,066,728.19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3,301,457.67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教育费附加等</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4,333,377.34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2,358,484.24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11,326,552.25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5,808,498.55</w:t>
            </w:r>
          </w:p>
        </w:tc>
      </w:tr>
    </w:tbl>
    <w:p>
      <w:pPr>
        <w:pStyle w:val="BodyText"/>
        <w:spacing w:line="240" w:lineRule="auto"/>
        <w:ind w:right="0"/>
        <w:jc w:val="left"/>
      </w:pPr>
      <w:r>
        <w:rPr/>
        <w:t>其他说明：本期营业税金及附加增幅较大的主要原因是业务增长所致。</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30</w:t>
      </w:r>
      <w:r>
        <w:rPr/>
        <w:t>、销售费用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15,056,104.34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10,922,521.49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1,426,128.24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1,154,870.20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349,212.49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131,611.03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19,898,359.23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13,543,487.53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13,970,804.09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12,348,187.49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9,239,374.32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10,225,803.69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3,589,183.87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3,939,952.09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6,432,593.84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2,457,358.05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69,961,760.42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54,723,791.57</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31</w:t>
      </w:r>
      <w:r>
        <w:rPr/>
        <w:t>、管理费用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33,260,773.38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21,459,213.88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9,062,188.20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3,905,814.69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2,300,207.84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1,758,548.23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13,332,726.35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9,488,902.05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11,940,495.55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7,933,039.75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7,535,630.14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5,856,497.64</w:t>
            </w:r>
          </w:p>
        </w:tc>
      </w:tr>
    </w:tbl>
    <w:p>
      <w:pPr>
        <w:spacing w:after="0" w:line="240" w:lineRule="auto"/>
        <w:jc w:val="right"/>
        <w:rPr>
          <w:rFonts w:ascii="Arial" w:hAnsi="Arial" w:cs="Arial" w:eastAsia="Arial" w:hint="default"/>
          <w:sz w:val="18"/>
          <w:szCs w:val="18"/>
        </w:rPr>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9,187,537.62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9,776,152.64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1,279,353.95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1,053,620.95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73,940,050.19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60,954,007.51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日常维护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33,013,331.75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32,537,469.56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期权费用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2,275,988.48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2,871,678.42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197,128,283.45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157,594,945.32</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32</w:t>
      </w:r>
      <w:r>
        <w:rPr/>
        <w:t>、财务费用</w:t>
      </w:r>
      <w:r>
        <w:rPr>
          <w:b w:val="0"/>
          <w:bCs w:val="0"/>
        </w:rPr>
      </w:r>
    </w:p>
    <w:p>
      <w:pPr>
        <w:spacing w:line="240" w:lineRule="auto" w:before="11"/>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143,200.00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146,000.00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4,302,582.00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7,655,943.20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65,188.20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72,977.12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-45,932.00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-66,184.00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-4,140,125.80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-7,503,150.08</w:t>
            </w:r>
          </w:p>
        </w:tc>
      </w:tr>
    </w:tbl>
    <w:p>
      <w:pPr>
        <w:spacing w:before="28"/>
        <w:ind w:left="152" w:right="0" w:firstLine="0"/>
        <w:jc w:val="left"/>
        <w:rPr>
          <w:rFonts w:ascii="宋体" w:hAnsi="宋体" w:cs="宋体" w:eastAsia="宋体" w:hint="default"/>
          <w:sz w:val="21"/>
          <w:szCs w:val="21"/>
        </w:rPr>
      </w:pPr>
      <w:r>
        <w:rPr>
          <w:rFonts w:ascii="宋体" w:hAnsi="宋体" w:cs="宋体" w:eastAsia="宋体" w:hint="default"/>
          <w:sz w:val="18"/>
          <w:szCs w:val="18"/>
        </w:rPr>
        <w:t>其他说明：</w:t>
      </w:r>
      <w:r>
        <w:rPr>
          <w:rFonts w:ascii="宋体" w:hAnsi="宋体" w:cs="宋体" w:eastAsia="宋体" w:hint="default"/>
          <w:sz w:val="21"/>
          <w:szCs w:val="21"/>
        </w:rPr>
        <w:t>募投项目推进以及超募资金的使用，募投专户余额减少，使存款利息收入减少。</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33</w:t>
      </w:r>
      <w:r>
        <w:rPr/>
        <w:t>、资产减值损失</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7,393,219.74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11,374,372.47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7,393,219.74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11,374,372.47</w:t>
            </w:r>
          </w:p>
        </w:tc>
      </w:tr>
    </w:tbl>
    <w:p>
      <w:pPr>
        <w:spacing w:line="273" w:lineRule="auto" w:before="29"/>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其他说明：本期资产减值损失减少主要是由于本期加大对应收款项的催收，使应收款项的账龄结构得到优</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化，计提的减值准备减少所致。</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Arial" w:hAnsi="Arial" w:cs="Arial" w:eastAsia="Arial" w:hint="default"/>
        </w:rPr>
        <w:t>34</w:t>
      </w:r>
      <w:r>
        <w:rPr/>
        <w:t>、投资收益</w:t>
      </w:r>
      <w:r>
        <w:rPr>
          <w:b w:val="0"/>
          <w:bCs w:val="0"/>
        </w:rPr>
      </w:r>
    </w:p>
    <w:p>
      <w:pPr>
        <w:spacing w:line="240" w:lineRule="auto" w:before="2"/>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25,518.99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25,518.99</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71" w:lineRule="auto" w:before="28"/>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其他说明：本期投资收益为取得深圳市捷视飞通科技有限公司长期股权投资后，按照投资比例计算的应享</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有该公司实现的净损益份额确认。</w:t>
      </w:r>
    </w:p>
    <w:p>
      <w:pPr>
        <w:spacing w:after="0" w:line="271" w:lineRule="auto"/>
        <w:jc w:val="left"/>
        <w:rPr>
          <w:rFonts w:ascii="宋体" w:hAnsi="宋体" w:cs="宋体" w:eastAsia="宋体" w:hint="default"/>
          <w:sz w:val="21"/>
          <w:szCs w:val="21"/>
        </w:rPr>
        <w:sectPr>
          <w:pgSz w:w="11910" w:h="16840"/>
          <w:pgMar w:header="884" w:footer="1010" w:top="1140" w:bottom="1200" w:left="980" w:right="980"/>
        </w:sectPr>
      </w:pPr>
    </w:p>
    <w:p>
      <w:pPr>
        <w:spacing w:line="240" w:lineRule="auto" w:before="8"/>
        <w:rPr>
          <w:rFonts w:ascii="宋体" w:hAnsi="宋体" w:cs="宋体" w:eastAsia="宋体" w:hint="default"/>
          <w:sz w:val="16"/>
          <w:szCs w:val="16"/>
        </w:rPr>
      </w:pPr>
    </w:p>
    <w:p>
      <w:pPr>
        <w:pStyle w:val="Heading3"/>
        <w:spacing w:line="240" w:lineRule="auto" w:before="26"/>
        <w:ind w:right="0"/>
        <w:jc w:val="left"/>
        <w:rPr>
          <w:b w:val="0"/>
          <w:bCs w:val="0"/>
        </w:rPr>
      </w:pPr>
      <w:r>
        <w:rPr>
          <w:rFonts w:ascii="Arial" w:hAnsi="Arial" w:cs="Arial" w:eastAsia="Arial" w:hint="default"/>
        </w:rPr>
        <w:t>35</w:t>
      </w:r>
      <w:r>
        <w:rPr/>
        <w:t>、营业外收入</w:t>
      </w:r>
      <w:r>
        <w:rPr>
          <w:b w:val="0"/>
          <w:bCs w:val="0"/>
        </w:rPr>
      </w:r>
    </w:p>
    <w:p>
      <w:pPr>
        <w:spacing w:line="240" w:lineRule="auto" w:before="10"/>
        <w:rPr>
          <w:rFonts w:ascii="宋体" w:hAnsi="宋体" w:cs="宋体" w:eastAsia="宋体" w:hint="default"/>
          <w:b/>
          <w:bCs/>
          <w:sz w:val="21"/>
          <w:szCs w:val="21"/>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7,647.40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7,647.40</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7,647.40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7,647.40</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42,579,357.81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32,012,823.52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3,335,425.85</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492,711.52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284,245.27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492,711.52</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43,079,716.73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32,297,068.79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3,835,784.77</w:t>
            </w: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4" w:footer="1010" w:top="1140" w:bottom="1200" w:left="980" w:right="920"/>
        </w:sectPr>
      </w:pPr>
    </w:p>
    <w:p>
      <w:pPr>
        <w:pStyle w:val="BodyText"/>
        <w:spacing w:line="240" w:lineRule="auto" w:before="26"/>
        <w:ind w:right="-20"/>
        <w:jc w:val="left"/>
      </w:pPr>
      <w:r>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980" w:right="920"/>
          <w:cols w:num="2" w:equalWidth="0">
            <w:col w:w="3033" w:space="5887"/>
            <w:col w:w="10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39,243,931.96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28,774,473.52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4"/>
              <w:jc w:val="right"/>
              <w:rPr>
                <w:rFonts w:ascii="Arial" w:hAnsi="Arial" w:cs="Arial" w:eastAsia="Arial" w:hint="default"/>
                <w:sz w:val="18"/>
                <w:szCs w:val="18"/>
              </w:rPr>
            </w:pPr>
            <w:r>
              <w:rPr>
                <w:rFonts w:ascii="Arial"/>
                <w:spacing w:val="-1"/>
                <w:sz w:val="18"/>
              </w:rPr>
              <w:t>3,293,658.85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信用贴息补贴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41,767.00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78,350.00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42,579,357.81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9"/>
              <w:jc w:val="right"/>
              <w:rPr>
                <w:rFonts w:ascii="Arial" w:hAnsi="Arial" w:cs="Arial" w:eastAsia="Arial" w:hint="default"/>
                <w:sz w:val="18"/>
                <w:szCs w:val="18"/>
              </w:rPr>
            </w:pPr>
            <w:r>
              <w:rPr>
                <w:rFonts w:ascii="Arial"/>
                <w:spacing w:val="-1"/>
                <w:sz w:val="18"/>
              </w:rPr>
              <w:t>32,012,823.52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Arial" w:hAnsi="Arial" w:cs="Arial" w:eastAsia="Arial" w:hint="default"/>
                <w:sz w:val="18"/>
                <w:szCs w:val="18"/>
              </w:rPr>
            </w:pPr>
            <w:r>
              <w:rPr>
                <w:rFonts w:ascii="Arial"/>
                <w:sz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28"/>
        <w:ind w:left="152" w:right="0" w:firstLine="0"/>
        <w:jc w:val="left"/>
        <w:rPr>
          <w:rFonts w:ascii="宋体" w:hAnsi="宋体" w:cs="宋体" w:eastAsia="宋体" w:hint="default"/>
          <w:sz w:val="21"/>
          <w:szCs w:val="21"/>
        </w:rPr>
      </w:pPr>
      <w:r>
        <w:rPr>
          <w:rFonts w:ascii="宋体" w:hAnsi="宋体" w:cs="宋体" w:eastAsia="宋体" w:hint="default"/>
          <w:spacing w:val="-5"/>
          <w:sz w:val="21"/>
          <w:szCs w:val="21"/>
        </w:rPr>
        <w:t>其他说明：本期营业外收入增加主要是由于本期自有软件销售业务增长，归属本期的增值税退税增加所致。</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36</w:t>
      </w:r>
      <w:r>
        <w:rPr/>
        <w:t>、营业外支出</w:t>
      </w:r>
      <w:r>
        <w:rPr>
          <w:b w:val="0"/>
          <w:bCs w:val="0"/>
        </w:rPr>
      </w:r>
    </w:p>
    <w:p>
      <w:pPr>
        <w:spacing w:line="240" w:lineRule="auto" w:before="13"/>
        <w:rPr>
          <w:rFonts w:ascii="宋体" w:hAnsi="宋体" w:cs="宋体" w:eastAsia="宋体" w:hint="default"/>
          <w:b/>
          <w:bCs/>
          <w:sz w:val="24"/>
          <w:szCs w:val="24"/>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481,713.98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56,223.20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481,713.98</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481,713.98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56,223.20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481,713.98</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259,751.61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284,955.77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259,751.61</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741,465.59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341,178.97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741,465.59</w:t>
            </w:r>
          </w:p>
        </w:tc>
      </w:tr>
    </w:tbl>
    <w:p>
      <w:pPr>
        <w:spacing w:before="28"/>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其他说明：本期营业外支出增加主要是固定资产处置损失增加所致。</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37</w:t>
      </w:r>
      <w:r>
        <w:rPr/>
        <w:t>、所得税费用</w:t>
      </w:r>
      <w:r>
        <w:rPr>
          <w:b w:val="0"/>
          <w:bCs w:val="0"/>
        </w:rPr>
      </w:r>
    </w:p>
    <w:p>
      <w:pPr>
        <w:spacing w:line="240" w:lineRule="auto" w:before="1"/>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1</w:t>
      </w:r>
      <w:r>
        <w:rPr>
          <w:rFonts w:ascii="宋体" w:hAnsi="宋体" w:cs="宋体" w:eastAsia="宋体" w:hint="default"/>
          <w:b/>
          <w:bCs/>
          <w:sz w:val="20"/>
          <w:szCs w:val="20"/>
        </w:rPr>
        <w:t>）所得税费用表</w:t>
      </w:r>
      <w:r>
        <w:rPr>
          <w:rFonts w:ascii="宋体" w:hAnsi="宋体" w:cs="宋体" w:eastAsia="宋体" w:hint="default"/>
          <w:sz w:val="20"/>
          <w:szCs w:val="20"/>
        </w:rPr>
      </w:r>
    </w:p>
    <w:p>
      <w:pPr>
        <w:spacing w:line="240" w:lineRule="auto" w:before="5"/>
        <w:rPr>
          <w:rFonts w:ascii="宋体" w:hAnsi="宋体" w:cs="宋体" w:eastAsia="宋体" w:hint="default"/>
          <w:b/>
          <w:bCs/>
          <w:sz w:val="23"/>
          <w:szCs w:val="23"/>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100" w:bottom="1200" w:left="980" w:right="92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7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27,746,050.91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-5,259,238.36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-8,044,056.45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-1,412,990.08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19,701,994.46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-6,672,228.44</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2</w:t>
      </w:r>
      <w:r>
        <w:rPr>
          <w:rFonts w:ascii="宋体" w:hAnsi="宋体" w:cs="宋体" w:eastAsia="宋体" w:hint="default"/>
          <w:b/>
          <w:bCs/>
          <w:sz w:val="20"/>
          <w:szCs w:val="20"/>
        </w:rPr>
        <w:t>）会计利润与所得税费用调整过程</w:t>
      </w:r>
      <w:r>
        <w:rPr>
          <w:rFonts w:ascii="宋体" w:hAnsi="宋体" w:cs="宋体" w:eastAsia="宋体" w:hint="default"/>
          <w:sz w:val="20"/>
          <w:szCs w:val="20"/>
        </w:rPr>
      </w:r>
    </w:p>
    <w:p>
      <w:pPr>
        <w:spacing w:line="240" w:lineRule="auto" w:before="4"/>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169,312,678.51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Arial" w:hAnsi="Arial" w:cs="Arial" w:eastAsia="Arial"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4"/>
              <w:jc w:val="right"/>
              <w:rPr>
                <w:rFonts w:ascii="Arial" w:hAnsi="Arial" w:cs="Arial" w:eastAsia="Arial" w:hint="default"/>
                <w:sz w:val="18"/>
                <w:szCs w:val="18"/>
              </w:rPr>
            </w:pPr>
            <w:r>
              <w:rPr>
                <w:rFonts w:ascii="Arial"/>
                <w:spacing w:val="-1"/>
                <w:sz w:val="18"/>
              </w:rPr>
              <w:t>16,931,267.85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3,762,707.55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-72,377.80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1,178,660.90</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656,365.93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-1,793,279.72</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期权影响的所得税费用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-601,733.58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-359,616.67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19,701,994.46</w:t>
            </w:r>
          </w:p>
        </w:tc>
      </w:tr>
    </w:tbl>
    <w:p>
      <w:pPr>
        <w:spacing w:before="28"/>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Arial" w:hAnsi="Arial" w:cs="Arial" w:eastAsia="Arial" w:hint="default"/>
          <w:sz w:val="21"/>
          <w:szCs w:val="21"/>
        </w:rPr>
        <w:t>:</w:t>
      </w:r>
      <w:r>
        <w:rPr>
          <w:rFonts w:ascii="宋体" w:hAnsi="宋体" w:cs="宋体" w:eastAsia="宋体" w:hint="default"/>
          <w:sz w:val="21"/>
          <w:szCs w:val="21"/>
        </w:rPr>
        <w:t>子公司华宇信息所得税执行二免三减半优惠政策，上期免税，本期减半征收</w:t>
      </w:r>
      <w:r>
        <w:rPr>
          <w:rFonts w:ascii="Arial" w:hAnsi="Arial" w:cs="Arial" w:eastAsia="Arial" w:hint="default"/>
          <w:sz w:val="21"/>
          <w:szCs w:val="21"/>
        </w:rPr>
        <w:t>,</w:t>
      </w:r>
      <w:r>
        <w:rPr>
          <w:rFonts w:ascii="宋体" w:hAnsi="宋体" w:cs="宋体" w:eastAsia="宋体" w:hint="default"/>
          <w:sz w:val="21"/>
          <w:szCs w:val="21"/>
        </w:rPr>
        <w:t>实际应交所得税率</w:t>
      </w:r>
    </w:p>
    <w:p>
      <w:pPr>
        <w:spacing w:before="50"/>
        <w:ind w:left="152" w:right="0" w:firstLine="0"/>
        <w:jc w:val="left"/>
        <w:rPr>
          <w:rFonts w:ascii="宋体" w:hAnsi="宋体" w:cs="宋体" w:eastAsia="宋体" w:hint="default"/>
          <w:sz w:val="18"/>
          <w:szCs w:val="18"/>
        </w:rPr>
      </w:pPr>
      <w:r>
        <w:rPr>
          <w:rFonts w:ascii="Arial" w:hAnsi="Arial" w:cs="Arial" w:eastAsia="Arial" w:hint="default"/>
          <w:sz w:val="21"/>
          <w:szCs w:val="21"/>
        </w:rPr>
        <w:t>12.5%</w:t>
      </w:r>
      <w:r>
        <w:rPr>
          <w:rFonts w:ascii="宋体" w:hAnsi="宋体" w:cs="宋体" w:eastAsia="宋体" w:hint="default"/>
          <w:sz w:val="18"/>
          <w:szCs w:val="18"/>
        </w:rPr>
        <w:t>。</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38</w:t>
      </w:r>
      <w:r>
        <w:rPr/>
        <w:t>、现金流量表项目</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Arial" w:hAnsi="Arial" w:cs="Arial" w:eastAsia="Arial" w:hint="default"/>
        </w:rPr>
        <w:t>1</w:t>
      </w:r>
      <w:r>
        <w:rPr/>
        <w:t>）收到的其他与经营活动有关的现金</w:t>
      </w:r>
      <w:r>
        <w:rPr>
          <w:b w:val="0"/>
          <w:bCs w:val="0"/>
        </w:rPr>
      </w:r>
    </w:p>
    <w:p>
      <w:pPr>
        <w:spacing w:line="240" w:lineRule="auto" w:before="13"/>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退回投标保证金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78,419,670.12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36,803,916.06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4,110,075.37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9,913,308.90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1,268,706.34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916,683.45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6,090,741.68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14,722,241.54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89,889,193.51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62,356,149.95</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w:t>
      </w:r>
      <w:r>
        <w:rPr>
          <w:rFonts w:ascii="Arial" w:hAnsi="Arial" w:cs="Arial" w:eastAsia="Arial" w:hint="default"/>
        </w:rPr>
        <w:t>2</w:t>
      </w:r>
      <w:r>
        <w:rPr/>
        <w:t>）支付的其他与经营活动有关的现金</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84"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差旅交通运杂费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84,834,037.01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74,688,801.74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办公、会议、中介费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52,746,838.07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46,575,465.08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974,956.55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809,120.02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17,141,006.32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15,998,332.64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履约、投标保证金等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84,660,249.80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59,149,295.09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8,220,216.69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1,271,684.04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1,211,715.84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940,193.12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31,853,281.85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12,677,515.97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13,570,220.79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8,756,449.50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295,212,522.92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220,866,857.20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26"/>
        <w:ind w:right="0"/>
        <w:jc w:val="left"/>
        <w:rPr>
          <w:b w:val="0"/>
          <w:bCs w:val="0"/>
        </w:rPr>
      </w:pPr>
      <w:r>
        <w:rPr/>
        <w:t>（</w:t>
      </w:r>
      <w:r>
        <w:rPr>
          <w:rFonts w:ascii="Arial" w:hAnsi="Arial" w:cs="Arial" w:eastAsia="Arial" w:hint="default"/>
        </w:rPr>
        <w:t>3</w:t>
      </w:r>
      <w:r>
        <w:rPr/>
        <w:t>）支付的其他与筹资活动有关的现金</w:t>
      </w:r>
      <w:r>
        <w:rPr>
          <w:b w:val="0"/>
          <w:bCs w:val="0"/>
        </w:rPr>
      </w:r>
    </w:p>
    <w:p>
      <w:pPr>
        <w:spacing w:line="240" w:lineRule="auto" w:before="10"/>
        <w:rPr>
          <w:rFonts w:ascii="宋体" w:hAnsi="宋体" w:cs="宋体" w:eastAsia="宋体" w:hint="default"/>
          <w:b/>
          <w:bCs/>
          <w:sz w:val="21"/>
          <w:szCs w:val="21"/>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定向增发发行费用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28"/>
        <w:ind w:left="152" w:right="0" w:firstLine="0"/>
        <w:jc w:val="left"/>
        <w:rPr>
          <w:rFonts w:ascii="宋体" w:hAnsi="宋体" w:cs="宋体" w:eastAsia="宋体" w:hint="default"/>
          <w:sz w:val="21"/>
          <w:szCs w:val="21"/>
        </w:rPr>
      </w:pPr>
      <w:r>
        <w:rPr>
          <w:rFonts w:ascii="宋体" w:hAnsi="宋体" w:cs="宋体" w:eastAsia="宋体" w:hint="default"/>
          <w:sz w:val="21"/>
          <w:szCs w:val="21"/>
        </w:rPr>
        <w:t>支付的其他与筹资活动有关的现金说明：本期发生的资产重组发行费用为并购浦东中软支付的发行费用。</w:t>
      </w:r>
    </w:p>
    <w:p>
      <w:pPr>
        <w:pStyle w:val="Heading3"/>
        <w:spacing w:line="240" w:lineRule="auto" w:before="98"/>
        <w:ind w:right="0"/>
        <w:jc w:val="left"/>
        <w:rPr>
          <w:b w:val="0"/>
          <w:bCs w:val="0"/>
        </w:rPr>
      </w:pPr>
      <w:r>
        <w:rPr>
          <w:rFonts w:ascii="Arial" w:hAnsi="Arial" w:cs="Arial" w:eastAsia="Arial" w:hint="default"/>
        </w:rPr>
        <w:t>39</w:t>
      </w:r>
      <w:r>
        <w:rPr/>
        <w:t>、现金流量表补充资料</w:t>
      </w:r>
      <w:r>
        <w:rPr>
          <w:b w:val="0"/>
          <w:bCs w:val="0"/>
        </w:rPr>
      </w:r>
    </w:p>
    <w:p>
      <w:pPr>
        <w:pStyle w:val="Heading3"/>
        <w:spacing w:line="240" w:lineRule="auto" w:before="77"/>
        <w:ind w:right="0"/>
        <w:jc w:val="left"/>
        <w:rPr>
          <w:b w:val="0"/>
          <w:bCs w:val="0"/>
        </w:rPr>
      </w:pPr>
      <w:r>
        <w:rPr/>
        <w:t>（</w:t>
      </w:r>
      <w:r>
        <w:rPr>
          <w:rFonts w:ascii="Arial" w:hAnsi="Arial" w:cs="Arial" w:eastAsia="Arial" w:hint="default"/>
        </w:rPr>
        <w:t>1</w:t>
      </w:r>
      <w:r>
        <w:rPr/>
        <w:t>）现金流量表补充资料</w:t>
      </w:r>
      <w:r>
        <w:rPr>
          <w:b w:val="0"/>
          <w:bCs w:val="0"/>
        </w:rPr>
      </w:r>
    </w:p>
    <w:p>
      <w:pPr>
        <w:spacing w:before="115"/>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 w:right="0"/>
              <w:jc w:val="center"/>
              <w:rPr>
                <w:rFonts w:ascii="Arial" w:hAnsi="Arial" w:cs="Arial" w:eastAsia="Arial" w:hint="default"/>
                <w:sz w:val="18"/>
                <w:szCs w:val="18"/>
              </w:rPr>
            </w:pPr>
            <w:r>
              <w:rPr>
                <w:rFonts w:ascii="Arial"/>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149,610,684.05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122,116,918.16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7,393,219.74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11,374,372.47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4,877,021.52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4,392,010.07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15,624,794.39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3,695,706.91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4,922,006.98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3,253,062.60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122,434.44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44,832.10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330,591.74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11,391.10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143,200.00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146,000.00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-25,518.99</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10" w:top="1140" w:bottom="1200" w:left="980" w:right="920"/>
        </w:sectPr>
      </w:pPr>
    </w:p>
    <w:p>
      <w:pPr>
        <w:spacing w:line="240" w:lineRule="auto" w:before="6"/>
        <w:rPr>
          <w:rFonts w:ascii="宋体" w:hAnsi="宋体" w:cs="宋体" w:eastAsia="宋体" w:hint="default"/>
          <w:sz w:val="21"/>
          <w:szCs w:val="21"/>
        </w:rPr>
      </w:pPr>
      <w:r>
        <w:rPr/>
        <w:pict>
          <v:group style="position:absolute;margin-left:223.369995pt;margin-top:71.935982pt;width:151.25pt;height:40.85pt;mso-position-horizontal-relative:page;mso-position-vertical-relative:page;z-index:-742216" coordorigin="4467,1439" coordsize="3025,817">
            <v:group style="position:absolute;left:4478;top:1450;width:2;height:392" coordorigin="4478,1450" coordsize="2,392">
              <v:shape style="position:absolute;left:4478;top:1450;width:2;height:392" coordorigin="4478,1450" coordsize="0,392" path="m4478,1450l4478,1841e" filled="false" stroked="true" strokeweight="1.08pt" strokecolor="#ffffff">
                <v:path arrowok="t"/>
              </v:shape>
            </v:group>
            <v:group style="position:absolute;left:4489;top:1450;width:3003;height:392" coordorigin="4489,1450" coordsize="3003,392">
              <v:shape style="position:absolute;left:4489;top:1450;width:3003;height:392" coordorigin="4489,1450" coordsize="3003,392" path="m4489,1841l7492,1841,7492,1450,4489,1450,4489,1841xe" filled="true" fillcolor="#ffffff" stroked="false">
                <v:path arrowok="t"/>
                <v:fill type="solid"/>
              </v:shape>
            </v:group>
            <v:group style="position:absolute;left:4478;top:1853;width:2;height:392" coordorigin="4478,1853" coordsize="2,392">
              <v:shape style="position:absolute;left:4478;top:1853;width:2;height:392" coordorigin="4478,1853" coordsize="0,392" path="m4478,1853l4478,2244e" filled="false" stroked="true" strokeweight="1.08pt" strokecolor="#ffffff">
                <v:path arrowok="t"/>
              </v:shape>
            </v:group>
            <v:group style="position:absolute;left:4489;top:1853;width:3003;height:392" coordorigin="4489,1853" coordsize="3003,392">
              <v:shape style="position:absolute;left:4489;top:1853;width:3003;height:392" coordorigin="4489,1853" coordsize="3003,392" path="m4489,2244l7492,2244,7492,1853,4489,1853,4489,224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1815" w:val="left" w:leader="none"/>
              </w:tabs>
              <w:spacing w:line="240" w:lineRule="auto" w:before="49"/>
              <w:ind w:left="-120" w:right="21"/>
              <w:jc w:val="right"/>
              <w:rPr>
                <w:rFonts w:ascii="Arial" w:hAnsi="Arial" w:cs="Arial" w:eastAsia="Arial" w:hint="default"/>
                <w:sz w:val="18"/>
                <w:szCs w:val="18"/>
              </w:rPr>
            </w:pPr>
            <w:r>
              <w:rPr>
                <w:rFonts w:ascii="宋体" w:hAnsi="宋体" w:cs="宋体" w:eastAsia="宋体" w:hint="default"/>
                <w:sz w:val="18"/>
                <w:szCs w:val="18"/>
              </w:rPr>
              <w:t>）</w:t>
              <w:tab/>
            </w:r>
            <w:r>
              <w:rPr>
                <w:rFonts w:ascii="Arial" w:hAnsi="Arial" w:cs="Arial" w:eastAsia="Arial" w:hint="default"/>
                <w:spacing w:val="-1"/>
                <w:sz w:val="18"/>
                <w:szCs w:val="18"/>
              </w:rPr>
              <w:t>-15,916,798.74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-2,173,935.27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166" w:val="left" w:leader="none"/>
              </w:tabs>
              <w:spacing w:line="240" w:lineRule="auto" w:before="50"/>
              <w:ind w:left="-120" w:right="21"/>
              <w:jc w:val="right"/>
              <w:rPr>
                <w:rFonts w:ascii="Arial" w:hAnsi="Arial" w:cs="Arial" w:eastAsia="Arial" w:hint="default"/>
                <w:sz w:val="18"/>
                <w:szCs w:val="18"/>
              </w:rPr>
            </w:pPr>
            <w:r>
              <w:rPr>
                <w:rFonts w:ascii="宋体" w:hAnsi="宋体" w:cs="宋体" w:eastAsia="宋体" w:hint="default"/>
                <w:sz w:val="18"/>
                <w:szCs w:val="18"/>
              </w:rPr>
              <w:t>）</w:t>
              <w:tab/>
            </w:r>
            <w:r>
              <w:rPr>
                <w:rFonts w:ascii="Arial" w:hAnsi="Arial" w:cs="Arial" w:eastAsia="Arial" w:hint="default"/>
                <w:spacing w:val="-1"/>
                <w:sz w:val="18"/>
                <w:szCs w:val="18"/>
              </w:rPr>
              <w:t>-15,750.06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-5,163.61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4"/>
              <w:jc w:val="right"/>
              <w:rPr>
                <w:rFonts w:ascii="Arial" w:hAnsi="Arial" w:cs="Arial" w:eastAsia="Arial" w:hint="default"/>
                <w:sz w:val="18"/>
                <w:szCs w:val="18"/>
              </w:rPr>
            </w:pPr>
            <w:r>
              <w:rPr>
                <w:rFonts w:ascii="Arial"/>
                <w:spacing w:val="-1"/>
                <w:sz w:val="18"/>
              </w:rPr>
              <w:t>-170,141,362.63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-65,689,137.34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10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-40,618,356.15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-151,589,848.53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2" w:right="10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323,132,605.92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55,951,818.27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9,322,283.12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6,610,844.12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288,761,055.33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-11,861,128.95</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0"/>
              <w:ind w:left="12" w:right="12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0"/>
              <w:ind w:left="10" w:right="0"/>
              <w:jc w:val="center"/>
              <w:rPr>
                <w:rFonts w:ascii="Arial" w:hAnsi="Arial" w:cs="Arial" w:eastAsia="Arial" w:hint="default"/>
                <w:sz w:val="18"/>
                <w:szCs w:val="18"/>
              </w:rPr>
            </w:pPr>
            <w:r>
              <w:rPr>
                <w:rFonts w:ascii="Arial"/>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0"/>
              <w:ind w:left="1526" w:right="0"/>
              <w:jc w:val="left"/>
              <w:rPr>
                <w:rFonts w:ascii="Arial" w:hAnsi="Arial" w:cs="Arial" w:eastAsia="Arial" w:hint="default"/>
                <w:sz w:val="18"/>
                <w:szCs w:val="18"/>
              </w:rPr>
            </w:pPr>
            <w:r>
              <w:rPr>
                <w:rFonts w:ascii="Arial"/>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 w:right="0"/>
              <w:jc w:val="center"/>
              <w:rPr>
                <w:rFonts w:ascii="Arial" w:hAnsi="Arial" w:cs="Arial" w:eastAsia="Arial" w:hint="default"/>
                <w:sz w:val="18"/>
                <w:szCs w:val="18"/>
              </w:rPr>
            </w:pPr>
            <w:r>
              <w:rPr>
                <w:rFonts w:ascii="Arial"/>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526" w:right="0"/>
              <w:jc w:val="left"/>
              <w:rPr>
                <w:rFonts w:ascii="Arial" w:hAnsi="Arial" w:cs="Arial" w:eastAsia="Arial" w:hint="default"/>
                <w:sz w:val="18"/>
                <w:szCs w:val="18"/>
              </w:rPr>
            </w:pPr>
            <w:r>
              <w:rPr>
                <w:rFonts w:ascii="Arial"/>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515,197,055.12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406,756,231.46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406,756,231.46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521,754,436.34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108,440,823.66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-114,998,204.88</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w:t>
      </w:r>
      <w:r>
        <w:rPr>
          <w:rFonts w:ascii="Arial" w:hAnsi="Arial" w:cs="Arial" w:eastAsia="Arial" w:hint="default"/>
        </w:rPr>
        <w:t>2</w:t>
      </w:r>
      <w:r>
        <w:rPr/>
        <w:t>）现金和现金等价物的构成</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515,197,055.12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406,756,231.46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130,181.62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280,180.35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515,066,873.50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406,476,051.11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515,197,055.12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406,756,231.46</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八、合并范围的变更</w:t>
      </w:r>
      <w:r>
        <w:rPr>
          <w:b w:val="0"/>
          <w:bCs w:val="0"/>
        </w:rPr>
      </w:r>
    </w:p>
    <w:p>
      <w:pPr>
        <w:spacing w:line="240" w:lineRule="auto" w:before="6"/>
        <w:rPr>
          <w:rFonts w:ascii="宋体" w:hAnsi="宋体" w:cs="宋体" w:eastAsia="宋体" w:hint="default"/>
          <w:b/>
          <w:bCs/>
          <w:sz w:val="26"/>
          <w:szCs w:val="26"/>
        </w:rPr>
      </w:pPr>
    </w:p>
    <w:p>
      <w:pPr>
        <w:pStyle w:val="Heading3"/>
        <w:spacing w:line="240" w:lineRule="auto"/>
        <w:ind w:right="0"/>
        <w:jc w:val="left"/>
        <w:rPr>
          <w:b w:val="0"/>
          <w:bCs w:val="0"/>
        </w:rPr>
      </w:pPr>
      <w:r>
        <w:rPr>
          <w:rFonts w:ascii="Arial" w:hAnsi="Arial" w:cs="Arial" w:eastAsia="Arial" w:hint="default"/>
        </w:rPr>
        <w:t>1</w:t>
      </w:r>
      <w:r>
        <w:rPr/>
        <w:t>、非同一控制下企业合并</w:t>
      </w:r>
      <w:r>
        <w:rPr>
          <w:b w:val="0"/>
          <w:bCs w:val="0"/>
        </w:rPr>
      </w:r>
    </w:p>
    <w:p>
      <w:pPr>
        <w:pStyle w:val="Heading3"/>
        <w:spacing w:line="338" w:lineRule="auto" w:before="134"/>
        <w:ind w:right="5545"/>
        <w:jc w:val="left"/>
        <w:rPr>
          <w:rFonts w:ascii="宋体" w:hAnsi="宋体" w:cs="宋体" w:eastAsia="宋体" w:hint="default"/>
          <w:b w:val="0"/>
          <w:bCs w:val="0"/>
        </w:rPr>
      </w:pPr>
      <w:r>
        <w:rPr/>
        <w:t>（</w:t>
      </w:r>
      <w:r>
        <w:rPr>
          <w:rFonts w:ascii="Arial" w:hAnsi="Arial" w:cs="Arial" w:eastAsia="Arial" w:hint="default"/>
        </w:rPr>
        <w:t>1</w:t>
      </w:r>
      <w:r>
        <w:rPr/>
        <w:t>）本期发生的非同一控制下企业合并</w:t>
      </w:r>
      <w:r>
        <w:rPr>
          <w:w w:val="99"/>
        </w:rPr>
        <w:t> </w:t>
      </w:r>
      <w:r>
        <w:rPr>
          <w:rFonts w:ascii="宋体" w:hAnsi="宋体" w:cs="宋体" w:eastAsia="宋体" w:hint="default"/>
          <w:b w:val="0"/>
          <w:bCs w:val="0"/>
        </w:rPr>
        <w:t>不适用</w:t>
      </w:r>
    </w:p>
    <w:p>
      <w:pPr>
        <w:spacing w:line="338" w:lineRule="auto" w:before="55"/>
        <w:ind w:left="152" w:right="7472"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2</w:t>
      </w:r>
      <w:r>
        <w:rPr>
          <w:rFonts w:ascii="宋体" w:hAnsi="宋体" w:cs="宋体" w:eastAsia="宋体" w:hint="default"/>
          <w:b/>
          <w:bCs/>
          <w:sz w:val="24"/>
          <w:szCs w:val="24"/>
        </w:rPr>
        <w:t>）合并成本及商誉</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3"/>
        <w:spacing w:line="338" w:lineRule="auto" w:before="55"/>
        <w:ind w:right="5304"/>
        <w:jc w:val="left"/>
        <w:rPr>
          <w:rFonts w:ascii="宋体" w:hAnsi="宋体" w:cs="宋体" w:eastAsia="宋体" w:hint="default"/>
          <w:b w:val="0"/>
          <w:bCs w:val="0"/>
        </w:rPr>
      </w:pPr>
      <w:r>
        <w:rPr/>
        <w:t>（</w:t>
      </w:r>
      <w:r>
        <w:rPr>
          <w:rFonts w:ascii="Arial" w:hAnsi="Arial" w:cs="Arial" w:eastAsia="Arial" w:hint="default"/>
        </w:rPr>
        <w:t>3</w:t>
      </w:r>
      <w:r>
        <w:rPr/>
        <w:t>）被购买方于购买日可辨认资产、负债</w:t>
      </w:r>
      <w:r>
        <w:rPr>
          <w:w w:val="99"/>
        </w:rPr>
        <w:t> </w:t>
      </w:r>
      <w:r>
        <w:rPr>
          <w:rFonts w:ascii="宋体" w:hAnsi="宋体" w:cs="宋体" w:eastAsia="宋体" w:hint="default"/>
          <w:b w:val="0"/>
          <w:bCs w:val="0"/>
        </w:rPr>
        <w:t>不适用</w:t>
      </w:r>
    </w:p>
    <w:p>
      <w:pPr>
        <w:spacing w:after="0" w:line="338" w:lineRule="auto"/>
        <w:jc w:val="left"/>
        <w:rPr>
          <w:rFonts w:ascii="宋体" w:hAnsi="宋体" w:cs="宋体" w:eastAsia="宋体" w:hint="default"/>
        </w:rPr>
        <w:sectPr>
          <w:pgSz w:w="11910" w:h="16840"/>
          <w:pgMar w:header="884" w:footer="1010" w:top="1140" w:bottom="1200" w:left="980" w:right="980"/>
        </w:sectPr>
      </w:pPr>
    </w:p>
    <w:p>
      <w:pPr>
        <w:spacing w:line="240" w:lineRule="auto" w:before="1"/>
        <w:rPr>
          <w:rFonts w:ascii="宋体" w:hAnsi="宋体" w:cs="宋体" w:eastAsia="宋体" w:hint="default"/>
          <w:sz w:val="20"/>
          <w:szCs w:val="20"/>
        </w:rPr>
      </w:pPr>
    </w:p>
    <w:p>
      <w:pPr>
        <w:spacing w:line="338" w:lineRule="auto" w:before="26"/>
        <w:ind w:left="152" w:right="209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4</w:t>
      </w:r>
      <w:r>
        <w:rPr>
          <w:rFonts w:ascii="宋体" w:hAnsi="宋体" w:cs="宋体" w:eastAsia="宋体" w:hint="default"/>
          <w:b/>
          <w:bCs/>
          <w:sz w:val="24"/>
          <w:szCs w:val="24"/>
        </w:rPr>
        <w:t>）购买日之前持有的股权按照公允价值重新计量产生的利得或损失</w:t>
      </w:r>
      <w:r>
        <w:rPr>
          <w:rFonts w:ascii="宋体" w:hAnsi="宋体" w:cs="宋体" w:eastAsia="宋体" w:hint="default"/>
          <w:b/>
          <w:bCs/>
          <w:w w:val="99"/>
          <w:sz w:val="24"/>
          <w:szCs w:val="24"/>
        </w:rPr>
        <w:t> </w:t>
      </w:r>
      <w:r>
        <w:rPr>
          <w:rFonts w:ascii="宋体" w:hAnsi="宋体" w:cs="宋体" w:eastAsia="宋体" w:hint="default"/>
          <w:sz w:val="24"/>
          <w:szCs w:val="24"/>
        </w:rPr>
        <w:t>是否存在通过多次交易分步实现企业合并且在报告期内取得控制权的交易</w:t>
      </w:r>
    </w:p>
    <w:p>
      <w:pPr>
        <w:pStyle w:val="BodyText"/>
        <w:spacing w:line="240" w:lineRule="auto" w:before="55"/>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pStyle w:val="Heading3"/>
        <w:spacing w:line="292" w:lineRule="auto" w:before="134"/>
        <w:ind w:right="0"/>
        <w:jc w:val="left"/>
        <w:rPr>
          <w:b w:val="0"/>
          <w:bCs w:val="0"/>
        </w:rPr>
      </w:pPr>
      <w:r>
        <w:rPr>
          <w:spacing w:val="3"/>
          <w:w w:val="95"/>
        </w:rPr>
        <w:t>（</w:t>
      </w:r>
      <w:r>
        <w:rPr>
          <w:rFonts w:ascii="Arial" w:hAnsi="Arial" w:cs="Arial" w:eastAsia="Arial" w:hint="default"/>
          <w:spacing w:val="3"/>
          <w:w w:val="95"/>
        </w:rPr>
        <w:t>5</w:t>
      </w:r>
      <w:r>
        <w:rPr>
          <w:spacing w:val="3"/>
          <w:w w:val="95"/>
        </w:rPr>
        <w:t>）购买日或合并当期期末无法合理确定合并对价或被购买方可辨认资产、负债公允价值</w:t>
      </w:r>
      <w:r>
        <w:rPr>
          <w:spacing w:val="92"/>
          <w:w w:val="95"/>
        </w:rPr>
        <w:t> </w:t>
      </w:r>
      <w:r>
        <w:rPr>
          <w:spacing w:val="92"/>
          <w:w w:val="95"/>
        </w:rPr>
      </w:r>
      <w:r>
        <w:rPr/>
        <w:t>的相关说明</w:t>
      </w:r>
      <w:r>
        <w:rPr>
          <w:b w:val="0"/>
          <w:bCs w:val="0"/>
        </w:rPr>
      </w:r>
    </w:p>
    <w:p>
      <w:pPr>
        <w:spacing w:line="348" w:lineRule="auto" w:before="101"/>
        <w:ind w:left="152" w:right="7231" w:firstLine="0"/>
        <w:jc w:val="left"/>
        <w:rPr>
          <w:rFonts w:ascii="宋体" w:hAnsi="宋体" w:cs="宋体" w:eastAsia="宋体" w:hint="default"/>
          <w:sz w:val="24"/>
          <w:szCs w:val="24"/>
        </w:rPr>
      </w:pPr>
      <w:r>
        <w:rPr>
          <w:rFonts w:ascii="宋体" w:hAnsi="宋体" w:cs="宋体" w:eastAsia="宋体" w:hint="default"/>
          <w:sz w:val="24"/>
          <w:szCs w:val="24"/>
        </w:rPr>
        <w:t>不适用 </w:t>
      </w:r>
      <w:r>
        <w:rPr>
          <w:rFonts w:ascii="Arial" w:hAnsi="Arial" w:cs="Arial" w:eastAsia="Arial" w:hint="default"/>
          <w:b/>
          <w:bCs/>
          <w:sz w:val="24"/>
          <w:szCs w:val="24"/>
        </w:rPr>
        <w:t>2</w:t>
      </w:r>
      <w:r>
        <w:rPr>
          <w:rFonts w:ascii="宋体" w:hAnsi="宋体" w:cs="宋体" w:eastAsia="宋体" w:hint="default"/>
          <w:b/>
          <w:bCs/>
          <w:sz w:val="24"/>
          <w:szCs w:val="24"/>
        </w:rPr>
        <w:t>、同一控制下企业合并</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spacing w:line="348" w:lineRule="auto" w:before="46"/>
        <w:ind w:left="152" w:right="8195" w:firstLine="0"/>
        <w:jc w:val="left"/>
        <w:rPr>
          <w:rFonts w:ascii="宋体" w:hAnsi="宋体" w:cs="宋体" w:eastAsia="宋体" w:hint="default"/>
          <w:sz w:val="24"/>
          <w:szCs w:val="24"/>
        </w:rPr>
      </w:pPr>
      <w:r>
        <w:rPr>
          <w:rFonts w:ascii="Arial" w:hAnsi="Arial" w:cs="Arial" w:eastAsia="Arial" w:hint="default"/>
          <w:b/>
          <w:bCs/>
          <w:sz w:val="24"/>
          <w:szCs w:val="24"/>
        </w:rPr>
        <w:t>3</w:t>
      </w:r>
      <w:r>
        <w:rPr>
          <w:rFonts w:ascii="宋体" w:hAnsi="宋体" w:cs="宋体" w:eastAsia="宋体" w:hint="default"/>
          <w:b/>
          <w:bCs/>
          <w:sz w:val="24"/>
          <w:szCs w:val="24"/>
        </w:rPr>
        <w:t>、反向购买</w:t>
      </w:r>
      <w:r>
        <w:rPr>
          <w:rFonts w:ascii="宋体" w:hAnsi="宋体" w:cs="宋体" w:eastAsia="宋体" w:hint="default"/>
          <w:b/>
          <w:bCs/>
          <w:w w:val="99"/>
          <w:sz w:val="24"/>
          <w:szCs w:val="24"/>
        </w:rPr>
        <w:t> </w:t>
      </w:r>
      <w:r>
        <w:rPr>
          <w:rFonts w:ascii="宋体" w:hAnsi="宋体" w:cs="宋体" w:eastAsia="宋体" w:hint="default"/>
          <w:sz w:val="24"/>
          <w:szCs w:val="24"/>
        </w:rPr>
        <w:t>不适用 </w:t>
      </w:r>
      <w:r>
        <w:rPr>
          <w:rFonts w:ascii="Arial" w:hAnsi="Arial" w:cs="Arial" w:eastAsia="Arial" w:hint="default"/>
          <w:b/>
          <w:bCs/>
          <w:sz w:val="24"/>
          <w:szCs w:val="24"/>
        </w:rPr>
        <w:t>4</w:t>
      </w:r>
      <w:r>
        <w:rPr>
          <w:rFonts w:ascii="宋体" w:hAnsi="宋体" w:cs="宋体" w:eastAsia="宋体" w:hint="default"/>
          <w:b/>
          <w:bCs/>
          <w:sz w:val="24"/>
          <w:szCs w:val="24"/>
        </w:rPr>
        <w:t>、处置子公司</w:t>
      </w:r>
      <w:r>
        <w:rPr>
          <w:rFonts w:ascii="宋体" w:hAnsi="宋体" w:cs="宋体" w:eastAsia="宋体" w:hint="default"/>
          <w:sz w:val="24"/>
          <w:szCs w:val="24"/>
        </w:rPr>
      </w:r>
    </w:p>
    <w:p>
      <w:pPr>
        <w:pStyle w:val="BodyText"/>
        <w:spacing w:line="240" w:lineRule="auto" w:before="16"/>
        <w:ind w:right="0"/>
        <w:jc w:val="left"/>
      </w:pPr>
      <w:r>
        <w:rPr/>
        <w:t>是否存在单次处置对子公司投资即丧失控制权的情形</w:t>
      </w:r>
    </w:p>
    <w:p>
      <w:pPr>
        <w:pStyle w:val="BodyText"/>
        <w:spacing w:line="338" w:lineRule="auto" w:before="154"/>
        <w:ind w:right="209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是否存在通过多次交易分步处置对子公司投资且在本期丧失控制权的情形</w:t>
      </w:r>
    </w:p>
    <w:p>
      <w:pPr>
        <w:pStyle w:val="BodyText"/>
        <w:spacing w:line="240" w:lineRule="auto" w:before="56"/>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pStyle w:val="Heading3"/>
        <w:spacing w:line="240" w:lineRule="auto" w:before="137"/>
        <w:ind w:right="0"/>
        <w:jc w:val="left"/>
        <w:rPr>
          <w:b w:val="0"/>
          <w:bCs w:val="0"/>
        </w:rPr>
      </w:pPr>
      <w:r>
        <w:rPr>
          <w:rFonts w:ascii="Arial" w:hAnsi="Arial" w:cs="Arial" w:eastAsia="Arial" w:hint="default"/>
        </w:rPr>
        <w:t>5</w:t>
      </w:r>
      <w:r>
        <w:rPr/>
        <w:t>、其他原因的合并范围变动</w:t>
      </w:r>
      <w:r>
        <w:rPr>
          <w:b w:val="0"/>
          <w:bCs w:val="0"/>
        </w:rPr>
      </w:r>
    </w:p>
    <w:p>
      <w:pPr>
        <w:pStyle w:val="BodyText"/>
        <w:spacing w:line="312" w:lineRule="exact" w:before="117"/>
        <w:ind w:right="174" w:firstLine="480"/>
        <w:jc w:val="left"/>
      </w:pPr>
      <w:r>
        <w:rPr>
          <w:rFonts w:ascii="Arial" w:hAnsi="Arial" w:cs="Arial" w:eastAsia="Arial" w:hint="default"/>
        </w:rPr>
        <w:t>2014</w:t>
      </w:r>
      <w:r>
        <w:rPr/>
        <w:t>年</w:t>
      </w:r>
      <w:r>
        <w:rPr>
          <w:rFonts w:ascii="Arial" w:hAnsi="Arial" w:cs="Arial" w:eastAsia="Arial" w:hint="default"/>
        </w:rPr>
        <w:t>3</w:t>
      </w:r>
      <w:r>
        <w:rPr/>
        <w:t>月</w:t>
      </w:r>
      <w:r>
        <w:rPr>
          <w:rFonts w:ascii="Arial" w:hAnsi="Arial" w:cs="Arial" w:eastAsia="Arial" w:hint="default"/>
        </w:rPr>
        <w:t>21</w:t>
      </w:r>
      <w:r>
        <w:rPr/>
        <w:t>日，公司新设立的北京华宇信码技术有限公司完成了工商登记手续，取得 了北京市工商行政管理局海淀分局颁发的《企业法人营业执照》，本期纳入合并报表范围。</w:t>
      </w:r>
    </w:p>
    <w:p>
      <w:pPr>
        <w:pStyle w:val="Heading3"/>
        <w:spacing w:line="240" w:lineRule="auto" w:before="79"/>
        <w:ind w:right="0"/>
        <w:jc w:val="left"/>
        <w:rPr>
          <w:b w:val="0"/>
          <w:bCs w:val="0"/>
        </w:rPr>
      </w:pPr>
      <w:r>
        <w:rPr/>
        <w:t>九、在其他主体中的权益</w:t>
      </w:r>
      <w:r>
        <w:rPr>
          <w:b w:val="0"/>
          <w:bCs w:val="0"/>
        </w:rPr>
      </w:r>
    </w:p>
    <w:p>
      <w:pPr>
        <w:pStyle w:val="Heading3"/>
        <w:spacing w:line="240" w:lineRule="auto" w:before="154"/>
        <w:ind w:right="0"/>
        <w:jc w:val="left"/>
        <w:rPr>
          <w:b w:val="0"/>
          <w:bCs w:val="0"/>
        </w:rPr>
      </w:pPr>
      <w:r>
        <w:rPr>
          <w:rFonts w:ascii="Arial" w:hAnsi="Arial" w:cs="Arial" w:eastAsia="Arial" w:hint="default"/>
        </w:rPr>
        <w:t>1</w:t>
      </w:r>
      <w:r>
        <w:rPr/>
        <w:t>、在子公司中的权益</w:t>
      </w:r>
      <w:r>
        <w:rPr>
          <w:b w:val="0"/>
          <w:bCs w:val="0"/>
        </w:rPr>
      </w:r>
    </w:p>
    <w:p>
      <w:pPr>
        <w:pStyle w:val="Heading3"/>
        <w:spacing w:line="240" w:lineRule="auto" w:before="137"/>
        <w:ind w:right="0"/>
        <w:jc w:val="left"/>
        <w:rPr>
          <w:b w:val="0"/>
          <w:bCs w:val="0"/>
        </w:rPr>
      </w:pPr>
      <w:r>
        <w:rPr/>
        <w:t>（</w:t>
      </w:r>
      <w:r>
        <w:rPr>
          <w:rFonts w:ascii="Arial" w:hAnsi="Arial" w:cs="Arial" w:eastAsia="Arial" w:hint="default"/>
        </w:rPr>
        <w:t>1</w:t>
      </w:r>
      <w:r>
        <w:rPr/>
        <w:t>）企业集团的构成</w:t>
      </w:r>
      <w:r>
        <w:rPr>
          <w:b w:val="0"/>
          <w:bCs w:val="0"/>
        </w:rPr>
      </w:r>
    </w:p>
    <w:p>
      <w:pPr>
        <w:spacing w:line="240" w:lineRule="auto" w:before="11"/>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2696"/>
        <w:gridCol w:w="850"/>
        <w:gridCol w:w="1558"/>
        <w:gridCol w:w="1844"/>
        <w:gridCol w:w="994"/>
        <w:gridCol w:w="566"/>
        <w:gridCol w:w="994"/>
      </w:tblGrid>
      <w:tr>
        <w:trPr>
          <w:trHeight w:val="401"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31" w:right="59"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4"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广州华宇信息技术有限公司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广州市海珠区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大连市甘井子区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技术开发与咨询、服务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bl>
    <w:p>
      <w:pPr>
        <w:spacing w:after="0" w:line="316" w:lineRule="auto"/>
        <w:jc w:val="left"/>
        <w:rPr>
          <w:rFonts w:ascii="宋体" w:hAnsi="宋体" w:cs="宋体" w:eastAsia="宋体" w:hint="default"/>
          <w:sz w:val="18"/>
          <w:szCs w:val="18"/>
        </w:rPr>
        <w:sectPr>
          <w:pgSz w:w="11910" w:h="16840"/>
          <w:pgMar w:header="884" w:footer="1010" w:top="1140" w:bottom="1200" w:left="980" w:right="980"/>
        </w:sectPr>
      </w:pPr>
    </w:p>
    <w:p>
      <w:pPr>
        <w:spacing w:line="240" w:lineRule="auto" w:before="8"/>
        <w:rPr>
          <w:rFonts w:ascii="宋体" w:hAnsi="宋体" w:cs="宋体" w:eastAsia="宋体" w:hint="default"/>
          <w:b/>
          <w:bCs/>
          <w:sz w:val="16"/>
          <w:szCs w:val="16"/>
        </w:rPr>
      </w:pPr>
    </w:p>
    <w:p>
      <w:pPr>
        <w:pStyle w:val="Heading3"/>
        <w:spacing w:line="240" w:lineRule="auto" w:before="26"/>
        <w:ind w:right="0"/>
        <w:jc w:val="left"/>
        <w:rPr>
          <w:b w:val="0"/>
          <w:bCs w:val="0"/>
        </w:rPr>
      </w:pPr>
      <w:r>
        <w:rPr/>
        <w:t>（</w:t>
      </w:r>
      <w:r>
        <w:rPr>
          <w:rFonts w:ascii="Arial" w:hAnsi="Arial" w:cs="Arial" w:eastAsia="Arial" w:hint="default"/>
        </w:rPr>
        <w:t>2</w:t>
      </w:r>
      <w:r>
        <w:rPr/>
        <w:t>）重要的非全资子公司</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560"/>
        <w:gridCol w:w="1702"/>
        <w:gridCol w:w="1560"/>
        <w:gridCol w:w="1916"/>
      </w:tblGrid>
      <w:tr>
        <w:trPr>
          <w:trHeight w:val="76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75" w:right="34"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235" w:right="53"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1,473,426.37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9,955,807.55</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3,284,489.00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16,427,226.24</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-2,326,029.50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3,553,970.50</w:t>
            </w:r>
          </w:p>
        </w:tc>
      </w:tr>
    </w:tbl>
    <w:p>
      <w:pPr>
        <w:pStyle w:val="BodyText"/>
        <w:spacing w:line="240" w:lineRule="auto"/>
        <w:ind w:right="0"/>
        <w:jc w:val="left"/>
      </w:pPr>
      <w:r>
        <w:rPr/>
        <w:t>子公司少数股东的持股比例不同于表决权比例的说明：不适用</w:t>
      </w:r>
    </w:p>
    <w:p>
      <w:pPr>
        <w:spacing w:after="0" w:line="240" w:lineRule="auto"/>
        <w:jc w:val="left"/>
        <w:sectPr>
          <w:footerReference w:type="default" r:id="rId53"/>
          <w:pgSz w:w="11910" w:h="16840"/>
          <w:pgMar w:footer="1010" w:header="884" w:top="1140" w:bottom="1200" w:left="980" w:right="980"/>
        </w:sectPr>
      </w:pPr>
    </w:p>
    <w:p>
      <w:pPr>
        <w:spacing w:line="240" w:lineRule="auto" w:before="1"/>
        <w:rPr>
          <w:rFonts w:ascii="宋体" w:hAnsi="宋体" w:cs="宋体" w:eastAsia="宋体" w:hint="default"/>
          <w:sz w:val="24"/>
          <w:szCs w:val="24"/>
        </w:rPr>
      </w:pPr>
    </w:p>
    <w:p>
      <w:pPr>
        <w:pStyle w:val="Heading3"/>
        <w:spacing w:line="240" w:lineRule="auto"/>
        <w:ind w:left="140" w:right="0"/>
        <w:jc w:val="left"/>
        <w:rPr>
          <w:b w:val="0"/>
          <w:bCs w:val="0"/>
        </w:rPr>
      </w:pPr>
      <w:r>
        <w:rPr/>
        <w:pict>
          <v:group style="position:absolute;margin-left:70.559998pt;margin-top:1.515596pt;width:700.95pt;height:.1pt;mso-position-horizontal-relative:page;mso-position-vertical-relative:paragraph;z-index:-742192" coordorigin="1411,30" coordsize="14019,2">
            <v:shape style="position:absolute;left:1411;top:30;width:14019;height:2" coordorigin="1411,30" coordsize="14019,0" path="m1411,30l15430,30e" filled="false" stroked="true" strokeweight=".72pt" strokecolor="#000000">
              <v:path arrowok="t"/>
            </v:shape>
            <w10:wrap type="none"/>
          </v:group>
        </w:pict>
      </w:r>
      <w:r>
        <w:rPr>
          <w:w w:val="95"/>
        </w:rPr>
        <w:t>（</w:t>
      </w:r>
      <w:r>
        <w:rPr>
          <w:rFonts w:ascii="Arial" w:hAnsi="Arial" w:cs="Arial" w:eastAsia="Arial" w:hint="default"/>
          <w:w w:val="95"/>
        </w:rPr>
        <w:t>3</w:t>
      </w:r>
      <w:r>
        <w:rPr>
          <w:w w:val="95"/>
        </w:rPr>
        <w:t>）重要非全资子公司的主要财务信息</w:t>
      </w:r>
      <w:r>
        <w:rPr>
          <w:b w:val="0"/>
          <w:bCs w:val="0"/>
        </w:rPr>
      </w:r>
    </w:p>
    <w:p>
      <w:pPr>
        <w:spacing w:before="14"/>
        <w:ind w:left="140"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北京华宇软件股份有限公司</w:t>
      </w:r>
      <w:r>
        <w:rPr>
          <w:rFonts w:ascii="宋体" w:hAnsi="宋体" w:cs="宋体" w:eastAsia="宋体" w:hint="default"/>
          <w:b/>
          <w:bCs/>
          <w:spacing w:val="-53"/>
          <w:sz w:val="21"/>
          <w:szCs w:val="21"/>
        </w:rPr>
        <w:t> </w:t>
      </w:r>
      <w:r>
        <w:rPr>
          <w:rFonts w:ascii="Arial" w:hAnsi="Arial" w:cs="Arial" w:eastAsia="Arial" w:hint="default"/>
          <w:b/>
          <w:bCs/>
          <w:sz w:val="21"/>
          <w:szCs w:val="21"/>
        </w:rPr>
        <w:t>2014</w:t>
      </w:r>
      <w:r>
        <w:rPr>
          <w:rFonts w:ascii="Arial" w:hAnsi="Arial" w:cs="Arial" w:eastAsia="Arial" w:hint="default"/>
          <w:b/>
          <w:bCs/>
          <w:spacing w:val="-8"/>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54"/>
          <w:footerReference w:type="default" r:id="rId55"/>
          <w:pgSz w:w="16840" w:h="11910" w:orient="landscape"/>
          <w:pgMar w:header="0" w:footer="0" w:top="800" w:bottom="280" w:left="1300" w:right="960"/>
          <w:cols w:num="2" w:equalWidth="0">
            <w:col w:w="4368" w:space="5435"/>
            <w:col w:w="4777"/>
          </w:cols>
        </w:sectPr>
      </w:pPr>
    </w:p>
    <w:p>
      <w:pPr>
        <w:spacing w:line="240" w:lineRule="auto" w:before="8"/>
        <w:rPr>
          <w:rFonts w:ascii="宋体" w:hAnsi="宋体" w:cs="宋体" w:eastAsia="宋体" w:hint="default"/>
          <w:b/>
          <w:bCs/>
          <w:sz w:val="21"/>
          <w:szCs w:val="21"/>
        </w:rPr>
      </w:pPr>
    </w:p>
    <w:p>
      <w:pPr>
        <w:spacing w:before="44"/>
        <w:ind w:left="0" w:right="47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560"/>
        <w:gridCol w:w="1135"/>
        <w:gridCol w:w="1275"/>
        <w:gridCol w:w="1133"/>
        <w:gridCol w:w="1277"/>
        <w:gridCol w:w="567"/>
        <w:gridCol w:w="1135"/>
        <w:gridCol w:w="1133"/>
        <w:gridCol w:w="1136"/>
        <w:gridCol w:w="1133"/>
        <w:gridCol w:w="1135"/>
        <w:gridCol w:w="566"/>
        <w:gridCol w:w="1133"/>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52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3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5" w:right="98"/>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w w:val="90"/>
                <w:sz w:val="18"/>
                <w:szCs w:val="18"/>
              </w:rPr>
              <w:t>北京亿信华辰软件有</w:t>
            </w:r>
            <w:r>
              <w:rPr>
                <w:rFonts w:ascii="宋体" w:hAnsi="宋体" w:cs="宋体" w:eastAsia="宋体" w:hint="default"/>
                <w:w w:val="89"/>
                <w:sz w:val="18"/>
                <w:szCs w:val="18"/>
              </w:rPr>
              <w:t> </w:t>
            </w:r>
            <w:r>
              <w:rPr>
                <w:rFonts w:ascii="宋体" w:hAnsi="宋体" w:cs="宋体" w:eastAsia="宋体" w:hint="default"/>
                <w:sz w:val="18"/>
                <w:szCs w:val="18"/>
              </w:rPr>
              <w:t>限责任公司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7"/>
              <w:jc w:val="right"/>
              <w:rPr>
                <w:rFonts w:ascii="Arial" w:hAnsi="Arial" w:cs="Arial" w:eastAsia="Arial" w:hint="default"/>
                <w:sz w:val="18"/>
                <w:szCs w:val="18"/>
              </w:rPr>
            </w:pPr>
            <w:r>
              <w:rPr>
                <w:rFonts w:ascii="Arial"/>
                <w:w w:val="85"/>
                <w:sz w:val="18"/>
              </w:rPr>
              <w:t>33,659,311.69</w:t>
            </w:r>
            <w:r>
              <w:rPr>
                <w:rFonts w:ascii="Arial"/>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7"/>
              <w:jc w:val="right"/>
              <w:rPr>
                <w:rFonts w:ascii="Arial" w:hAnsi="Arial" w:cs="Arial" w:eastAsia="Arial" w:hint="default"/>
                <w:sz w:val="18"/>
                <w:szCs w:val="18"/>
              </w:rPr>
            </w:pPr>
            <w:r>
              <w:rPr>
                <w:rFonts w:ascii="Arial"/>
                <w:w w:val="85"/>
                <w:sz w:val="18"/>
              </w:rPr>
              <w:t>24,483,046.18</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center"/>
              <w:rPr>
                <w:rFonts w:ascii="Arial" w:hAnsi="Arial" w:cs="Arial" w:eastAsia="Arial" w:hint="default"/>
                <w:sz w:val="18"/>
                <w:szCs w:val="18"/>
              </w:rPr>
            </w:pPr>
            <w:r>
              <w:rPr>
                <w:rFonts w:ascii="Arial"/>
                <w:w w:val="90"/>
                <w:sz w:val="18"/>
              </w:rPr>
              <w:t>58,142,357.87</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18"/>
                <w:szCs w:val="18"/>
              </w:rPr>
            </w:pPr>
            <w:r>
              <w:rPr>
                <w:rFonts w:ascii="Arial"/>
                <w:w w:val="85"/>
                <w:sz w:val="18"/>
              </w:rPr>
              <w:t>8,363,320.10</w:t>
            </w:r>
            <w:r>
              <w:rPr>
                <w:rFonts w:ascii="Arial"/>
                <w:sz w:val="18"/>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18"/>
                <w:szCs w:val="18"/>
              </w:rPr>
            </w:pPr>
            <w:r>
              <w:rPr>
                <w:rFonts w:ascii="Arial"/>
                <w:w w:val="85"/>
                <w:sz w:val="18"/>
              </w:rPr>
              <w:t>8,363,320.10</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center"/>
              <w:rPr>
                <w:rFonts w:ascii="Arial" w:hAnsi="Arial" w:cs="Arial" w:eastAsia="Arial" w:hint="default"/>
                <w:sz w:val="18"/>
                <w:szCs w:val="18"/>
              </w:rPr>
            </w:pPr>
            <w:r>
              <w:rPr>
                <w:rFonts w:ascii="Arial"/>
                <w:w w:val="90"/>
                <w:sz w:val="18"/>
              </w:rPr>
              <w:t>26,212,889.79</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7"/>
              <w:jc w:val="right"/>
              <w:rPr>
                <w:rFonts w:ascii="Arial" w:hAnsi="Arial" w:cs="Arial" w:eastAsia="Arial" w:hint="default"/>
                <w:sz w:val="18"/>
                <w:szCs w:val="18"/>
              </w:rPr>
            </w:pPr>
            <w:r>
              <w:rPr>
                <w:rFonts w:ascii="Arial"/>
                <w:w w:val="85"/>
                <w:sz w:val="18"/>
              </w:rPr>
              <w:t>22,019,004.95</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center"/>
              <w:rPr>
                <w:rFonts w:ascii="Arial" w:hAnsi="Arial" w:cs="Arial" w:eastAsia="Arial" w:hint="default"/>
                <w:sz w:val="18"/>
                <w:szCs w:val="18"/>
              </w:rPr>
            </w:pPr>
            <w:r>
              <w:rPr>
                <w:rFonts w:ascii="Arial"/>
                <w:w w:val="90"/>
                <w:sz w:val="18"/>
              </w:rPr>
              <w:t>48,231,894.74</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6" w:right="0"/>
              <w:jc w:val="left"/>
              <w:rPr>
                <w:rFonts w:ascii="Arial" w:hAnsi="Arial" w:cs="Arial" w:eastAsia="Arial" w:hint="default"/>
                <w:sz w:val="18"/>
                <w:szCs w:val="18"/>
              </w:rPr>
            </w:pPr>
            <w:r>
              <w:rPr>
                <w:rFonts w:ascii="Arial"/>
                <w:w w:val="90"/>
                <w:sz w:val="18"/>
              </w:rPr>
              <w:t>5,819,988.82</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6" w:right="0"/>
              <w:jc w:val="left"/>
              <w:rPr>
                <w:rFonts w:ascii="Arial" w:hAnsi="Arial" w:cs="Arial" w:eastAsia="Arial" w:hint="default"/>
                <w:sz w:val="18"/>
                <w:szCs w:val="18"/>
              </w:rPr>
            </w:pPr>
            <w:r>
              <w:rPr>
                <w:rFonts w:ascii="Arial"/>
                <w:w w:val="90"/>
                <w:sz w:val="18"/>
              </w:rPr>
              <w:t>5,819,988.82</w:t>
            </w:r>
            <w:r>
              <w:rPr>
                <w:rFonts w:ascii="Arial"/>
                <w:sz w:val="18"/>
              </w:rPr>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w w:val="90"/>
                <w:sz w:val="18"/>
                <w:szCs w:val="18"/>
              </w:rPr>
              <w:t>华宇金信（北京）软</w:t>
            </w:r>
            <w:r>
              <w:rPr>
                <w:rFonts w:ascii="宋体" w:hAnsi="宋体" w:cs="宋体" w:eastAsia="宋体" w:hint="default"/>
                <w:w w:val="89"/>
                <w:sz w:val="18"/>
                <w:szCs w:val="18"/>
              </w:rPr>
              <w:t> </w:t>
            </w:r>
            <w:r>
              <w:rPr>
                <w:rFonts w:ascii="宋体" w:hAnsi="宋体" w:cs="宋体" w:eastAsia="宋体" w:hint="default"/>
                <w:sz w:val="18"/>
                <w:szCs w:val="18"/>
              </w:rPr>
              <w:t>件有限公司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7"/>
              <w:jc w:val="right"/>
              <w:rPr>
                <w:rFonts w:ascii="Arial" w:hAnsi="Arial" w:cs="Arial" w:eastAsia="Arial" w:hint="default"/>
                <w:sz w:val="18"/>
                <w:szCs w:val="18"/>
              </w:rPr>
            </w:pPr>
            <w:r>
              <w:rPr>
                <w:rFonts w:ascii="Arial"/>
                <w:w w:val="85"/>
                <w:sz w:val="18"/>
              </w:rPr>
              <w:t>74,541,403.89</w:t>
            </w:r>
            <w:r>
              <w:rPr>
                <w:rFonts w:ascii="Arial"/>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7"/>
              <w:jc w:val="right"/>
              <w:rPr>
                <w:rFonts w:ascii="Arial" w:hAnsi="Arial" w:cs="Arial" w:eastAsia="Arial" w:hint="default"/>
                <w:sz w:val="18"/>
                <w:szCs w:val="18"/>
              </w:rPr>
            </w:pPr>
            <w:r>
              <w:rPr>
                <w:rFonts w:ascii="Arial"/>
                <w:w w:val="85"/>
                <w:sz w:val="18"/>
              </w:rPr>
              <w:t>18,095,344.95</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center"/>
              <w:rPr>
                <w:rFonts w:ascii="Arial" w:hAnsi="Arial" w:cs="Arial" w:eastAsia="Arial" w:hint="default"/>
                <w:sz w:val="18"/>
                <w:szCs w:val="18"/>
              </w:rPr>
            </w:pPr>
            <w:r>
              <w:rPr>
                <w:rFonts w:ascii="Arial"/>
                <w:w w:val="90"/>
                <w:sz w:val="18"/>
              </w:rPr>
              <w:t>92,636,748.84</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7"/>
              <w:jc w:val="right"/>
              <w:rPr>
                <w:rFonts w:ascii="Arial" w:hAnsi="Arial" w:cs="Arial" w:eastAsia="Arial" w:hint="default"/>
                <w:sz w:val="18"/>
                <w:szCs w:val="18"/>
              </w:rPr>
            </w:pPr>
            <w:r>
              <w:rPr>
                <w:rFonts w:ascii="Arial"/>
                <w:w w:val="85"/>
                <w:sz w:val="18"/>
              </w:rPr>
              <w:t>59,111,797.34</w:t>
            </w:r>
            <w:r>
              <w:rPr>
                <w:rFonts w:ascii="Arial"/>
                <w:sz w:val="18"/>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7"/>
              <w:jc w:val="right"/>
              <w:rPr>
                <w:rFonts w:ascii="Arial" w:hAnsi="Arial" w:cs="Arial" w:eastAsia="Arial" w:hint="default"/>
                <w:sz w:val="18"/>
                <w:szCs w:val="18"/>
              </w:rPr>
            </w:pPr>
            <w:r>
              <w:rPr>
                <w:rFonts w:ascii="Arial"/>
                <w:w w:val="85"/>
                <w:sz w:val="18"/>
              </w:rPr>
              <w:t>59,111,797.34</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center"/>
              <w:rPr>
                <w:rFonts w:ascii="Arial" w:hAnsi="Arial" w:cs="Arial" w:eastAsia="Arial" w:hint="default"/>
                <w:sz w:val="18"/>
                <w:szCs w:val="18"/>
              </w:rPr>
            </w:pPr>
            <w:r>
              <w:rPr>
                <w:rFonts w:ascii="Arial"/>
                <w:w w:val="90"/>
                <w:sz w:val="18"/>
              </w:rPr>
              <w:t>26,868,238.10</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7"/>
              <w:jc w:val="right"/>
              <w:rPr>
                <w:rFonts w:ascii="Arial" w:hAnsi="Arial" w:cs="Arial" w:eastAsia="Arial" w:hint="default"/>
                <w:sz w:val="18"/>
                <w:szCs w:val="18"/>
              </w:rPr>
            </w:pPr>
            <w:r>
              <w:rPr>
                <w:rFonts w:ascii="Arial"/>
                <w:w w:val="85"/>
                <w:sz w:val="18"/>
              </w:rPr>
              <w:t>7,324,610.07</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center"/>
              <w:rPr>
                <w:rFonts w:ascii="Arial" w:hAnsi="Arial" w:cs="Arial" w:eastAsia="Arial" w:hint="default"/>
                <w:sz w:val="18"/>
                <w:szCs w:val="18"/>
              </w:rPr>
            </w:pPr>
            <w:r>
              <w:rPr>
                <w:rFonts w:ascii="Arial"/>
                <w:w w:val="90"/>
                <w:sz w:val="18"/>
              </w:rPr>
              <w:t>34,192,848.17</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6" w:right="0"/>
              <w:jc w:val="left"/>
              <w:rPr>
                <w:rFonts w:ascii="Arial" w:hAnsi="Arial" w:cs="Arial" w:eastAsia="Arial" w:hint="default"/>
                <w:sz w:val="18"/>
                <w:szCs w:val="18"/>
              </w:rPr>
            </w:pPr>
            <w:r>
              <w:rPr>
                <w:rFonts w:ascii="Arial"/>
                <w:w w:val="90"/>
                <w:sz w:val="18"/>
              </w:rPr>
              <w:t>7,355,185.38</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6" w:right="0"/>
              <w:jc w:val="left"/>
              <w:rPr>
                <w:rFonts w:ascii="Arial" w:hAnsi="Arial" w:cs="Arial" w:eastAsia="Arial" w:hint="default"/>
                <w:sz w:val="18"/>
                <w:szCs w:val="18"/>
              </w:rPr>
            </w:pPr>
            <w:r>
              <w:rPr>
                <w:rFonts w:ascii="Arial"/>
                <w:w w:val="90"/>
                <w:sz w:val="18"/>
              </w:rPr>
              <w:t>7,355,185.38</w:t>
            </w:r>
            <w:r>
              <w:rPr>
                <w:rFonts w:ascii="Arial"/>
                <w:sz w:val="18"/>
              </w:rPr>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w w:val="90"/>
                <w:sz w:val="18"/>
                <w:szCs w:val="18"/>
              </w:rPr>
              <w:t>北京华宇信码技术有</w:t>
            </w:r>
            <w:r>
              <w:rPr>
                <w:rFonts w:ascii="宋体" w:hAnsi="宋体" w:cs="宋体" w:eastAsia="宋体" w:hint="default"/>
                <w:w w:val="89"/>
                <w:sz w:val="18"/>
                <w:szCs w:val="18"/>
              </w:rPr>
              <w:t> </w:t>
            </w: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18"/>
                <w:szCs w:val="18"/>
              </w:rPr>
            </w:pPr>
            <w:r>
              <w:rPr>
                <w:rFonts w:ascii="Arial"/>
                <w:w w:val="85"/>
                <w:sz w:val="18"/>
              </w:rPr>
              <w:t>7,582,914.21</w:t>
            </w:r>
            <w:r>
              <w:rPr>
                <w:rFonts w:ascii="Arial"/>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7"/>
              <w:jc w:val="right"/>
              <w:rPr>
                <w:rFonts w:ascii="Arial" w:hAnsi="Arial" w:cs="Arial" w:eastAsia="Arial" w:hint="default"/>
                <w:sz w:val="18"/>
                <w:szCs w:val="18"/>
              </w:rPr>
            </w:pPr>
            <w:r>
              <w:rPr>
                <w:rFonts w:ascii="Arial"/>
                <w:w w:val="85"/>
                <w:sz w:val="18"/>
              </w:rPr>
              <w:t>144,006.51</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5" w:right="0"/>
              <w:jc w:val="center"/>
              <w:rPr>
                <w:rFonts w:ascii="Arial" w:hAnsi="Arial" w:cs="Arial" w:eastAsia="Arial" w:hint="default"/>
                <w:sz w:val="18"/>
                <w:szCs w:val="18"/>
              </w:rPr>
            </w:pPr>
            <w:r>
              <w:rPr>
                <w:rFonts w:ascii="Arial"/>
                <w:w w:val="90"/>
                <w:sz w:val="18"/>
              </w:rPr>
              <w:t>7,726,920.72</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18"/>
                <w:szCs w:val="18"/>
              </w:rPr>
            </w:pPr>
            <w:r>
              <w:rPr>
                <w:rFonts w:ascii="Arial"/>
                <w:w w:val="85"/>
                <w:sz w:val="18"/>
              </w:rPr>
              <w:t>473,919.70</w:t>
            </w:r>
            <w:r>
              <w:rPr>
                <w:rFonts w:ascii="Arial"/>
                <w:sz w:val="18"/>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18"/>
                <w:szCs w:val="18"/>
              </w:rPr>
            </w:pPr>
            <w:r>
              <w:rPr>
                <w:rFonts w:ascii="Arial"/>
                <w:w w:val="85"/>
                <w:sz w:val="18"/>
              </w:rPr>
              <w:t>473,919.70</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47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120"/>
        <w:gridCol w:w="1417"/>
        <w:gridCol w:w="1418"/>
        <w:gridCol w:w="1416"/>
        <w:gridCol w:w="1418"/>
        <w:gridCol w:w="1417"/>
        <w:gridCol w:w="1277"/>
        <w:gridCol w:w="1274"/>
        <w:gridCol w:w="1560"/>
      </w:tblGrid>
      <w:tr>
        <w:trPr>
          <w:trHeight w:val="402" w:hRule="exact"/>
        </w:trPr>
        <w:tc>
          <w:tcPr>
            <w:tcW w:w="31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6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5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2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72" w:hanging="540"/>
              <w:jc w:val="left"/>
              <w:rPr>
                <w:rFonts w:ascii="宋体" w:hAnsi="宋体" w:cs="宋体" w:eastAsia="宋体" w:hint="default"/>
                <w:sz w:val="18"/>
                <w:szCs w:val="18"/>
              </w:rPr>
            </w:pPr>
            <w:r>
              <w:rPr>
                <w:rFonts w:ascii="宋体" w:hAnsi="宋体" w:cs="宋体" w:eastAsia="宋体" w:hint="default"/>
                <w:sz w:val="18"/>
                <w:szCs w:val="18"/>
              </w:rPr>
              <w:t>经营活动现金流 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57,701,479.57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7,367,131.85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7,367,131.85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9,077,713.11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45,013,448.52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5,015,376.96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5,015,376.96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-7,631,351.08</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68,309,493.45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6,703,038.77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6,703,038.77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30,896,353.28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30,543,486.09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985,212.35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985,212.35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821,914.19</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39,308.18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-4,746,998.98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-4,746,998.98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-4,933,770.14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74"/>
        <w:ind w:left="0" w:right="473" w:firstLine="0"/>
        <w:jc w:val="right"/>
        <w:rPr>
          <w:rFonts w:ascii="Arial" w:hAnsi="Arial" w:cs="Arial" w:eastAsia="Arial" w:hint="default"/>
          <w:sz w:val="21"/>
          <w:szCs w:val="21"/>
        </w:rPr>
      </w:pPr>
      <w:r>
        <w:rPr>
          <w:rFonts w:ascii="Arial"/>
          <w:b/>
          <w:sz w:val="21"/>
        </w:rPr>
        <w:t>141</w:t>
      </w:r>
      <w:r>
        <w:rPr>
          <w:rFonts w:ascii="Arial"/>
          <w:sz w:val="21"/>
        </w:rPr>
      </w:r>
    </w:p>
    <w:p>
      <w:pPr>
        <w:spacing w:after="0"/>
        <w:jc w:val="right"/>
        <w:rPr>
          <w:rFonts w:ascii="Arial" w:hAnsi="Arial" w:cs="Arial" w:eastAsia="Arial" w:hint="default"/>
          <w:sz w:val="21"/>
          <w:szCs w:val="21"/>
        </w:rPr>
        <w:sectPr>
          <w:type w:val="continuous"/>
          <w:pgSz w:w="16840" w:h="11910" w:orient="landscape"/>
          <w:pgMar w:top="1100" w:bottom="1200" w:left="1300" w:right="960"/>
        </w:sectPr>
      </w:pPr>
    </w:p>
    <w:p>
      <w:pPr>
        <w:spacing w:line="240" w:lineRule="auto" w:before="9"/>
        <w:rPr>
          <w:rFonts w:ascii="Arial" w:hAnsi="Arial" w:cs="Arial" w:eastAsia="Arial" w:hint="default"/>
          <w:b/>
          <w:bCs/>
          <w:sz w:val="24"/>
          <w:szCs w:val="24"/>
        </w:rPr>
      </w:pPr>
    </w:p>
    <w:p>
      <w:pPr>
        <w:pStyle w:val="Heading3"/>
        <w:spacing w:line="240" w:lineRule="auto" w:before="26"/>
        <w:ind w:right="105"/>
        <w:jc w:val="left"/>
        <w:rPr>
          <w:b w:val="0"/>
          <w:bCs w:val="0"/>
        </w:rPr>
      </w:pPr>
      <w:r>
        <w:rPr>
          <w:rFonts w:ascii="Arial" w:hAnsi="Arial" w:cs="Arial" w:eastAsia="Arial" w:hint="default"/>
        </w:rPr>
        <w:t>2</w:t>
      </w:r>
      <w:r>
        <w:rPr/>
        <w:t>、在合营安排或联营企业中的权益</w:t>
      </w:r>
      <w:r>
        <w:rPr>
          <w:b w:val="0"/>
          <w:bCs w:val="0"/>
        </w:rPr>
      </w:r>
    </w:p>
    <w:p>
      <w:pPr>
        <w:pStyle w:val="Heading3"/>
        <w:spacing w:line="240" w:lineRule="auto" w:before="137"/>
        <w:ind w:right="105"/>
        <w:jc w:val="left"/>
        <w:rPr>
          <w:b w:val="0"/>
          <w:bCs w:val="0"/>
        </w:rPr>
      </w:pPr>
      <w:r>
        <w:rPr/>
        <w:t>（</w:t>
      </w:r>
      <w:r>
        <w:rPr>
          <w:rFonts w:ascii="Arial" w:hAnsi="Arial" w:cs="Arial" w:eastAsia="Arial" w:hint="default"/>
        </w:rPr>
        <w:t>1</w:t>
      </w:r>
      <w:r>
        <w:rPr/>
        <w:t>）重要的合营企业或联营企业</w:t>
      </w:r>
      <w:r>
        <w:rPr>
          <w:b w:val="0"/>
          <w:bCs w:val="0"/>
        </w:rPr>
      </w:r>
    </w:p>
    <w:p>
      <w:pPr>
        <w:spacing w:line="240" w:lineRule="auto" w:before="11"/>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2552"/>
        <w:gridCol w:w="994"/>
        <w:gridCol w:w="1133"/>
        <w:gridCol w:w="1560"/>
        <w:gridCol w:w="994"/>
        <w:gridCol w:w="975"/>
        <w:gridCol w:w="1366"/>
      </w:tblGrid>
      <w:tr>
        <w:trPr>
          <w:trHeight w:val="401" w:hRule="exact"/>
        </w:trPr>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81"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255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1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5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深圳市捷视飞通科技有限公司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92" w:right="288"/>
              <w:jc w:val="left"/>
              <w:rPr>
                <w:rFonts w:ascii="宋体" w:hAnsi="宋体" w:cs="宋体" w:eastAsia="宋体" w:hint="default"/>
                <w:sz w:val="18"/>
                <w:szCs w:val="18"/>
              </w:rPr>
            </w:pPr>
            <w:r>
              <w:rPr>
                <w:rFonts w:ascii="宋体" w:hAnsi="宋体" w:cs="宋体" w:eastAsia="宋体" w:hint="default"/>
                <w:sz w:val="18"/>
                <w:szCs w:val="18"/>
              </w:rPr>
              <w:t>深圳市 南山区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84"/>
              <w:jc w:val="left"/>
              <w:rPr>
                <w:rFonts w:ascii="宋体" w:hAnsi="宋体" w:cs="宋体" w:eastAsia="宋体" w:hint="default"/>
                <w:sz w:val="18"/>
                <w:szCs w:val="18"/>
              </w:rPr>
            </w:pPr>
            <w:r>
              <w:rPr>
                <w:rFonts w:ascii="宋体" w:hAnsi="宋体" w:cs="宋体" w:eastAsia="宋体" w:hint="default"/>
                <w:sz w:val="18"/>
                <w:szCs w:val="18"/>
              </w:rPr>
              <w:t>多媒体通信产品开 发和技术研究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50" w:right="0"/>
              <w:jc w:val="left"/>
              <w:rPr>
                <w:rFonts w:ascii="Arial" w:hAnsi="Arial" w:cs="Arial" w:eastAsia="Arial" w:hint="default"/>
                <w:sz w:val="18"/>
                <w:szCs w:val="18"/>
              </w:rPr>
            </w:pPr>
            <w:r>
              <w:rPr>
                <w:rFonts w:ascii="Arial"/>
                <w:sz w:val="18"/>
              </w:rPr>
              <w:t>16.67%</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68" w:lineRule="auto"/>
        <w:ind w:right="3494"/>
        <w:jc w:val="left"/>
      </w:pPr>
      <w:r>
        <w:rPr/>
        <w:t>在合营企业或联营企业的持股比例不同于表决权比例的说明： 不适用</w:t>
      </w:r>
    </w:p>
    <w:p>
      <w:pPr>
        <w:pStyle w:val="BodyText"/>
        <w:spacing w:line="288" w:lineRule="auto" w:before="10"/>
        <w:ind w:left="633" w:right="103" w:hanging="481"/>
        <w:jc w:val="left"/>
      </w:pPr>
      <w:r>
        <w:rPr/>
        <w:t>持有</w:t>
      </w:r>
      <w:r>
        <w:rPr>
          <w:spacing w:val="-55"/>
        </w:rPr>
        <w:t> </w:t>
      </w:r>
      <w:r>
        <w:rPr>
          <w:rFonts w:ascii="Arial" w:hAnsi="Arial" w:cs="Arial" w:eastAsia="Arial" w:hint="default"/>
          <w:spacing w:val="-5"/>
        </w:rPr>
        <w:t>20%</w:t>
      </w:r>
      <w:r>
        <w:rPr>
          <w:spacing w:val="-5"/>
        </w:rPr>
        <w:t>以下表决权但具有重大影响，或者持有</w:t>
      </w:r>
      <w:r>
        <w:rPr>
          <w:spacing w:val="-55"/>
        </w:rPr>
        <w:t> </w:t>
      </w:r>
      <w:r>
        <w:rPr>
          <w:rFonts w:ascii="Arial" w:hAnsi="Arial" w:cs="Arial" w:eastAsia="Arial" w:hint="default"/>
        </w:rPr>
        <w:t>20%</w:t>
      </w:r>
      <w:r>
        <w:rPr/>
        <w:t>或以上表决权但不具有重大影响的依据： </w:t>
      </w:r>
      <w:r>
        <w:rPr>
          <w:rFonts w:ascii="Arial" w:hAnsi="Arial" w:cs="Arial" w:eastAsia="Arial" w:hint="default"/>
        </w:rPr>
        <w:t>2014</w:t>
      </w:r>
      <w:r>
        <w:rPr/>
        <w:t>年</w:t>
      </w:r>
      <w:r>
        <w:rPr>
          <w:rFonts w:ascii="Arial" w:hAnsi="Arial" w:cs="Arial" w:eastAsia="Arial" w:hint="default"/>
        </w:rPr>
        <w:t>9</w:t>
      </w:r>
      <w:r>
        <w:rPr/>
        <w:t>月，公司与蒋延春、季海交、苏州工业园区禾源北极光创业投资合伙企业（以</w:t>
      </w:r>
    </w:p>
    <w:p>
      <w:pPr>
        <w:pStyle w:val="BodyText"/>
        <w:spacing w:line="300" w:lineRule="auto" w:before="21"/>
        <w:ind w:right="340"/>
        <w:jc w:val="left"/>
      </w:pPr>
      <w:r>
        <w:rPr>
          <w:spacing w:val="-3"/>
        </w:rPr>
        <w:t>下简称</w:t>
      </w:r>
      <w:r>
        <w:rPr>
          <w:rFonts w:ascii="Arial" w:hAnsi="Arial" w:cs="Arial" w:eastAsia="Arial" w:hint="default"/>
          <w:spacing w:val="-3"/>
        </w:rPr>
        <w:t>“</w:t>
      </w:r>
      <w:r>
        <w:rPr>
          <w:spacing w:val="-3"/>
        </w:rPr>
        <w:t>北极光</w:t>
      </w:r>
      <w:r>
        <w:rPr>
          <w:rFonts w:ascii="Arial" w:hAnsi="Arial" w:cs="Arial" w:eastAsia="Arial" w:hint="default"/>
          <w:spacing w:val="-3"/>
        </w:rPr>
        <w:t>”</w:t>
      </w:r>
      <w:r>
        <w:rPr>
          <w:spacing w:val="-3"/>
        </w:rPr>
        <w:t>）等签署了《关于深圳市捷视飞通科技有限公司之增资协议》，协议中规定捷</w:t>
      </w:r>
      <w:r>
        <w:rPr>
          <w:spacing w:val="-117"/>
        </w:rPr>
        <w:t> </w:t>
      </w:r>
      <w:r>
        <w:rPr>
          <w:spacing w:val="-117"/>
        </w:rPr>
      </w:r>
      <w:r>
        <w:rPr/>
        <w:t>视飞通董事会由</w:t>
      </w:r>
      <w:r>
        <w:rPr>
          <w:rFonts w:ascii="Arial" w:hAnsi="Arial" w:cs="Arial" w:eastAsia="Arial" w:hint="default"/>
        </w:rPr>
        <w:t>5</w:t>
      </w:r>
      <w:r>
        <w:rPr/>
        <w:t>名董事组成，其中创始股东委派</w:t>
      </w:r>
      <w:r>
        <w:rPr>
          <w:rFonts w:ascii="Arial" w:hAnsi="Arial" w:cs="Arial" w:eastAsia="Arial" w:hint="default"/>
        </w:rPr>
        <w:t>3</w:t>
      </w:r>
      <w:r>
        <w:rPr/>
        <w:t>名，华宇软件和北极光各委派</w:t>
      </w:r>
      <w:r>
        <w:rPr>
          <w:rFonts w:ascii="Arial" w:hAnsi="Arial" w:cs="Arial" w:eastAsia="Arial" w:hint="default"/>
        </w:rPr>
        <w:t>1</w:t>
      </w:r>
      <w:r>
        <w:rPr/>
        <w:t>名，对于 协议中规定的特殊事项，华宇软件委派董事有一票否决权，且针对特殊事项的审议必须有华 宇软件和北极光委派的董事参加。</w:t>
      </w:r>
    </w:p>
    <w:p>
      <w:pPr>
        <w:spacing w:line="240" w:lineRule="auto" w:before="11"/>
        <w:rPr>
          <w:rFonts w:ascii="宋体" w:hAnsi="宋体" w:cs="宋体" w:eastAsia="宋体" w:hint="default"/>
          <w:sz w:val="21"/>
          <w:szCs w:val="21"/>
        </w:rPr>
      </w:pPr>
    </w:p>
    <w:p>
      <w:pPr>
        <w:spacing w:line="444" w:lineRule="auto" w:before="0"/>
        <w:ind w:left="152" w:right="493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2</w:t>
      </w:r>
      <w:r>
        <w:rPr>
          <w:rFonts w:ascii="宋体" w:hAnsi="宋体" w:cs="宋体" w:eastAsia="宋体" w:hint="default"/>
          <w:b/>
          <w:bCs/>
          <w:sz w:val="24"/>
          <w:szCs w:val="24"/>
        </w:rPr>
        <w:t>）重要联营企业的主要财务信息</w:t>
      </w:r>
      <w:r>
        <w:rPr>
          <w:rFonts w:ascii="宋体" w:hAnsi="宋体" w:cs="宋体" w:eastAsia="宋体" w:hint="default"/>
          <w:b/>
          <w:bCs/>
          <w:w w:val="99"/>
          <w:sz w:val="24"/>
          <w:szCs w:val="24"/>
        </w:rPr>
        <w:t> </w:t>
      </w:r>
      <w:r>
        <w:rPr>
          <w:rFonts w:ascii="宋体" w:hAnsi="宋体" w:cs="宋体" w:eastAsia="宋体" w:hint="default"/>
          <w:sz w:val="24"/>
          <w:szCs w:val="24"/>
        </w:rPr>
        <w:t>深圳市捷视飞通科技有限公司的主要财务信息：</w:t>
      </w:r>
    </w:p>
    <w:p>
      <w:pPr>
        <w:spacing w:line="240" w:lineRule="auto" w:before="3"/>
        <w:rPr>
          <w:rFonts w:ascii="宋体" w:hAnsi="宋体" w:cs="宋体" w:eastAsia="宋体" w:hint="default"/>
          <w:sz w:val="17"/>
          <w:szCs w:val="17"/>
        </w:rPr>
      </w:pPr>
    </w:p>
    <w:tbl>
      <w:tblPr>
        <w:tblW w:w="0" w:type="auto"/>
        <w:jc w:val="left"/>
        <w:tblInd w:w="145" w:type="dxa"/>
        <w:tblLayout w:type="fixed"/>
        <w:tblCellMar>
          <w:top w:w="0" w:type="dxa"/>
          <w:left w:w="0" w:type="dxa"/>
          <w:bottom w:w="0" w:type="dxa"/>
          <w:right w:w="0" w:type="dxa"/>
        </w:tblCellMar>
        <w:tblLook w:val="01E0"/>
      </w:tblPr>
      <w:tblGrid>
        <w:gridCol w:w="3121"/>
        <w:gridCol w:w="3118"/>
        <w:gridCol w:w="3029"/>
      </w:tblGrid>
      <w:tr>
        <w:trPr>
          <w:trHeight w:val="50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71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本年发生额</w:t>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67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本年发生额</w:t>
            </w:r>
          </w:p>
        </w:tc>
      </w:tr>
      <w:tr>
        <w:trPr>
          <w:trHeight w:val="50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89,996,841.29</w:t>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60,770,463.82</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12,805,362.88</w:t>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8,103,148.11</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Arial" w:hAnsi="Arial" w:cs="Arial" w:eastAsia="Arial" w:hint="default"/>
                <w:sz w:val="18"/>
                <w:szCs w:val="18"/>
              </w:rPr>
            </w:pPr>
            <w:r>
              <w:rPr>
                <w:rFonts w:ascii="Arial"/>
                <w:spacing w:val="-1"/>
                <w:sz w:val="18"/>
              </w:rPr>
              <w:t>102,802,204.17</w:t>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68,873,611.93</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c>
          <w:tcPr>
            <w:tcW w:w="302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52,075,684.96</w:t>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47,694,611.77</w:t>
            </w:r>
          </w:p>
        </w:tc>
      </w:tr>
      <w:tr>
        <w:trPr>
          <w:trHeight w:val="349"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Arial" w:hAnsi="Arial" w:cs="Arial" w:eastAsia="Arial" w:hint="default"/>
                <w:sz w:val="18"/>
                <w:szCs w:val="18"/>
              </w:rPr>
            </w:pPr>
            <w:r>
              <w:rPr>
                <w:rFonts w:ascii="Arial"/>
                <w:w w:val="99"/>
                <w:sz w:val="18"/>
              </w:rPr>
              <w:t>-</w:t>
            </w:r>
            <w:r>
              <w:rPr>
                <w:rFonts w:ascii="Arial"/>
                <w:sz w:val="18"/>
              </w:rPr>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1,110,000.00</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52,075,684.96</w:t>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48,804,611.77</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c>
          <w:tcPr>
            <w:tcW w:w="302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42,531,359.65</w:t>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39,813,642.50</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788,886.94</w:t>
            </w:r>
          </w:p>
        </w:tc>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1,479,514.76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456" w:lineRule="auto" w:before="26"/>
        <w:ind w:right="7387"/>
        <w:jc w:val="left"/>
        <w:rPr>
          <w:rFonts w:ascii="宋体" w:hAnsi="宋体" w:cs="宋体" w:eastAsia="宋体" w:hint="default"/>
          <w:b w:val="0"/>
          <w:bCs w:val="0"/>
        </w:rPr>
      </w:pPr>
      <w:r>
        <w:rPr/>
        <w:t>十、关联方及关联交易</w:t>
      </w:r>
      <w:r>
        <w:rPr>
          <w:w w:val="99"/>
        </w:rPr>
        <w:t> </w:t>
      </w:r>
      <w:r>
        <w:rPr>
          <w:rFonts w:ascii="Arial" w:hAnsi="Arial" w:cs="Arial" w:eastAsia="Arial" w:hint="default"/>
        </w:rPr>
        <w:t>1</w:t>
      </w:r>
      <w:r>
        <w:rPr/>
        <w:t>、</w:t>
      </w:r>
      <w:r>
        <w:rPr>
          <w:spacing w:val="-77"/>
        </w:rPr>
        <w:t> </w:t>
      </w:r>
      <w:r>
        <w:rPr/>
        <w:t>本企业的母公司情况</w:t>
      </w:r>
      <w:r>
        <w:rPr>
          <w:w w:val="99"/>
        </w:rPr>
        <w:t> </w:t>
      </w:r>
      <w:r>
        <w:rPr>
          <w:rFonts w:ascii="宋体" w:hAnsi="宋体" w:cs="宋体" w:eastAsia="宋体" w:hint="default"/>
          <w:b w:val="0"/>
          <w:bCs w:val="0"/>
        </w:rPr>
        <w:t>不适用</w:t>
      </w:r>
    </w:p>
    <w:p>
      <w:pPr>
        <w:spacing w:after="0" w:line="456" w:lineRule="auto"/>
        <w:jc w:val="left"/>
        <w:rPr>
          <w:rFonts w:ascii="宋体" w:hAnsi="宋体" w:cs="宋体" w:eastAsia="宋体" w:hint="default"/>
        </w:rPr>
        <w:sectPr>
          <w:footerReference w:type="default" r:id="rId56"/>
          <w:pgSz w:w="11910" w:h="16840"/>
          <w:pgMar w:footer="1010" w:header="0" w:top="1140" w:bottom="1200" w:left="980" w:right="780"/>
          <w:pgNumType w:start="142"/>
        </w:sectPr>
      </w:pPr>
    </w:p>
    <w:p>
      <w:pPr>
        <w:spacing w:line="240" w:lineRule="auto" w:before="8"/>
        <w:rPr>
          <w:rFonts w:ascii="宋体" w:hAnsi="宋体" w:cs="宋体" w:eastAsia="宋体" w:hint="default"/>
          <w:sz w:val="16"/>
          <w:szCs w:val="16"/>
        </w:rPr>
      </w:pPr>
    </w:p>
    <w:p>
      <w:pPr>
        <w:spacing w:line="444" w:lineRule="auto" w:before="26"/>
        <w:ind w:left="152" w:right="5100" w:firstLine="0"/>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本企业子公司的情况详见附注九、</w:t>
      </w:r>
      <w:r>
        <w:rPr>
          <w:rFonts w:ascii="Arial" w:hAnsi="Arial" w:cs="Arial" w:eastAsia="Arial" w:hint="default"/>
          <w:sz w:val="24"/>
          <w:szCs w:val="24"/>
        </w:rPr>
        <w:t>1</w:t>
      </w:r>
      <w:r>
        <w:rPr>
          <w:rFonts w:ascii="宋体" w:hAnsi="宋体" w:cs="宋体" w:eastAsia="宋体" w:hint="default"/>
          <w:sz w:val="24"/>
          <w:szCs w:val="24"/>
        </w:rPr>
        <w:t>。 </w:t>
      </w:r>
      <w:r>
        <w:rPr>
          <w:rFonts w:ascii="Arial" w:hAnsi="Arial" w:cs="Arial" w:eastAsia="Arial" w:hint="default"/>
          <w:b/>
          <w:bCs/>
          <w:sz w:val="24"/>
          <w:szCs w:val="24"/>
        </w:rPr>
        <w:t>3</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z w:val="24"/>
          <w:szCs w:val="24"/>
        </w:rPr>
        <w:t>本企业重要的合营或联营企业详见附注九、</w:t>
      </w:r>
      <w:r>
        <w:rPr>
          <w:rFonts w:ascii="Arial" w:hAnsi="Arial" w:cs="Arial" w:eastAsia="Arial" w:hint="default"/>
          <w:sz w:val="24"/>
          <w:szCs w:val="24"/>
        </w:rPr>
        <w:t>3</w:t>
      </w:r>
      <w:r>
        <w:rPr>
          <w:rFonts w:ascii="宋体" w:hAnsi="宋体" w:cs="宋体" w:eastAsia="宋体" w:hint="default"/>
          <w:sz w:val="24"/>
          <w:szCs w:val="24"/>
        </w:rPr>
        <w:t>。 </w:t>
      </w:r>
      <w:r>
        <w:rPr>
          <w:rFonts w:ascii="Arial" w:hAnsi="Arial" w:cs="Arial" w:eastAsia="Arial" w:hint="default"/>
          <w:b/>
          <w:bCs/>
          <w:sz w:val="24"/>
          <w:szCs w:val="24"/>
        </w:rPr>
        <w:t>4</w:t>
      </w:r>
      <w:r>
        <w:rPr>
          <w:rFonts w:ascii="宋体" w:hAnsi="宋体" w:cs="宋体" w:eastAsia="宋体" w:hint="default"/>
          <w:b/>
          <w:bCs/>
          <w:sz w:val="24"/>
          <w:szCs w:val="24"/>
        </w:rPr>
        <w:t>、其他关联方情况</w:t>
      </w:r>
      <w:r>
        <w:rPr>
          <w:rFonts w:ascii="宋体" w:hAnsi="宋体" w:cs="宋体" w:eastAsia="宋体" w:hint="default"/>
          <w:sz w:val="24"/>
          <w:szCs w:val="24"/>
        </w:rPr>
      </w:r>
    </w:p>
    <w:p>
      <w:pPr>
        <w:spacing w:line="240" w:lineRule="auto" w:before="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3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赵晓明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吕宾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任涛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赵小凡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施天涛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樊娇娇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杨辉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黄福林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副总经理、质量总监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冯显扬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朱相宇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财务总监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邢立君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人力资源总监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余晴燕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r>
    </w:tbl>
    <w:p>
      <w:pPr>
        <w:pStyle w:val="Heading3"/>
        <w:spacing w:line="240" w:lineRule="auto"/>
        <w:ind w:right="5100"/>
        <w:jc w:val="left"/>
        <w:rPr>
          <w:b w:val="0"/>
          <w:bCs w:val="0"/>
        </w:rPr>
      </w:pPr>
      <w:r>
        <w:rPr>
          <w:rFonts w:ascii="Arial" w:hAnsi="Arial" w:cs="Arial" w:eastAsia="Arial" w:hint="default"/>
        </w:rPr>
        <w:t>5</w:t>
      </w:r>
      <w:r>
        <w:rPr/>
        <w:t>、关联交易情况</w:t>
      </w:r>
      <w:r>
        <w:rPr>
          <w:b w:val="0"/>
          <w:bCs w:val="0"/>
        </w:rPr>
      </w:r>
    </w:p>
    <w:p>
      <w:pPr>
        <w:spacing w:line="240" w:lineRule="auto" w:before="6"/>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0" w:footer="1010" w:top="1140" w:bottom="1200" w:left="980" w:right="720"/>
        </w:sectPr>
      </w:pPr>
    </w:p>
    <w:p>
      <w:pPr>
        <w:pStyle w:val="Heading3"/>
        <w:spacing w:line="240" w:lineRule="auto" w:before="26"/>
        <w:ind w:right="0"/>
        <w:jc w:val="left"/>
        <w:rPr>
          <w:b w:val="0"/>
          <w:bCs w:val="0"/>
        </w:rPr>
      </w:pPr>
      <w:r>
        <w:rPr>
          <w:w w:val="95"/>
        </w:rPr>
        <w:t>（</w:t>
      </w:r>
      <w:r>
        <w:rPr>
          <w:rFonts w:ascii="Arial" w:hAnsi="Arial" w:cs="Arial" w:eastAsia="Arial" w:hint="default"/>
          <w:w w:val="95"/>
        </w:rPr>
        <w:t>1</w:t>
      </w:r>
      <w:r>
        <w:rPr>
          <w:w w:val="95"/>
        </w:rPr>
        <w:t>）关联担保情况：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200" w:left="980" w:right="720"/>
          <w:cols w:num="2" w:equalWidth="0">
            <w:col w:w="2455" w:space="6346"/>
            <w:col w:w="1409"/>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2269"/>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57" w:right="0"/>
              <w:jc w:val="left"/>
              <w:rPr>
                <w:rFonts w:ascii="Arial" w:hAnsi="Arial" w:cs="Arial" w:eastAsia="Arial" w:hint="default"/>
                <w:sz w:val="21"/>
                <w:szCs w:val="21"/>
              </w:rPr>
            </w:pPr>
            <w:r>
              <w:rPr>
                <w:rFonts w:ascii="Arial"/>
                <w:sz w:val="21"/>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338" w:lineRule="auto" w:before="79"/>
        <w:ind w:right="409"/>
        <w:jc w:val="left"/>
      </w:pPr>
      <w:r>
        <w:rPr/>
        <w:t>说明：</w:t>
      </w:r>
      <w:r>
        <w:rPr>
          <w:rFonts w:ascii="Arial" w:hAnsi="Arial" w:cs="Arial" w:eastAsia="Arial" w:hint="default"/>
        </w:rPr>
        <w:t>2014</w:t>
      </w:r>
      <w:r>
        <w:rPr>
          <w:rFonts w:ascii="Arial" w:hAnsi="Arial" w:cs="Arial" w:eastAsia="Arial" w:hint="default"/>
          <w:spacing w:val="-7"/>
        </w:rPr>
        <w:t> </w:t>
      </w:r>
      <w:r>
        <w:rPr/>
        <w:t>年</w:t>
      </w:r>
      <w:r>
        <w:rPr>
          <w:spacing w:val="-64"/>
        </w:rPr>
        <w:t> </w:t>
      </w:r>
      <w:r>
        <w:rPr>
          <w:rFonts w:ascii="Arial" w:hAnsi="Arial" w:cs="Arial" w:eastAsia="Arial" w:hint="default"/>
        </w:rPr>
        <w:t>6</w:t>
      </w:r>
      <w:r>
        <w:rPr>
          <w:rFonts w:ascii="Arial" w:hAnsi="Arial" w:cs="Arial" w:eastAsia="Arial" w:hint="default"/>
          <w:spacing w:val="-7"/>
        </w:rPr>
        <w:t> </w:t>
      </w:r>
      <w:r>
        <w:rPr/>
        <w:t>月</w:t>
      </w:r>
      <w:r>
        <w:rPr>
          <w:spacing w:val="-61"/>
        </w:rPr>
        <w:t> </w:t>
      </w:r>
      <w:r>
        <w:rPr>
          <w:rFonts w:ascii="Arial" w:hAnsi="Arial" w:cs="Arial" w:eastAsia="Arial" w:hint="default"/>
        </w:rPr>
        <w:t>27</w:t>
      </w:r>
      <w:r>
        <w:rPr>
          <w:rFonts w:ascii="Arial" w:hAnsi="Arial" w:cs="Arial" w:eastAsia="Arial" w:hint="default"/>
          <w:spacing w:val="-10"/>
        </w:rPr>
        <w:t> </w:t>
      </w:r>
      <w:r>
        <w:rPr/>
        <w:t>日，公司子公司亿信华辰与北京银行股份有限公司中关村海淀支行签 订借款合同，亿信华辰总经理吕宾先生提供保证担保。</w:t>
      </w:r>
    </w:p>
    <w:p>
      <w:pPr>
        <w:pStyle w:val="Heading3"/>
        <w:spacing w:line="240" w:lineRule="auto" w:before="17"/>
        <w:ind w:right="5100"/>
        <w:jc w:val="left"/>
        <w:rPr>
          <w:b w:val="0"/>
          <w:bCs w:val="0"/>
        </w:rPr>
      </w:pPr>
      <w:r>
        <w:rPr/>
        <w:t>（</w:t>
      </w:r>
      <w:r>
        <w:rPr>
          <w:rFonts w:ascii="Arial" w:hAnsi="Arial" w:cs="Arial" w:eastAsia="Arial" w:hint="default"/>
        </w:rPr>
        <w:t>2</w:t>
      </w:r>
      <w:r>
        <w:rPr/>
        <w:t>）关联方应收款项</w:t>
      </w:r>
      <w:r>
        <w:rPr>
          <w:b w:val="0"/>
          <w:bCs w:val="0"/>
        </w:rPr>
      </w:r>
    </w:p>
    <w:p>
      <w:pPr>
        <w:spacing w:before="68"/>
        <w:ind w:left="0" w:right="4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3190"/>
        <w:gridCol w:w="3177"/>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1200" w:left="980" w:right="72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高清庭审主机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深圳市捷视飞通科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11" w:right="0"/>
              <w:jc w:val="left"/>
              <w:rPr>
                <w:rFonts w:ascii="Arial" w:hAnsi="Arial" w:cs="Arial" w:eastAsia="Arial" w:hint="default"/>
                <w:sz w:val="18"/>
                <w:szCs w:val="18"/>
              </w:rPr>
            </w:pPr>
            <w:r>
              <w:rPr>
                <w:rFonts w:ascii="Arial"/>
                <w:sz w:val="18"/>
              </w:rPr>
              <w:t>1,646,250.00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注：关联交易约定以净额结算的，应收关联方款项可以抵销后金额填列。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t>十一、股份支付</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Arial" w:hAnsi="Arial" w:cs="Arial" w:eastAsia="Arial" w:hint="default"/>
          <w:b/>
          <w:bCs/>
          <w:sz w:val="20"/>
          <w:szCs w:val="20"/>
        </w:rPr>
        <w:t>1</w:t>
      </w:r>
      <w:r>
        <w:rPr>
          <w:rFonts w:ascii="宋体" w:hAnsi="宋体" w:cs="宋体" w:eastAsia="宋体" w:hint="default"/>
          <w:b/>
          <w:bCs/>
          <w:sz w:val="20"/>
          <w:szCs w:val="20"/>
        </w:rPr>
        <w:t>、股份支付总体情况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32"/>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1,022,000.00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418,000.00</w:t>
            </w:r>
          </w:p>
        </w:tc>
      </w:tr>
      <w:tr>
        <w:trPr>
          <w:trHeight w:val="133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both"/>
              <w:rPr>
                <w:rFonts w:ascii="宋体" w:hAnsi="宋体" w:cs="宋体" w:eastAsia="宋体" w:hint="default"/>
                <w:sz w:val="18"/>
                <w:szCs w:val="18"/>
              </w:rPr>
            </w:pPr>
            <w:r>
              <w:rPr>
                <w:rFonts w:ascii="宋体" w:hAnsi="宋体" w:cs="宋体" w:eastAsia="宋体" w:hint="default"/>
                <w:sz w:val="18"/>
                <w:szCs w:val="18"/>
              </w:rPr>
              <w:t>首次授予行权价格为</w:t>
            </w:r>
            <w:r>
              <w:rPr>
                <w:rFonts w:ascii="宋体" w:hAnsi="宋体" w:cs="宋体" w:eastAsia="宋体" w:hint="default"/>
                <w:spacing w:val="-48"/>
                <w:sz w:val="18"/>
                <w:szCs w:val="18"/>
              </w:rPr>
              <w:t> </w:t>
            </w:r>
            <w:r>
              <w:rPr>
                <w:rFonts w:ascii="Arial" w:hAnsi="Arial" w:cs="Arial" w:eastAsia="Arial" w:hint="default"/>
                <w:sz w:val="18"/>
                <w:szCs w:val="18"/>
              </w:rPr>
              <w:t>16.37</w:t>
            </w:r>
            <w:r>
              <w:rPr>
                <w:rFonts w:ascii="Arial" w:hAnsi="Arial" w:cs="Arial" w:eastAsia="Arial" w:hint="default"/>
                <w:spacing w:val="-7"/>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股，预留部分行权价</w:t>
            </w:r>
          </w:p>
          <w:p>
            <w:pPr>
              <w:pStyle w:val="TableParagraph"/>
              <w:spacing w:line="309" w:lineRule="auto" w:before="61"/>
              <w:ind w:left="23" w:right="20"/>
              <w:jc w:val="both"/>
              <w:rPr>
                <w:rFonts w:ascii="宋体" w:hAnsi="宋体" w:cs="宋体" w:eastAsia="宋体" w:hint="default"/>
                <w:sz w:val="18"/>
                <w:szCs w:val="18"/>
              </w:rPr>
            </w:pPr>
            <w:r>
              <w:rPr>
                <w:rFonts w:ascii="宋体" w:hAnsi="宋体" w:cs="宋体" w:eastAsia="宋体" w:hint="default"/>
                <w:sz w:val="18"/>
                <w:szCs w:val="18"/>
              </w:rPr>
              <w:t>格为</w:t>
            </w:r>
            <w:r>
              <w:rPr>
                <w:rFonts w:ascii="宋体" w:hAnsi="宋体" w:cs="宋体" w:eastAsia="宋体" w:hint="default"/>
                <w:spacing w:val="-47"/>
                <w:sz w:val="18"/>
                <w:szCs w:val="18"/>
              </w:rPr>
              <w:t> </w:t>
            </w:r>
            <w:r>
              <w:rPr>
                <w:rFonts w:ascii="Arial" w:hAnsi="Arial" w:cs="Arial" w:eastAsia="Arial" w:hint="default"/>
                <w:sz w:val="18"/>
                <w:szCs w:val="18"/>
              </w:rPr>
              <w:t>19.92</w:t>
            </w:r>
            <w:r>
              <w:rPr>
                <w:rFonts w:ascii="Arial" w:hAnsi="Arial" w:cs="Arial" w:eastAsia="Arial" w:hint="default"/>
                <w:spacing w:val="-6"/>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股；本计划已处于首次授予的第二个 </w:t>
            </w:r>
            <w:r>
              <w:rPr>
                <w:rFonts w:ascii="宋体" w:hAnsi="宋体" w:cs="宋体" w:eastAsia="宋体" w:hint="default"/>
                <w:spacing w:val="-4"/>
                <w:sz w:val="18"/>
                <w:szCs w:val="18"/>
              </w:rPr>
              <w:t>行权期及预留部分的第一个行权期，首次授予还剩余</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两个行权期，预留部分还剩余三个行权期。</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2</w:t>
      </w:r>
      <w:r>
        <w:rPr/>
        <w:t>、以权益结算的股份支付情况</w:t>
      </w:r>
      <w:r>
        <w:rPr>
          <w:b w:val="0"/>
          <w:bCs w:val="0"/>
        </w:rPr>
      </w:r>
    </w:p>
    <w:p>
      <w:pPr>
        <w:spacing w:line="240" w:lineRule="auto" w:before="4"/>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0" w:footer="1010" w:top="1140" w:bottom="1200" w:left="980" w:right="980"/>
        </w:sectPr>
      </w:pPr>
    </w:p>
    <w:p>
      <w:pPr>
        <w:pStyle w:val="BodyText"/>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980" w:right="980"/>
          <w:cols w:num="2" w:equalWidth="0">
            <w:col w:w="1990" w:space="6931"/>
            <w:col w:w="102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63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公司在授权日采用</w:t>
            </w:r>
            <w:r>
              <w:rPr>
                <w:rFonts w:ascii="宋体" w:hAnsi="宋体" w:cs="宋体" w:eastAsia="宋体" w:hint="default"/>
                <w:spacing w:val="-48"/>
                <w:sz w:val="18"/>
                <w:szCs w:val="18"/>
              </w:rPr>
              <w:t> </w:t>
            </w:r>
            <w:r>
              <w:rPr>
                <w:rFonts w:ascii="Arial" w:hAnsi="Arial" w:cs="Arial" w:eastAsia="Arial" w:hint="default"/>
                <w:sz w:val="18"/>
                <w:szCs w:val="18"/>
              </w:rPr>
              <w:t>Black--Scholes</w:t>
            </w:r>
            <w:r>
              <w:rPr>
                <w:rFonts w:ascii="Arial" w:hAnsi="Arial" w:cs="Arial" w:eastAsia="Arial" w:hint="default"/>
                <w:spacing w:val="-6"/>
                <w:sz w:val="18"/>
                <w:szCs w:val="18"/>
              </w:rPr>
              <w:t> </w:t>
            </w:r>
            <w:r>
              <w:rPr>
                <w:rFonts w:ascii="宋体" w:hAnsi="宋体" w:cs="宋体" w:eastAsia="宋体" w:hint="default"/>
                <w:sz w:val="18"/>
                <w:szCs w:val="18"/>
              </w:rPr>
              <w:t>期权定价模型确定股票 期权在授权日的公允价值。</w:t>
            </w:r>
          </w:p>
        </w:tc>
      </w:tr>
      <w:tr>
        <w:trPr>
          <w:trHeight w:val="319" w:hRule="exact"/>
        </w:trPr>
        <w:tc>
          <w:tcPr>
            <w:tcW w:w="4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5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根据《企业会计准则第 </w:t>
            </w:r>
            <w:r>
              <w:rPr>
                <w:rFonts w:ascii="Arial" w:hAnsi="Arial" w:cs="Arial" w:eastAsia="Arial" w:hint="default"/>
                <w:sz w:val="18"/>
                <w:szCs w:val="18"/>
              </w:rPr>
              <w:t>11</w:t>
            </w:r>
            <w:r>
              <w:rPr>
                <w:rFonts w:ascii="Arial" w:hAnsi="Arial" w:cs="Arial" w:eastAsia="Arial" w:hint="default"/>
                <w:spacing w:val="-14"/>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股份支付》和《企业会计准</w:t>
            </w:r>
          </w:p>
        </w:tc>
      </w:tr>
      <w:tr>
        <w:trPr>
          <w:trHeight w:val="312" w:hRule="exact"/>
        </w:trPr>
        <w:tc>
          <w:tcPr>
            <w:tcW w:w="4982" w:type="dxa"/>
            <w:tcBorders>
              <w:top w:val="nil" w:sz="6" w:space="0" w:color="auto"/>
              <w:left w:val="single" w:sz="4" w:space="0" w:color="000000"/>
              <w:bottom w:val="nil" w:sz="6" w:space="0" w:color="auto"/>
              <w:right w:val="single" w:sz="4" w:space="0" w:color="000000"/>
            </w:tcBorders>
            <w:shd w:val="clear" w:color="auto" w:fill="D2D2D2"/>
          </w:tcPr>
          <w:p>
            <w:pPr/>
          </w:p>
        </w:tc>
        <w:tc>
          <w:tcPr>
            <w:tcW w:w="45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则第 </w:t>
            </w:r>
            <w:r>
              <w:rPr>
                <w:rFonts w:ascii="Arial" w:hAnsi="Arial" w:cs="Arial" w:eastAsia="Arial" w:hint="default"/>
                <w:sz w:val="18"/>
                <w:szCs w:val="18"/>
              </w:rPr>
              <w:t>22</w:t>
            </w:r>
            <w:r>
              <w:rPr>
                <w:rFonts w:ascii="Arial" w:hAnsi="Arial" w:cs="Arial" w:eastAsia="Arial" w:hint="default"/>
                <w:spacing w:val="-14"/>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金融工具确认和计量》的有关规定，公司将在</w:t>
            </w:r>
          </w:p>
        </w:tc>
      </w:tr>
      <w:tr>
        <w:trPr>
          <w:trHeight w:val="308" w:hRule="exact"/>
        </w:trPr>
        <w:tc>
          <w:tcPr>
            <w:tcW w:w="4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等待期的每个资产负债表日，根据最新取得的可行权人数</w:t>
            </w:r>
          </w:p>
        </w:tc>
      </w:tr>
      <w:tr>
        <w:trPr>
          <w:trHeight w:val="312" w:hRule="exact"/>
        </w:trPr>
        <w:tc>
          <w:tcPr>
            <w:tcW w:w="4982" w:type="dxa"/>
            <w:tcBorders>
              <w:top w:val="nil" w:sz="6" w:space="0" w:color="auto"/>
              <w:left w:val="single" w:sz="4" w:space="0" w:color="000000"/>
              <w:bottom w:val="nil" w:sz="6" w:space="0" w:color="auto"/>
              <w:right w:val="single" w:sz="4" w:space="0" w:color="000000"/>
            </w:tcBorders>
            <w:shd w:val="clear" w:color="auto" w:fill="D2D2D2"/>
          </w:tcPr>
          <w:p>
            <w:pPr/>
          </w:p>
        </w:tc>
        <w:tc>
          <w:tcPr>
            <w:tcW w:w="45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变动、业绩指标完成情况等后续信息，修正预计可行权的</w:t>
            </w:r>
          </w:p>
        </w:tc>
      </w:tr>
      <w:tr>
        <w:trPr>
          <w:trHeight w:val="319" w:hRule="exact"/>
        </w:trPr>
        <w:tc>
          <w:tcPr>
            <w:tcW w:w="4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45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股票期权数量。</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6,066,371.23</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2,275,988.48</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3</w:t>
      </w:r>
      <w:r>
        <w:rPr/>
        <w:t>、以现金结算的股份支付情况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type w:val="continuous"/>
          <w:pgSz w:w="11910" w:h="16840"/>
          <w:pgMar w:top="1100" w:bottom="1200" w:left="980" w:right="980"/>
        </w:sectPr>
      </w:pPr>
    </w:p>
    <w:p>
      <w:pPr>
        <w:spacing w:line="240" w:lineRule="auto" w:before="8"/>
        <w:rPr>
          <w:rFonts w:ascii="宋体" w:hAnsi="宋体" w:cs="宋体" w:eastAsia="宋体" w:hint="default"/>
          <w:sz w:val="16"/>
          <w:szCs w:val="16"/>
        </w:rPr>
      </w:pPr>
    </w:p>
    <w:p>
      <w:pPr>
        <w:pStyle w:val="Heading3"/>
        <w:spacing w:line="240" w:lineRule="auto" w:before="26"/>
        <w:ind w:right="0"/>
        <w:jc w:val="left"/>
        <w:rPr>
          <w:b w:val="0"/>
          <w:bCs w:val="0"/>
        </w:rPr>
      </w:pPr>
      <w:r>
        <w:rPr>
          <w:rFonts w:ascii="Arial" w:hAnsi="Arial" w:cs="Arial" w:eastAsia="Arial" w:hint="default"/>
        </w:rPr>
        <w:t>4</w:t>
      </w:r>
      <w:r>
        <w:rPr/>
        <w:t>、股份支付的修改、终止情况</w:t>
      </w:r>
      <w:r>
        <w:rPr>
          <w:b w:val="0"/>
          <w:bCs w:val="0"/>
        </w:rPr>
      </w:r>
    </w:p>
    <w:p>
      <w:pPr>
        <w:spacing w:line="240" w:lineRule="auto" w:before="7"/>
        <w:rPr>
          <w:rFonts w:ascii="宋体" w:hAnsi="宋体" w:cs="宋体" w:eastAsia="宋体" w:hint="default"/>
          <w:b/>
          <w:bCs/>
          <w:sz w:val="27"/>
          <w:szCs w:val="27"/>
        </w:rPr>
      </w:pPr>
    </w:p>
    <w:p>
      <w:pPr>
        <w:pStyle w:val="BodyText"/>
        <w:spacing w:line="348" w:lineRule="auto"/>
        <w:ind w:right="206"/>
        <w:jc w:val="left"/>
      </w:pPr>
      <w:r>
        <w:rPr/>
        <w:t>由于公司在</w:t>
      </w:r>
      <w:r>
        <w:rPr>
          <w:rFonts w:ascii="Arial" w:hAnsi="Arial" w:cs="Arial" w:eastAsia="Arial" w:hint="default"/>
        </w:rPr>
        <w:t>2014</w:t>
      </w:r>
      <w:r>
        <w:rPr/>
        <w:t>年度进行了利润分配，故在</w:t>
      </w:r>
      <w:r>
        <w:rPr>
          <w:rFonts w:ascii="Arial" w:hAnsi="Arial" w:cs="Arial" w:eastAsia="Arial" w:hint="default"/>
        </w:rPr>
        <w:t>2014</w:t>
      </w:r>
      <w:r>
        <w:rPr/>
        <w:t>年</w:t>
      </w:r>
      <w:r>
        <w:rPr>
          <w:rFonts w:ascii="Arial" w:hAnsi="Arial" w:cs="Arial" w:eastAsia="Arial" w:hint="default"/>
        </w:rPr>
        <w:t>6</w:t>
      </w:r>
      <w:r>
        <w:rPr/>
        <w:t>月</w:t>
      </w:r>
      <w:r>
        <w:rPr>
          <w:rFonts w:ascii="Arial" w:hAnsi="Arial" w:cs="Arial" w:eastAsia="Arial" w:hint="default"/>
        </w:rPr>
        <w:t>13</w:t>
      </w:r>
      <w:r>
        <w:rPr/>
        <w:t>日第五届董事会第九次会议审议通 过了《关于调整股票期权激励计划行权价格的议案》，首次授予期权调整后的行权价格为 </w:t>
      </w:r>
      <w:r>
        <w:rPr>
          <w:rFonts w:ascii="Arial" w:hAnsi="Arial" w:cs="Arial" w:eastAsia="Arial" w:hint="default"/>
        </w:rPr>
        <w:t>16.37</w:t>
      </w:r>
      <w:r>
        <w:rPr>
          <w:rFonts w:ascii="Arial" w:hAnsi="Arial" w:cs="Arial" w:eastAsia="Arial" w:hint="default"/>
          <w:spacing w:val="36"/>
        </w:rPr>
        <w:t> </w:t>
      </w:r>
      <w:r>
        <w:rPr/>
        <w:t>元，预留期权调整后的行权价格为</w:t>
      </w:r>
      <w:r>
        <w:rPr>
          <w:rFonts w:ascii="Arial" w:hAnsi="Arial" w:cs="Arial" w:eastAsia="Arial" w:hint="default"/>
        </w:rPr>
        <w:t>19.92</w:t>
      </w:r>
      <w:r>
        <w:rPr/>
        <w:t>元</w:t>
      </w:r>
    </w:p>
    <w:p>
      <w:pPr>
        <w:spacing w:line="240" w:lineRule="auto" w:before="4"/>
        <w:rPr>
          <w:rFonts w:ascii="宋体" w:hAnsi="宋体" w:cs="宋体" w:eastAsia="宋体" w:hint="default"/>
          <w:sz w:val="18"/>
          <w:szCs w:val="18"/>
        </w:rPr>
      </w:pPr>
    </w:p>
    <w:p>
      <w:pPr>
        <w:pStyle w:val="Heading3"/>
        <w:spacing w:line="240" w:lineRule="auto"/>
        <w:ind w:left="393" w:right="0" w:hanging="241"/>
        <w:jc w:val="left"/>
        <w:rPr>
          <w:b w:val="0"/>
          <w:bCs w:val="0"/>
        </w:rPr>
      </w:pPr>
      <w:r>
        <w:rPr/>
        <w:t>十二、资产负债表日后事项</w:t>
      </w:r>
      <w:r>
        <w:rPr>
          <w:b w:val="0"/>
          <w:bCs w:val="0"/>
        </w:rPr>
      </w:r>
    </w:p>
    <w:p>
      <w:pPr>
        <w:spacing w:line="240" w:lineRule="auto" w:before="3"/>
        <w:rPr>
          <w:rFonts w:ascii="宋体" w:hAnsi="宋体" w:cs="宋体" w:eastAsia="宋体" w:hint="default"/>
          <w:b/>
          <w:bCs/>
          <w:sz w:val="26"/>
          <w:szCs w:val="26"/>
        </w:rPr>
      </w:pPr>
    </w:p>
    <w:p>
      <w:pPr>
        <w:spacing w:line="304" w:lineRule="auto" w:before="0"/>
        <w:ind w:left="393" w:right="7291" w:firstLine="0"/>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b/>
          <w:bCs/>
          <w:sz w:val="24"/>
          <w:szCs w:val="24"/>
        </w:rPr>
        <w:t>、重要的非调整事项</w:t>
      </w:r>
      <w:r>
        <w:rPr>
          <w:rFonts w:ascii="宋体" w:hAnsi="宋体" w:cs="宋体" w:eastAsia="宋体" w:hint="default"/>
          <w:b/>
          <w:bCs/>
          <w:w w:val="99"/>
          <w:sz w:val="24"/>
          <w:szCs w:val="24"/>
        </w:rPr>
        <w:t> </w:t>
      </w:r>
      <w:r>
        <w:rPr>
          <w:rFonts w:ascii="宋体" w:hAnsi="宋体" w:cs="宋体" w:eastAsia="宋体" w:hint="default"/>
          <w:sz w:val="24"/>
          <w:szCs w:val="24"/>
        </w:rPr>
        <w:t>详见承诺事项 </w:t>
      </w:r>
      <w:r>
        <w:rPr>
          <w:rFonts w:ascii="Arial" w:hAnsi="Arial" w:cs="Arial" w:eastAsia="Arial" w:hint="default"/>
          <w:b/>
          <w:bCs/>
          <w:sz w:val="24"/>
          <w:szCs w:val="24"/>
        </w:rPr>
        <w:t>2</w:t>
      </w:r>
      <w:r>
        <w:rPr>
          <w:rFonts w:ascii="宋体" w:hAnsi="宋体" w:cs="宋体" w:eastAsia="宋体" w:hint="default"/>
          <w:b/>
          <w:bCs/>
          <w:sz w:val="24"/>
          <w:szCs w:val="24"/>
        </w:rPr>
        <w:t>、利润分配情况</w:t>
      </w:r>
      <w:r>
        <w:rPr>
          <w:rFonts w:ascii="宋体" w:hAnsi="宋体" w:cs="宋体" w:eastAsia="宋体" w:hint="default"/>
          <w:sz w:val="24"/>
          <w:szCs w:val="24"/>
        </w:rPr>
      </w:r>
    </w:p>
    <w:tbl>
      <w:tblPr>
        <w:tblW w:w="0" w:type="auto"/>
        <w:jc w:val="left"/>
        <w:tblInd w:w="149" w:type="dxa"/>
        <w:tblLayout w:type="fixed"/>
        <w:tblCellMar>
          <w:top w:w="0" w:type="dxa"/>
          <w:left w:w="0" w:type="dxa"/>
          <w:bottom w:w="0" w:type="dxa"/>
          <w:right w:w="0" w:type="dxa"/>
        </w:tblCellMar>
        <w:tblLook w:val="01E0"/>
      </w:tblPr>
      <w:tblGrid>
        <w:gridCol w:w="6369"/>
        <w:gridCol w:w="3201"/>
      </w:tblGrid>
      <w:tr>
        <w:trPr>
          <w:trHeight w:val="403"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14,995,455</w:t>
            </w:r>
          </w:p>
        </w:tc>
      </w:tr>
      <w:tr>
        <w:trPr>
          <w:trHeight w:val="401"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14,995,455</w:t>
            </w:r>
          </w:p>
        </w:tc>
      </w:tr>
    </w:tbl>
    <w:p>
      <w:pPr>
        <w:pStyle w:val="BodyText"/>
        <w:spacing w:line="292" w:lineRule="auto" w:before="7"/>
        <w:ind w:right="206" w:firstLine="480"/>
        <w:jc w:val="both"/>
      </w:pPr>
      <w:r>
        <w:rPr>
          <w:rFonts w:ascii="Arial" w:hAnsi="Arial" w:cs="Arial" w:eastAsia="Arial" w:hint="default"/>
        </w:rPr>
        <w:t>2015</w:t>
      </w:r>
      <w:r>
        <w:rPr/>
        <w:t>年</w:t>
      </w:r>
      <w:r>
        <w:rPr>
          <w:rFonts w:ascii="Arial" w:hAnsi="Arial" w:cs="Arial" w:eastAsia="Arial" w:hint="default"/>
        </w:rPr>
        <w:t>3</w:t>
      </w:r>
      <w:r>
        <w:rPr/>
        <w:t>月</w:t>
      </w:r>
      <w:r>
        <w:rPr>
          <w:rFonts w:ascii="Arial" w:hAnsi="Arial" w:cs="Arial" w:eastAsia="Arial" w:hint="default"/>
        </w:rPr>
        <w:t>24</w:t>
      </w:r>
      <w:r>
        <w:rPr/>
        <w:t>日，公司召开第五届董事会第二十三次会议，审议通过了《</w:t>
      </w:r>
      <w:r>
        <w:rPr>
          <w:rFonts w:ascii="Arial" w:hAnsi="Arial" w:cs="Arial" w:eastAsia="Arial" w:hint="default"/>
        </w:rPr>
        <w:t>2014</w:t>
      </w:r>
      <w:r>
        <w:rPr/>
        <w:t>年度利润 分配预案》，以截止</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149,954,550</w:t>
      </w:r>
      <w:r>
        <w:rPr/>
        <w:t>股为基数向全体股东每</w:t>
      </w:r>
      <w:r>
        <w:rPr>
          <w:rFonts w:ascii="Arial" w:hAnsi="Arial" w:cs="Arial" w:eastAsia="Arial" w:hint="default"/>
        </w:rPr>
        <w:t>10</w:t>
      </w:r>
      <w:r>
        <w:rPr/>
        <w:t>股派 </w:t>
      </w:r>
      <w:r>
        <w:rPr>
          <w:spacing w:val="2"/>
        </w:rPr>
        <w:t>发现金股利</w:t>
      </w:r>
      <w:r>
        <w:rPr>
          <w:rFonts w:ascii="Arial" w:hAnsi="Arial" w:cs="Arial" w:eastAsia="Arial" w:hint="default"/>
          <w:spacing w:val="2"/>
        </w:rPr>
        <w:t>1</w:t>
      </w:r>
      <w:r>
        <w:rPr>
          <w:spacing w:val="2"/>
        </w:rPr>
        <w:t>元人民币（含税），同时以资本公积金向全体股东每</w:t>
      </w:r>
      <w:r>
        <w:rPr>
          <w:rFonts w:ascii="Arial" w:hAnsi="Arial" w:cs="Arial" w:eastAsia="Arial" w:hint="default"/>
          <w:spacing w:val="2"/>
        </w:rPr>
        <w:t>10</w:t>
      </w:r>
      <w:r>
        <w:rPr>
          <w:spacing w:val="2"/>
        </w:rPr>
        <w:t>股转增</w:t>
      </w:r>
      <w:r>
        <w:rPr>
          <w:rFonts w:ascii="Arial" w:hAnsi="Arial" w:cs="Arial" w:eastAsia="Arial" w:hint="default"/>
          <w:spacing w:val="2"/>
        </w:rPr>
        <w:t>10</w:t>
      </w:r>
      <w:r>
        <w:rPr>
          <w:spacing w:val="2"/>
        </w:rPr>
        <w:t>股，该议案尚 </w:t>
      </w:r>
      <w:r>
        <w:rPr/>
        <w:t>须提交</w:t>
      </w:r>
      <w:r>
        <w:rPr>
          <w:rFonts w:ascii="Arial" w:hAnsi="Arial" w:cs="Arial" w:eastAsia="Arial" w:hint="default"/>
        </w:rPr>
        <w:t>2014</w:t>
      </w:r>
      <w:r>
        <w:rPr/>
        <w:t>年度股东大会审议。</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t>十三、母公司财务报表主要项目注释</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left"/>
        <w:rPr>
          <w:b w:val="0"/>
          <w:bCs w:val="0"/>
        </w:rPr>
      </w:pPr>
      <w:r>
        <w:rPr>
          <w:rFonts w:ascii="Arial" w:hAnsi="Arial" w:cs="Arial" w:eastAsia="Arial" w:hint="default"/>
        </w:rPr>
        <w:t>1</w:t>
      </w:r>
      <w:r>
        <w:rPr/>
        <w:t>、应收账款</w:t>
      </w:r>
      <w:r>
        <w:rPr>
          <w:b w:val="0"/>
          <w:bCs w:val="0"/>
        </w:rPr>
      </w:r>
    </w:p>
    <w:p>
      <w:pPr>
        <w:spacing w:line="240" w:lineRule="auto" w:before="1"/>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1</w:t>
      </w:r>
      <w:r>
        <w:rPr>
          <w:rFonts w:ascii="宋体" w:hAnsi="宋体" w:cs="宋体" w:eastAsia="宋体" w:hint="default"/>
          <w:b/>
          <w:bCs/>
          <w:sz w:val="20"/>
          <w:szCs w:val="20"/>
        </w:rPr>
        <w:t>）应收账款分类披露</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144"/>
        <w:gridCol w:w="711"/>
        <w:gridCol w:w="991"/>
        <w:gridCol w:w="566"/>
        <w:gridCol w:w="852"/>
        <w:gridCol w:w="991"/>
        <w:gridCol w:w="490"/>
        <w:gridCol w:w="1061"/>
        <w:gridCol w:w="607"/>
        <w:gridCol w:w="907"/>
      </w:tblGrid>
      <w:tr>
        <w:trPr>
          <w:trHeight w:val="398"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26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07"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558"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669" w:type="dxa"/>
            <w:gridSpan w:val="2"/>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6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08" w:right="2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7" w:type="dxa"/>
            <w:vMerge/>
            <w:tcBorders>
              <w:left w:val="single" w:sz="4" w:space="0" w:color="000000"/>
              <w:right w:val="single" w:sz="4" w:space="0" w:color="000000"/>
            </w:tcBorders>
            <w:shd w:val="clear" w:color="auto" w:fill="D2D2D2"/>
          </w:tcPr>
          <w:p>
            <w:pPr/>
          </w:p>
        </w:tc>
        <w:tc>
          <w:tcPr>
            <w:tcW w:w="90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96" w:type="dxa"/>
            <w:vMerge/>
            <w:tcBorders>
              <w:left w:val="single" w:sz="4" w:space="0" w:color="000000"/>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607" w:type="dxa"/>
            <w:vMerge/>
            <w:tcBorders>
              <w:left w:val="single" w:sz="4" w:space="0" w:color="000000"/>
              <w:right w:val="single" w:sz="4" w:space="0" w:color="000000"/>
            </w:tcBorders>
            <w:shd w:val="clear" w:color="auto" w:fill="D2D2D2"/>
          </w:tcPr>
          <w:p>
            <w:pPr/>
          </w:p>
        </w:tc>
        <w:tc>
          <w:tcPr>
            <w:tcW w:w="90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1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607"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5"/>
                <w:sz w:val="18"/>
              </w:rPr>
              <w:t>54,652,551.93</w:t>
            </w:r>
            <w:r>
              <w:rPr>
                <w:rFonts w:ascii="Arial"/>
                <w:spacing w:val="-1"/>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5"/>
                <w:sz w:val="18"/>
              </w:rPr>
              <w:t>42.09%</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 w:right="0"/>
              <w:jc w:val="left"/>
              <w:rPr>
                <w:rFonts w:ascii="Arial" w:hAnsi="Arial" w:cs="Arial" w:eastAsia="Arial" w:hint="default"/>
                <w:sz w:val="18"/>
                <w:szCs w:val="18"/>
              </w:rPr>
            </w:pPr>
            <w:r>
              <w:rPr>
                <w:rFonts w:ascii="Arial"/>
                <w:w w:val="85"/>
                <w:sz w:val="18"/>
              </w:rPr>
              <w:t>1,366,313.80</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Arial" w:hAnsi="Arial" w:cs="Arial" w:eastAsia="Arial" w:hint="default"/>
                <w:sz w:val="18"/>
                <w:szCs w:val="18"/>
              </w:rPr>
            </w:pPr>
            <w:r>
              <w:rPr>
                <w:rFonts w:ascii="Arial"/>
                <w:w w:val="85"/>
                <w:sz w:val="18"/>
              </w:rPr>
              <w:t>2.50%</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Arial" w:hAnsi="Arial" w:cs="Arial" w:eastAsia="Arial" w:hint="default"/>
                <w:sz w:val="18"/>
                <w:szCs w:val="18"/>
              </w:rPr>
            </w:pPr>
            <w:r>
              <w:rPr>
                <w:rFonts w:ascii="Arial"/>
                <w:spacing w:val="-1"/>
                <w:w w:val="85"/>
                <w:sz w:val="18"/>
              </w:rPr>
              <w:t>53,286,238</w:t>
            </w:r>
            <w:r>
              <w:rPr>
                <w:rFonts w:ascii="Arial"/>
                <w:spacing w:val="-1"/>
                <w:sz w:val="18"/>
              </w:rPr>
            </w:r>
          </w:p>
          <w:p>
            <w:pPr>
              <w:pStyle w:val="TableParagraph"/>
              <w:spacing w:line="240" w:lineRule="auto" w:before="102"/>
              <w:ind w:right="23"/>
              <w:jc w:val="right"/>
              <w:rPr>
                <w:rFonts w:ascii="Arial" w:hAnsi="Arial" w:cs="Arial" w:eastAsia="Arial" w:hint="default"/>
                <w:sz w:val="18"/>
                <w:szCs w:val="18"/>
              </w:rPr>
            </w:pPr>
            <w:r>
              <w:rPr>
                <w:rFonts w:ascii="Arial"/>
                <w:spacing w:val="-1"/>
                <w:w w:val="85"/>
                <w:sz w:val="18"/>
              </w:rPr>
              <w:t>.13</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5"/>
                <w:sz w:val="18"/>
              </w:rPr>
              <w:t>69,426,267.6</w:t>
            </w:r>
            <w:r>
              <w:rPr>
                <w:rFonts w:ascii="Arial"/>
                <w:spacing w:val="-1"/>
                <w:sz w:val="18"/>
              </w:rPr>
            </w:r>
          </w:p>
          <w:p>
            <w:pPr>
              <w:pStyle w:val="TableParagraph"/>
              <w:spacing w:line="240" w:lineRule="auto" w:before="102"/>
              <w:ind w:right="18"/>
              <w:jc w:val="right"/>
              <w:rPr>
                <w:rFonts w:ascii="Arial" w:hAnsi="Arial" w:cs="Arial" w:eastAsia="Arial" w:hint="default"/>
                <w:sz w:val="18"/>
                <w:szCs w:val="18"/>
              </w:rPr>
            </w:pPr>
            <w:r>
              <w:rPr>
                <w:rFonts w:ascii="Arial"/>
                <w:w w:val="84"/>
                <w:sz w:val="18"/>
              </w:rPr>
              <w:t>9</w:t>
            </w:r>
            <w:r>
              <w:rPr>
                <w:rFonts w:ascii="Arial"/>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Arial" w:hAnsi="Arial" w:cs="Arial" w:eastAsia="Arial" w:hint="default"/>
                <w:sz w:val="18"/>
                <w:szCs w:val="18"/>
              </w:rPr>
            </w:pPr>
            <w:r>
              <w:rPr>
                <w:rFonts w:ascii="Arial"/>
                <w:w w:val="85"/>
                <w:sz w:val="18"/>
              </w:rPr>
              <w:t>39.81</w:t>
            </w:r>
            <w:r>
              <w:rPr>
                <w:rFonts w:ascii="Arial"/>
                <w:sz w:val="18"/>
              </w:rPr>
            </w:r>
          </w:p>
          <w:p>
            <w:pPr>
              <w:pStyle w:val="TableParagraph"/>
              <w:spacing w:line="240" w:lineRule="auto" w:before="102"/>
              <w:ind w:left="319" w:right="0"/>
              <w:jc w:val="left"/>
              <w:rPr>
                <w:rFonts w:ascii="Arial" w:hAnsi="Arial" w:cs="Arial" w:eastAsia="Arial" w:hint="default"/>
                <w:sz w:val="18"/>
                <w:szCs w:val="18"/>
              </w:rPr>
            </w:pPr>
            <w:r>
              <w:rPr>
                <w:rFonts w:ascii="Arial"/>
                <w:w w:val="84"/>
                <w:sz w:val="18"/>
              </w:rPr>
              <w:t>%</w:t>
            </w:r>
            <w:r>
              <w:rPr>
                <w:rFonts w:ascii="Arial"/>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8"/>
                <w:szCs w:val="18"/>
              </w:rPr>
            </w:pPr>
            <w:r>
              <w:rPr>
                <w:rFonts w:ascii="Arial"/>
                <w:spacing w:val="-1"/>
                <w:w w:val="85"/>
                <w:sz w:val="18"/>
              </w:rPr>
              <w:t>1,735,656.69</w:t>
            </w:r>
            <w:r>
              <w:rPr>
                <w:rFonts w:ascii="Arial"/>
                <w:spacing w:val="-1"/>
                <w:sz w:val="18"/>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w w:val="85"/>
                <w:sz w:val="18"/>
              </w:rPr>
              <w:t>2.50%</w:t>
            </w:r>
            <w:r>
              <w:rPr>
                <w:rFonts w:ascii="Arial"/>
                <w:spacing w:val="-1"/>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5"/>
                <w:sz w:val="18"/>
              </w:rPr>
              <w:t>67,690,611.</w:t>
            </w:r>
            <w:r>
              <w:rPr>
                <w:rFonts w:ascii="Arial"/>
                <w:spacing w:val="-1"/>
                <w:sz w:val="18"/>
              </w:rPr>
            </w:r>
          </w:p>
          <w:p>
            <w:pPr>
              <w:pStyle w:val="TableParagraph"/>
              <w:spacing w:line="240" w:lineRule="auto" w:before="102"/>
              <w:ind w:right="22"/>
              <w:jc w:val="right"/>
              <w:rPr>
                <w:rFonts w:ascii="Arial" w:hAnsi="Arial" w:cs="Arial" w:eastAsia="Arial" w:hint="default"/>
                <w:sz w:val="18"/>
                <w:szCs w:val="18"/>
              </w:rPr>
            </w:pPr>
            <w:r>
              <w:rPr>
                <w:rFonts w:ascii="Arial"/>
                <w:spacing w:val="-2"/>
                <w:w w:val="85"/>
                <w:sz w:val="18"/>
              </w:rPr>
              <w:t>00</w:t>
            </w:r>
            <w:r>
              <w:rPr>
                <w:rFonts w:ascii="Arial"/>
                <w:sz w:val="18"/>
              </w:rPr>
            </w:r>
          </w:p>
        </w:tc>
      </w:tr>
      <w:tr>
        <w:trPr>
          <w:trHeight w:val="1027"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5"/>
                <w:sz w:val="18"/>
              </w:rPr>
              <w:t>75,197,233.55</w:t>
            </w:r>
            <w:r>
              <w:rPr>
                <w:rFonts w:ascii="Arial"/>
                <w:spacing w:val="-1"/>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5"/>
                <w:sz w:val="18"/>
              </w:rPr>
              <w:t>57.91%</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5"/>
                <w:sz w:val="18"/>
              </w:rPr>
              <w:t>18,976,952.5</w:t>
            </w:r>
            <w:r>
              <w:rPr>
                <w:rFonts w:ascii="Arial"/>
                <w:spacing w:val="-1"/>
                <w:sz w:val="18"/>
              </w:rPr>
            </w:r>
          </w:p>
          <w:p>
            <w:pPr>
              <w:pStyle w:val="TableParagraph"/>
              <w:spacing w:line="240" w:lineRule="auto" w:before="105"/>
              <w:ind w:right="18"/>
              <w:jc w:val="right"/>
              <w:rPr>
                <w:rFonts w:ascii="Arial" w:hAnsi="Arial" w:cs="Arial" w:eastAsia="Arial" w:hint="default"/>
                <w:sz w:val="18"/>
                <w:szCs w:val="18"/>
              </w:rPr>
            </w:pPr>
            <w:r>
              <w:rPr>
                <w:rFonts w:ascii="Arial"/>
                <w:w w:val="84"/>
                <w:sz w:val="18"/>
              </w:rPr>
              <w:t>6</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5"/>
                <w:sz w:val="18"/>
              </w:rPr>
              <w:t>25.24</w:t>
            </w:r>
            <w:r>
              <w:rPr>
                <w:rFonts w:ascii="Arial"/>
                <w:spacing w:val="-1"/>
                <w:sz w:val="18"/>
              </w:rPr>
            </w:r>
          </w:p>
          <w:p>
            <w:pPr>
              <w:pStyle w:val="TableParagraph"/>
              <w:spacing w:line="240" w:lineRule="auto" w:before="105"/>
              <w:ind w:right="20"/>
              <w:jc w:val="right"/>
              <w:rPr>
                <w:rFonts w:ascii="Arial" w:hAnsi="Arial" w:cs="Arial" w:eastAsia="Arial" w:hint="default"/>
                <w:sz w:val="18"/>
                <w:szCs w:val="18"/>
              </w:rPr>
            </w:pPr>
            <w:r>
              <w:rPr>
                <w:rFonts w:ascii="Arial"/>
                <w:w w:val="84"/>
                <w:sz w:val="18"/>
              </w:rPr>
              <w:t>%</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Arial" w:hAnsi="Arial" w:cs="Arial" w:eastAsia="Arial" w:hint="default"/>
                <w:sz w:val="18"/>
                <w:szCs w:val="18"/>
              </w:rPr>
            </w:pPr>
            <w:r>
              <w:rPr>
                <w:rFonts w:ascii="Arial"/>
                <w:spacing w:val="-1"/>
                <w:w w:val="85"/>
                <w:sz w:val="18"/>
              </w:rPr>
              <w:t>56,220,280</w:t>
            </w:r>
            <w:r>
              <w:rPr>
                <w:rFonts w:ascii="Arial"/>
                <w:spacing w:val="-1"/>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85"/>
                <w:sz w:val="18"/>
              </w:rPr>
              <w:t>.99</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5"/>
                <w:sz w:val="18"/>
              </w:rPr>
              <w:t>104,949,717.</w:t>
            </w:r>
            <w:r>
              <w:rPr>
                <w:rFonts w:ascii="Arial"/>
                <w:spacing w:val="-1"/>
                <w:sz w:val="18"/>
              </w:rPr>
            </w:r>
          </w:p>
          <w:p>
            <w:pPr>
              <w:pStyle w:val="TableParagraph"/>
              <w:spacing w:line="240" w:lineRule="auto" w:before="105"/>
              <w:ind w:right="22"/>
              <w:jc w:val="right"/>
              <w:rPr>
                <w:rFonts w:ascii="Arial" w:hAnsi="Arial" w:cs="Arial" w:eastAsia="Arial" w:hint="default"/>
                <w:sz w:val="18"/>
                <w:szCs w:val="18"/>
              </w:rPr>
            </w:pPr>
            <w:r>
              <w:rPr>
                <w:rFonts w:ascii="Arial"/>
                <w:spacing w:val="-2"/>
                <w:w w:val="85"/>
                <w:sz w:val="18"/>
              </w:rPr>
              <w:t>06</w:t>
            </w:r>
            <w:r>
              <w:rPr>
                <w:rFonts w:ascii="Arial"/>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Arial" w:hAnsi="Arial" w:cs="Arial" w:eastAsia="Arial" w:hint="default"/>
                <w:sz w:val="18"/>
                <w:szCs w:val="18"/>
              </w:rPr>
            </w:pPr>
            <w:r>
              <w:rPr>
                <w:rFonts w:ascii="Arial"/>
                <w:w w:val="85"/>
                <w:sz w:val="18"/>
              </w:rPr>
              <w:t>60.19</w:t>
            </w:r>
            <w:r>
              <w:rPr>
                <w:rFonts w:ascii="Arial"/>
                <w:sz w:val="18"/>
              </w:rPr>
            </w:r>
          </w:p>
          <w:p>
            <w:pPr>
              <w:pStyle w:val="TableParagraph"/>
              <w:spacing w:line="240" w:lineRule="auto" w:before="105"/>
              <w:ind w:left="319" w:right="0"/>
              <w:jc w:val="left"/>
              <w:rPr>
                <w:rFonts w:ascii="Arial" w:hAnsi="Arial" w:cs="Arial" w:eastAsia="Arial" w:hint="default"/>
                <w:sz w:val="18"/>
                <w:szCs w:val="18"/>
              </w:rPr>
            </w:pPr>
            <w:r>
              <w:rPr>
                <w:rFonts w:ascii="Arial"/>
                <w:w w:val="84"/>
                <w:sz w:val="18"/>
              </w:rPr>
              <w:t>%</w:t>
            </w:r>
            <w:r>
              <w:rPr>
                <w:rFonts w:ascii="Arial"/>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8"/>
                <w:szCs w:val="18"/>
              </w:rPr>
            </w:pPr>
            <w:r>
              <w:rPr>
                <w:rFonts w:ascii="Arial"/>
                <w:spacing w:val="-1"/>
                <w:w w:val="85"/>
                <w:sz w:val="18"/>
              </w:rPr>
              <w:t>13,261,945.82</w:t>
            </w:r>
            <w:r>
              <w:rPr>
                <w:rFonts w:ascii="Arial"/>
                <w:spacing w:val="-1"/>
                <w:sz w:val="18"/>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w w:val="85"/>
                <w:sz w:val="18"/>
              </w:rPr>
              <w:t>12.64%</w:t>
            </w:r>
            <w:r>
              <w:rPr>
                <w:rFonts w:ascii="Arial"/>
                <w:spacing w:val="-1"/>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5"/>
                <w:sz w:val="18"/>
              </w:rPr>
              <w:t>91,687,771.</w:t>
            </w:r>
            <w:r>
              <w:rPr>
                <w:rFonts w:ascii="Arial"/>
                <w:spacing w:val="-1"/>
                <w:sz w:val="18"/>
              </w:rPr>
            </w:r>
          </w:p>
          <w:p>
            <w:pPr>
              <w:pStyle w:val="TableParagraph"/>
              <w:spacing w:line="240" w:lineRule="auto" w:before="105"/>
              <w:ind w:right="22"/>
              <w:jc w:val="right"/>
              <w:rPr>
                <w:rFonts w:ascii="Arial" w:hAnsi="Arial" w:cs="Arial" w:eastAsia="Arial" w:hint="default"/>
                <w:sz w:val="18"/>
                <w:szCs w:val="18"/>
              </w:rPr>
            </w:pPr>
            <w:r>
              <w:rPr>
                <w:rFonts w:ascii="Arial"/>
                <w:spacing w:val="-2"/>
                <w:w w:val="85"/>
                <w:sz w:val="18"/>
              </w:rPr>
              <w:t>24</w:t>
            </w:r>
            <w:r>
              <w:rPr>
                <w:rFonts w:ascii="Arial"/>
                <w:sz w:val="18"/>
              </w:rPr>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left"/>
              <w:rPr>
                <w:rFonts w:ascii="Arial" w:hAnsi="Arial" w:cs="Arial" w:eastAsia="Arial" w:hint="default"/>
                <w:sz w:val="18"/>
                <w:szCs w:val="18"/>
              </w:rPr>
            </w:pPr>
            <w:r>
              <w:rPr>
                <w:rFonts w:ascii="Arial"/>
                <w:w w:val="85"/>
                <w:sz w:val="18"/>
              </w:rPr>
              <w:t>129,849,785.48</w:t>
            </w:r>
            <w:r>
              <w:rPr>
                <w:rFonts w:ascii="Arial"/>
                <w:sz w:val="18"/>
              </w:rPr>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Arial" w:hAnsi="Arial" w:cs="Arial" w:eastAsia="Arial" w:hint="default"/>
                <w:sz w:val="18"/>
                <w:szCs w:val="18"/>
              </w:rPr>
            </w:pPr>
            <w:r>
              <w:rPr>
                <w:rFonts w:ascii="Arial"/>
                <w:w w:val="85"/>
                <w:sz w:val="18"/>
              </w:rPr>
              <w:t>100.00%</w:t>
            </w:r>
            <w:r>
              <w:rPr>
                <w:rFonts w:ascii="Arial"/>
                <w:sz w:val="18"/>
              </w:rPr>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w w:val="85"/>
                <w:sz w:val="18"/>
              </w:rPr>
              <w:t>20,343,266.3</w:t>
            </w:r>
            <w:r>
              <w:rPr>
                <w:rFonts w:ascii="Arial"/>
                <w:spacing w:val="-1"/>
                <w:sz w:val="18"/>
              </w:rPr>
            </w:r>
          </w:p>
          <w:p>
            <w:pPr>
              <w:pStyle w:val="TableParagraph"/>
              <w:spacing w:line="240" w:lineRule="auto" w:before="102"/>
              <w:ind w:right="18"/>
              <w:jc w:val="right"/>
              <w:rPr>
                <w:rFonts w:ascii="Arial" w:hAnsi="Arial" w:cs="Arial" w:eastAsia="Arial" w:hint="default"/>
                <w:sz w:val="18"/>
                <w:szCs w:val="18"/>
              </w:rPr>
            </w:pPr>
            <w:r>
              <w:rPr>
                <w:rFonts w:ascii="Arial"/>
                <w:w w:val="84"/>
                <w:sz w:val="18"/>
              </w:rPr>
              <w:t>6</w:t>
            </w:r>
            <w:r>
              <w:rPr>
                <w:rFonts w:ascii="Arial"/>
                <w:sz w:val="18"/>
              </w:rPr>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5" w:right="0"/>
              <w:jc w:val="left"/>
              <w:rPr>
                <w:rFonts w:ascii="Arial" w:hAnsi="Arial" w:cs="Arial" w:eastAsia="Arial" w:hint="default"/>
                <w:sz w:val="18"/>
                <w:szCs w:val="18"/>
              </w:rPr>
            </w:pPr>
            <w:r>
              <w:rPr>
                <w:rFonts w:ascii="Times New Roman"/>
                <w:w w:val="85"/>
                <w:sz w:val="18"/>
              </w:rPr>
              <w:t>15.67</w:t>
            </w:r>
            <w:r>
              <w:rPr>
                <w:rFonts w:ascii="Arial"/>
                <w:w w:val="85"/>
                <w:sz w:val="18"/>
              </w:rPr>
              <w:t>%</w:t>
            </w:r>
            <w:r>
              <w:rPr>
                <w:rFonts w:ascii="Arial"/>
                <w:sz w:val="18"/>
              </w:rPr>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0"/>
              <w:ind w:left="52" w:right="0"/>
              <w:jc w:val="left"/>
              <w:rPr>
                <w:rFonts w:ascii="Arial" w:hAnsi="Arial" w:cs="Arial" w:eastAsia="Arial" w:hint="default"/>
                <w:sz w:val="18"/>
                <w:szCs w:val="18"/>
              </w:rPr>
            </w:pPr>
            <w:r>
              <w:rPr>
                <w:rFonts w:ascii="Arial"/>
                <w:w w:val="85"/>
                <w:sz w:val="18"/>
              </w:rPr>
              <w:t>109,506,51</w:t>
            </w:r>
            <w:r>
              <w:rPr>
                <w:rFonts w:ascii="Arial"/>
                <w:sz w:val="18"/>
              </w:rPr>
            </w:r>
          </w:p>
          <w:p>
            <w:pPr>
              <w:pStyle w:val="TableParagraph"/>
              <w:spacing w:line="240" w:lineRule="auto" w:before="102"/>
              <w:ind w:left="521" w:right="0"/>
              <w:jc w:val="left"/>
              <w:rPr>
                <w:rFonts w:ascii="Arial" w:hAnsi="Arial" w:cs="Arial" w:eastAsia="Arial" w:hint="default"/>
                <w:sz w:val="18"/>
                <w:szCs w:val="18"/>
              </w:rPr>
            </w:pPr>
            <w:r>
              <w:rPr>
                <w:rFonts w:ascii="Arial"/>
                <w:w w:val="90"/>
                <w:sz w:val="18"/>
              </w:rPr>
              <w:t>9.12</w:t>
            </w:r>
            <w:r>
              <w:rPr>
                <w:rFonts w:ascii="Arial"/>
                <w:sz w:val="18"/>
              </w:rPr>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w w:val="85"/>
                <w:sz w:val="18"/>
              </w:rPr>
              <w:t>174,375,984.</w:t>
            </w:r>
            <w:r>
              <w:rPr>
                <w:rFonts w:ascii="Arial"/>
                <w:spacing w:val="-1"/>
                <w:sz w:val="18"/>
              </w:rPr>
            </w:r>
          </w:p>
          <w:p>
            <w:pPr>
              <w:pStyle w:val="TableParagraph"/>
              <w:spacing w:line="240" w:lineRule="auto" w:before="102"/>
              <w:ind w:right="22"/>
              <w:jc w:val="right"/>
              <w:rPr>
                <w:rFonts w:ascii="Arial" w:hAnsi="Arial" w:cs="Arial" w:eastAsia="Arial" w:hint="default"/>
                <w:sz w:val="18"/>
                <w:szCs w:val="18"/>
              </w:rPr>
            </w:pPr>
            <w:r>
              <w:rPr>
                <w:rFonts w:ascii="Arial"/>
                <w:spacing w:val="-2"/>
                <w:w w:val="85"/>
                <w:sz w:val="18"/>
              </w:rPr>
              <w:t>75</w:t>
            </w:r>
            <w:r>
              <w:rPr>
                <w:rFonts w:ascii="Arial"/>
                <w:sz w:val="18"/>
              </w:rPr>
            </w:r>
          </w:p>
        </w:tc>
        <w:tc>
          <w:tcPr>
            <w:tcW w:w="490" w:type="dxa"/>
            <w:vMerge w:val="restart"/>
            <w:tcBorders>
              <w:top w:val="single" w:sz="4" w:space="0" w:color="000000"/>
              <w:left w:val="single" w:sz="4" w:space="0" w:color="000000"/>
              <w:right w:val="single" w:sz="4" w:space="0" w:color="000000"/>
            </w:tcBorders>
          </w:tcPr>
          <w:p>
            <w:pPr>
              <w:pStyle w:val="TableParagraph"/>
              <w:spacing w:line="240" w:lineRule="auto" w:before="90"/>
              <w:ind w:left="48" w:right="0"/>
              <w:jc w:val="center"/>
              <w:rPr>
                <w:rFonts w:ascii="Arial" w:hAnsi="Arial" w:cs="Arial" w:eastAsia="Arial" w:hint="default"/>
                <w:sz w:val="18"/>
                <w:szCs w:val="18"/>
              </w:rPr>
            </w:pPr>
            <w:r>
              <w:rPr>
                <w:rFonts w:ascii="Arial"/>
                <w:w w:val="85"/>
                <w:sz w:val="18"/>
              </w:rPr>
              <w:t>100.0</w:t>
            </w:r>
            <w:r>
              <w:rPr>
                <w:rFonts w:ascii="Arial"/>
                <w:sz w:val="18"/>
              </w:rPr>
            </w:r>
          </w:p>
          <w:p>
            <w:pPr>
              <w:pStyle w:val="TableParagraph"/>
              <w:spacing w:line="240" w:lineRule="auto" w:before="102"/>
              <w:ind w:left="209" w:right="0"/>
              <w:jc w:val="center"/>
              <w:rPr>
                <w:rFonts w:ascii="Arial" w:hAnsi="Arial" w:cs="Arial" w:eastAsia="Arial" w:hint="default"/>
                <w:sz w:val="18"/>
                <w:szCs w:val="18"/>
              </w:rPr>
            </w:pPr>
            <w:r>
              <w:rPr>
                <w:rFonts w:ascii="Arial"/>
                <w:w w:val="90"/>
                <w:sz w:val="18"/>
              </w:rPr>
              <w:t>0%</w:t>
            </w:r>
            <w:r>
              <w:rPr>
                <w:rFonts w:ascii="Arial"/>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7" w:right="0"/>
              <w:jc w:val="left"/>
              <w:rPr>
                <w:rFonts w:ascii="Arial" w:hAnsi="Arial" w:cs="Arial" w:eastAsia="Arial" w:hint="default"/>
                <w:sz w:val="18"/>
                <w:szCs w:val="18"/>
              </w:rPr>
            </w:pPr>
            <w:r>
              <w:rPr>
                <w:rFonts w:ascii="Arial"/>
                <w:w w:val="85"/>
                <w:sz w:val="18"/>
              </w:rPr>
              <w:t>14,997,602.51</w:t>
            </w:r>
            <w:r>
              <w:rPr>
                <w:rFonts w:ascii="Arial"/>
                <w:sz w:val="18"/>
              </w:rPr>
            </w:r>
          </w:p>
        </w:tc>
        <w:tc>
          <w:tcPr>
            <w:tcW w:w="60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2" w:right="0"/>
              <w:jc w:val="left"/>
              <w:rPr>
                <w:rFonts w:ascii="Arial" w:hAnsi="Arial" w:cs="Arial" w:eastAsia="Arial" w:hint="default"/>
                <w:sz w:val="18"/>
                <w:szCs w:val="18"/>
              </w:rPr>
            </w:pPr>
            <w:r>
              <w:rPr>
                <w:rFonts w:ascii="Times New Roman"/>
                <w:w w:val="85"/>
                <w:sz w:val="18"/>
              </w:rPr>
              <w:t>8.60</w:t>
            </w:r>
            <w:r>
              <w:rPr>
                <w:rFonts w:ascii="Arial"/>
                <w:w w:val="85"/>
                <w:sz w:val="18"/>
              </w:rPr>
              <w:t>%</w:t>
            </w:r>
            <w:r>
              <w:rPr>
                <w:rFonts w:ascii="Arial"/>
                <w:sz w:val="18"/>
              </w:rPr>
            </w:r>
          </w:p>
        </w:tc>
        <w:tc>
          <w:tcPr>
            <w:tcW w:w="907"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w w:val="85"/>
                <w:sz w:val="18"/>
              </w:rPr>
              <w:t>159,378,382</w:t>
            </w:r>
            <w:r>
              <w:rPr>
                <w:rFonts w:ascii="Arial"/>
                <w:spacing w:val="-1"/>
                <w:sz w:val="18"/>
              </w:rPr>
            </w:r>
          </w:p>
          <w:p>
            <w:pPr>
              <w:pStyle w:val="TableParagraph"/>
              <w:spacing w:line="240" w:lineRule="auto" w:before="102"/>
              <w:ind w:right="21"/>
              <w:jc w:val="right"/>
              <w:rPr>
                <w:rFonts w:ascii="Arial" w:hAnsi="Arial" w:cs="Arial" w:eastAsia="Arial" w:hint="default"/>
                <w:sz w:val="18"/>
                <w:szCs w:val="18"/>
              </w:rPr>
            </w:pPr>
            <w:r>
              <w:rPr>
                <w:rFonts w:ascii="Arial"/>
                <w:spacing w:val="-1"/>
                <w:w w:val="85"/>
                <w:sz w:val="18"/>
              </w:rPr>
              <w:t>.24</w:t>
            </w:r>
            <w:r>
              <w:rPr>
                <w:rFonts w:ascii="Arial"/>
                <w:spacing w:val="-1"/>
                <w:sz w:val="18"/>
              </w:rPr>
            </w:r>
          </w:p>
        </w:tc>
      </w:tr>
      <w:tr>
        <w:trPr>
          <w:trHeight w:val="392"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4" w:type="dxa"/>
            <w:vMerge/>
            <w:tcBorders>
              <w:left w:val="single" w:sz="9" w:space="0" w:color="D2D2D2"/>
              <w:right w:val="single" w:sz="4" w:space="0" w:color="000000"/>
            </w:tcBorders>
          </w:tcPr>
          <w:p>
            <w:pPr/>
          </w:p>
        </w:tc>
        <w:tc>
          <w:tcPr>
            <w:tcW w:w="71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907"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9" w:space="0" w:color="D2D2D2"/>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010" w:top="1140" w:bottom="1200" w:left="980" w:right="9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010" w:top="1140" w:bottom="120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2" w:right="-20"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3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980" w:right="980"/>
          <w:cols w:num="2" w:equalWidth="0">
            <w:col w:w="4293" w:space="462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54,652,551.93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1,366,313.80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2.50%</w:t>
            </w:r>
            <w:r>
              <w:rPr>
                <w:rFonts w:ascii="Arial"/>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回款条件特殊</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54,652,551.93</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Arial" w:hAnsi="Arial" w:cs="Arial" w:eastAsia="Arial" w:hint="default"/>
                <w:sz w:val="18"/>
                <w:szCs w:val="18"/>
              </w:rPr>
            </w:pPr>
            <w:r>
              <w:rPr>
                <w:rFonts w:ascii="Arial"/>
                <w:spacing w:val="-1"/>
                <w:sz w:val="18"/>
              </w:rPr>
              <w:t>1,366,313.80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1910" w:h="16840"/>
          <w:pgMar w:top="1100" w:bottom="1200" w:left="980" w:right="980"/>
        </w:sectPr>
      </w:pPr>
    </w:p>
    <w:p>
      <w:pPr>
        <w:spacing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5"/>
        <w:ind w:left="152" w:right="-19"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3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980" w:right="980"/>
          <w:cols w:num="2" w:equalWidth="0">
            <w:col w:w="4114" w:space="4807"/>
            <w:col w:w="102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7,373,687.59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12,501,776.18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625,088.81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5.00%</w:t>
            </w:r>
            <w:r>
              <w:rPr>
                <w:rFonts w:ascii="Arial"/>
                <w:sz w:val="18"/>
              </w:rPr>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28,023,926.95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2,802,392.69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12,913,659.19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3,874,097.76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30.00%</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5,417,620.67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2,708,810.33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8,966,562.97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8,966,562.97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75,197,233.55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18,976,952.56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70"/>
        <w:ind w:right="4014"/>
        <w:jc w:val="left"/>
      </w:pPr>
      <w:r>
        <w:rPr/>
        <w:t>确定该组合依据的说明： 组合中，采用余额百分比法计提坏账准备的应收账款：</w:t>
      </w:r>
    </w:p>
    <w:p>
      <w:pPr>
        <w:pStyle w:val="BodyText"/>
        <w:spacing w:line="338" w:lineRule="auto" w:before="34"/>
        <w:ind w:right="44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组合中，采用其他方法计提坏账准备的应收账款：</w:t>
      </w:r>
    </w:p>
    <w:p>
      <w:pPr>
        <w:pStyle w:val="Heading3"/>
        <w:spacing w:line="240" w:lineRule="auto" w:before="56"/>
        <w:ind w:right="0"/>
        <w:jc w:val="left"/>
        <w:rPr>
          <w:b w:val="0"/>
          <w:bCs w:val="0"/>
        </w:rPr>
      </w:pPr>
      <w:r>
        <w:rPr/>
        <w:t>（</w:t>
      </w:r>
      <w:r>
        <w:rPr>
          <w:rFonts w:ascii="Arial" w:hAnsi="Arial" w:cs="Arial" w:eastAsia="Arial" w:hint="default"/>
        </w:rPr>
        <w:t>2</w:t>
      </w:r>
      <w:r>
        <w:rPr/>
        <w:t>）本期计提、收回或转回的坏账准备情况</w:t>
      </w:r>
      <w:r>
        <w:rPr>
          <w:b w:val="0"/>
          <w:bCs w:val="0"/>
        </w:rPr>
      </w:r>
    </w:p>
    <w:p>
      <w:pPr>
        <w:pStyle w:val="BodyText"/>
        <w:spacing w:line="240" w:lineRule="auto" w:before="137"/>
        <w:ind w:right="0"/>
        <w:jc w:val="left"/>
      </w:pPr>
      <w:r>
        <w:rPr/>
        <w:t>本期计提坏账准备金额</w:t>
      </w:r>
      <w:r>
        <w:rPr>
          <w:spacing w:val="-62"/>
        </w:rPr>
        <w:t> </w:t>
      </w:r>
      <w:r>
        <w:rPr>
          <w:rFonts w:ascii="Arial" w:hAnsi="Arial" w:cs="Arial" w:eastAsia="Arial" w:hint="default"/>
        </w:rPr>
        <w:t>5,345,663.85</w:t>
      </w:r>
      <w:r>
        <w:rPr>
          <w:rFonts w:ascii="Arial" w:hAnsi="Arial" w:cs="Arial" w:eastAsia="Arial" w:hint="default"/>
          <w:spacing w:val="-6"/>
        </w:rPr>
        <w:t> </w:t>
      </w:r>
      <w:r>
        <w:rPr/>
        <w:t>元；本期收回或转回坏账准备金额</w:t>
      </w:r>
      <w:r>
        <w:rPr>
          <w:spacing w:val="-62"/>
        </w:rPr>
        <w:t> </w:t>
      </w:r>
      <w:r>
        <w:rPr>
          <w:rFonts w:ascii="Arial" w:hAnsi="Arial" w:cs="Arial" w:eastAsia="Arial" w:hint="default"/>
        </w:rPr>
        <w:t>0</w:t>
      </w:r>
      <w:r>
        <w:rPr>
          <w:rFonts w:ascii="Arial" w:hAnsi="Arial" w:cs="Arial" w:eastAsia="Arial" w:hint="default"/>
          <w:spacing w:val="-8"/>
        </w:rPr>
        <w:t> </w:t>
      </w:r>
      <w:r>
        <w:rPr/>
        <w:t>元。</w:t>
      </w:r>
    </w:p>
    <w:p>
      <w:pPr>
        <w:pStyle w:val="Heading3"/>
        <w:spacing w:line="338" w:lineRule="auto" w:before="137"/>
        <w:ind w:right="6026"/>
        <w:jc w:val="left"/>
        <w:rPr>
          <w:rFonts w:ascii="宋体" w:hAnsi="宋体" w:cs="宋体" w:eastAsia="宋体" w:hint="default"/>
          <w:b w:val="0"/>
          <w:bCs w:val="0"/>
        </w:rPr>
      </w:pPr>
      <w:r>
        <w:rPr/>
        <w:t>（</w:t>
      </w:r>
      <w:r>
        <w:rPr>
          <w:rFonts w:ascii="Arial" w:hAnsi="Arial" w:cs="Arial" w:eastAsia="Arial" w:hint="default"/>
        </w:rPr>
        <w:t>3</w:t>
      </w:r>
      <w:r>
        <w:rPr/>
        <w:t>）本期实际核销的应收账款情况</w:t>
      </w:r>
      <w:r>
        <w:rPr>
          <w:w w:val="99"/>
        </w:rPr>
        <w:t> </w:t>
      </w:r>
      <w:r>
        <w:rPr>
          <w:rFonts w:ascii="宋体" w:hAnsi="宋体" w:cs="宋体" w:eastAsia="宋体" w:hint="default"/>
          <w:b w:val="0"/>
          <w:bCs w:val="0"/>
        </w:rPr>
        <w:t>不适用</w:t>
      </w:r>
    </w:p>
    <w:p>
      <w:pPr>
        <w:pStyle w:val="Heading3"/>
        <w:spacing w:line="240" w:lineRule="auto" w:before="53"/>
        <w:ind w:right="0"/>
        <w:jc w:val="left"/>
        <w:rPr>
          <w:b w:val="0"/>
          <w:bCs w:val="0"/>
        </w:rPr>
      </w:pPr>
      <w:r>
        <w:rPr/>
        <w:t>（</w:t>
      </w:r>
      <w:r>
        <w:rPr>
          <w:rFonts w:ascii="Arial" w:hAnsi="Arial" w:cs="Arial" w:eastAsia="Arial"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9"/>
          <w:szCs w:val="9"/>
        </w:rPr>
      </w:pPr>
    </w:p>
    <w:tbl>
      <w:tblPr>
        <w:tblW w:w="0" w:type="auto"/>
        <w:jc w:val="left"/>
        <w:tblInd w:w="145" w:type="dxa"/>
        <w:tblLayout w:type="fixed"/>
        <w:tblCellMar>
          <w:top w:w="0" w:type="dxa"/>
          <w:left w:w="0" w:type="dxa"/>
          <w:bottom w:w="0" w:type="dxa"/>
          <w:right w:w="0" w:type="dxa"/>
        </w:tblCellMar>
        <w:tblLook w:val="01E0"/>
      </w:tblPr>
      <w:tblGrid>
        <w:gridCol w:w="2552"/>
        <w:gridCol w:w="853"/>
        <w:gridCol w:w="1416"/>
        <w:gridCol w:w="2268"/>
        <w:gridCol w:w="1277"/>
        <w:gridCol w:w="1274"/>
      </w:tblGrid>
      <w:tr>
        <w:trPr>
          <w:trHeight w:val="660"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40" w:right="56" w:hanging="181"/>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1" w:right="7" w:firstLine="79"/>
              <w:jc w:val="left"/>
              <w:rPr>
                <w:rFonts w:ascii="宋体" w:hAnsi="宋体" w:cs="宋体" w:eastAsia="宋体" w:hint="default"/>
                <w:sz w:val="18"/>
                <w:szCs w:val="18"/>
              </w:rPr>
            </w:pPr>
            <w:r>
              <w:rPr>
                <w:rFonts w:ascii="宋体" w:hAnsi="宋体" w:cs="宋体" w:eastAsia="宋体" w:hint="default"/>
                <w:sz w:val="18"/>
                <w:szCs w:val="18"/>
              </w:rPr>
              <w:t>占应收账款总 额的比例（</w:t>
            </w:r>
            <w:r>
              <w:rPr>
                <w:rFonts w:ascii="Arial" w:hAnsi="Arial" w:cs="Arial" w:eastAsia="Arial" w:hint="default"/>
                <w:sz w:val="18"/>
                <w:szCs w:val="18"/>
              </w:rPr>
              <w:t>%</w:t>
            </w:r>
            <w:r>
              <w:rPr>
                <w:rFonts w:ascii="宋体" w:hAnsi="宋体" w:cs="宋体" w:eastAsia="宋体" w:hint="default"/>
                <w:sz w:val="18"/>
                <w:szCs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71" w:right="266"/>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54,652,551.93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二年至三年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42.09%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1,366,313.80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云南省高级人民法院</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Arial" w:hAnsi="Arial" w:cs="Arial" w:eastAsia="Arial" w:hint="default"/>
                <w:sz w:val="18"/>
                <w:szCs w:val="18"/>
              </w:rPr>
            </w:pPr>
            <w:r>
              <w:rPr>
                <w:rFonts w:ascii="Arial"/>
                <w:spacing w:val="-1"/>
                <w:sz w:val="18"/>
              </w:rPr>
              <w:t>14,442,852.00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三年至四年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Arial" w:hAnsi="Arial" w:cs="Arial" w:eastAsia="Arial" w:hint="default"/>
                <w:sz w:val="18"/>
                <w:szCs w:val="18"/>
              </w:rPr>
            </w:pPr>
            <w:r>
              <w:rPr>
                <w:rFonts w:ascii="Arial"/>
                <w:spacing w:val="-1"/>
                <w:sz w:val="18"/>
              </w:rPr>
              <w:t>11.12%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Arial" w:hAnsi="Arial" w:cs="Arial" w:eastAsia="Arial" w:hint="default"/>
                <w:sz w:val="18"/>
                <w:szCs w:val="18"/>
              </w:rPr>
            </w:pPr>
            <w:r>
              <w:rPr>
                <w:rFonts w:ascii="Arial"/>
                <w:spacing w:val="-1"/>
                <w:sz w:val="18"/>
              </w:rPr>
              <w:t>1,500,115.60</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广东省中山市人民检察院</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6,885,991.00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三年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w w:val="95"/>
                <w:sz w:val="18"/>
              </w:rPr>
              <w:t>5.30%</w:t>
            </w:r>
            <w:r>
              <w:rPr>
                <w:rFonts w:ascii="Arial"/>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31,656.45</w:t>
            </w:r>
          </w:p>
        </w:tc>
      </w:tr>
    </w:tbl>
    <w:p>
      <w:pPr>
        <w:spacing w:after="0" w:line="240" w:lineRule="auto"/>
        <w:jc w:val="right"/>
        <w:rPr>
          <w:rFonts w:ascii="Arial" w:hAnsi="Arial" w:cs="Arial" w:eastAsia="Arial" w:hint="default"/>
          <w:sz w:val="18"/>
          <w:szCs w:val="18"/>
        </w:rPr>
        <w:sectPr>
          <w:type w:val="continuous"/>
          <w:pgSz w:w="11910" w:h="16840"/>
          <w:pgMar w:top="1100" w:bottom="1200" w:left="980" w:right="980"/>
        </w:sectPr>
      </w:pPr>
    </w:p>
    <w:p>
      <w:pPr>
        <w:spacing w:line="240" w:lineRule="auto" w:before="6"/>
        <w:rPr>
          <w:rFonts w:ascii="宋体" w:hAnsi="宋体" w:cs="宋体" w:eastAsia="宋体" w:hint="default"/>
          <w:b/>
          <w:bCs/>
          <w:sz w:val="21"/>
          <w:szCs w:val="21"/>
        </w:rPr>
      </w:pPr>
    </w:p>
    <w:tbl>
      <w:tblPr>
        <w:tblW w:w="0" w:type="auto"/>
        <w:jc w:val="left"/>
        <w:tblInd w:w="145" w:type="dxa"/>
        <w:tblLayout w:type="fixed"/>
        <w:tblCellMar>
          <w:top w:w="0" w:type="dxa"/>
          <w:left w:w="0" w:type="dxa"/>
          <w:bottom w:w="0" w:type="dxa"/>
          <w:right w:w="0" w:type="dxa"/>
        </w:tblCellMar>
        <w:tblLook w:val="01E0"/>
      </w:tblPr>
      <w:tblGrid>
        <w:gridCol w:w="2552"/>
        <w:gridCol w:w="853"/>
        <w:gridCol w:w="1416"/>
        <w:gridCol w:w="2268"/>
        <w:gridCol w:w="1277"/>
        <w:gridCol w:w="1274"/>
      </w:tblGrid>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至四年</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0"/>
              <w:jc w:val="right"/>
              <w:rPr>
                <w:rFonts w:ascii="宋体" w:hAnsi="宋体" w:cs="宋体" w:eastAsia="宋体" w:hint="default"/>
                <w:sz w:val="18"/>
                <w:szCs w:val="18"/>
              </w:rPr>
            </w:pPr>
            <w:r>
              <w:rPr>
                <w:rFonts w:ascii="宋体" w:hAnsi="宋体" w:cs="宋体" w:eastAsia="宋体" w:hint="default"/>
                <w:sz w:val="18"/>
                <w:szCs w:val="18"/>
              </w:rPr>
              <w:t>北京市监狱管理局</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6,343,280.00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w w:val="95"/>
                <w:sz w:val="18"/>
              </w:rPr>
              <w:t>4.89%</w:t>
            </w:r>
            <w:r>
              <w:rPr>
                <w:rFonts w:ascii="Arial"/>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317,164.00</w:t>
            </w:r>
          </w:p>
        </w:tc>
      </w:tr>
      <w:tr>
        <w:trPr>
          <w:trHeight w:val="660"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90"/>
              <w:jc w:val="right"/>
              <w:rPr>
                <w:rFonts w:ascii="宋体" w:hAnsi="宋体" w:cs="宋体" w:eastAsia="宋体" w:hint="default"/>
                <w:sz w:val="18"/>
                <w:szCs w:val="18"/>
              </w:rPr>
            </w:pPr>
            <w:r>
              <w:rPr>
                <w:rFonts w:ascii="宋体" w:hAnsi="宋体" w:cs="宋体" w:eastAsia="宋体" w:hint="default"/>
                <w:sz w:val="18"/>
                <w:szCs w:val="18"/>
              </w:rPr>
              <w:t>广东省人民检察院</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Arial" w:hAnsi="Arial" w:cs="Arial" w:eastAsia="Arial" w:hint="default"/>
                <w:sz w:val="18"/>
                <w:szCs w:val="18"/>
              </w:rPr>
            </w:pPr>
            <w:r>
              <w:rPr>
                <w:rFonts w:ascii="Arial"/>
                <w:spacing w:val="-1"/>
                <w:sz w:val="18"/>
              </w:rPr>
              <w:t>5,303,686.66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0"/>
              <w:ind w:left="4" w:right="167"/>
              <w:jc w:val="left"/>
              <w:rPr>
                <w:rFonts w:ascii="宋体" w:hAnsi="宋体" w:cs="宋体" w:eastAsia="宋体" w:hint="default"/>
                <w:sz w:val="18"/>
                <w:szCs w:val="18"/>
              </w:rPr>
            </w:pPr>
            <w:r>
              <w:rPr>
                <w:rFonts w:ascii="宋体" w:hAnsi="宋体" w:cs="宋体" w:eastAsia="宋体" w:hint="default"/>
                <w:sz w:val="18"/>
                <w:szCs w:val="18"/>
              </w:rPr>
              <w:t>一年至二年</w:t>
            </w:r>
            <w:r>
              <w:rPr>
                <w:rFonts w:ascii="Arial" w:hAnsi="Arial" w:cs="Arial" w:eastAsia="Arial" w:hint="default"/>
                <w:sz w:val="18"/>
                <w:szCs w:val="18"/>
              </w:rPr>
              <w:t>/</w:t>
            </w: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三 年至四年</w:t>
            </w:r>
            <w:r>
              <w:rPr>
                <w:rFonts w:ascii="Arial" w:hAnsi="Arial" w:cs="Arial" w:eastAsia="Arial" w:hint="default"/>
                <w:sz w:val="18"/>
                <w:szCs w:val="18"/>
              </w:rPr>
              <w:t>/</w:t>
            </w:r>
            <w:r>
              <w:rPr>
                <w:rFonts w:ascii="宋体" w:hAnsi="宋体" w:cs="宋体" w:eastAsia="宋体" w:hint="default"/>
                <w:sz w:val="18"/>
                <w:szCs w:val="18"/>
              </w:rPr>
              <w:t>五年以上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4.08%</w:t>
            </w:r>
            <w:r>
              <w:rPr>
                <w:rFonts w:ascii="Arial"/>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1,341,244.03</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85"/>
              <w:jc w:val="right"/>
              <w:rPr>
                <w:rFonts w:ascii="宋体" w:hAnsi="宋体" w:cs="宋体" w:eastAsia="宋体" w:hint="default"/>
                <w:sz w:val="18"/>
                <w:szCs w:val="18"/>
              </w:rPr>
            </w:pPr>
            <w:r>
              <w:rPr>
                <w:rFonts w:ascii="宋体" w:hAnsi="宋体" w:cs="宋体" w:eastAsia="宋体" w:hint="default"/>
                <w:sz w:val="18"/>
                <w:szCs w:val="18"/>
              </w:rPr>
              <w:t>合计</w:t>
            </w:r>
          </w:p>
        </w:tc>
        <w:tc>
          <w:tcPr>
            <w:tcW w:w="853"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87,628,361.59</w:t>
            </w:r>
          </w:p>
        </w:tc>
        <w:tc>
          <w:tcPr>
            <w:tcW w:w="226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67.48%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4,556,493.88</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3"/>
        <w:spacing w:line="240" w:lineRule="auto" w:before="26"/>
        <w:ind w:right="0"/>
        <w:jc w:val="left"/>
        <w:rPr>
          <w:b w:val="0"/>
          <w:bCs w:val="0"/>
        </w:rPr>
      </w:pPr>
      <w:r>
        <w:rPr>
          <w:rFonts w:ascii="Arial" w:hAnsi="Arial" w:cs="Arial" w:eastAsia="Arial" w:hint="default"/>
        </w:rPr>
        <w:t>2</w:t>
      </w:r>
      <w:r>
        <w:rPr/>
        <w:t>、其他应收款</w:t>
      </w:r>
      <w:r>
        <w:rPr>
          <w:b w:val="0"/>
          <w:bCs w:val="0"/>
        </w:rPr>
      </w:r>
    </w:p>
    <w:p>
      <w:pPr>
        <w:spacing w:line="240" w:lineRule="auto" w:before="5"/>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1</w:t>
      </w:r>
      <w:r>
        <w:rPr>
          <w:rFonts w:ascii="宋体" w:hAnsi="宋体" w:cs="宋体" w:eastAsia="宋体" w:hint="default"/>
          <w:b/>
          <w:bCs/>
          <w:sz w:val="20"/>
          <w:szCs w:val="20"/>
        </w:rPr>
        <w:t>）其他应收款分类披露</w:t>
      </w:r>
      <w:r>
        <w:rPr>
          <w:rFonts w:ascii="宋体" w:hAnsi="宋体" w:cs="宋体" w:eastAsia="宋体" w:hint="default"/>
          <w:sz w:val="20"/>
          <w:szCs w:val="20"/>
        </w:rPr>
      </w:r>
    </w:p>
    <w:p>
      <w:pPr>
        <w:spacing w:before="13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990"/>
        <w:gridCol w:w="761"/>
        <w:gridCol w:w="811"/>
        <w:gridCol w:w="715"/>
        <w:gridCol w:w="788"/>
        <w:gridCol w:w="655"/>
        <w:gridCol w:w="761"/>
        <w:gridCol w:w="1052"/>
        <w:gridCol w:w="696"/>
        <w:gridCol w:w="931"/>
      </w:tblGrid>
      <w:tr>
        <w:trPr>
          <w:trHeight w:val="398"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06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7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51"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63" w:right="7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4" w:right="7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5"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6"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96" w:type="dxa"/>
            <w:vMerge/>
            <w:tcBorders>
              <w:left w:val="single" w:sz="4" w:space="0" w:color="000000"/>
              <w:right w:val="single" w:sz="4" w:space="0" w:color="000000"/>
            </w:tcBorders>
            <w:shd w:val="clear" w:color="auto" w:fill="D2D2D2"/>
          </w:tcPr>
          <w:p>
            <w:pPr/>
          </w:p>
        </w:tc>
        <w:tc>
          <w:tcPr>
            <w:tcW w:w="990"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696"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5"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9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12,341,587</w:t>
            </w:r>
          </w:p>
          <w:p>
            <w:pPr>
              <w:pStyle w:val="TableParagraph"/>
              <w:spacing w:line="240" w:lineRule="auto" w:before="105"/>
              <w:ind w:right="18"/>
              <w:jc w:val="right"/>
              <w:rPr>
                <w:rFonts w:ascii="Arial" w:hAnsi="Arial" w:cs="Arial" w:eastAsia="Arial" w:hint="default"/>
                <w:sz w:val="18"/>
                <w:szCs w:val="18"/>
              </w:rPr>
            </w:pPr>
            <w:r>
              <w:rPr>
                <w:rFonts w:ascii="Arial"/>
                <w:w w:val="95"/>
                <w:sz w:val="18"/>
              </w:rPr>
              <w:t>.86</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Arial" w:hAnsi="Arial" w:cs="Arial" w:eastAsia="Arial" w:hint="default"/>
                <w:sz w:val="18"/>
                <w:szCs w:val="18"/>
              </w:rPr>
            </w:pPr>
            <w:r>
              <w:rPr>
                <w:rFonts w:ascii="Arial"/>
                <w:sz w:val="18"/>
              </w:rPr>
              <w:t>6,034,62</w:t>
            </w:r>
          </w:p>
          <w:p>
            <w:pPr>
              <w:pStyle w:val="TableParagraph"/>
              <w:spacing w:line="240" w:lineRule="auto" w:before="105"/>
              <w:ind w:left="427" w:right="0"/>
              <w:jc w:val="left"/>
              <w:rPr>
                <w:rFonts w:ascii="Arial" w:hAnsi="Arial" w:cs="Arial" w:eastAsia="Arial" w:hint="default"/>
                <w:sz w:val="18"/>
                <w:szCs w:val="18"/>
              </w:rPr>
            </w:pPr>
            <w:r>
              <w:rPr>
                <w:rFonts w:ascii="Arial"/>
                <w:sz w:val="18"/>
              </w:rPr>
              <w:t>1.07</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4" w:right="0"/>
              <w:jc w:val="left"/>
              <w:rPr>
                <w:rFonts w:ascii="Arial" w:hAnsi="Arial" w:cs="Arial" w:eastAsia="Arial" w:hint="default"/>
                <w:sz w:val="18"/>
                <w:szCs w:val="18"/>
              </w:rPr>
            </w:pPr>
            <w:r>
              <w:rPr>
                <w:rFonts w:ascii="Arial"/>
                <w:sz w:val="18"/>
              </w:rPr>
              <w:t>48.90%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5" w:right="0"/>
              <w:jc w:val="left"/>
              <w:rPr>
                <w:rFonts w:ascii="Arial" w:hAnsi="Arial" w:cs="Arial" w:eastAsia="Arial" w:hint="default"/>
                <w:sz w:val="18"/>
                <w:szCs w:val="18"/>
              </w:rPr>
            </w:pPr>
            <w:r>
              <w:rPr>
                <w:rFonts w:ascii="Arial"/>
                <w:sz w:val="18"/>
              </w:rPr>
              <w:t>6,306,96</w:t>
            </w:r>
          </w:p>
          <w:p>
            <w:pPr>
              <w:pStyle w:val="TableParagraph"/>
              <w:spacing w:line="240" w:lineRule="auto" w:before="105"/>
              <w:ind w:left="405" w:right="0"/>
              <w:jc w:val="left"/>
              <w:rPr>
                <w:rFonts w:ascii="Arial" w:hAnsi="Arial" w:cs="Arial" w:eastAsia="Arial" w:hint="default"/>
                <w:sz w:val="18"/>
                <w:szCs w:val="18"/>
              </w:rPr>
            </w:pPr>
            <w:r>
              <w:rPr>
                <w:rFonts w:ascii="Arial"/>
                <w:sz w:val="18"/>
              </w:rPr>
              <w:t>6.79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19,405</w:t>
            </w:r>
          </w:p>
          <w:p>
            <w:pPr>
              <w:pStyle w:val="TableParagraph"/>
              <w:spacing w:line="240" w:lineRule="auto" w:before="105"/>
              <w:ind w:right="18"/>
              <w:jc w:val="right"/>
              <w:rPr>
                <w:rFonts w:ascii="Arial" w:hAnsi="Arial" w:cs="Arial" w:eastAsia="Arial" w:hint="default"/>
                <w:sz w:val="18"/>
                <w:szCs w:val="18"/>
              </w:rPr>
            </w:pPr>
            <w:r>
              <w:rPr>
                <w:rFonts w:ascii="Arial"/>
                <w:w w:val="95"/>
                <w:sz w:val="18"/>
              </w:rPr>
              <w:t>,093.6</w:t>
            </w:r>
          </w:p>
          <w:p>
            <w:pPr>
              <w:pStyle w:val="TableParagraph"/>
              <w:spacing w:line="240" w:lineRule="auto" w:before="105"/>
              <w:ind w:right="20"/>
              <w:jc w:val="right"/>
              <w:rPr>
                <w:rFonts w:ascii="Arial" w:hAnsi="Arial" w:cs="Arial" w:eastAsia="Arial" w:hint="default"/>
                <w:sz w:val="18"/>
                <w:szCs w:val="18"/>
              </w:rPr>
            </w:pPr>
            <w:r>
              <w:rPr>
                <w:rFonts w:ascii="Arial"/>
                <w:w w:val="99"/>
                <w:sz w:val="18"/>
              </w:rPr>
              <w:t>2</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5,462,069.8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5" w:right="0"/>
              <w:jc w:val="left"/>
              <w:rPr>
                <w:rFonts w:ascii="Arial" w:hAnsi="Arial" w:cs="Arial" w:eastAsia="Arial" w:hint="default"/>
                <w:sz w:val="18"/>
                <w:szCs w:val="18"/>
              </w:rPr>
            </w:pPr>
            <w:r>
              <w:rPr>
                <w:rFonts w:ascii="Arial"/>
                <w:sz w:val="18"/>
              </w:rPr>
              <w:t>28.15%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13,943,02</w:t>
            </w:r>
          </w:p>
          <w:p>
            <w:pPr>
              <w:pStyle w:val="TableParagraph"/>
              <w:spacing w:line="240" w:lineRule="auto" w:before="105"/>
              <w:ind w:left="549" w:right="0"/>
              <w:jc w:val="left"/>
              <w:rPr>
                <w:rFonts w:ascii="Arial" w:hAnsi="Arial" w:cs="Arial" w:eastAsia="Arial" w:hint="default"/>
                <w:sz w:val="18"/>
                <w:szCs w:val="18"/>
              </w:rPr>
            </w:pPr>
            <w:r>
              <w:rPr>
                <w:rFonts w:ascii="Arial"/>
                <w:sz w:val="18"/>
              </w:rPr>
              <w:t>3.82</w:t>
            </w:r>
          </w:p>
        </w:tc>
      </w:tr>
      <w:tr>
        <w:trPr>
          <w:trHeight w:val="319"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0"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12,341,587</w:t>
            </w:r>
          </w:p>
          <w:p>
            <w:pPr>
              <w:pStyle w:val="TableParagraph"/>
              <w:spacing w:line="240" w:lineRule="auto" w:before="102"/>
              <w:ind w:right="18"/>
              <w:jc w:val="right"/>
              <w:rPr>
                <w:rFonts w:ascii="Arial" w:hAnsi="Arial" w:cs="Arial" w:eastAsia="Arial" w:hint="default"/>
                <w:sz w:val="18"/>
                <w:szCs w:val="18"/>
              </w:rPr>
            </w:pPr>
            <w:r>
              <w:rPr>
                <w:rFonts w:ascii="Arial"/>
                <w:w w:val="95"/>
                <w:sz w:val="18"/>
              </w:rPr>
              <w:t>.86</w:t>
            </w:r>
            <w:r>
              <w:rPr>
                <w:rFonts w:ascii="Arial"/>
                <w:sz w:val="18"/>
              </w:rPr>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Arial" w:hAnsi="Arial" w:cs="Arial" w:eastAsia="Arial" w:hint="default"/>
                <w:sz w:val="18"/>
                <w:szCs w:val="18"/>
              </w:rPr>
            </w:pPr>
            <w:r>
              <w:rPr>
                <w:rFonts w:ascii="Arial"/>
                <w:sz w:val="18"/>
              </w:rPr>
              <w:t>6,034,62</w:t>
            </w:r>
          </w:p>
          <w:p>
            <w:pPr>
              <w:pStyle w:val="TableParagraph"/>
              <w:spacing w:line="240" w:lineRule="auto" w:before="102"/>
              <w:ind w:left="427" w:right="0"/>
              <w:jc w:val="left"/>
              <w:rPr>
                <w:rFonts w:ascii="Arial" w:hAnsi="Arial" w:cs="Arial" w:eastAsia="Arial" w:hint="default"/>
                <w:sz w:val="18"/>
                <w:szCs w:val="18"/>
              </w:rPr>
            </w:pPr>
            <w:r>
              <w:rPr>
                <w:rFonts w:ascii="Arial"/>
                <w:sz w:val="18"/>
              </w:rPr>
              <w:t>1.07</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Arial" w:hAnsi="Arial" w:cs="Arial" w:eastAsia="Arial" w:hint="default"/>
                <w:sz w:val="18"/>
                <w:szCs w:val="18"/>
              </w:rPr>
            </w:pPr>
            <w:r>
              <w:rPr>
                <w:rFonts w:ascii="Arial"/>
                <w:sz w:val="18"/>
              </w:rPr>
              <w:t>48.90%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Arial" w:hAnsi="Arial" w:cs="Arial" w:eastAsia="Arial" w:hint="default"/>
                <w:sz w:val="18"/>
                <w:szCs w:val="18"/>
              </w:rPr>
            </w:pPr>
            <w:r>
              <w:rPr>
                <w:rFonts w:ascii="Arial"/>
                <w:sz w:val="18"/>
              </w:rPr>
              <w:t>6,306,96</w:t>
            </w:r>
          </w:p>
          <w:p>
            <w:pPr>
              <w:pStyle w:val="TableParagraph"/>
              <w:spacing w:line="240" w:lineRule="auto" w:before="102"/>
              <w:ind w:left="405" w:right="0"/>
              <w:jc w:val="left"/>
              <w:rPr>
                <w:rFonts w:ascii="Arial" w:hAnsi="Arial" w:cs="Arial" w:eastAsia="Arial" w:hint="default"/>
                <w:sz w:val="18"/>
                <w:szCs w:val="18"/>
              </w:rPr>
            </w:pPr>
            <w:r>
              <w:rPr>
                <w:rFonts w:ascii="Arial"/>
                <w:sz w:val="18"/>
              </w:rPr>
              <w:t>6.79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19,405</w:t>
            </w:r>
          </w:p>
          <w:p>
            <w:pPr>
              <w:pStyle w:val="TableParagraph"/>
              <w:spacing w:line="240" w:lineRule="auto" w:before="103"/>
              <w:ind w:right="18"/>
              <w:jc w:val="right"/>
              <w:rPr>
                <w:rFonts w:ascii="Arial" w:hAnsi="Arial" w:cs="Arial" w:eastAsia="Arial" w:hint="default"/>
                <w:sz w:val="18"/>
                <w:szCs w:val="18"/>
              </w:rPr>
            </w:pPr>
            <w:r>
              <w:rPr>
                <w:rFonts w:ascii="Arial"/>
                <w:w w:val="95"/>
                <w:sz w:val="18"/>
              </w:rPr>
              <w:t>,093.6</w:t>
            </w:r>
          </w:p>
          <w:p>
            <w:pPr>
              <w:pStyle w:val="TableParagraph"/>
              <w:spacing w:line="240" w:lineRule="auto" w:before="105"/>
              <w:ind w:right="20"/>
              <w:jc w:val="right"/>
              <w:rPr>
                <w:rFonts w:ascii="Arial" w:hAnsi="Arial" w:cs="Arial" w:eastAsia="Arial" w:hint="default"/>
                <w:sz w:val="18"/>
                <w:szCs w:val="18"/>
              </w:rPr>
            </w:pPr>
            <w:r>
              <w:rPr>
                <w:rFonts w:ascii="Arial"/>
                <w:w w:val="99"/>
                <w:sz w:val="18"/>
              </w:rPr>
              <w:t>2</w:t>
            </w:r>
            <w:r>
              <w:rPr>
                <w:rFonts w:ascii="Arial"/>
                <w:sz w:val="18"/>
              </w:rPr>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5,462,069.8</w:t>
            </w:r>
          </w:p>
          <w:p>
            <w:pPr>
              <w:pStyle w:val="TableParagraph"/>
              <w:spacing w:line="240" w:lineRule="auto" w:before="102"/>
              <w:ind w:right="20"/>
              <w:jc w:val="right"/>
              <w:rPr>
                <w:rFonts w:ascii="Arial" w:hAnsi="Arial" w:cs="Arial" w:eastAsia="Arial" w:hint="default"/>
                <w:sz w:val="18"/>
                <w:szCs w:val="18"/>
              </w:rPr>
            </w:pPr>
            <w:r>
              <w:rPr>
                <w:rFonts w:ascii="Arial"/>
                <w:w w:val="99"/>
                <w:sz w:val="18"/>
              </w:rPr>
              <w:t>0</w:t>
            </w:r>
            <w:r>
              <w:rPr>
                <w:rFonts w:ascii="Arial"/>
                <w:sz w:val="18"/>
              </w:rPr>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5" w:right="0"/>
              <w:jc w:val="left"/>
              <w:rPr>
                <w:rFonts w:ascii="Arial" w:hAnsi="Arial" w:cs="Arial" w:eastAsia="Arial" w:hint="default"/>
                <w:sz w:val="18"/>
                <w:szCs w:val="18"/>
              </w:rPr>
            </w:pPr>
            <w:r>
              <w:rPr>
                <w:rFonts w:ascii="Arial"/>
                <w:sz w:val="18"/>
              </w:rPr>
              <w:t>28.15%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Arial" w:hAnsi="Arial" w:cs="Arial" w:eastAsia="Arial" w:hint="default"/>
                <w:sz w:val="18"/>
                <w:szCs w:val="18"/>
              </w:rPr>
            </w:pPr>
            <w:r>
              <w:rPr>
                <w:rFonts w:ascii="Arial"/>
                <w:sz w:val="18"/>
              </w:rPr>
              <w:t>13,943,02</w:t>
            </w:r>
          </w:p>
          <w:p>
            <w:pPr>
              <w:pStyle w:val="TableParagraph"/>
              <w:spacing w:line="240" w:lineRule="auto" w:before="102"/>
              <w:ind w:left="549" w:right="0"/>
              <w:jc w:val="left"/>
              <w:rPr>
                <w:rFonts w:ascii="Arial" w:hAnsi="Arial" w:cs="Arial" w:eastAsia="Arial" w:hint="default"/>
                <w:sz w:val="18"/>
                <w:szCs w:val="18"/>
              </w:rPr>
            </w:pPr>
            <w:r>
              <w:rPr>
                <w:rFonts w:ascii="Arial"/>
                <w:sz w:val="18"/>
              </w:rPr>
              <w:t>3.82</w:t>
            </w:r>
          </w:p>
        </w:tc>
      </w:tr>
      <w:tr>
        <w:trPr>
          <w:trHeight w:val="392"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0"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0"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010" w:top="1140" w:bottom="1200" w:left="980" w:right="980"/>
        </w:sectPr>
      </w:pPr>
    </w:p>
    <w:p>
      <w:pPr>
        <w:pStyle w:val="BodyText"/>
        <w:spacing w:line="240" w:lineRule="auto" w:before="48"/>
        <w:ind w:right="-20"/>
        <w:jc w:val="left"/>
      </w:pPr>
      <w:r>
        <w:rPr/>
        <w:t>期末单项金额重大并单项计提坏账准备的其他应收款：</w:t>
      </w:r>
    </w:p>
    <w:p>
      <w:pPr>
        <w:pStyle w:val="BodyText"/>
        <w:spacing w:line="324" w:lineRule="auto" w:before="130"/>
        <w:ind w:right="2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组合中，按账龄分析法计提坏账准备的其他应收款：</w:t>
      </w:r>
    </w:p>
    <w:p>
      <w:pPr>
        <w:pStyle w:val="BodyText"/>
        <w:spacing w:line="240" w:lineRule="auto" w:before="48"/>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00" w:bottom="1200" w:left="980" w:right="980"/>
          <w:cols w:num="2" w:equalWidth="0">
            <w:col w:w="5913" w:space="2767"/>
            <w:col w:w="1270"/>
          </w:cols>
        </w:sectPr>
      </w:pPr>
    </w:p>
    <w:p>
      <w:pPr>
        <w:spacing w:line="240" w:lineRule="auto" w:before="7"/>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3"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年以内分项</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4,766,036.00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106,087.26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5,304.36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5.00%</w:t>
            </w:r>
            <w:r>
              <w:rPr>
                <w:rFonts w:ascii="Arial"/>
                <w:sz w:val="18"/>
              </w:rPr>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738,555.00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73,855.50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805,125.00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241,537.50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423,721.77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211,860.88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5,502,062.83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5,502,062.83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12,341,587.86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6,034,621.07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980" w:right="980"/>
        </w:sectPr>
      </w:pPr>
    </w:p>
    <w:p>
      <w:pPr>
        <w:spacing w:line="240" w:lineRule="auto" w:before="1"/>
        <w:rPr>
          <w:rFonts w:ascii="宋体" w:hAnsi="宋体" w:cs="宋体" w:eastAsia="宋体" w:hint="default"/>
          <w:sz w:val="20"/>
          <w:szCs w:val="20"/>
        </w:rPr>
      </w:pPr>
    </w:p>
    <w:p>
      <w:pPr>
        <w:pStyle w:val="BodyText"/>
        <w:spacing w:line="357" w:lineRule="auto" w:before="26"/>
        <w:ind w:right="3774"/>
        <w:jc w:val="left"/>
      </w:pPr>
      <w:r>
        <w:rPr/>
        <w:t>确定该组合依据的说明： 组合中，采用余额百分比法计提坏账准备的其他应收款：</w:t>
      </w:r>
    </w:p>
    <w:p>
      <w:pPr>
        <w:pStyle w:val="BodyText"/>
        <w:spacing w:line="338" w:lineRule="auto" w:before="36"/>
        <w:ind w:right="42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组合中，采用其他方法计提坏账准备的其他应收款：</w:t>
      </w:r>
    </w:p>
    <w:p>
      <w:pPr>
        <w:pStyle w:val="BodyText"/>
        <w:spacing w:line="240" w:lineRule="auto" w:before="55"/>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40" w:lineRule="auto" w:before="137"/>
        <w:ind w:right="0"/>
        <w:jc w:val="left"/>
        <w:rPr>
          <w:b w:val="0"/>
          <w:bCs w:val="0"/>
        </w:rPr>
      </w:pPr>
      <w:r>
        <w:rPr/>
        <w:t>（</w:t>
      </w:r>
      <w:r>
        <w:rPr>
          <w:rFonts w:ascii="Arial" w:hAnsi="Arial" w:cs="Arial" w:eastAsia="Arial" w:hint="default"/>
        </w:rPr>
        <w:t>2</w:t>
      </w:r>
      <w:r>
        <w:rPr/>
        <w:t>）本期计提、收回或转回的坏账准备情况</w:t>
      </w:r>
      <w:r>
        <w:rPr>
          <w:b w:val="0"/>
          <w:bCs w:val="0"/>
        </w:rPr>
      </w:r>
    </w:p>
    <w:p>
      <w:pPr>
        <w:pStyle w:val="BodyText"/>
        <w:spacing w:line="240" w:lineRule="auto" w:before="137"/>
        <w:ind w:right="0"/>
        <w:jc w:val="left"/>
      </w:pPr>
      <w:r>
        <w:rPr/>
        <w:t>本期计提坏账准备金额</w:t>
      </w:r>
      <w:r>
        <w:rPr>
          <w:spacing w:val="-62"/>
        </w:rPr>
        <w:t> </w:t>
      </w:r>
      <w:r>
        <w:rPr>
          <w:rFonts w:ascii="Arial" w:hAnsi="Arial" w:cs="Arial" w:eastAsia="Arial" w:hint="default"/>
        </w:rPr>
        <w:t>572,551.27</w:t>
      </w:r>
      <w:r>
        <w:rPr>
          <w:rFonts w:ascii="Arial" w:hAnsi="Arial" w:cs="Arial" w:eastAsia="Arial" w:hint="default"/>
          <w:spacing w:val="-6"/>
        </w:rPr>
        <w:t> </w:t>
      </w:r>
      <w:r>
        <w:rPr/>
        <w:t>元；本期收回或转回坏账准备金额</w:t>
      </w:r>
      <w:r>
        <w:rPr>
          <w:spacing w:val="-62"/>
        </w:rPr>
        <w:t> </w:t>
      </w:r>
      <w:r>
        <w:rPr>
          <w:rFonts w:ascii="Arial" w:hAnsi="Arial" w:cs="Arial" w:eastAsia="Arial" w:hint="default"/>
        </w:rPr>
        <w:t>0</w:t>
      </w:r>
      <w:r>
        <w:rPr>
          <w:rFonts w:ascii="Arial" w:hAnsi="Arial" w:cs="Arial" w:eastAsia="Arial" w:hint="default"/>
          <w:spacing w:val="-8"/>
        </w:rPr>
        <w:t> </w:t>
      </w:r>
      <w:r>
        <w:rPr/>
        <w:t>元。</w:t>
      </w:r>
    </w:p>
    <w:p>
      <w:pPr>
        <w:pStyle w:val="Heading3"/>
        <w:spacing w:line="240" w:lineRule="auto" w:before="137"/>
        <w:ind w:right="0"/>
        <w:jc w:val="left"/>
        <w:rPr>
          <w:b w:val="0"/>
          <w:bCs w:val="0"/>
        </w:rPr>
      </w:pPr>
      <w:r>
        <w:rPr/>
        <w:t>（</w:t>
      </w:r>
      <w:r>
        <w:rPr>
          <w:rFonts w:ascii="Arial" w:hAnsi="Arial" w:cs="Arial" w:eastAsia="Arial" w:hint="default"/>
        </w:rPr>
        <w:t>3</w:t>
      </w:r>
      <w:r>
        <w:rPr/>
        <w:t>）其他应收款按款项性质分类情况</w:t>
      </w:r>
      <w:r>
        <w:rPr>
          <w:b w:val="0"/>
          <w:bCs w:val="0"/>
        </w:rPr>
      </w:r>
    </w:p>
    <w:p>
      <w:pPr>
        <w:spacing w:before="13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6,402,503.93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8,089,033.68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534,200.00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650,200.00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106,000.00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36,214.09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行权款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4,430,036.00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462,560.00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868,847.93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10,167,085.85</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12,341,587.86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19,405,093.62</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5</w:t>
      </w:r>
      <w:r>
        <w:rPr>
          <w:rFonts w:ascii="宋体" w:hAnsi="宋体" w:cs="宋体" w:eastAsia="宋体" w:hint="default"/>
          <w:b/>
          <w:bCs/>
          <w:sz w:val="20"/>
          <w:szCs w:val="20"/>
        </w:rPr>
        <w:t>）按欠款方归集的期末余额前五名的其他应收款情况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292"/>
        <w:gridCol w:w="1418"/>
        <w:gridCol w:w="1944"/>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中国证劵登记结算有 限责任公司深圳分公 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6"/>
              <w:jc w:val="left"/>
              <w:rPr>
                <w:rFonts w:ascii="宋体" w:hAnsi="宋体" w:cs="宋体" w:eastAsia="宋体" w:hint="default"/>
                <w:sz w:val="18"/>
                <w:szCs w:val="18"/>
              </w:rPr>
            </w:pPr>
            <w:r>
              <w:rPr>
                <w:rFonts w:ascii="宋体" w:hAnsi="宋体" w:cs="宋体" w:eastAsia="宋体" w:hint="default"/>
                <w:sz w:val="18"/>
                <w:szCs w:val="18"/>
              </w:rPr>
              <w:t>股票期权 行权款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Arial" w:hAnsi="Arial" w:cs="Arial" w:eastAsia="Arial" w:hint="default"/>
                <w:sz w:val="18"/>
                <w:szCs w:val="18"/>
              </w:rPr>
            </w:pPr>
            <w:r>
              <w:rPr>
                <w:rFonts w:ascii="Arial"/>
                <w:spacing w:val="-1"/>
                <w:sz w:val="18"/>
              </w:rPr>
              <w:t>4,430,036.00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35.90%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北京市人民检察院</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2,318,406.70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二年至三年</w:t>
            </w:r>
            <w:r>
              <w:rPr>
                <w:rFonts w:ascii="Arial" w:hAnsi="Arial" w:cs="Arial" w:eastAsia="Arial" w:hint="default"/>
                <w:sz w:val="18"/>
                <w:szCs w:val="18"/>
              </w:rPr>
              <w:t>/</w:t>
            </w:r>
            <w:r>
              <w:rPr>
                <w:rFonts w:ascii="宋体" w:hAnsi="宋体" w:cs="宋体" w:eastAsia="宋体" w:hint="default"/>
                <w:sz w:val="18"/>
                <w:szCs w:val="18"/>
              </w:rPr>
              <w:t>三年至四年</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四年至五年</w:t>
            </w:r>
            <w:r>
              <w:rPr>
                <w:rFonts w:ascii="Arial" w:hAnsi="Arial" w:cs="Arial" w:eastAsia="Arial" w:hint="default"/>
                <w:sz w:val="18"/>
                <w:szCs w:val="18"/>
              </w:rPr>
              <w:t>/</w:t>
            </w:r>
            <w:r>
              <w:rPr>
                <w:rFonts w:ascii="宋体" w:hAnsi="宋体" w:cs="宋体" w:eastAsia="宋体" w:hint="default"/>
                <w:sz w:val="18"/>
                <w:szCs w:val="18"/>
              </w:rPr>
              <w:t>五年以上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1,760,450.95</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履约保证金、投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1,353,399.38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三年至四年</w:t>
            </w:r>
            <w:r>
              <w:rPr>
                <w:rFonts w:ascii="Arial" w:hAnsi="Arial" w:cs="Arial" w:eastAsia="Arial" w:hint="default"/>
                <w:sz w:val="18"/>
                <w:szCs w:val="18"/>
              </w:rPr>
              <w:t>/</w:t>
            </w:r>
            <w:r>
              <w:rPr>
                <w:rFonts w:ascii="宋体" w:hAnsi="宋体" w:cs="宋体" w:eastAsia="宋体" w:hint="default"/>
                <w:sz w:val="18"/>
                <w:szCs w:val="18"/>
              </w:rPr>
              <w:t>四年至五年</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五年以上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1,276,253.48</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启迪控股有限公司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655,581.60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5.31%</w:t>
            </w:r>
            <w:r>
              <w:rPr>
                <w:rFonts w:ascii="Arial"/>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655,581.60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北京市人民检察院第 一分院</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609,680.00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4.94%</w:t>
            </w:r>
            <w:r>
              <w:rPr>
                <w:rFonts w:ascii="Arial"/>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609,680.00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41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0"/>
              <w:ind w:right="4"/>
              <w:jc w:val="right"/>
              <w:rPr>
                <w:rFonts w:ascii="Arial" w:hAnsi="Arial" w:cs="Arial" w:eastAsia="Arial" w:hint="default"/>
                <w:sz w:val="18"/>
                <w:szCs w:val="18"/>
              </w:rPr>
            </w:pPr>
            <w:r>
              <w:rPr>
                <w:rFonts w:ascii="Arial"/>
                <w:spacing w:val="-1"/>
                <w:sz w:val="18"/>
              </w:rPr>
              <w:t>9,367,103.68</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4,301,966.03</w:t>
            </w:r>
          </w:p>
        </w:tc>
      </w:tr>
    </w:tbl>
    <w:p>
      <w:pPr>
        <w:spacing w:after="0" w:line="240" w:lineRule="auto"/>
        <w:jc w:val="right"/>
        <w:rPr>
          <w:rFonts w:ascii="Arial" w:hAnsi="Arial" w:cs="Arial" w:eastAsia="Arial" w:hint="default"/>
          <w:sz w:val="18"/>
          <w:szCs w:val="18"/>
        </w:rPr>
        <w:sectPr>
          <w:pgSz w:w="11910" w:h="16840"/>
          <w:pgMar w:header="0" w:footer="1010" w:top="1140" w:bottom="1200" w:left="980" w:right="980"/>
        </w:sectPr>
      </w:pPr>
    </w:p>
    <w:p>
      <w:pPr>
        <w:spacing w:line="240" w:lineRule="auto" w:before="2"/>
        <w:rPr>
          <w:rFonts w:ascii="宋体" w:hAnsi="宋体" w:cs="宋体" w:eastAsia="宋体" w:hint="default"/>
          <w:sz w:val="18"/>
          <w:szCs w:val="18"/>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6</w:t>
      </w:r>
      <w:r>
        <w:rPr>
          <w:rFonts w:ascii="宋体" w:hAnsi="宋体" w:cs="宋体" w:eastAsia="宋体" w:hint="default"/>
          <w:b/>
          <w:bCs/>
          <w:sz w:val="20"/>
          <w:szCs w:val="20"/>
        </w:rPr>
        <w:t>）涉及政府补助的应收款项</w:t>
      </w:r>
      <w:r>
        <w:rPr>
          <w:rFonts w:ascii="宋体" w:hAnsi="宋体" w:cs="宋体" w:eastAsia="宋体" w:hint="default"/>
          <w:sz w:val="20"/>
          <w:szCs w:val="2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不适用</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Arial" w:hAnsi="Arial" w:cs="Arial" w:eastAsia="Arial" w:hint="default"/>
        </w:rPr>
        <w:t>3</w:t>
      </w:r>
      <w:r>
        <w:rPr/>
        <w:t>、长期股权投资</w:t>
      </w:r>
      <w:r>
        <w:rPr>
          <w:b w:val="0"/>
          <w:bCs w:val="0"/>
        </w:rPr>
      </w:r>
    </w:p>
    <w:p>
      <w:pPr>
        <w:spacing w:line="240" w:lineRule="auto" w:before="10"/>
        <w:rPr>
          <w:rFonts w:ascii="宋体" w:hAnsi="宋体" w:cs="宋体" w:eastAsia="宋体" w:hint="default"/>
          <w:b/>
          <w:bCs/>
          <w:sz w:val="21"/>
          <w:szCs w:val="21"/>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561"/>
        <w:gridCol w:w="559"/>
        <w:gridCol w:w="1426"/>
        <w:gridCol w:w="1558"/>
        <w:gridCol w:w="994"/>
        <w:gridCol w:w="1490"/>
      </w:tblGrid>
      <w:tr>
        <w:trPr>
          <w:trHeight w:val="401"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5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5" w:right="91"/>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5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59" w:type="dxa"/>
            <w:vMerge/>
            <w:tcBorders>
              <w:left w:val="single" w:sz="4" w:space="0" w:color="000000"/>
              <w:right w:val="single" w:sz="4" w:space="0" w:color="000000"/>
            </w:tcBorders>
            <w:shd w:val="clear" w:color="auto" w:fill="D2D2D2"/>
          </w:tcPr>
          <w:p>
            <w:pPr/>
          </w:p>
        </w:tc>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561" w:type="dxa"/>
            <w:vMerge/>
            <w:tcBorders>
              <w:left w:val="single" w:sz="4" w:space="0" w:color="000000"/>
              <w:bottom w:val="nil" w:sz="6" w:space="0" w:color="auto"/>
              <w:right w:val="single" w:sz="4" w:space="0" w:color="000000"/>
            </w:tcBorders>
            <w:shd w:val="clear" w:color="auto" w:fill="D2D2D2"/>
          </w:tcPr>
          <w:p>
            <w:pPr/>
          </w:p>
        </w:tc>
        <w:tc>
          <w:tcPr>
            <w:tcW w:w="559" w:type="dxa"/>
            <w:vMerge/>
            <w:tcBorders>
              <w:left w:val="single" w:sz="4" w:space="0" w:color="000000"/>
              <w:right w:val="single" w:sz="4" w:space="0" w:color="000000"/>
            </w:tcBorders>
            <w:shd w:val="clear" w:color="auto" w:fill="D2D2D2"/>
          </w:tcPr>
          <w:p>
            <w:pPr/>
          </w:p>
        </w:tc>
        <w:tc>
          <w:tcPr>
            <w:tcW w:w="1426"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559" w:type="dxa"/>
            <w:vMerge/>
            <w:tcBorders>
              <w:left w:val="single" w:sz="4" w:space="0" w:color="000000"/>
              <w:bottom w:val="single" w:sz="4" w:space="0" w:color="000000"/>
              <w:right w:val="single" w:sz="4" w:space="0" w:color="000000"/>
            </w:tcBorders>
            <w:shd w:val="clear" w:color="auto" w:fill="D2D2D2"/>
          </w:tcPr>
          <w:p>
            <w:pPr/>
          </w:p>
        </w:tc>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311,617,480.86</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311,617,480.86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205,328,045.15</w:t>
            </w:r>
          </w:p>
        </w:tc>
        <w:tc>
          <w:tcPr>
            <w:tcW w:w="99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205,328,045.15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5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30,025,518.99</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30,025,518.99</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341,642,999.85</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341,642,999.85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205,328,045.15</w:t>
            </w:r>
          </w:p>
        </w:tc>
        <w:tc>
          <w:tcPr>
            <w:tcW w:w="99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205,328,045.15</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1</w:t>
      </w:r>
      <w:r>
        <w:rPr>
          <w:rFonts w:ascii="宋体" w:hAnsi="宋体" w:cs="宋体" w:eastAsia="宋体" w:hint="default"/>
          <w:b/>
          <w:bCs/>
          <w:sz w:val="20"/>
          <w:szCs w:val="20"/>
        </w:rPr>
        <w:t>）对子公司投资</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274"/>
        <w:gridCol w:w="1419"/>
        <w:gridCol w:w="626"/>
        <w:gridCol w:w="1498"/>
        <w:gridCol w:w="994"/>
        <w:gridCol w:w="1063"/>
      </w:tblGrid>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8" w:right="36"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3" w:right="39" w:hanging="181"/>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6" w:right="74"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0" w:right="0"/>
              <w:jc w:val="center"/>
              <w:rPr>
                <w:rFonts w:ascii="Arial" w:hAnsi="Arial" w:cs="Arial" w:eastAsia="Arial" w:hint="default"/>
                <w:sz w:val="18"/>
                <w:szCs w:val="18"/>
              </w:rPr>
            </w:pPr>
            <w:r>
              <w:rPr>
                <w:rFonts w:ascii="Arial"/>
                <w:sz w:val="18"/>
              </w:rPr>
              <w:t>19,000,000.00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广州华宇信息技术限公司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0" w:right="0"/>
              <w:jc w:val="center"/>
              <w:rPr>
                <w:rFonts w:ascii="Arial" w:hAnsi="Arial" w:cs="Arial" w:eastAsia="Arial" w:hint="default"/>
                <w:sz w:val="18"/>
                <w:szCs w:val="18"/>
              </w:rPr>
            </w:pPr>
            <w:r>
              <w:rPr>
                <w:rFonts w:ascii="Arial"/>
                <w:sz w:val="18"/>
              </w:rPr>
              <w:t>37,263,537.57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10,169,435.71</w:t>
            </w:r>
          </w:p>
        </w:tc>
        <w:tc>
          <w:tcPr>
            <w:tcW w:w="62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47,432,973.28</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0" w:right="0"/>
              <w:jc w:val="center"/>
              <w:rPr>
                <w:rFonts w:ascii="Arial" w:hAnsi="Arial" w:cs="Arial" w:eastAsia="Arial" w:hint="default"/>
                <w:sz w:val="18"/>
                <w:szCs w:val="18"/>
              </w:rPr>
            </w:pPr>
            <w:r>
              <w:rPr>
                <w:rFonts w:ascii="Arial"/>
                <w:sz w:val="18"/>
              </w:rPr>
              <w:t>57,263,624.59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50,000,000.00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107,263,624.59</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0" w:right="0"/>
              <w:jc w:val="center"/>
              <w:rPr>
                <w:rFonts w:ascii="Arial" w:hAnsi="Arial" w:cs="Arial" w:eastAsia="Arial" w:hint="default"/>
                <w:sz w:val="18"/>
                <w:szCs w:val="18"/>
              </w:rPr>
            </w:pPr>
            <w:r>
              <w:rPr>
                <w:rFonts w:ascii="Arial"/>
                <w:sz w:val="18"/>
              </w:rPr>
              <w:t>11,730,000.00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11,730,000.00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0" w:right="0"/>
              <w:jc w:val="center"/>
              <w:rPr>
                <w:rFonts w:ascii="Arial" w:hAnsi="Arial" w:cs="Arial" w:eastAsia="Arial" w:hint="default"/>
                <w:sz w:val="18"/>
                <w:szCs w:val="18"/>
              </w:rPr>
            </w:pPr>
            <w:r>
              <w:rPr>
                <w:rFonts w:ascii="Arial"/>
                <w:sz w:val="18"/>
              </w:rPr>
              <w:t>80,070,882.99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40,000,000.00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120,070,882.99</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6,120,000.00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6,120,000.00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205,328,045.1</w:t>
            </w:r>
          </w:p>
          <w:p>
            <w:pPr>
              <w:pStyle w:val="TableParagraph"/>
              <w:spacing w:line="240" w:lineRule="auto" w:before="105"/>
              <w:ind w:right="20"/>
              <w:jc w:val="right"/>
              <w:rPr>
                <w:rFonts w:ascii="Arial" w:hAnsi="Arial" w:cs="Arial" w:eastAsia="Arial" w:hint="default"/>
                <w:sz w:val="18"/>
                <w:szCs w:val="18"/>
              </w:rPr>
            </w:pPr>
            <w:r>
              <w:rPr>
                <w:rFonts w:ascii="Arial"/>
                <w:w w:val="99"/>
                <w:sz w:val="18"/>
              </w:rPr>
              <w:t>5</w:t>
            </w:r>
            <w:r>
              <w:rPr>
                <w:rFonts w:ascii="Arial"/>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106,289,435.71</w:t>
            </w:r>
          </w:p>
        </w:tc>
        <w:tc>
          <w:tcPr>
            <w:tcW w:w="62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311,617,480.86</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Arial" w:hAnsi="Arial" w:cs="Arial" w:eastAsia="Arial" w:hint="default"/>
          <w:b/>
          <w:bCs/>
          <w:sz w:val="20"/>
          <w:szCs w:val="20"/>
        </w:rPr>
        <w:t>2</w:t>
      </w:r>
      <w:r>
        <w:rPr>
          <w:rFonts w:ascii="宋体" w:hAnsi="宋体" w:cs="宋体" w:eastAsia="宋体" w:hint="default"/>
          <w:b/>
          <w:bCs/>
          <w:sz w:val="20"/>
          <w:szCs w:val="20"/>
        </w:rPr>
        <w:t>）对联营、合营企业投资</w:t>
      </w:r>
      <w:r>
        <w:rPr>
          <w:rFonts w:ascii="宋体" w:hAnsi="宋体" w:cs="宋体" w:eastAsia="宋体" w:hint="default"/>
          <w:sz w:val="20"/>
          <w:szCs w:val="20"/>
        </w:rPr>
      </w:r>
    </w:p>
    <w:p>
      <w:pPr>
        <w:spacing w:line="240" w:lineRule="auto" w:before="4"/>
        <w:rPr>
          <w:rFonts w:ascii="宋体" w:hAnsi="宋体" w:cs="宋体" w:eastAsia="宋体" w:hint="default"/>
          <w:b/>
          <w:bCs/>
          <w:sz w:val="23"/>
          <w:szCs w:val="23"/>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5"/>
        <w:gridCol w:w="444"/>
        <w:gridCol w:w="1258"/>
        <w:gridCol w:w="91"/>
        <w:gridCol w:w="478"/>
        <w:gridCol w:w="850"/>
        <w:gridCol w:w="533"/>
        <w:gridCol w:w="159"/>
        <w:gridCol w:w="638"/>
        <w:gridCol w:w="134"/>
        <w:gridCol w:w="665"/>
        <w:gridCol w:w="106"/>
        <w:gridCol w:w="600"/>
        <w:gridCol w:w="428"/>
        <w:gridCol w:w="1273"/>
        <w:gridCol w:w="78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4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31" w:right="41"/>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9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3" w:right="11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444"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 w:right="53"/>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59"/>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6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2" w:right="69"/>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0" w:right="11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 w:right="108"/>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3"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858"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858"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深圳市捷视飞通</w:t>
            </w:r>
          </w:p>
        </w:tc>
        <w:tc>
          <w:tcPr>
            <w:tcW w:w="44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4" w:right="0"/>
              <w:jc w:val="left"/>
              <w:rPr>
                <w:rFonts w:ascii="Arial" w:hAnsi="Arial" w:cs="Arial" w:eastAsia="Arial" w:hint="default"/>
                <w:sz w:val="18"/>
                <w:szCs w:val="18"/>
              </w:rPr>
            </w:pPr>
            <w:r>
              <w:rPr>
                <w:rFonts w:ascii="Arial"/>
                <w:sz w:val="18"/>
              </w:rPr>
              <w:t>30,000,000.00</w:t>
            </w:r>
          </w:p>
        </w:tc>
        <w:tc>
          <w:tcPr>
            <w:tcW w:w="569"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7" w:right="0"/>
              <w:jc w:val="left"/>
              <w:rPr>
                <w:rFonts w:ascii="Arial" w:hAnsi="Arial" w:cs="Arial" w:eastAsia="Arial" w:hint="default"/>
                <w:sz w:val="18"/>
                <w:szCs w:val="18"/>
              </w:rPr>
            </w:pPr>
            <w:r>
              <w:rPr>
                <w:rFonts w:ascii="Arial"/>
                <w:sz w:val="18"/>
              </w:rPr>
              <w:t>25,518.9</w:t>
            </w:r>
          </w:p>
        </w:tc>
        <w:tc>
          <w:tcPr>
            <w:tcW w:w="533" w:type="dxa"/>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9" w:type="dxa"/>
            <w:gridSpan w:val="2"/>
            <w:tcBorders>
              <w:top w:val="single" w:sz="4" w:space="0" w:color="000000"/>
              <w:left w:val="single" w:sz="4" w:space="0" w:color="000000"/>
              <w:bottom w:val="single" w:sz="4" w:space="0" w:color="000000"/>
              <w:right w:val="single" w:sz="4" w:space="0" w:color="000000"/>
            </w:tcBorders>
          </w:tcPr>
          <w:p>
            <w:pPr/>
          </w:p>
        </w:tc>
        <w:tc>
          <w:tcPr>
            <w:tcW w:w="706" w:type="dxa"/>
            <w:gridSpan w:val="2"/>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6" w:right="0"/>
              <w:jc w:val="left"/>
              <w:rPr>
                <w:rFonts w:ascii="Arial" w:hAnsi="Arial" w:cs="Arial" w:eastAsia="Arial" w:hint="default"/>
                <w:sz w:val="18"/>
                <w:szCs w:val="18"/>
              </w:rPr>
            </w:pPr>
            <w:r>
              <w:rPr>
                <w:rFonts w:ascii="Arial"/>
                <w:sz w:val="18"/>
              </w:rPr>
              <w:t>30,025,518.99</w:t>
            </w:r>
          </w:p>
        </w:tc>
        <w:tc>
          <w:tcPr>
            <w:tcW w:w="7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10" w:top="1140" w:bottom="1200" w:left="980" w:right="80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415"/>
        <w:gridCol w:w="461"/>
        <w:gridCol w:w="1241"/>
        <w:gridCol w:w="569"/>
        <w:gridCol w:w="850"/>
        <w:gridCol w:w="533"/>
        <w:gridCol w:w="797"/>
        <w:gridCol w:w="799"/>
        <w:gridCol w:w="706"/>
        <w:gridCol w:w="428"/>
        <w:gridCol w:w="1260"/>
        <w:gridCol w:w="799"/>
      </w:tblGrid>
      <w:tr>
        <w:trPr>
          <w:trHeight w:val="363"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46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Arial" w:hAnsi="Arial" w:cs="Arial" w:eastAsia="Arial" w:hint="default"/>
                <w:sz w:val="18"/>
                <w:szCs w:val="18"/>
              </w:rPr>
            </w:pPr>
            <w:r>
              <w:rPr>
                <w:rFonts w:ascii="Arial"/>
                <w:w w:val="99"/>
                <w:sz w:val="18"/>
              </w:rPr>
              <w:t>9</w:t>
            </w:r>
            <w:r>
              <w:rPr>
                <w:rFonts w:ascii="Arial"/>
                <w:sz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46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center"/>
              <w:rPr>
                <w:rFonts w:ascii="Arial" w:hAnsi="Arial" w:cs="Arial" w:eastAsia="Arial" w:hint="default"/>
                <w:sz w:val="18"/>
                <w:szCs w:val="18"/>
              </w:rPr>
            </w:pPr>
            <w:r>
              <w:rPr>
                <w:rFonts w:ascii="Arial"/>
                <w:sz w:val="18"/>
              </w:rPr>
              <w:t>30,000,000.00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25,518.9</w:t>
            </w:r>
          </w:p>
          <w:p>
            <w:pPr>
              <w:pStyle w:val="TableParagraph"/>
              <w:spacing w:line="240" w:lineRule="auto" w:before="105"/>
              <w:ind w:right="20"/>
              <w:jc w:val="right"/>
              <w:rPr>
                <w:rFonts w:ascii="Arial" w:hAnsi="Arial" w:cs="Arial" w:eastAsia="Arial" w:hint="default"/>
                <w:sz w:val="18"/>
                <w:szCs w:val="18"/>
              </w:rPr>
            </w:pPr>
            <w:r>
              <w:rPr>
                <w:rFonts w:ascii="Arial"/>
                <w:w w:val="99"/>
                <w:sz w:val="18"/>
              </w:rPr>
              <w:t>9</w:t>
            </w:r>
            <w:r>
              <w:rPr>
                <w:rFonts w:ascii="Arial"/>
                <w:sz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30,025,518.99</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6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center"/>
              <w:rPr>
                <w:rFonts w:ascii="Arial" w:hAnsi="Arial" w:cs="Arial" w:eastAsia="Arial" w:hint="default"/>
                <w:sz w:val="18"/>
                <w:szCs w:val="18"/>
              </w:rPr>
            </w:pPr>
            <w:r>
              <w:rPr>
                <w:rFonts w:ascii="Arial"/>
                <w:sz w:val="18"/>
              </w:rPr>
              <w:t>30,000,000.00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25,518.9</w:t>
            </w:r>
          </w:p>
          <w:p>
            <w:pPr>
              <w:pStyle w:val="TableParagraph"/>
              <w:spacing w:line="240" w:lineRule="auto" w:before="105"/>
              <w:ind w:right="20"/>
              <w:jc w:val="right"/>
              <w:rPr>
                <w:rFonts w:ascii="Arial" w:hAnsi="Arial" w:cs="Arial" w:eastAsia="Arial" w:hint="default"/>
                <w:sz w:val="18"/>
                <w:szCs w:val="18"/>
              </w:rPr>
            </w:pPr>
            <w:r>
              <w:rPr>
                <w:rFonts w:ascii="Arial"/>
                <w:w w:val="99"/>
                <w:sz w:val="18"/>
              </w:rPr>
              <w:t>9</w:t>
            </w:r>
            <w:r>
              <w:rPr>
                <w:rFonts w:ascii="Arial"/>
                <w:sz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30,025,518.99</w:t>
            </w: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rFonts w:ascii="Arial" w:hAnsi="Arial" w:cs="Arial" w:eastAsia="Arial" w:hint="default"/>
        </w:rPr>
        <w:t>4</w:t>
      </w:r>
      <w:r>
        <w:rPr/>
        <w:t>、营业收入和营业成本</w:t>
      </w:r>
      <w:r>
        <w:rPr>
          <w:b w:val="0"/>
          <w:bCs w:val="0"/>
        </w:rPr>
      </w:r>
    </w:p>
    <w:p>
      <w:pPr>
        <w:spacing w:line="240" w:lineRule="auto" w:before="10"/>
        <w:rPr>
          <w:rFonts w:ascii="宋体" w:hAnsi="宋体" w:cs="宋体" w:eastAsia="宋体" w:hint="default"/>
          <w:b/>
          <w:bCs/>
          <w:sz w:val="21"/>
          <w:szCs w:val="21"/>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3"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47,515,701.63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35,047,862.81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166,051,669.50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130,104,311.33</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47,515,701.63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35,047,862.81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166,051,669.50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130,104,311.33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240" w:lineRule="auto" w:before="26"/>
        <w:ind w:right="0"/>
        <w:jc w:val="left"/>
        <w:rPr>
          <w:b w:val="0"/>
          <w:bCs w:val="0"/>
        </w:rPr>
      </w:pPr>
      <w:r>
        <w:rPr>
          <w:rFonts w:ascii="Arial" w:hAnsi="Arial" w:cs="Arial" w:eastAsia="Arial" w:hint="default"/>
        </w:rPr>
        <w:t>5</w:t>
      </w:r>
      <w:r>
        <w:rPr/>
        <w:t>、投资收益</w:t>
      </w:r>
      <w:r>
        <w:rPr>
          <w:b w:val="0"/>
          <w:bCs w:val="0"/>
        </w:rPr>
      </w:r>
    </w:p>
    <w:p>
      <w:pPr>
        <w:spacing w:line="240" w:lineRule="auto" w:before="10"/>
        <w:rPr>
          <w:rFonts w:ascii="宋体" w:hAnsi="宋体" w:cs="宋体" w:eastAsia="宋体" w:hint="default"/>
          <w:b/>
          <w:bCs/>
          <w:sz w:val="21"/>
          <w:szCs w:val="21"/>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25,518.99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25,518.99</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十五、补充资料</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left"/>
        <w:rPr>
          <w:b w:val="0"/>
          <w:bCs w:val="0"/>
        </w:rPr>
      </w:pPr>
      <w:r>
        <w:rPr>
          <w:rFonts w:ascii="Arial" w:hAnsi="Arial" w:cs="Arial" w:eastAsia="Arial" w:hint="default"/>
        </w:rPr>
        <w:t>1</w:t>
      </w:r>
      <w:r>
        <w:rPr/>
        <w:t>、当期非经常性损益明细表</w:t>
      </w:r>
      <w:r>
        <w:rPr>
          <w:b w:val="0"/>
          <w:bCs w:val="0"/>
        </w:rPr>
      </w:r>
    </w:p>
    <w:p>
      <w:pPr>
        <w:spacing w:line="240" w:lineRule="auto" w:before="10"/>
        <w:rPr>
          <w:rFonts w:ascii="宋体" w:hAnsi="宋体" w:cs="宋体" w:eastAsia="宋体" w:hint="default"/>
          <w:b/>
          <w:bCs/>
          <w:sz w:val="21"/>
          <w:szCs w:val="21"/>
        </w:rPr>
      </w:pPr>
    </w:p>
    <w:p>
      <w:pPr>
        <w:spacing w:before="44"/>
        <w:ind w:left="152" w:right="0"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32"/>
          <w:sz w:val="18"/>
          <w:szCs w:val="18"/>
        </w:rPr>
        <w:t> </w:t>
      </w:r>
      <w:r>
        <w:rPr>
          <w:rFonts w:ascii="宋体" w:hAnsi="宋体" w:cs="宋体" w:eastAsia="宋体" w:hint="default"/>
          <w:sz w:val="18"/>
          <w:szCs w:val="18"/>
        </w:rPr>
        <w:t>不适用</w:t>
      </w:r>
    </w:p>
    <w:p>
      <w:pPr>
        <w:spacing w:before="10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-474,066.58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3,335,425.85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369,342.89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232,959.91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398,809.28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156,577.55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0"/>
              <w:ind w:right="14"/>
              <w:jc w:val="right"/>
              <w:rPr>
                <w:rFonts w:ascii="Arial" w:hAnsi="Arial" w:cs="Arial" w:eastAsia="Arial" w:hint="default"/>
                <w:sz w:val="18"/>
                <w:szCs w:val="18"/>
              </w:rPr>
            </w:pPr>
            <w:r>
              <w:rPr>
                <w:rFonts w:ascii="Arial"/>
                <w:spacing w:val="-1"/>
                <w:sz w:val="18"/>
              </w:rPr>
              <w:t>2,908,275.24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footerReference w:type="default" r:id="rId57"/>
          <w:pgSz w:w="11910" w:h="16840"/>
          <w:pgMar w:footer="1010" w:header="0" w:top="1140" w:bottom="1200" w:left="980" w:right="800"/>
        </w:sectPr>
      </w:pPr>
    </w:p>
    <w:p>
      <w:pPr>
        <w:spacing w:line="240" w:lineRule="auto" w:before="1"/>
        <w:rPr>
          <w:rFonts w:ascii="宋体" w:hAnsi="宋体" w:cs="宋体" w:eastAsia="宋体" w:hint="default"/>
          <w:sz w:val="20"/>
          <w:szCs w:val="20"/>
        </w:rPr>
      </w:pPr>
    </w:p>
    <w:p>
      <w:pPr>
        <w:pStyle w:val="BodyText"/>
        <w:spacing w:line="240" w:lineRule="auto" w:before="26"/>
        <w:ind w:right="0"/>
        <w:jc w:val="left"/>
      </w:pPr>
      <w:r>
        <w:rPr/>
        <w:t>对公司根据《公开发行证券的公司信息披露解释性公告第</w:t>
      </w:r>
      <w:r>
        <w:rPr>
          <w:spacing w:val="-59"/>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非经常性损益》定义界定</w:t>
      </w:r>
    </w:p>
    <w:p>
      <w:pPr>
        <w:pStyle w:val="BodyText"/>
        <w:spacing w:line="292" w:lineRule="auto" w:before="74"/>
        <w:ind w:right="158"/>
        <w:jc w:val="left"/>
      </w:pPr>
      <w:r>
        <w:rPr/>
        <w:t>的非经常性损益项目，以及把《公开发行证券的公司信息披露解释性公告第</w:t>
      </w:r>
      <w:r>
        <w:rPr>
          <w:spacing w:val="-58"/>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 性损益》中列举的非经常性损益项目界定为经常性损益的项目，应说明原因。</w:t>
      </w:r>
    </w:p>
    <w:p>
      <w:pPr>
        <w:pStyle w:val="BodyText"/>
        <w:spacing w:line="240" w:lineRule="auto" w:before="43"/>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r>
        <w:rPr>
          <w:rFonts w:ascii="Arial" w:hAnsi="Arial" w:cs="Arial" w:eastAsia="Arial" w:hint="default"/>
        </w:rPr>
        <w:t>2</w:t>
      </w:r>
      <w:bookmarkStart w:name="_bookmark8" w:id="9"/>
      <w:bookmarkEnd w:id="9"/>
      <w:r>
        <w:rPr>
          <w:rFonts w:ascii="Arial" w:hAnsi="Arial" w:cs="Arial" w:eastAsia="Arial" w:hint="default"/>
        </w:rPr>
      </w:r>
      <w:r>
        <w:rPr/>
        <w:t>、净资产收益率及每股收益</w:t>
      </w:r>
      <w:r>
        <w:rPr>
          <w:b w:val="0"/>
          <w:bCs w:val="0"/>
        </w:rPr>
      </w:r>
    </w:p>
    <w:p>
      <w:pPr>
        <w:spacing w:line="240" w:lineRule="auto" w:before="7"/>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0.99</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0.97</w:t>
            </w:r>
            <w:r>
              <w:rPr>
                <w:rFonts w:ascii="Arial"/>
                <w:sz w:val="18"/>
              </w:rPr>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0.97</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7"/>
              <w:jc w:val="right"/>
              <w:rPr>
                <w:rFonts w:ascii="Arial" w:hAnsi="Arial" w:cs="Arial" w:eastAsia="Arial" w:hint="default"/>
                <w:sz w:val="18"/>
                <w:szCs w:val="18"/>
              </w:rPr>
            </w:pPr>
            <w:r>
              <w:rPr>
                <w:rFonts w:ascii="Arial"/>
                <w:sz w:val="18"/>
              </w:rPr>
              <w:t>0.95</w:t>
            </w:r>
          </w:p>
        </w:tc>
      </w:tr>
    </w:tbl>
    <w:p>
      <w:pPr>
        <w:spacing w:after="0" w:line="240" w:lineRule="auto"/>
        <w:jc w:val="right"/>
        <w:rPr>
          <w:rFonts w:ascii="Arial" w:hAnsi="Arial" w:cs="Arial" w:eastAsia="Arial" w:hint="default"/>
          <w:sz w:val="18"/>
          <w:szCs w:val="18"/>
        </w:rPr>
        <w:sectPr>
          <w:footerReference w:type="default" r:id="rId58"/>
          <w:pgSz w:w="11910" w:h="16840"/>
          <w:pgMar w:footer="1010" w:header="0" w:top="1140" w:bottom="1200" w:left="980" w:right="980"/>
          <w:pgNumType w:start="151"/>
        </w:sectPr>
      </w:pPr>
    </w:p>
    <w:p>
      <w:pPr>
        <w:spacing w:line="240" w:lineRule="auto" w:before="0"/>
        <w:rPr>
          <w:rFonts w:ascii="宋体" w:hAnsi="宋体" w:cs="宋体" w:eastAsia="宋体" w:hint="default"/>
          <w:b/>
          <w:bCs/>
          <w:sz w:val="20"/>
          <w:szCs w:val="20"/>
        </w:rPr>
      </w:pPr>
    </w:p>
    <w:p>
      <w:pPr>
        <w:pStyle w:val="Heading1"/>
        <w:spacing w:line="240" w:lineRule="auto" w:before="49"/>
        <w:ind w:right="518"/>
        <w:jc w:val="center"/>
        <w:rPr>
          <w:b w:val="0"/>
          <w:bCs w:val="0"/>
        </w:rPr>
      </w:pPr>
      <w:bookmarkStart w:name="_TOC_250000" w:id="10"/>
      <w:r>
        <w:rPr/>
        <w:t>第十节</w:t>
      </w:r>
      <w:r>
        <w:rPr>
          <w:spacing w:val="62"/>
        </w:rPr>
        <w:t> </w:t>
      </w:r>
      <w:r>
        <w:rPr/>
        <w:t>备查文件目录</w:t>
      </w:r>
      <w:bookmarkEnd w:id="10"/>
      <w:r>
        <w:rPr>
          <w:b w:val="0"/>
          <w:bCs w:val="0"/>
        </w:rPr>
      </w:r>
    </w:p>
    <w:p>
      <w:pPr>
        <w:spacing w:line="240" w:lineRule="auto" w:before="6"/>
        <w:rPr>
          <w:rFonts w:ascii="微软雅黑" w:hAnsi="微软雅黑" w:cs="微软雅黑" w:eastAsia="微软雅黑" w:hint="default"/>
          <w:b/>
          <w:bCs/>
          <w:sz w:val="29"/>
          <w:szCs w:val="29"/>
        </w:rPr>
      </w:pPr>
    </w:p>
    <w:p>
      <w:pPr>
        <w:pStyle w:val="BodyText"/>
        <w:spacing w:line="240" w:lineRule="auto"/>
        <w:ind w:right="0"/>
        <w:jc w:val="left"/>
      </w:pPr>
      <w:r>
        <w:rPr/>
        <w:t>（一）载有法定代表人、主管会计工作负责人及会计机构负责人签名并盖章的会计报表。</w:t>
      </w:r>
    </w:p>
    <w:p>
      <w:pPr>
        <w:pStyle w:val="BodyText"/>
        <w:spacing w:line="240" w:lineRule="auto" w:before="151"/>
        <w:ind w:right="0"/>
        <w:jc w:val="left"/>
      </w:pPr>
      <w:r>
        <w:rPr/>
        <w:t>（二）载有会计师事务所盖章、注册会计师签名并盖章的审计报告原件。</w:t>
      </w:r>
    </w:p>
    <w:p>
      <w:pPr>
        <w:pStyle w:val="BodyText"/>
        <w:spacing w:line="240" w:lineRule="auto" w:before="154"/>
        <w:ind w:right="0"/>
        <w:jc w:val="left"/>
      </w:pPr>
      <w:r>
        <w:rPr/>
        <w:t>（三）报告期内在中国证监会指定报纸上公开披露过的所有公司文件的正本及公告的原稿。</w:t>
      </w:r>
    </w:p>
    <w:p>
      <w:pPr>
        <w:pStyle w:val="BodyText"/>
        <w:spacing w:line="240" w:lineRule="auto" w:before="154"/>
        <w:ind w:right="0"/>
        <w:jc w:val="left"/>
      </w:pPr>
      <w:r>
        <w:rPr/>
        <w:t>（四）载有法定代表人签名的</w:t>
      </w:r>
      <w:r>
        <w:rPr>
          <w:rFonts w:ascii="Arial" w:hAnsi="Arial" w:cs="Arial" w:eastAsia="Arial" w:hint="default"/>
        </w:rPr>
        <w:t>2014</w:t>
      </w:r>
      <w:r>
        <w:rPr/>
        <w:t>年年度报告文本原件。</w:t>
      </w:r>
    </w:p>
    <w:p>
      <w:pPr>
        <w:pStyle w:val="BodyText"/>
        <w:spacing w:line="240" w:lineRule="auto" w:before="137"/>
        <w:ind w:right="0"/>
        <w:jc w:val="left"/>
      </w:pPr>
      <w:r>
        <w:rPr/>
        <w:t>（五）以上备查文件的备置地点：公司董事会办公室。</w:t>
      </w:r>
    </w:p>
    <w:sectPr>
      <w:pgSz w:w="11910" w:h="16840"/>
      <w:pgMar w:header="0" w:footer="1010" w:top="1140" w:bottom="120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780029pt;margin-top:793.963074pt;width:7.9pt;height:12.6pt;mso-position-horizontal-relative:page;mso-position-vertical-relative:page;z-index:-742888"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w w:val="100"/>
                    <w:sz w:val="21"/>
                  </w:rPr>
                  <w:t>1</w:t>
                </w:r>
                <w:r>
                  <w:rPr>
                    <w:rFonts w:ascii="Arial"/>
                    <w:w w:val="100"/>
                    <w:sz w:val="21"/>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600"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31</w:t>
                </w:r>
                <w:r>
                  <w:rPr/>
                  <w:fldChar w:fldCharType="end"/>
                </w:r>
                <w:r>
                  <w:rPr>
                    <w:rFonts w:ascii="Arial"/>
                    <w:sz w:val="21"/>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20020pt;margin-top:780.403076pt;width:13.8pt;height:12.6pt;mso-position-horizontal-relative:page;mso-position-vertical-relative:page;z-index:-742576"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40</w:t>
                </w:r>
                <w:r>
                  <w:rPr>
                    <w:rFonts w:ascii="Arial"/>
                    <w:sz w:val="21"/>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552"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41</w:t>
                </w:r>
                <w:r>
                  <w:rPr/>
                  <w:fldChar w:fldCharType="end"/>
                </w:r>
                <w:r>
                  <w:rPr>
                    <w:rFonts w:ascii="Arial"/>
                    <w:sz w:val="21"/>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6.400024pt;margin-top:533.779114pt;width:15.8pt;height:12.6pt;mso-position-horizontal-relative:page;mso-position-vertical-relative:page;z-index:-742504"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44</w:t>
                </w:r>
                <w:r>
                  <w:rPr/>
                  <w:fldChar w:fldCharType="end"/>
                </w:r>
                <w:r>
                  <w:rPr>
                    <w:rFonts w:ascii="Arial"/>
                    <w:sz w:val="21"/>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432"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47</w:t>
                </w:r>
                <w:r>
                  <w:rPr/>
                  <w:fldChar w:fldCharType="end"/>
                </w:r>
                <w:r>
                  <w:rPr>
                    <w:rFonts w:ascii="Arial"/>
                    <w:sz w:val="21"/>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408"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50</w:t>
                </w:r>
                <w:r>
                  <w:rPr/>
                  <w:fldChar w:fldCharType="end"/>
                </w:r>
                <w:r>
                  <w:rPr>
                    <w:rFonts w:ascii="Arial"/>
                    <w:sz w:val="21"/>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20020pt;margin-top:780.403076pt;width:13.8pt;height:12.6pt;mso-position-horizontal-relative:page;mso-position-vertical-relative:page;z-index:-742384"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60</w:t>
                </w:r>
                <w:r>
                  <w:rPr>
                    <w:rFonts w:ascii="Arial"/>
                    <w:sz w:val="21"/>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360"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61</w:t>
                </w:r>
                <w:r>
                  <w:rPr/>
                  <w:fldChar w:fldCharType="end"/>
                </w:r>
                <w:r>
                  <w:rPr>
                    <w:rFonts w:ascii="Arial"/>
                    <w:sz w:val="21"/>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0.780029pt;margin-top:780.403076pt;width:9.9pt;height:12.6pt;mso-position-horizontal-relative:page;mso-position-vertical-relative:page;z-index:-742864"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w w:val="100"/>
                    <w:sz w:val="21"/>
                  </w:rPr>
                  <w:instrText> PAGE </w:instrText>
                </w:r>
                <w:r>
                  <w:rPr/>
                  <w:fldChar w:fldCharType="separate"/>
                </w:r>
                <w:r>
                  <w:rPr/>
                  <w:t>2</w:t>
                </w:r>
                <w:r>
                  <w:rPr/>
                  <w:fldChar w:fldCharType="end"/>
                </w:r>
                <w:r>
                  <w:rPr>
                    <w:rFonts w:ascii="Arial"/>
                    <w:w w:val="100"/>
                    <w:sz w:val="21"/>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4.8pt;height:12.6pt;mso-position-horizontal-relative:page;mso-position-vertical-relative:page;z-index:-742336"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6</w:t>
                </w:r>
                <w:r>
                  <w:rPr/>
                  <w:fldChar w:fldCharType="end"/>
                </w:r>
                <w:r>
                  <w:rPr>
                    <w:rFonts w:ascii="Arial"/>
                    <w:b/>
                    <w:sz w:val="21"/>
                  </w:rPr>
                  <w:t>9</w:t>
                </w:r>
                <w:r>
                  <w:rPr>
                    <w:rFonts w:ascii="Arial"/>
                    <w:sz w:val="21"/>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312"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71</w:t>
                </w:r>
                <w:r>
                  <w:rPr/>
                  <w:fldChar w:fldCharType="end"/>
                </w:r>
                <w:r>
                  <w:rPr>
                    <w:rFonts w:ascii="Arial"/>
                    <w:sz w:val="21"/>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6.400024pt;margin-top:533.779114pt;width:14.8pt;height:12.6pt;mso-position-horizontal-relative:page;mso-position-vertical-relative:page;z-index:-742264"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7</w:t>
                </w:r>
                <w:r>
                  <w:rPr/>
                  <w:fldChar w:fldCharType="end"/>
                </w:r>
                <w:r>
                  <w:rPr>
                    <w:rFonts w:ascii="Arial"/>
                    <w:b/>
                    <w:sz w:val="21"/>
                  </w:rPr>
                  <w:t>9</w:t>
                </w:r>
                <w:r>
                  <w:rPr>
                    <w:rFonts w:ascii="Arial"/>
                    <w:sz w:val="21"/>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6.400024pt;margin-top:533.779114pt;width:15.8pt;height:12.6pt;mso-position-horizontal-relative:page;mso-position-vertical-relative:page;z-index:-742240"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81</w:t>
                </w:r>
                <w:r>
                  <w:rPr/>
                  <w:fldChar w:fldCharType="end"/>
                </w:r>
                <w:r>
                  <w:rPr>
                    <w:rFonts w:ascii="Arial"/>
                    <w:sz w:val="21"/>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168"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85</w:t>
                </w:r>
                <w:r>
                  <w:rPr/>
                  <w:fldChar w:fldCharType="end"/>
                </w:r>
                <w:r>
                  <w:rPr>
                    <w:rFonts w:ascii="Arial"/>
                    <w:sz w:val="21"/>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144"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90</w:t>
                </w:r>
                <w:r>
                  <w:rPr/>
                  <w:fldChar w:fldCharType="end"/>
                </w:r>
                <w:r>
                  <w:rPr>
                    <w:rFonts w:ascii="Arial"/>
                    <w:sz w:val="21"/>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140015pt;margin-top:780.403076pt;width:19.650pt;height:12.6pt;mso-position-horizontal-relative:page;mso-position-vertical-relative:page;z-index:-742120"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100</w:t>
                </w:r>
                <w:r>
                  <w:rPr>
                    <w:rFonts w:ascii="Arial"/>
                    <w:sz w:val="21"/>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742096"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101</w:t>
                </w:r>
                <w:r>
                  <w:rPr/>
                  <w:fldChar w:fldCharType="end"/>
                </w:r>
                <w:r>
                  <w:rPr>
                    <w:rFonts w:ascii="Arial"/>
                    <w:sz w:val="21"/>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742072"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103</w:t>
                </w:r>
                <w:r>
                  <w:rPr/>
                  <w:fldChar w:fldCharType="end"/>
                </w:r>
                <w:r>
                  <w:rPr>
                    <w:rFonts w:ascii="Arial"/>
                    <w:sz w:val="21"/>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742048"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107</w:t>
                </w:r>
                <w:r>
                  <w:rPr/>
                  <w:fldChar w:fldCharType="end"/>
                </w:r>
                <w:r>
                  <w:rPr>
                    <w:rFonts w:ascii="Arial"/>
                    <w:sz w:val="21"/>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20020pt;margin-top:780.403076pt;width:13.8pt;height:12.6pt;mso-position-horizontal-relative:page;mso-position-vertical-relative:page;z-index:-742840"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10</w:t>
                </w:r>
                <w:r>
                  <w:rPr>
                    <w:rFonts w:ascii="Arial"/>
                    <w:sz w:val="21"/>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742024"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108</w:t>
                </w:r>
                <w:r>
                  <w:rPr/>
                  <w:fldChar w:fldCharType="end"/>
                </w:r>
                <w:r>
                  <w:rPr>
                    <w:rFonts w:ascii="Arial"/>
                    <w:sz w:val="21"/>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140015pt;margin-top:780.403076pt;width:19.650pt;height:12.6pt;mso-position-horizontal-relative:page;mso-position-vertical-relative:page;z-index:-742000"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110</w:t>
                </w:r>
                <w:r>
                  <w:rPr>
                    <w:rFonts w:ascii="Arial"/>
                    <w:sz w:val="21"/>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741976"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111</w:t>
                </w:r>
                <w:r>
                  <w:rPr/>
                  <w:fldChar w:fldCharType="end"/>
                </w:r>
                <w:r>
                  <w:rPr>
                    <w:rFonts w:ascii="Arial"/>
                    <w:sz w:val="21"/>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140015pt;margin-top:780.403076pt;width:19.650pt;height:12.6pt;mso-position-horizontal-relative:page;mso-position-vertical-relative:page;z-index:-741952"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120</w:t>
                </w:r>
                <w:r>
                  <w:rPr>
                    <w:rFonts w:ascii="Arial"/>
                    <w:sz w:val="21"/>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741928"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121</w:t>
                </w:r>
                <w:r>
                  <w:rPr/>
                  <w:fldChar w:fldCharType="end"/>
                </w:r>
                <w:r>
                  <w:rPr>
                    <w:rFonts w:ascii="Arial"/>
                    <w:sz w:val="21"/>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140015pt;margin-top:780.403076pt;width:19.650pt;height:12.6pt;mso-position-horizontal-relative:page;mso-position-vertical-relative:page;z-index:-741904"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130</w:t>
                </w:r>
                <w:r>
                  <w:rPr>
                    <w:rFonts w:ascii="Arial"/>
                    <w:sz w:val="21"/>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741880"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131</w:t>
                </w:r>
                <w:r>
                  <w:rPr/>
                  <w:fldChar w:fldCharType="end"/>
                </w:r>
                <w:r>
                  <w:rPr>
                    <w:rFonts w:ascii="Arial"/>
                    <w:sz w:val="21"/>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140015pt;margin-top:780.403076pt;width:19.650pt;height:12.6pt;mso-position-horizontal-relative:page;mso-position-vertical-relative:page;z-index:-741856"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140</w:t>
                </w:r>
                <w:r>
                  <w:rPr>
                    <w:rFonts w:ascii="Arial"/>
                    <w:sz w:val="21"/>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741832"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142</w:t>
                </w:r>
                <w:r>
                  <w:rPr/>
                  <w:fldChar w:fldCharType="end"/>
                </w:r>
                <w:r>
                  <w:rPr>
                    <w:rFonts w:ascii="Arial"/>
                    <w:sz w:val="21"/>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20020pt;margin-top:780.403076pt;width:13.8pt;height:12.6pt;mso-position-horizontal-relative:page;mso-position-vertical-relative:page;z-index:-742816"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11</w:t>
                </w:r>
                <w:r>
                  <w:rPr>
                    <w:rFonts w:ascii="Arial"/>
                    <w:sz w:val="21"/>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140015pt;margin-top:780.403076pt;width:19.650pt;height:12.6pt;mso-position-horizontal-relative:page;mso-position-vertical-relative:page;z-index:-741808"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150</w:t>
                </w:r>
                <w:r>
                  <w:rPr>
                    <w:rFonts w:ascii="Arial"/>
                    <w:sz w:val="21"/>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741784"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151</w:t>
                </w:r>
                <w:r>
                  <w:rPr/>
                  <w:fldChar w:fldCharType="end"/>
                </w:r>
                <w:r>
                  <w:rPr>
                    <w:rFonts w:ascii="Arial"/>
                    <w:sz w:val="21"/>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792"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12</w:t>
                </w:r>
                <w:r>
                  <w:rPr/>
                  <w:fldChar w:fldCharType="end"/>
                </w:r>
                <w:r>
                  <w:rPr>
                    <w:rFonts w:ascii="Arial"/>
                    <w:sz w:val="21"/>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768"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13</w:t>
                </w:r>
                <w:r>
                  <w:rPr/>
                  <w:fldChar w:fldCharType="end"/>
                </w:r>
                <w:r>
                  <w:rPr>
                    <w:rFonts w:ascii="Arial"/>
                    <w:sz w:val="21"/>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20020pt;margin-top:780.403076pt;width:13.8pt;height:12.6pt;mso-position-horizontal-relative:page;mso-position-vertical-relative:page;z-index:-742744"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b/>
                    <w:sz w:val="21"/>
                  </w:rPr>
                  <w:t>20</w:t>
                </w:r>
                <w:r>
                  <w:rPr>
                    <w:rFonts w:ascii="Arial"/>
                    <w:sz w:val="21"/>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742720"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21</w:t>
                </w:r>
                <w:r>
                  <w:rPr/>
                  <w:fldChar w:fldCharType="end"/>
                </w:r>
                <w:r>
                  <w:rPr>
                    <w:rFonts w:ascii="Arial"/>
                    <w:sz w:val="21"/>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6.400024pt;margin-top:533.779114pt;width:15.8pt;height:12.6pt;mso-position-horizontal-relative:page;mso-position-vertical-relative:page;z-index:-742672"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b/>
                    <w:w w:val="100"/>
                    <w:sz w:val="21"/>
                  </w:rPr>
                </w:r>
                <w:r>
                  <w:rPr/>
                  <w:fldChar w:fldCharType="begin"/>
                </w:r>
                <w:r>
                  <w:rPr>
                    <w:rFonts w:ascii="Arial"/>
                    <w:b/>
                    <w:sz w:val="21"/>
                  </w:rPr>
                  <w:instrText> PAGE </w:instrText>
                </w:r>
                <w:r>
                  <w:rPr/>
                  <w:fldChar w:fldCharType="separate"/>
                </w:r>
                <w:r>
                  <w:rPr/>
                  <w:t>25</w:t>
                </w:r>
                <w:r>
                  <w:rPr/>
                  <w:fldChar w:fldCharType="end"/>
                </w:r>
                <w:r>
                  <w:rPr>
                    <w:rFonts w:ascii="Arial"/>
                    <w:sz w:val="21"/>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9.790009pt;margin-top:36.604984pt;width:209.9pt;height:13.1pt;mso-position-horizontal-relative:page;mso-position-vertical-relative:page;z-index:-74291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北京华宇软件股份有限公司</w:t>
                </w:r>
                <w:r>
                  <w:rPr>
                    <w:rFonts w:ascii="宋体" w:hAnsi="宋体" w:cs="宋体" w:eastAsia="宋体" w:hint="default"/>
                    <w:b/>
                    <w:bCs/>
                    <w:spacing w:val="-53"/>
                    <w:sz w:val="21"/>
                    <w:szCs w:val="21"/>
                  </w:rPr>
                  <w:t> </w:t>
                </w:r>
                <w:r>
                  <w:rPr>
                    <w:rFonts w:ascii="Arial" w:hAnsi="Arial" w:cs="Arial" w:eastAsia="Arial" w:hint="default"/>
                    <w:b/>
                    <w:bCs/>
                    <w:sz w:val="21"/>
                    <w:szCs w:val="21"/>
                  </w:rPr>
                  <w:t>2014</w:t>
                </w:r>
                <w:r>
                  <w:rPr>
                    <w:rFonts w:ascii="Arial" w:hAnsi="Arial" w:cs="Arial" w:eastAsia="Arial" w:hint="default"/>
                    <w:b/>
                    <w:bCs/>
                    <w:spacing w:val="-8"/>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1.150024pt;margin-top:43.205006pt;width:209.9pt;height:13.1pt;mso-position-horizontal-relative:page;mso-position-vertical-relative:page;z-index:-74269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北京华宇软件股份有限公司</w:t>
                </w:r>
                <w:r>
                  <w:rPr>
                    <w:rFonts w:ascii="宋体" w:hAnsi="宋体" w:cs="宋体" w:eastAsia="宋体" w:hint="default"/>
                    <w:b/>
                    <w:bCs/>
                    <w:spacing w:val="-53"/>
                    <w:sz w:val="21"/>
                    <w:szCs w:val="21"/>
                  </w:rPr>
                  <w:t> </w:t>
                </w:r>
                <w:r>
                  <w:rPr>
                    <w:rFonts w:ascii="Arial" w:hAnsi="Arial" w:cs="Arial" w:eastAsia="Arial" w:hint="default"/>
                    <w:b/>
                    <w:bCs/>
                    <w:sz w:val="21"/>
                    <w:szCs w:val="21"/>
                  </w:rPr>
                  <w:t>2014</w:t>
                </w:r>
                <w:r>
                  <w:rPr>
                    <w:rFonts w:ascii="Arial" w:hAnsi="Arial" w:cs="Arial" w:eastAsia="Arial" w:hint="default"/>
                    <w:b/>
                    <w:bCs/>
                    <w:spacing w:val="-8"/>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742648"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29.790009pt;margin-top:43.204983pt;width:209.9pt;height:13.1pt;mso-position-horizontal-relative:page;mso-position-vertical-relative:page;z-index:-74262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北京华宇软件股份有限公司</w:t>
                </w:r>
                <w:r>
                  <w:rPr>
                    <w:rFonts w:ascii="宋体" w:hAnsi="宋体" w:cs="宋体" w:eastAsia="宋体" w:hint="default"/>
                    <w:b/>
                    <w:bCs/>
                    <w:spacing w:val="-53"/>
                    <w:sz w:val="21"/>
                    <w:szCs w:val="21"/>
                  </w:rPr>
                  <w:t> </w:t>
                </w:r>
                <w:r>
                  <w:rPr>
                    <w:rFonts w:ascii="Arial" w:hAnsi="Arial" w:cs="Arial" w:eastAsia="Arial" w:hint="default"/>
                    <w:b/>
                    <w:bCs/>
                    <w:sz w:val="21"/>
                    <w:szCs w:val="21"/>
                  </w:rPr>
                  <w:t>2014</w:t>
                </w:r>
                <w:r>
                  <w:rPr>
                    <w:rFonts w:ascii="Arial" w:hAnsi="Arial" w:cs="Arial" w:eastAsia="Arial" w:hint="default"/>
                    <w:b/>
                    <w:bCs/>
                    <w:spacing w:val="-8"/>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1.150024pt;margin-top:43.205006pt;width:209.9pt;height:13.1pt;mso-position-horizontal-relative:page;mso-position-vertical-relative:page;z-index:-74252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北京华宇软件股份有限公司</w:t>
                </w:r>
                <w:r>
                  <w:rPr>
                    <w:rFonts w:ascii="宋体" w:hAnsi="宋体" w:cs="宋体" w:eastAsia="宋体" w:hint="default"/>
                    <w:b/>
                    <w:bCs/>
                    <w:spacing w:val="-53"/>
                    <w:sz w:val="21"/>
                    <w:szCs w:val="21"/>
                  </w:rPr>
                  <w:t> </w:t>
                </w:r>
                <w:r>
                  <w:rPr>
                    <w:rFonts w:ascii="Arial" w:hAnsi="Arial" w:cs="Arial" w:eastAsia="Arial" w:hint="default"/>
                    <w:b/>
                    <w:bCs/>
                    <w:sz w:val="21"/>
                    <w:szCs w:val="21"/>
                  </w:rPr>
                  <w:t>2014</w:t>
                </w:r>
                <w:r>
                  <w:rPr>
                    <w:rFonts w:ascii="Arial" w:hAnsi="Arial" w:cs="Arial" w:eastAsia="Arial" w:hint="default"/>
                    <w:b/>
                    <w:bCs/>
                    <w:spacing w:val="-8"/>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742480"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29.790009pt;margin-top:43.204983pt;width:209.9pt;height:13.1pt;mso-position-horizontal-relative:page;mso-position-vertical-relative:page;z-index:-74245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北京华宇软件股份有限公司</w:t>
                </w:r>
                <w:r>
                  <w:rPr>
                    <w:rFonts w:ascii="宋体" w:hAnsi="宋体" w:cs="宋体" w:eastAsia="宋体" w:hint="default"/>
                    <w:b/>
                    <w:bCs/>
                    <w:spacing w:val="-53"/>
                    <w:sz w:val="21"/>
                    <w:szCs w:val="21"/>
                  </w:rPr>
                  <w:t> </w:t>
                </w:r>
                <w:r>
                  <w:rPr>
                    <w:rFonts w:ascii="Arial" w:hAnsi="Arial" w:cs="Arial" w:eastAsia="Arial" w:hint="default"/>
                    <w:b/>
                    <w:bCs/>
                    <w:sz w:val="21"/>
                    <w:szCs w:val="21"/>
                  </w:rPr>
                  <w:t>2014</w:t>
                </w:r>
                <w:r>
                  <w:rPr>
                    <w:rFonts w:ascii="Arial" w:hAnsi="Arial" w:cs="Arial" w:eastAsia="Arial" w:hint="default"/>
                    <w:b/>
                    <w:bCs/>
                    <w:spacing w:val="-8"/>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1.150024pt;margin-top:43.205006pt;width:209.9pt;height:13.1pt;mso-position-horizontal-relative:page;mso-position-vertical-relative:page;z-index:-74228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北京华宇软件股份有限公司</w:t>
                </w:r>
                <w:r>
                  <w:rPr>
                    <w:rFonts w:ascii="宋体" w:hAnsi="宋体" w:cs="宋体" w:eastAsia="宋体" w:hint="default"/>
                    <w:b/>
                    <w:bCs/>
                    <w:spacing w:val="-53"/>
                    <w:sz w:val="21"/>
                    <w:szCs w:val="21"/>
                  </w:rPr>
                  <w:t> </w:t>
                </w:r>
                <w:r>
                  <w:rPr>
                    <w:rFonts w:ascii="Arial" w:hAnsi="Arial" w:cs="Arial" w:eastAsia="Arial" w:hint="default"/>
                    <w:b/>
                    <w:bCs/>
                    <w:sz w:val="21"/>
                    <w:szCs w:val="21"/>
                  </w:rPr>
                  <w:t>2014</w:t>
                </w:r>
                <w:r>
                  <w:rPr>
                    <w:rFonts w:ascii="Arial" w:hAnsi="Arial" w:cs="Arial" w:eastAsia="Arial" w:hint="default"/>
                    <w:b/>
                    <w:bCs/>
                    <w:spacing w:val="-8"/>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742216"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29.790009pt;margin-top:43.204983pt;width:209.9pt;height:13.1pt;mso-position-horizontal-relative:page;mso-position-vertical-relative:page;z-index:-74219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北京华宇软件股份有限公司</w:t>
                </w:r>
                <w:r>
                  <w:rPr>
                    <w:rFonts w:ascii="宋体" w:hAnsi="宋体" w:cs="宋体" w:eastAsia="宋体" w:hint="default"/>
                    <w:b/>
                    <w:bCs/>
                    <w:spacing w:val="-53"/>
                    <w:sz w:val="21"/>
                    <w:szCs w:val="21"/>
                  </w:rPr>
                  <w:t> </w:t>
                </w:r>
                <w:r>
                  <w:rPr>
                    <w:rFonts w:ascii="Arial" w:hAnsi="Arial" w:cs="Arial" w:eastAsia="Arial" w:hint="default"/>
                    <w:b/>
                    <w:bCs/>
                    <w:sz w:val="21"/>
                    <w:szCs w:val="21"/>
                  </w:rPr>
                  <w:t>2014</w:t>
                </w:r>
                <w:r>
                  <w:rPr>
                    <w:rFonts w:ascii="Arial" w:hAnsi="Arial" w:cs="Arial" w:eastAsia="Arial" w:hint="default"/>
                    <w:b/>
                    <w:bCs/>
                    <w:spacing w:val="-8"/>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7"/>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ind w:left="515"/>
      <w:outlineLvl w:val="1"/>
    </w:pPr>
    <w:rPr>
      <w:rFonts w:ascii="微软雅黑" w:hAnsi="微软雅黑" w:eastAsia="微软雅黑"/>
      <w:b/>
      <w:bCs/>
      <w:sz w:val="32"/>
      <w:szCs w:val="32"/>
    </w:rPr>
  </w:style>
  <w:style w:styleId="Heading2" w:type="paragraph">
    <w:name w:val="Heading 2"/>
    <w:basedOn w:val="Normal"/>
    <w:uiPriority w:val="1"/>
    <w:qFormat/>
    <w:pPr>
      <w:spacing w:before="14"/>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thunisoft.com/" TargetMode="External"/><Relationship Id="rId9" Type="http://schemas.openxmlformats.org/officeDocument/2006/relationships/hyperlink" Target="mailto:IR@thunisoft.com"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2.xml"/><Relationship Id="rId18" Type="http://schemas.openxmlformats.org/officeDocument/2006/relationships/footer" Target="footer9.xml"/><Relationship Id="rId19" Type="http://schemas.openxmlformats.org/officeDocument/2006/relationships/header" Target="header3.xml"/><Relationship Id="rId20" Type="http://schemas.openxmlformats.org/officeDocument/2006/relationships/footer" Target="footer10.xml"/><Relationship Id="rId21" Type="http://schemas.openxmlformats.org/officeDocument/2006/relationships/header" Target="header4.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header" Target="header5.xml"/><Relationship Id="rId27" Type="http://schemas.openxmlformats.org/officeDocument/2006/relationships/footer" Target="footer15.xml"/><Relationship Id="rId28" Type="http://schemas.openxmlformats.org/officeDocument/2006/relationships/header" Target="header6.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image" Target="media/image1.jpeg"/><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header" Target="header7.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header" Target="header8.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footer" Target="footer35.xml"/><Relationship Id="rId52" Type="http://schemas.openxmlformats.org/officeDocument/2006/relationships/footer" Target="footer36.xml"/><Relationship Id="rId53" Type="http://schemas.openxmlformats.org/officeDocument/2006/relationships/footer" Target="footer37.xml"/><Relationship Id="rId54" Type="http://schemas.openxmlformats.org/officeDocument/2006/relationships/header" Target="header9.xml"/><Relationship Id="rId55" Type="http://schemas.openxmlformats.org/officeDocument/2006/relationships/footer" Target="footer38.xml"/><Relationship Id="rId56" Type="http://schemas.openxmlformats.org/officeDocument/2006/relationships/footer" Target="footer39.xml"/><Relationship Id="rId57" Type="http://schemas.openxmlformats.org/officeDocument/2006/relationships/footer" Target="footer40.xml"/><Relationship Id="rId58" Type="http://schemas.openxmlformats.org/officeDocument/2006/relationships/footer" Target="footer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北京华宇软件股份有限公司</dc:creator>
  <dc:title>北京华宇软件股份有限公司2014年年度报告全文</dc:title>
  <dcterms:created xsi:type="dcterms:W3CDTF">2020-05-06T19:20:15Z</dcterms:created>
  <dcterms:modified xsi:type="dcterms:W3CDTF">2020-05-06T19:20:15Z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2015-03-25T00:00:00Z</vt:filetime>
  </property>
  <property fmtid="{D5CDD505-2E9C-101B-9397-08002B2CF9AE}" pid="3" name="Creator">
    <vt:lpwstr>Microsoft® Word 2010</vt:lpwstr>
  </property>
  <property fmtid="{D5CDD505-2E9C-101B-9397-08002B2CF9AE}" pid="4" name="LastSaved">
    <vt:filetime>2020-05-06T00:00:00Z</vt:filetime>
  </property>
</Properties>
</file>