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Default Extension="png" ContentType="image/png"/>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p>
      <w:pPr>
        <w:spacing w:line="501" w:lineRule="exact" w:before="0"/>
        <w:ind w:left="2792" w:right="2793" w:firstLine="0"/>
        <w:jc w:val="center"/>
        <w:rPr>
          <w:rFonts w:ascii="Microsoft JhengHei" w:hAnsi="Microsoft JhengHei" w:cs="Microsoft JhengHei" w:eastAsia="Microsoft JhengHei"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Microsoft JhengHei" w:hAnsi="Microsoft JhengHei" w:cs="Microsoft JhengHei" w:eastAsia="Microsoft JhengHei" w:hint="default"/>
          <w:b/>
          <w:bCs/>
          <w:sz w:val="36"/>
          <w:szCs w:val="36"/>
        </w:rPr>
        <w:t>北京华宇软件股份有限公司</w:t>
      </w:r>
      <w:r>
        <w:rPr>
          <w:rFonts w:ascii="Microsoft JhengHei" w:hAnsi="Microsoft JhengHei" w:cs="Microsoft JhengHei" w:eastAsia="Microsoft JhengHei" w:hint="default"/>
          <w:sz w:val="36"/>
          <w:szCs w:val="36"/>
        </w:rPr>
      </w:r>
    </w:p>
    <w:p>
      <w:pPr>
        <w:spacing w:before="261"/>
        <w:ind w:left="2792" w:right="2792" w:firstLine="0"/>
        <w:jc w:val="center"/>
        <w:rPr>
          <w:rFonts w:ascii="Microsoft JhengHei" w:hAnsi="Microsoft JhengHei" w:cs="Microsoft JhengHei" w:eastAsia="Microsoft JhengHei" w:hint="default"/>
          <w:sz w:val="32"/>
          <w:szCs w:val="32"/>
        </w:rPr>
      </w:pPr>
      <w:r>
        <w:rPr>
          <w:rFonts w:ascii="Arial" w:hAnsi="Arial" w:cs="Arial" w:eastAsia="Arial" w:hint="default"/>
          <w:b/>
          <w:bCs/>
          <w:sz w:val="32"/>
          <w:szCs w:val="32"/>
        </w:rPr>
        <w:t>2017</w:t>
      </w:r>
      <w:r>
        <w:rPr>
          <w:rFonts w:ascii="Arial" w:hAnsi="Arial" w:cs="Arial" w:eastAsia="Arial" w:hint="default"/>
          <w:b/>
          <w:bCs/>
          <w:spacing w:val="-6"/>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before="287"/>
        <w:ind w:left="2788" w:right="2793" w:firstLine="0"/>
        <w:jc w:val="center"/>
        <w:rPr>
          <w:rFonts w:ascii="Microsoft JhengHei" w:hAnsi="Microsoft JhengHei" w:cs="Microsoft JhengHei" w:eastAsia="Microsoft JhengHei" w:hint="default"/>
          <w:sz w:val="32"/>
          <w:szCs w:val="32"/>
        </w:rPr>
      </w:pPr>
      <w:r>
        <w:rPr>
          <w:rFonts w:ascii="Arial" w:hAnsi="Arial" w:cs="Arial" w:eastAsia="Arial" w:hint="default"/>
          <w:b/>
          <w:bCs/>
          <w:sz w:val="32"/>
          <w:szCs w:val="32"/>
        </w:rPr>
        <w:t>2018 </w:t>
      </w:r>
      <w:r>
        <w:rPr>
          <w:rFonts w:ascii="Microsoft JhengHei" w:hAnsi="Microsoft JhengHei" w:cs="Microsoft JhengHei" w:eastAsia="Microsoft JhengHei" w:hint="default"/>
          <w:b/>
          <w:bCs/>
          <w:sz w:val="32"/>
          <w:szCs w:val="32"/>
        </w:rPr>
        <w:t>年 </w:t>
      </w:r>
      <w:r>
        <w:rPr>
          <w:rFonts w:ascii="Arial" w:hAnsi="Arial" w:cs="Arial" w:eastAsia="Arial" w:hint="default"/>
          <w:b/>
          <w:bCs/>
          <w:sz w:val="32"/>
          <w:szCs w:val="32"/>
        </w:rPr>
        <w:t>04</w:t>
      </w:r>
      <w:r>
        <w:rPr>
          <w:rFonts w:ascii="Arial" w:hAnsi="Arial" w:cs="Arial" w:eastAsia="Arial" w:hint="default"/>
          <w:b/>
          <w:bCs/>
          <w:spacing w:val="-2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3"/>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5"/>
          <w:szCs w:val="25"/>
        </w:rPr>
      </w:pPr>
    </w:p>
    <w:p>
      <w:pPr>
        <w:pStyle w:val="Heading1"/>
        <w:spacing w:line="440" w:lineRule="exact"/>
        <w:ind w:left="2812" w:right="94"/>
        <w:jc w:val="left"/>
        <w:rPr>
          <w:rFonts w:ascii="微软雅黑" w:hAnsi="微软雅黑" w:cs="微软雅黑" w:eastAsia="微软雅黑" w:hint="default"/>
          <w:b w:val="0"/>
          <w:bCs w:val="0"/>
        </w:rPr>
      </w:pPr>
      <w:r>
        <w:rPr>
          <w:rFonts w:ascii="微软雅黑" w:hAnsi="微软雅黑" w:cs="微软雅黑" w:eastAsia="微软雅黑" w:hint="default"/>
        </w:rPr>
        <w:t>第一节</w:t>
      </w:r>
      <w:r>
        <w:rPr>
          <w:rFonts w:ascii="微软雅黑" w:hAnsi="微软雅黑" w:cs="微软雅黑" w:eastAsia="微软雅黑" w:hint="default"/>
          <w:spacing w:val="60"/>
        </w:rPr>
        <w:t> </w:t>
      </w:r>
      <w:r>
        <w:rPr>
          <w:rFonts w:ascii="微软雅黑" w:hAnsi="微软雅黑" w:cs="微软雅黑" w:eastAsia="微软雅黑" w:hint="default"/>
        </w:rPr>
        <w:t>重要提示、目录和释义</w:t>
      </w:r>
      <w:r>
        <w:rPr>
          <w:rFonts w:ascii="微软雅黑" w:hAnsi="微软雅黑" w:cs="微软雅黑" w:eastAsia="微软雅黑" w:hint="default"/>
          <w:b w:val="0"/>
          <w:bCs w:val="0"/>
        </w:rPr>
      </w:r>
    </w:p>
    <w:p>
      <w:pPr>
        <w:spacing w:line="240" w:lineRule="auto" w:before="14"/>
        <w:rPr>
          <w:rFonts w:ascii="微软雅黑" w:hAnsi="微软雅黑" w:cs="微软雅黑" w:eastAsia="微软雅黑" w:hint="default"/>
          <w:b/>
          <w:bCs/>
          <w:sz w:val="28"/>
          <w:szCs w:val="28"/>
        </w:rPr>
      </w:pPr>
    </w:p>
    <w:p>
      <w:pPr>
        <w:pStyle w:val="BodyText"/>
        <w:spacing w:line="300" w:lineRule="auto"/>
        <w:ind w:right="94" w:firstLine="480"/>
        <w:jc w:val="left"/>
      </w:pPr>
      <w:r>
        <w:rPr/>
        <w:t>公司董事会、监事会及董事、监事、高级管理人员保证年度报告内容的真实、准确、完 整，不存在虚假记载、误导性陈述或重大遗漏，并承担个别和连带的法律责任。</w:t>
      </w:r>
    </w:p>
    <w:p>
      <w:pPr>
        <w:pStyle w:val="BodyText"/>
        <w:spacing w:line="283" w:lineRule="auto" w:before="170"/>
        <w:ind w:right="94" w:firstLine="480"/>
        <w:jc w:val="left"/>
      </w:pPr>
      <w:r>
        <w:rPr/>
        <w:t>公司负责人邵学、主管会计工作负责人王琰及会计机构负责人</w:t>
      </w:r>
      <w:r>
        <w:rPr>
          <w:rFonts w:ascii="Arial" w:hAnsi="Arial" w:cs="Arial" w:eastAsia="Arial" w:hint="default"/>
        </w:rPr>
        <w:t>(</w:t>
      </w:r>
      <w:r>
        <w:rPr/>
        <w:t>会计主管人员</w:t>
      </w:r>
      <w:r>
        <w:rPr>
          <w:rFonts w:ascii="Arial" w:hAnsi="Arial" w:cs="Arial" w:eastAsia="Arial" w:hint="default"/>
        </w:rPr>
        <w:t>)</w:t>
      </w:r>
      <w:r>
        <w:rPr/>
        <w:t>王琰声明： 保证年度报告中财务报告的真实、准确、完整。</w:t>
      </w:r>
    </w:p>
    <w:p>
      <w:pPr>
        <w:pStyle w:val="BodyText"/>
        <w:spacing w:line="240" w:lineRule="auto" w:before="187"/>
        <w:ind w:left="633" w:right="94"/>
        <w:jc w:val="left"/>
      </w:pPr>
      <w:r>
        <w:rPr/>
        <w:t>所有董事均已出席了审议本报告的董事会会议。</w:t>
      </w:r>
    </w:p>
    <w:p>
      <w:pPr>
        <w:spacing w:after="0" w:line="240" w:lineRule="auto"/>
        <w:jc w:val="left"/>
        <w:sectPr>
          <w:footerReference w:type="default" r:id="rId7"/>
          <w:pgSz w:w="11910" w:h="16840"/>
          <w:pgMar w:footer="980" w:header="745" w:top="1060" w:bottom="1160" w:left="980" w:right="90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2"/>
        <w:spacing w:line="240" w:lineRule="auto" w:before="108"/>
        <w:ind w:right="0"/>
        <w:jc w:val="both"/>
        <w:rPr>
          <w:rFonts w:ascii="微软雅黑" w:hAnsi="微软雅黑" w:cs="微软雅黑" w:eastAsia="微软雅黑" w:hint="default"/>
          <w:b w:val="0"/>
          <w:bCs w:val="0"/>
        </w:rPr>
      </w:pPr>
      <w:r>
        <w:rPr>
          <w:rFonts w:ascii="微软雅黑" w:hAnsi="微软雅黑" w:cs="微软雅黑" w:eastAsia="微软雅黑" w:hint="default"/>
        </w:rPr>
        <w:t>重要提示：</w:t>
      </w:r>
      <w:r>
        <w:rPr>
          <w:rFonts w:ascii="微软雅黑" w:hAnsi="微软雅黑" w:cs="微软雅黑" w:eastAsia="微软雅黑" w:hint="default"/>
          <w:b w:val="0"/>
          <w:bCs w:val="0"/>
        </w:rPr>
      </w:r>
    </w:p>
    <w:p>
      <w:pPr>
        <w:spacing w:line="240" w:lineRule="auto" w:before="15"/>
        <w:rPr>
          <w:rFonts w:ascii="微软雅黑" w:hAnsi="微软雅黑" w:cs="微软雅黑" w:eastAsia="微软雅黑" w:hint="default"/>
          <w:b/>
          <w:bCs/>
          <w:sz w:val="14"/>
          <w:szCs w:val="14"/>
        </w:rPr>
      </w:pPr>
    </w:p>
    <w:p>
      <w:pPr>
        <w:pStyle w:val="BodyText"/>
        <w:spacing w:line="374" w:lineRule="auto"/>
        <w:ind w:left="633" w:right="0" w:hanging="481"/>
        <w:jc w:val="left"/>
      </w:pPr>
      <w:r>
        <w:rPr/>
        <w:t>对年度报告涉及未来计划等前瞻性陈述的风险提示 公司敬请投资者注意：本年度报告可能涉及未来计划等前瞻性陈述，该等计划并不构成</w:t>
      </w:r>
    </w:p>
    <w:p>
      <w:pPr>
        <w:pStyle w:val="BodyText"/>
        <w:spacing w:line="254" w:lineRule="exact"/>
        <w:ind w:right="0"/>
        <w:jc w:val="both"/>
      </w:pPr>
      <w:r>
        <w:rPr/>
        <w:t>公司对投资者的实质承诺，投资者及相关人士均应对此保持足够的风险意识，并且应当理解</w:t>
      </w:r>
    </w:p>
    <w:p>
      <w:pPr>
        <w:pStyle w:val="BodyText"/>
        <w:spacing w:line="240" w:lineRule="auto" w:before="77"/>
        <w:ind w:right="0"/>
        <w:jc w:val="both"/>
      </w:pPr>
      <w:r>
        <w:rPr/>
        <w:t>计划、预测与承诺之间的差异。</w:t>
      </w:r>
    </w:p>
    <w:p>
      <w:pPr>
        <w:spacing w:line="240" w:lineRule="auto" w:before="12"/>
        <w:rPr>
          <w:rFonts w:ascii="宋体" w:hAnsi="宋体" w:cs="宋体" w:eastAsia="宋体" w:hint="default"/>
          <w:sz w:val="21"/>
          <w:szCs w:val="21"/>
        </w:rPr>
      </w:pPr>
    </w:p>
    <w:p>
      <w:pPr>
        <w:pStyle w:val="Heading2"/>
        <w:spacing w:line="240" w:lineRule="auto"/>
        <w:ind w:right="0"/>
        <w:jc w:val="both"/>
        <w:rPr>
          <w:rFonts w:ascii="微软雅黑" w:hAnsi="微软雅黑" w:cs="微软雅黑" w:eastAsia="微软雅黑" w:hint="default"/>
          <w:b w:val="0"/>
          <w:bCs w:val="0"/>
        </w:rPr>
      </w:pPr>
      <w:r>
        <w:rPr>
          <w:rFonts w:ascii="微软雅黑" w:hAnsi="微软雅黑" w:cs="微软雅黑" w:eastAsia="微软雅黑" w:hint="default"/>
        </w:rPr>
        <w:t>（一）可能存在的风险因素：</w:t>
      </w:r>
      <w:r>
        <w:rPr>
          <w:rFonts w:ascii="微软雅黑" w:hAnsi="微软雅黑" w:cs="微软雅黑" w:eastAsia="微软雅黑" w:hint="default"/>
          <w:b w:val="0"/>
          <w:bCs w:val="0"/>
        </w:rPr>
      </w:r>
    </w:p>
    <w:p>
      <w:pPr>
        <w:pStyle w:val="BodyText"/>
        <w:spacing w:line="530" w:lineRule="atLeast" w:before="111"/>
        <w:ind w:left="633" w:right="0"/>
        <w:jc w:val="left"/>
      </w:pPr>
      <w:r>
        <w:rPr>
          <w:rFonts w:ascii="Arial" w:hAnsi="Arial" w:cs="Arial" w:eastAsia="Arial" w:hint="default"/>
        </w:rPr>
        <w:t>1</w:t>
      </w:r>
      <w:r>
        <w:rPr/>
        <w:t>、经济环境风险 近年来，世界经济复苏乏力，国际金融市场跌宕起伏，国内外形势错综复杂。我国经济</w:t>
      </w:r>
    </w:p>
    <w:p>
      <w:pPr>
        <w:pStyle w:val="BodyText"/>
        <w:spacing w:line="297" w:lineRule="auto" w:before="74"/>
        <w:ind w:right="153"/>
        <w:jc w:val="both"/>
      </w:pPr>
      <w:r>
        <w:rPr/>
        <w:t>发展中结构性问题和深层次矛盾凸显，遇到不少两难多难抉择。发达国家在工业互联网、智</w:t>
      </w:r>
      <w:r>
        <w:rPr>
          <w:spacing w:val="-91"/>
        </w:rPr>
        <w:t> </w:t>
      </w:r>
      <w:r>
        <w:rPr>
          <w:spacing w:val="-91"/>
        </w:rPr>
      </w:r>
      <w:r>
        <w:rPr/>
        <w:t>能制造、人工智能、大数据等领域加速战略布局，抢占未来发展主导权，给我国软件和信息</w:t>
      </w:r>
      <w:r>
        <w:rPr>
          <w:spacing w:val="-91"/>
        </w:rPr>
        <w:t> </w:t>
      </w:r>
      <w:r>
        <w:rPr>
          <w:spacing w:val="-91"/>
        </w:rPr>
      </w:r>
      <w:r>
        <w:rPr/>
        <w:t>技术服务业跨越发展带来深刻影响。我国经济发展逐渐进入新常态，以改革创新为核心的新</w:t>
      </w:r>
      <w:r>
        <w:rPr>
          <w:spacing w:val="-91"/>
        </w:rPr>
        <w:t> </w:t>
      </w:r>
      <w:r>
        <w:rPr>
          <w:spacing w:val="-91"/>
        </w:rPr>
      </w:r>
      <w:r>
        <w:rPr/>
        <w:t>动能加速孕育，国家战略正在逐步推进实施，赋予软件和信息服务业新使命。针对制约产业</w:t>
      </w:r>
      <w:r>
        <w:rPr>
          <w:spacing w:val="-88"/>
        </w:rPr>
        <w:t> </w:t>
      </w:r>
      <w:r>
        <w:rPr>
          <w:spacing w:val="-88"/>
        </w:rPr>
      </w:r>
      <w:r>
        <w:rPr>
          <w:spacing w:val="-5"/>
        </w:rPr>
        <w:t>发展的各项问题，国家正积极部署新举措。我国推进减税降费措施、积极发挥财政资金效应。</w:t>
      </w:r>
      <w:r>
        <w:rPr/>
        <w:t> 同时积极推进科技创新，增强核心竞争力，加快推进新旧动能转换。面对经济环境可能存在</w:t>
      </w:r>
      <w:r>
        <w:rPr>
          <w:spacing w:val="-91"/>
        </w:rPr>
        <w:t> </w:t>
      </w:r>
      <w:r>
        <w:rPr>
          <w:spacing w:val="-91"/>
        </w:rPr>
      </w:r>
      <w:r>
        <w:rPr/>
        <w:t>的问题和变化，公司积极响应国家稳定增长的号召，紧抓科技政策带来的优势，积极拓展市</w:t>
      </w:r>
      <w:r>
        <w:rPr>
          <w:spacing w:val="-91"/>
        </w:rPr>
        <w:t> </w:t>
      </w:r>
      <w:r>
        <w:rPr>
          <w:spacing w:val="-91"/>
        </w:rPr>
      </w:r>
      <w:r>
        <w:rPr/>
        <w:t>场，提升公司盈利能力。公司将持续增加自主研发投入，鼓励科技创新，努力提高产品竞争</w:t>
      </w:r>
      <w:r>
        <w:rPr>
          <w:spacing w:val="-91"/>
        </w:rPr>
        <w:t> </w:t>
      </w:r>
      <w:r>
        <w:rPr>
          <w:spacing w:val="-91"/>
        </w:rPr>
      </w:r>
      <w:r>
        <w:rPr/>
        <w:t>力及公司核心竞争力，提高公司的抗风险能力。</w:t>
      </w:r>
    </w:p>
    <w:p>
      <w:pPr>
        <w:pStyle w:val="BodyText"/>
        <w:spacing w:line="396" w:lineRule="auto" w:before="176"/>
        <w:ind w:left="633" w:right="0"/>
        <w:jc w:val="left"/>
      </w:pPr>
      <w:r>
        <w:rPr>
          <w:rFonts w:ascii="Arial" w:hAnsi="Arial" w:cs="Arial" w:eastAsia="Arial" w:hint="default"/>
        </w:rPr>
        <w:t>2</w:t>
      </w:r>
      <w:r>
        <w:rPr/>
        <w:t>、行业政策风险 </w:t>
      </w:r>
      <w:r>
        <w:rPr>
          <w:spacing w:val="-6"/>
        </w:rPr>
        <w:t>我国大力推动软件行业、电子政务等行业发展，政府部门先后颁布财税、投融资、研发、</w:t>
      </w:r>
    </w:p>
    <w:p>
      <w:pPr>
        <w:pStyle w:val="BodyText"/>
        <w:spacing w:line="235" w:lineRule="exact"/>
        <w:ind w:right="0"/>
        <w:jc w:val="both"/>
      </w:pPr>
      <w:r>
        <w:rPr>
          <w:spacing w:val="-5"/>
        </w:rPr>
        <w:t>知识产权等多项扶持政策，为行业发展提供强有力的政策支持、营造良好的发展环境。目前，</w:t>
      </w:r>
    </w:p>
    <w:p>
      <w:pPr>
        <w:pStyle w:val="BodyText"/>
        <w:spacing w:line="295" w:lineRule="auto" w:before="74"/>
        <w:ind w:right="154"/>
        <w:jc w:val="both"/>
      </w:pPr>
      <w:r>
        <w:rPr/>
        <w:t>我国统一完整的国家电子政务网络基本形成，网络安全审查、信息安全等级保护等制度不断</w:t>
      </w:r>
      <w:r>
        <w:rPr>
          <w:spacing w:val="-91"/>
        </w:rPr>
        <w:t> </w:t>
      </w:r>
      <w:r>
        <w:rPr>
          <w:spacing w:val="-91"/>
        </w:rPr>
      </w:r>
      <w:r>
        <w:rPr>
          <w:spacing w:val="-4"/>
        </w:rPr>
        <w:t>完善，网络空间日益清朗。根据</w:t>
      </w:r>
      <w:r>
        <w:rPr>
          <w:rFonts w:ascii="Arial" w:hAnsi="Arial" w:cs="Arial" w:eastAsia="Arial" w:hint="default"/>
          <w:spacing w:val="-4"/>
        </w:rPr>
        <w:t>“</w:t>
      </w:r>
      <w:r>
        <w:rPr>
          <w:spacing w:val="-4"/>
        </w:rPr>
        <w:t>十三五</w:t>
      </w:r>
      <w:r>
        <w:rPr>
          <w:rFonts w:ascii="Arial" w:hAnsi="Arial" w:cs="Arial" w:eastAsia="Arial" w:hint="default"/>
          <w:spacing w:val="-4"/>
        </w:rPr>
        <w:t>”</w:t>
      </w:r>
      <w:r>
        <w:rPr>
          <w:spacing w:val="-4"/>
        </w:rPr>
        <w:t>对国家信息化的规划，在今后一段时期内，我国信息</w:t>
      </w:r>
      <w:r>
        <w:rPr>
          <w:spacing w:val="-79"/>
        </w:rPr>
        <w:t> </w:t>
      </w:r>
      <w:r>
        <w:rPr>
          <w:spacing w:val="-79"/>
        </w:rPr>
      </w:r>
      <w:r>
        <w:rPr/>
        <w:t>化还将处于一个持续发展期。发展过程中存在的问题，需要通过政策规范的有效引导，逐步</w:t>
      </w:r>
      <w:r>
        <w:rPr>
          <w:spacing w:val="-91"/>
        </w:rPr>
        <w:t> </w:t>
      </w:r>
      <w:r>
        <w:rPr>
          <w:spacing w:val="-91"/>
        </w:rPr>
      </w:r>
      <w:r>
        <w:rPr/>
        <w:t>解决。如果未来国家产业政策出现重大变动，对软件和信息技术服务行业的产业政策发生不</w:t>
      </w:r>
      <w:r>
        <w:rPr>
          <w:spacing w:val="-91"/>
        </w:rPr>
        <w:t> </w:t>
      </w:r>
      <w:r>
        <w:rPr>
          <w:spacing w:val="-91"/>
        </w:rPr>
      </w:r>
      <w:r>
        <w:rPr/>
        <w:t>利变化，将可能导致公司的市场环境和发展空间发生变化，给公司经营带来风险。公司会积</w:t>
      </w:r>
      <w:r>
        <w:rPr>
          <w:spacing w:val="-91"/>
        </w:rPr>
        <w:t> </w:t>
      </w:r>
      <w:r>
        <w:rPr>
          <w:spacing w:val="-91"/>
        </w:rPr>
      </w:r>
      <w:r>
        <w:rPr/>
        <w:t>极把握政策动向，持续提升自身管理水平及风险抵抗能力，提高公司市场竞争力。</w:t>
      </w:r>
    </w:p>
    <w:p>
      <w:pPr>
        <w:pStyle w:val="BodyText"/>
        <w:spacing w:line="548" w:lineRule="exact" w:before="18"/>
        <w:ind w:left="633" w:right="0"/>
        <w:jc w:val="left"/>
      </w:pPr>
      <w:r>
        <w:rPr>
          <w:rFonts w:ascii="Arial" w:hAnsi="Arial" w:cs="Arial" w:eastAsia="Arial" w:hint="default"/>
        </w:rPr>
        <w:t>3</w:t>
      </w:r>
      <w:r>
        <w:rPr/>
        <w:t>、技术风险 软件和信息技术服务高速发展、日新月异。公司经过多年的技术积累和创新，积极依靠</w:t>
      </w:r>
    </w:p>
    <w:p>
      <w:pPr>
        <w:pStyle w:val="BodyText"/>
        <w:spacing w:line="297" w:lineRule="auto"/>
        <w:ind w:right="159"/>
        <w:jc w:val="both"/>
      </w:pPr>
      <w:r>
        <w:rPr/>
        <w:t>自主研发平台，利用先进、成熟的技术逐渐形成了多项核心软件和行业应用解决方案，技术</w:t>
      </w:r>
      <w:r>
        <w:rPr>
          <w:spacing w:val="-91"/>
        </w:rPr>
        <w:t> </w:t>
      </w:r>
      <w:r>
        <w:rPr>
          <w:spacing w:val="-91"/>
        </w:rPr>
      </w:r>
      <w:r>
        <w:rPr/>
        <w:t>和产品优势明显。但是我国信息化发展中还存在一些突出短板，主要是技术产业生态系统不</w:t>
      </w:r>
      <w:r>
        <w:rPr>
          <w:spacing w:val="-91"/>
        </w:rPr>
        <w:t> </w:t>
      </w:r>
      <w:r>
        <w:rPr>
          <w:spacing w:val="-91"/>
        </w:rPr>
      </w:r>
      <w:r>
        <w:rPr/>
        <w:t>完善、信息资源开发利用和公共数据开放共享水平不高、网络空间安全面临严峻挑战等。信</w:t>
      </w:r>
    </w:p>
    <w:p>
      <w:pPr>
        <w:spacing w:after="0" w:line="297" w:lineRule="auto"/>
        <w:jc w:val="both"/>
        <w:sectPr>
          <w:pgSz w:w="11910" w:h="16840"/>
          <w:pgMar w:header="745" w:footer="980" w:top="1060" w:bottom="1160" w:left="980" w:right="980"/>
        </w:sectPr>
      </w:pPr>
    </w:p>
    <w:p>
      <w:pPr>
        <w:spacing w:line="240" w:lineRule="auto" w:before="8"/>
        <w:rPr>
          <w:rFonts w:ascii="宋体" w:hAnsi="宋体" w:cs="宋体" w:eastAsia="宋体" w:hint="default"/>
          <w:sz w:val="26"/>
          <w:szCs w:val="26"/>
        </w:rPr>
      </w:pPr>
    </w:p>
    <w:p>
      <w:pPr>
        <w:pStyle w:val="BodyText"/>
        <w:spacing w:line="297" w:lineRule="auto" w:before="26"/>
        <w:ind w:right="153"/>
        <w:jc w:val="both"/>
      </w:pPr>
      <w:r>
        <w:rPr/>
        <w:t>息技术更新换代较快，由于外部环境的不确定性，技术创新本身的复杂性，可能会导致达不</w:t>
      </w:r>
      <w:r>
        <w:rPr>
          <w:spacing w:val="-91"/>
        </w:rPr>
        <w:t> </w:t>
      </w:r>
      <w:r>
        <w:rPr>
          <w:spacing w:val="-91"/>
        </w:rPr>
      </w:r>
      <w:r>
        <w:rPr/>
        <w:t>到预期目标。公司会不断完善技术研发、技术创新体系，逐步提高自主创新能力，同时紧跟</w:t>
      </w:r>
      <w:r>
        <w:rPr>
          <w:spacing w:val="-86"/>
        </w:rPr>
        <w:t> </w:t>
      </w:r>
      <w:r>
        <w:rPr>
          <w:spacing w:val="-86"/>
        </w:rPr>
      </w:r>
      <w:r>
        <w:rPr/>
        <w:t>行业技术发展趋势，把握产品和技术研发方向，让技术研发面向市场，及时根据市场变化和</w:t>
      </w:r>
      <w:r>
        <w:rPr>
          <w:spacing w:val="-91"/>
        </w:rPr>
        <w:t> </w:t>
      </w:r>
      <w:r>
        <w:rPr>
          <w:spacing w:val="-91"/>
        </w:rPr>
      </w:r>
      <w:r>
        <w:rPr>
          <w:spacing w:val="-5"/>
        </w:rPr>
        <w:t>客户需求推出新产品和解决方案，保障技术的创新性和领先性，持续提高公司的市场竞争力。</w:t>
      </w:r>
    </w:p>
    <w:p>
      <w:pPr>
        <w:pStyle w:val="BodyText"/>
        <w:spacing w:line="396" w:lineRule="auto" w:before="175"/>
        <w:ind w:left="633" w:right="0"/>
        <w:jc w:val="left"/>
      </w:pPr>
      <w:r>
        <w:rPr>
          <w:rFonts w:ascii="Arial" w:hAnsi="Arial" w:cs="Arial" w:eastAsia="Arial" w:hint="default"/>
        </w:rPr>
        <w:t>4</w:t>
      </w:r>
      <w:r>
        <w:rPr/>
        <w:t>、管理风险 近年来公司的业务规模不断拓展，业务范围也不断扩大，组织结构日益复杂，一定程度</w:t>
      </w:r>
    </w:p>
    <w:p>
      <w:pPr>
        <w:pStyle w:val="BodyText"/>
        <w:spacing w:line="235" w:lineRule="exact"/>
        <w:ind w:right="0"/>
        <w:jc w:val="both"/>
      </w:pPr>
      <w:r>
        <w:rPr/>
        <w:t>上加大了公司经营决策和控制风险的难度，对公司的管理提出了更高的要求。目前公司管理</w:t>
      </w:r>
    </w:p>
    <w:p>
      <w:pPr>
        <w:pStyle w:val="BodyText"/>
        <w:spacing w:line="297" w:lineRule="auto" w:before="74"/>
        <w:ind w:right="154"/>
        <w:jc w:val="both"/>
      </w:pPr>
      <w:r>
        <w:rPr/>
        <w:t>制度不断完善，已经形成了较为健全的公司治理体系，并在实际执行中运作良好。公司加强</w:t>
      </w:r>
      <w:r>
        <w:rPr>
          <w:spacing w:val="-91"/>
        </w:rPr>
        <w:t> </w:t>
      </w:r>
      <w:r>
        <w:rPr>
          <w:spacing w:val="-91"/>
        </w:rPr>
      </w:r>
      <w:r>
        <w:rPr/>
        <w:t>了内部沟通机制、建立健全子公司管理制度，准确的收集与传递内部控制相关的信息，确保</w:t>
      </w:r>
      <w:r>
        <w:rPr>
          <w:spacing w:val="-87"/>
        </w:rPr>
        <w:t> </w:t>
      </w:r>
      <w:r>
        <w:rPr>
          <w:spacing w:val="-87"/>
        </w:rPr>
      </w:r>
      <w:r>
        <w:rPr/>
        <w:t>信息在企业内部、企业与外部之间及时有效传递。此外，公司还注重人才的选拔、考评、晋</w:t>
      </w:r>
      <w:r>
        <w:rPr>
          <w:spacing w:val="-91"/>
        </w:rPr>
        <w:t> </w:t>
      </w:r>
      <w:r>
        <w:rPr>
          <w:spacing w:val="-91"/>
        </w:rPr>
      </w:r>
      <w:r>
        <w:rPr/>
        <w:t>升、激励和培养，防止关键人才流失。公司会继续提升管理团队的管理能力和业务能力，完</w:t>
      </w:r>
      <w:r>
        <w:rPr>
          <w:spacing w:val="-91"/>
        </w:rPr>
        <w:t> </w:t>
      </w:r>
      <w:r>
        <w:rPr>
          <w:spacing w:val="-91"/>
        </w:rPr>
      </w:r>
      <w:r>
        <w:rPr/>
        <w:t>善法人治理结构，规范公司运作体系，加强内部控制，强化各项决策的科学性，促进公司的</w:t>
      </w:r>
      <w:r>
        <w:rPr>
          <w:spacing w:val="-91"/>
        </w:rPr>
        <w:t> </w:t>
      </w:r>
      <w:r>
        <w:rPr>
          <w:spacing w:val="-91"/>
        </w:rPr>
      </w:r>
      <w:r>
        <w:rPr/>
        <w:t>机制创新和管理升级。</w:t>
      </w:r>
    </w:p>
    <w:p>
      <w:pPr>
        <w:pStyle w:val="BodyText"/>
        <w:spacing w:line="548" w:lineRule="exact" w:before="15"/>
        <w:ind w:left="633" w:right="0"/>
        <w:jc w:val="left"/>
      </w:pPr>
      <w:r>
        <w:rPr>
          <w:rFonts w:ascii="Arial" w:hAnsi="Arial" w:cs="Arial" w:eastAsia="Arial" w:hint="default"/>
        </w:rPr>
        <w:t>5</w:t>
      </w:r>
      <w:r>
        <w:rPr/>
        <w:t>、业务拓展风险 在主营业务上，公司加快大数据、人工智能技术的研究和落地，拓展食品安全与市场监</w:t>
      </w:r>
    </w:p>
    <w:p>
      <w:pPr>
        <w:pStyle w:val="BodyText"/>
        <w:spacing w:line="297" w:lineRule="auto"/>
        <w:ind w:right="153"/>
        <w:jc w:val="both"/>
      </w:pPr>
      <w:r>
        <w:rPr/>
        <w:t>管、法律科技、教育信息化等新兴市场。在资本市场上，公司适时拓展，通过对外投资、并</w:t>
      </w:r>
      <w:r>
        <w:rPr>
          <w:spacing w:val="-91"/>
        </w:rPr>
        <w:t> </w:t>
      </w:r>
      <w:r>
        <w:rPr>
          <w:spacing w:val="-91"/>
        </w:rPr>
      </w:r>
      <w:r>
        <w:rPr/>
        <w:t>购等方式开拓业务，进行前瞻性布局。公司业务的拓展对公司集团化管理、文化认同、业务</w:t>
      </w:r>
      <w:r>
        <w:rPr>
          <w:spacing w:val="-87"/>
        </w:rPr>
        <w:t> </w:t>
      </w:r>
      <w:r>
        <w:rPr>
          <w:spacing w:val="-87"/>
        </w:rPr>
      </w:r>
      <w:r>
        <w:rPr>
          <w:spacing w:val="-5"/>
        </w:rPr>
        <w:t>协同以及风险控制提出更高要求。公司将继续坚持稳健的业务发展策略，有效整合公司技术、</w:t>
      </w:r>
      <w:r>
        <w:rPr>
          <w:spacing w:val="-117"/>
        </w:rPr>
        <w:t> </w:t>
      </w:r>
      <w:r>
        <w:rPr>
          <w:spacing w:val="-117"/>
        </w:rPr>
      </w:r>
      <w:r>
        <w:rPr/>
        <w:t>产品和业务资源，积极开展在战略、市场和产品层面的合作，促进公司产生协同效应，实现</w:t>
      </w:r>
      <w:r>
        <w:rPr>
          <w:spacing w:val="-91"/>
        </w:rPr>
        <w:t> </w:t>
      </w:r>
      <w:r>
        <w:rPr>
          <w:spacing w:val="-91"/>
        </w:rPr>
      </w:r>
      <w:r>
        <w:rPr/>
        <w:t>规模经济和优势互补。同时公司将加强风险控制，明确自身战略目标，建立科学风险管理机</w:t>
      </w:r>
      <w:r>
        <w:rPr>
          <w:spacing w:val="-91"/>
        </w:rPr>
        <w:t> </w:t>
      </w:r>
      <w:r>
        <w:rPr>
          <w:spacing w:val="-91"/>
        </w:rPr>
      </w:r>
      <w:r>
        <w:rPr/>
        <w:t>制，提升公司整体优势，不断强化市场领先地位，以防范业务扩张带来的风险，保证公司业</w:t>
      </w:r>
      <w:r>
        <w:rPr>
          <w:spacing w:val="-91"/>
        </w:rPr>
        <w:t> </w:t>
      </w:r>
      <w:r>
        <w:rPr>
          <w:spacing w:val="-91"/>
        </w:rPr>
      </w:r>
      <w:r>
        <w:rPr/>
        <w:t>务持续、健康、高效的成长。</w:t>
      </w:r>
    </w:p>
    <w:p>
      <w:pPr>
        <w:pStyle w:val="BodyText"/>
        <w:spacing w:line="240" w:lineRule="auto" w:before="175"/>
        <w:ind w:left="633" w:right="0"/>
        <w:jc w:val="left"/>
        <w:rPr>
          <w:rFonts w:ascii="Arial" w:hAnsi="Arial" w:cs="Arial" w:eastAsia="Arial" w:hint="default"/>
        </w:rPr>
      </w:pPr>
      <w:r>
        <w:rPr/>
        <w:t>公司经本次董事会审议通过的利润分配预案为</w:t>
      </w:r>
      <w:r>
        <w:rPr>
          <w:spacing w:val="-120"/>
        </w:rPr>
        <w:t>：</w:t>
      </w:r>
      <w:r>
        <w:rPr/>
        <w:t>以</w:t>
      </w:r>
      <w:r>
        <w:rPr>
          <w:spacing w:val="-62"/>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w w:val="99"/>
        </w:rPr>
        <w:t>17</w:t>
      </w:r>
      <w:r>
        <w:rPr>
          <w:rFonts w:ascii="Arial" w:hAnsi="Arial" w:cs="Arial" w:eastAsia="Arial" w:hint="default"/>
          <w:spacing w:val="-11"/>
        </w:rPr>
        <w:t> </w:t>
      </w:r>
      <w:r>
        <w:rPr/>
        <w:t>年</w:t>
      </w:r>
      <w:r>
        <w:rPr>
          <w:spacing w:val="-63"/>
        </w:rPr>
        <w:t> </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11"/>
        </w:rPr>
        <w:t> </w:t>
      </w:r>
      <w:r>
        <w:rPr/>
        <w:t>月</w:t>
      </w:r>
      <w:r>
        <w:rPr>
          <w:spacing w:val="-63"/>
        </w:rPr>
        <w:t> </w:t>
      </w:r>
      <w:r>
        <w:rPr>
          <w:rFonts w:ascii="Arial" w:hAnsi="Arial" w:cs="Arial" w:eastAsia="Arial" w:hint="default"/>
          <w:spacing w:val="-2"/>
          <w:w w:val="99"/>
        </w:rPr>
        <w:t>3</w:t>
      </w:r>
      <w:r>
        <w:rPr>
          <w:rFonts w:ascii="Arial" w:hAnsi="Arial" w:cs="Arial" w:eastAsia="Arial" w:hint="default"/>
          <w:w w:val="99"/>
        </w:rPr>
        <w:t>1</w:t>
      </w:r>
      <w:r>
        <w:rPr>
          <w:rFonts w:ascii="Arial" w:hAnsi="Arial" w:cs="Arial" w:eastAsia="Arial" w:hint="default"/>
          <w:spacing w:val="-11"/>
        </w:rPr>
        <w:t> </w:t>
      </w:r>
      <w:r>
        <w:rPr/>
        <w:t>日股本</w:t>
      </w:r>
      <w:r>
        <w:rPr>
          <w:spacing w:val="-62"/>
        </w:rPr>
        <w:t> </w:t>
      </w:r>
      <w:r>
        <w:rPr>
          <w:rFonts w:ascii="Arial" w:hAnsi="Arial" w:cs="Arial" w:eastAsia="Arial" w:hint="default"/>
          <w:w w:val="99"/>
        </w:rPr>
        <w:t>7</w:t>
      </w:r>
      <w:r>
        <w:rPr>
          <w:rFonts w:ascii="Arial" w:hAnsi="Arial" w:cs="Arial" w:eastAsia="Arial" w:hint="default"/>
          <w:spacing w:val="-2"/>
          <w:w w:val="99"/>
        </w:rPr>
        <w:t>6</w:t>
      </w:r>
      <w:r>
        <w:rPr>
          <w:rFonts w:ascii="Arial" w:hAnsi="Arial" w:cs="Arial" w:eastAsia="Arial" w:hint="default"/>
          <w:w w:val="99"/>
        </w:rPr>
        <w:t>0</w:t>
      </w:r>
      <w:r>
        <w:rPr>
          <w:rFonts w:ascii="Arial" w:hAnsi="Arial" w:cs="Arial" w:eastAsia="Arial" w:hint="default"/>
          <w:w w:val="100"/>
        </w:rPr>
        <w:t>,</w:t>
      </w:r>
      <w:r>
        <w:rPr>
          <w:rFonts w:ascii="Arial" w:hAnsi="Arial" w:cs="Arial" w:eastAsia="Arial" w:hint="default"/>
          <w:spacing w:val="-1"/>
          <w:w w:val="100"/>
        </w:rPr>
        <w:t>6</w:t>
      </w:r>
      <w:r>
        <w:rPr>
          <w:rFonts w:ascii="Arial" w:hAnsi="Arial" w:cs="Arial" w:eastAsia="Arial" w:hint="default"/>
          <w:w w:val="99"/>
        </w:rPr>
        <w:t>81</w:t>
      </w:r>
      <w:r>
        <w:rPr>
          <w:rFonts w:ascii="Arial" w:hAnsi="Arial" w:cs="Arial" w:eastAsia="Arial" w:hint="default"/>
          <w:spacing w:val="-2"/>
          <w:w w:val="100"/>
        </w:rPr>
        <w:t>,</w:t>
      </w:r>
      <w:r>
        <w:rPr>
          <w:rFonts w:ascii="Arial" w:hAnsi="Arial" w:cs="Arial" w:eastAsia="Arial" w:hint="default"/>
          <w:w w:val="99"/>
        </w:rPr>
        <w:t>176</w:t>
      </w:r>
      <w:r>
        <w:rPr>
          <w:rFonts w:ascii="Arial" w:hAnsi="Arial" w:cs="Arial" w:eastAsia="Arial" w:hint="default"/>
        </w:rPr>
      </w:r>
    </w:p>
    <w:p>
      <w:pPr>
        <w:pStyle w:val="BodyText"/>
        <w:spacing w:line="240" w:lineRule="auto" w:before="57"/>
        <w:ind w:right="0"/>
        <w:jc w:val="both"/>
      </w:pPr>
      <w:r>
        <w:rPr/>
        <w:t>股为基数，向全体股东每</w:t>
      </w:r>
      <w:r>
        <w:rPr>
          <w:spacing w:val="-60"/>
        </w:rPr>
        <w:t> </w:t>
      </w:r>
      <w:r>
        <w:rPr>
          <w:rFonts w:ascii="Arial" w:hAnsi="Arial" w:cs="Arial" w:eastAsia="Arial" w:hint="default"/>
        </w:rPr>
        <w:t>10</w:t>
      </w:r>
      <w:r>
        <w:rPr>
          <w:rFonts w:ascii="Arial" w:hAnsi="Arial" w:cs="Arial" w:eastAsia="Arial" w:hint="default"/>
          <w:spacing w:val="-6"/>
        </w:rPr>
        <w:t> </w:t>
      </w:r>
      <w:r>
        <w:rPr/>
        <w:t>股派发现金红利</w:t>
      </w:r>
      <w:r>
        <w:rPr>
          <w:spacing w:val="-63"/>
        </w:rPr>
        <w:t> </w:t>
      </w:r>
      <w:r>
        <w:rPr>
          <w:rFonts w:ascii="Arial" w:hAnsi="Arial" w:cs="Arial" w:eastAsia="Arial" w:hint="default"/>
        </w:rPr>
        <w:t>0.50</w:t>
      </w:r>
      <w:r>
        <w:rPr>
          <w:rFonts w:ascii="Arial" w:hAnsi="Arial" w:cs="Arial" w:eastAsia="Arial" w:hint="default"/>
          <w:spacing w:val="-6"/>
        </w:rPr>
        <w:t> </w:t>
      </w:r>
      <w:r>
        <w:rPr/>
        <w:t>元（含税）。</w:t>
      </w:r>
    </w:p>
    <w:p>
      <w:pPr>
        <w:spacing w:after="0" w:line="240"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line="483" w:lineRule="exact" w:before="0"/>
        <w:ind w:left="2792" w:right="2792" w:firstLine="0"/>
        <w:jc w:val="center"/>
        <w:rPr>
          <w:rFonts w:ascii="微软雅黑" w:hAnsi="微软雅黑" w:cs="微软雅黑" w:eastAsia="微软雅黑" w:hint="default"/>
          <w:sz w:val="36"/>
          <w:szCs w:val="36"/>
        </w:rPr>
      </w:pPr>
      <w:r>
        <w:rPr>
          <w:rFonts w:ascii="微软雅黑" w:hAnsi="微软雅黑" w:cs="微软雅黑" w:eastAsia="微软雅黑" w:hint="default"/>
          <w:b/>
          <w:bCs/>
          <w:sz w:val="36"/>
          <w:szCs w:val="36"/>
        </w:rPr>
        <w:t>目录</w:t>
      </w:r>
      <w:r>
        <w:rPr>
          <w:rFonts w:ascii="微软雅黑" w:hAnsi="微软雅黑" w:cs="微软雅黑" w:eastAsia="微软雅黑" w:hint="default"/>
          <w:sz w:val="36"/>
          <w:szCs w:val="36"/>
        </w:rPr>
      </w:r>
    </w:p>
    <w:p>
      <w:pPr>
        <w:spacing w:line="240" w:lineRule="auto" w:before="0"/>
        <w:rPr>
          <w:rFonts w:ascii="微软雅黑" w:hAnsi="微软雅黑" w:cs="微软雅黑" w:eastAsia="微软雅黑" w:hint="default"/>
          <w:b/>
          <w:bCs/>
          <w:sz w:val="36"/>
          <w:szCs w:val="36"/>
        </w:rPr>
      </w:pPr>
    </w:p>
    <w:p>
      <w:pPr>
        <w:spacing w:line="240" w:lineRule="auto" w:before="9"/>
        <w:rPr>
          <w:rFonts w:ascii="微软雅黑" w:hAnsi="微软雅黑" w:cs="微软雅黑" w:eastAsia="微软雅黑" w:hint="default"/>
          <w:b/>
          <w:bCs/>
          <w:sz w:val="52"/>
          <w:szCs w:val="5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Arial" w:hAnsi="Arial" w:cs="Arial" w:eastAsia="Arial" w:hint="default"/>
              <w:b w:val="0"/>
              <w:bCs w:val="0"/>
            </w:rPr>
          </w:pPr>
          <w:hyperlink w:history="true" w:anchor="_bookmark0">
            <w:r>
              <w:rPr/>
              <w:t>第一节</w:t>
            </w:r>
            <w:r>
              <w:rPr>
                <w:spacing w:val="48"/>
              </w:rPr>
              <w:t> </w:t>
            </w:r>
            <w:r>
              <w:rPr/>
              <w:t>重要提示、目录和释义</w:t>
            </w:r>
            <w:r>
              <w:rPr>
                <w:rFonts w:ascii="Arial" w:hAnsi="Arial" w:cs="Arial" w:eastAsia="Arial" w:hint="default"/>
              </w:rPr>
              <w:tab/>
              <w:t>8</w:t>
            </w:r>
            <w:r>
              <w:rPr>
                <w:rFonts w:ascii="Arial" w:hAnsi="Arial" w:cs="Arial" w:eastAsia="Arial" w:hint="default"/>
                <w:b w:val="0"/>
                <w:bCs w:val="0"/>
              </w:rPr>
            </w:r>
          </w:hyperlink>
        </w:p>
        <w:p>
          <w:pPr>
            <w:pStyle w:val="TOC1"/>
            <w:tabs>
              <w:tab w:pos="9785" w:val="right" w:leader="dot"/>
            </w:tabs>
            <w:spacing w:line="240" w:lineRule="auto" w:before="390"/>
            <w:ind w:right="0"/>
            <w:jc w:val="left"/>
            <w:rPr>
              <w:rFonts w:ascii="Arial" w:hAnsi="Arial" w:cs="Arial" w:eastAsia="Arial" w:hint="default"/>
              <w:b w:val="0"/>
              <w:bCs w:val="0"/>
            </w:rPr>
          </w:pPr>
          <w:hyperlink w:history="true" w:anchor="_bookmark1">
            <w:r>
              <w:rPr/>
              <w:t>第二节</w:t>
            </w:r>
            <w:r>
              <w:rPr>
                <w:spacing w:val="48"/>
              </w:rPr>
              <w:t> </w:t>
            </w:r>
            <w:r>
              <w:rPr/>
              <w:t>公司简介和主要财务指标</w:t>
            </w:r>
            <w:r>
              <w:rPr>
                <w:rFonts w:ascii="Arial" w:hAnsi="Arial" w:cs="Arial" w:eastAsia="Arial" w:hint="default"/>
              </w:rPr>
              <w:tab/>
              <w:t>12</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2">
            <w:r>
              <w:rPr/>
              <w:t>第三节</w:t>
            </w:r>
            <w:r>
              <w:rPr>
                <w:spacing w:val="48"/>
              </w:rPr>
              <w:t> </w:t>
            </w:r>
            <w:r>
              <w:rPr/>
              <w:t>公司业务概要</w:t>
            </w:r>
            <w:r>
              <w:rPr>
                <w:rFonts w:ascii="Arial" w:hAnsi="Arial" w:cs="Arial" w:eastAsia="Arial" w:hint="default"/>
              </w:rPr>
              <w:tab/>
              <w:t>14</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3">
            <w:r>
              <w:rPr/>
              <w:t>第四节</w:t>
            </w:r>
            <w:r>
              <w:rPr>
                <w:spacing w:val="48"/>
              </w:rPr>
              <w:t> </w:t>
            </w:r>
            <w:r>
              <w:rPr/>
              <w:t>经营情况讨论与分析</w:t>
            </w:r>
            <w:r>
              <w:rPr>
                <w:rFonts w:ascii="Arial" w:hAnsi="Arial" w:cs="Arial" w:eastAsia="Arial" w:hint="default"/>
              </w:rPr>
              <w:tab/>
              <w:t>45</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4">
            <w:r>
              <w:rPr/>
              <w:t>第五节</w:t>
            </w:r>
            <w:r>
              <w:rPr>
                <w:spacing w:val="48"/>
              </w:rPr>
              <w:t> </w:t>
            </w:r>
            <w:r>
              <w:rPr/>
              <w:t>重要事项</w:t>
            </w:r>
            <w:r>
              <w:rPr>
                <w:rFonts w:ascii="Arial" w:hAnsi="Arial" w:cs="Arial" w:eastAsia="Arial" w:hint="default"/>
              </w:rPr>
              <w:tab/>
              <w:t>75</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5">
            <w:r>
              <w:rPr/>
              <w:t>第六节</w:t>
            </w:r>
            <w:r>
              <w:rPr>
                <w:spacing w:val="48"/>
              </w:rPr>
              <w:t> </w:t>
            </w:r>
            <w:r>
              <w:rPr/>
              <w:t>股份变动及股东情况</w:t>
            </w:r>
            <w:r>
              <w:rPr>
                <w:rFonts w:ascii="Arial" w:hAnsi="Arial" w:cs="Arial" w:eastAsia="Arial" w:hint="default"/>
              </w:rPr>
              <w:tab/>
              <w:t>85</w:t>
            </w:r>
            <w:r>
              <w:rPr>
                <w:rFonts w:ascii="Arial" w:hAnsi="Arial" w:cs="Arial" w:eastAsia="Arial" w:hint="default"/>
                <w:b w:val="0"/>
                <w:bCs w:val="0"/>
              </w:rPr>
            </w:r>
          </w:hyperlink>
        </w:p>
        <w:p>
          <w:pPr>
            <w:pStyle w:val="TOC1"/>
            <w:tabs>
              <w:tab w:pos="9785" w:val="right" w:leader="dot"/>
            </w:tabs>
            <w:spacing w:line="240" w:lineRule="auto" w:before="390"/>
            <w:ind w:right="0"/>
            <w:jc w:val="left"/>
            <w:rPr>
              <w:rFonts w:ascii="Arial" w:hAnsi="Arial" w:cs="Arial" w:eastAsia="Arial" w:hint="default"/>
              <w:b w:val="0"/>
              <w:bCs w:val="0"/>
            </w:rPr>
          </w:pPr>
          <w:hyperlink w:history="true" w:anchor="_bookmark5">
            <w:r>
              <w:rPr/>
              <w:t>第七节</w:t>
            </w:r>
            <w:r>
              <w:rPr>
                <w:spacing w:val="48"/>
              </w:rPr>
              <w:t> </w:t>
            </w:r>
            <w:r>
              <w:rPr/>
              <w:t>优先股相关情况</w:t>
            </w:r>
            <w:r>
              <w:rPr>
                <w:rFonts w:ascii="Arial" w:hAnsi="Arial" w:cs="Arial" w:eastAsia="Arial" w:hint="default"/>
              </w:rPr>
              <w:tab/>
              <w:t>85</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6">
            <w:r>
              <w:rPr/>
              <w:t>第八节</w:t>
            </w:r>
            <w:r>
              <w:rPr>
                <w:spacing w:val="48"/>
              </w:rPr>
              <w:t> </w:t>
            </w:r>
            <w:r>
              <w:rPr/>
              <w:t>董事、监事、高级管理人员和员工情况</w:t>
            </w:r>
            <w:r>
              <w:rPr>
                <w:rFonts w:ascii="Arial" w:hAnsi="Arial" w:cs="Arial" w:eastAsia="Arial" w:hint="default"/>
              </w:rPr>
              <w:tab/>
              <w:t>86</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7">
            <w:r>
              <w:rPr/>
              <w:t>第九节</w:t>
            </w:r>
            <w:r>
              <w:rPr>
                <w:spacing w:val="48"/>
              </w:rPr>
              <w:t> </w:t>
            </w:r>
            <w:r>
              <w:rPr/>
              <w:t>公司治理</w:t>
            </w:r>
            <w:r>
              <w:rPr>
                <w:rFonts w:ascii="Arial" w:hAnsi="Arial" w:cs="Arial" w:eastAsia="Arial" w:hint="default"/>
              </w:rPr>
              <w:tab/>
              <w:t>94</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8">
            <w:r>
              <w:rPr/>
              <w:t>第十节</w:t>
            </w:r>
            <w:r>
              <w:rPr>
                <w:spacing w:val="48"/>
              </w:rPr>
              <w:t> </w:t>
            </w:r>
            <w:r>
              <w:rPr/>
              <w:t>公司债券相关情况</w:t>
            </w:r>
            <w:r>
              <w:rPr>
                <w:rFonts w:ascii="Arial" w:hAnsi="Arial" w:cs="Arial" w:eastAsia="Arial" w:hint="default"/>
              </w:rPr>
              <w:tab/>
              <w:t>100</w:t>
            </w:r>
            <w:r>
              <w:rPr>
                <w:rFonts w:ascii="Arial" w:hAnsi="Arial" w:cs="Arial" w:eastAsia="Arial" w:hint="default"/>
                <w:b w:val="0"/>
                <w:bCs w:val="0"/>
              </w:rPr>
            </w:r>
          </w:hyperlink>
        </w:p>
        <w:p>
          <w:pPr>
            <w:pStyle w:val="TOC1"/>
            <w:tabs>
              <w:tab w:pos="9785" w:val="right" w:leader="dot"/>
            </w:tabs>
            <w:spacing w:line="240" w:lineRule="auto" w:before="390"/>
            <w:ind w:right="0"/>
            <w:jc w:val="left"/>
            <w:rPr>
              <w:rFonts w:ascii="Arial" w:hAnsi="Arial" w:cs="Arial" w:eastAsia="Arial" w:hint="default"/>
              <w:b w:val="0"/>
              <w:bCs w:val="0"/>
            </w:rPr>
          </w:pPr>
          <w:hyperlink w:history="true" w:anchor="_bookmark9">
            <w:r>
              <w:rPr/>
              <w:t>第十一节</w:t>
            </w:r>
            <w:r>
              <w:rPr>
                <w:spacing w:val="48"/>
              </w:rPr>
              <w:t> </w:t>
            </w:r>
            <w:r>
              <w:rPr/>
              <w:t>财务报告</w:t>
            </w:r>
            <w:r>
              <w:rPr>
                <w:rFonts w:ascii="Arial" w:hAnsi="Arial" w:cs="Arial" w:eastAsia="Arial" w:hint="default"/>
              </w:rPr>
              <w:tab/>
              <w:t>101</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10">
            <w:r>
              <w:rPr/>
              <w:t>第十二节</w:t>
            </w:r>
            <w:r>
              <w:rPr>
                <w:spacing w:val="48"/>
              </w:rPr>
              <w:t> </w:t>
            </w:r>
            <w:r>
              <w:rPr/>
              <w:t>备查文件目录</w:t>
            </w:r>
            <w:r>
              <w:rPr>
                <w:rFonts w:ascii="Arial" w:hAnsi="Arial" w:cs="Arial" w:eastAsia="Arial" w:hint="default"/>
              </w:rPr>
              <w:tab/>
              <w:t>198</w:t>
            </w:r>
            <w:r>
              <w:rPr>
                <w:rFonts w:ascii="Arial" w:hAnsi="Arial" w:cs="Arial" w:eastAsia="Arial" w:hint="default"/>
                <w:b w:val="0"/>
                <w:bCs w:val="0"/>
              </w:rPr>
            </w:r>
          </w:hyperlink>
        </w:p>
      </w:sdtContent>
    </w:sdt>
    <w:p>
      <w:pPr>
        <w:spacing w:after="0" w:line="240" w:lineRule="auto"/>
        <w:jc w:val="left"/>
        <w:rPr>
          <w:rFonts w:ascii="Arial" w:hAnsi="Arial" w:cs="Arial" w:eastAsia="Arial" w:hint="default"/>
        </w:rPr>
        <w:sectPr>
          <w:pgSz w:w="11910" w:h="16840"/>
          <w:pgMar w:header="745" w:footer="980" w:top="1060" w:bottom="1160" w:left="980" w:right="980"/>
        </w:sectPr>
      </w:pPr>
    </w:p>
    <w:p>
      <w:pPr>
        <w:spacing w:before="863"/>
        <w:ind w:left="2790" w:right="2793"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释义</w:t>
      </w:r>
      <w:r>
        <w:rPr>
          <w:rFonts w:ascii="微软雅黑" w:hAnsi="微软雅黑" w:cs="微软雅黑" w:eastAsia="微软雅黑" w:hint="default"/>
          <w:sz w:val="32"/>
          <w:szCs w:val="32"/>
        </w:rPr>
      </w: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3536"/>
        <w:gridCol w:w="599"/>
        <w:gridCol w:w="5436"/>
      </w:tblGrid>
      <w:tr>
        <w:trPr>
          <w:trHeight w:val="480"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right="1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释义项</w:t>
            </w:r>
            <w:r>
              <w:rPr>
                <w:rFonts w:ascii="Microsoft JhengHei" w:hAnsi="Microsoft JhengHei" w:cs="Microsoft JhengHei" w:eastAsia="Microsoft JhengHei" w:hint="default"/>
                <w:sz w:val="21"/>
                <w:szCs w:val="21"/>
              </w:rPr>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指</w:t>
            </w:r>
            <w:r>
              <w:rPr>
                <w:rFonts w:ascii="Microsoft JhengHei" w:hAnsi="Microsoft JhengHei" w:cs="Microsoft JhengHei" w:eastAsia="Microsoft JhengHei" w:hint="default"/>
                <w:w w:val="100"/>
                <w:sz w:val="21"/>
                <w:szCs w:val="21"/>
              </w:rPr>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left="1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释义内容</w:t>
            </w:r>
            <w:r>
              <w:rPr>
                <w:rFonts w:ascii="Microsoft JhengHei" w:hAnsi="Microsoft JhengHei" w:cs="Microsoft JhengHei" w:eastAsia="Microsoft JhengHei" w:hint="default"/>
                <w:sz w:val="21"/>
                <w:szCs w:val="21"/>
              </w:rPr>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中国证券监督管理委员会北京监管局</w:t>
            </w:r>
          </w:p>
        </w:tc>
      </w:tr>
      <w:tr>
        <w:trPr>
          <w:trHeight w:val="48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食药监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国家食品药品监督管理总局</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国家发改委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国家发展和改革委员会</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工信部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工业和信息化部</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Arial" w:hAnsi="Arial" w:cs="Arial" w:eastAsia="Arial" w:hint="default"/>
                <w:sz w:val="21"/>
                <w:szCs w:val="21"/>
              </w:rPr>
              <w:t>/</w:t>
            </w:r>
            <w:r>
              <w:rPr>
                <w:rFonts w:ascii="宋体" w:hAnsi="宋体" w:cs="宋体" w:eastAsia="宋体" w:hint="default"/>
                <w:sz w:val="21"/>
                <w:szCs w:val="21"/>
              </w:rPr>
              <w:t>华宇软件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华宇信息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北京华宇信息技术有限公司</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亿信华辰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北京亿信华辰软件有限责任公司</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广州华宇</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广州华宇信息技术有限公司</w:t>
            </w:r>
          </w:p>
        </w:tc>
      </w:tr>
      <w:tr>
        <w:trPr>
          <w:trHeight w:val="20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2"/>
              <w:ind w:right="0"/>
              <w:jc w:val="left"/>
              <w:rPr>
                <w:rFonts w:ascii="微软雅黑" w:hAnsi="微软雅黑" w:cs="微软雅黑" w:eastAsia="微软雅黑" w:hint="default"/>
                <w:b/>
                <w:bCs/>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华宇金信</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24" w:lineRule="auto" w:before="66"/>
              <w:ind w:left="28" w:right="63"/>
              <w:jc w:val="left"/>
              <w:rPr>
                <w:rFonts w:ascii="Arial" w:hAnsi="Arial" w:cs="Arial" w:eastAsia="Arial" w:hint="default"/>
                <w:sz w:val="21"/>
                <w:szCs w:val="21"/>
              </w:rPr>
            </w:pPr>
            <w:r>
              <w:rPr>
                <w:rFonts w:ascii="宋体" w:hAnsi="宋体" w:cs="宋体" w:eastAsia="宋体" w:hint="default"/>
                <w:spacing w:val="-2"/>
                <w:sz w:val="21"/>
                <w:szCs w:val="21"/>
              </w:rPr>
              <w:t>华宇金信（北京）软件有限公司，原</w:t>
            </w:r>
            <w:r>
              <w:rPr>
                <w:rFonts w:ascii="Arial" w:hAnsi="Arial" w:cs="Arial" w:eastAsia="Arial" w:hint="default"/>
                <w:spacing w:val="-2"/>
                <w:sz w:val="21"/>
                <w:szCs w:val="21"/>
              </w:rPr>
              <w:t>“</w:t>
            </w:r>
            <w:r>
              <w:rPr>
                <w:rFonts w:ascii="宋体" w:hAnsi="宋体" w:cs="宋体" w:eastAsia="宋体" w:hint="default"/>
                <w:spacing w:val="-2"/>
                <w:sz w:val="21"/>
                <w:szCs w:val="21"/>
              </w:rPr>
              <w:t>航宇金信（北京）软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件有限公司</w:t>
            </w:r>
            <w:r>
              <w:rPr>
                <w:rFonts w:ascii="Arial" w:hAnsi="Arial" w:cs="Arial" w:eastAsia="Arial" w:hint="default"/>
                <w:sz w:val="21"/>
                <w:szCs w:val="21"/>
              </w:rPr>
              <w:t>”</w:t>
            </w:r>
          </w:p>
        </w:tc>
      </w:tr>
      <w:tr>
        <w:trPr>
          <w:trHeight w:val="470"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vMerge/>
            <w:tcBorders>
              <w:left w:val="single" w:sz="9" w:space="0" w:color="D2D2D2"/>
              <w:right w:val="single" w:sz="4" w:space="0" w:color="000000"/>
            </w:tcBorders>
          </w:tcPr>
          <w:p>
            <w:pPr/>
          </w:p>
        </w:tc>
      </w:tr>
      <w:tr>
        <w:trPr>
          <w:trHeight w:val="200"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大连华宇</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华宇（大连）信息服务有限公司</w:t>
            </w:r>
          </w:p>
        </w:tc>
      </w:tr>
      <w:tr>
        <w:trPr>
          <w:trHeight w:val="19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7"/>
              <w:ind w:right="0"/>
              <w:jc w:val="left"/>
              <w:rPr>
                <w:rFonts w:ascii="微软雅黑" w:hAnsi="微软雅黑" w:cs="微软雅黑" w:eastAsia="微软雅黑"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捷视飞通</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21" w:lineRule="auto" w:before="66"/>
              <w:ind w:left="28" w:right="63"/>
              <w:jc w:val="left"/>
              <w:rPr>
                <w:rFonts w:ascii="Arial" w:hAnsi="Arial" w:cs="Arial" w:eastAsia="Arial" w:hint="default"/>
                <w:sz w:val="21"/>
                <w:szCs w:val="21"/>
              </w:rPr>
            </w:pPr>
            <w:r>
              <w:rPr>
                <w:rFonts w:ascii="宋体" w:hAnsi="宋体" w:cs="宋体" w:eastAsia="宋体" w:hint="default"/>
                <w:spacing w:val="-2"/>
                <w:sz w:val="21"/>
                <w:szCs w:val="21"/>
              </w:rPr>
              <w:t>深圳市捷视飞通科技股份有限公司，原</w:t>
            </w:r>
            <w:r>
              <w:rPr>
                <w:rFonts w:ascii="Arial" w:hAnsi="Arial" w:cs="Arial" w:eastAsia="Arial" w:hint="default"/>
                <w:spacing w:val="-2"/>
                <w:sz w:val="21"/>
                <w:szCs w:val="21"/>
              </w:rPr>
              <w:t>“</w:t>
            </w:r>
            <w:r>
              <w:rPr>
                <w:rFonts w:ascii="宋体" w:hAnsi="宋体" w:cs="宋体" w:eastAsia="宋体" w:hint="default"/>
                <w:spacing w:val="-2"/>
                <w:sz w:val="21"/>
                <w:szCs w:val="21"/>
              </w:rPr>
              <w:t>深圳市捷视飞通科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技有限公司</w:t>
            </w:r>
            <w:r>
              <w:rPr>
                <w:rFonts w:ascii="Arial" w:hAnsi="Arial" w:cs="Arial" w:eastAsia="Arial" w:hint="default"/>
                <w:sz w:val="21"/>
                <w:szCs w:val="21"/>
              </w:rPr>
              <w:t>”</w:t>
            </w:r>
          </w:p>
        </w:tc>
      </w:tr>
      <w:tr>
        <w:trPr>
          <w:trHeight w:val="470"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vMerge/>
            <w:tcBorders>
              <w:left w:val="single" w:sz="9" w:space="0" w:color="D2D2D2"/>
              <w:right w:val="single" w:sz="4" w:space="0" w:color="000000"/>
            </w:tcBorders>
          </w:tcPr>
          <w:p>
            <w:pPr/>
          </w:p>
        </w:tc>
      </w:tr>
      <w:tr>
        <w:trPr>
          <w:trHeight w:val="199"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20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2"/>
              <w:ind w:right="0"/>
              <w:jc w:val="left"/>
              <w:rPr>
                <w:rFonts w:ascii="微软雅黑" w:hAnsi="微软雅黑" w:cs="微软雅黑" w:eastAsia="微软雅黑" w:hint="default"/>
                <w:b/>
                <w:bCs/>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浦东华宇</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24" w:lineRule="auto" w:before="66"/>
              <w:ind w:left="28" w:right="63"/>
              <w:jc w:val="left"/>
              <w:rPr>
                <w:rFonts w:ascii="Arial" w:hAnsi="Arial" w:cs="Arial" w:eastAsia="Arial" w:hint="default"/>
                <w:sz w:val="21"/>
                <w:szCs w:val="21"/>
              </w:rPr>
            </w:pPr>
            <w:r>
              <w:rPr>
                <w:rFonts w:ascii="宋体" w:hAnsi="宋体" w:cs="宋体" w:eastAsia="宋体" w:hint="default"/>
                <w:spacing w:val="-2"/>
                <w:sz w:val="21"/>
                <w:szCs w:val="21"/>
              </w:rPr>
              <w:t>上海浦东华宇信息技术有限公司，原</w:t>
            </w:r>
            <w:r>
              <w:rPr>
                <w:rFonts w:ascii="Arial" w:hAnsi="Arial" w:cs="Arial" w:eastAsia="Arial" w:hint="default"/>
                <w:spacing w:val="-2"/>
                <w:sz w:val="21"/>
                <w:szCs w:val="21"/>
              </w:rPr>
              <w:t>“</w:t>
            </w:r>
            <w:r>
              <w:rPr>
                <w:rFonts w:ascii="宋体" w:hAnsi="宋体" w:cs="宋体" w:eastAsia="宋体" w:hint="default"/>
                <w:spacing w:val="-2"/>
                <w:sz w:val="21"/>
                <w:szCs w:val="21"/>
              </w:rPr>
              <w:t>上海浦东中软科技发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展有限公司</w:t>
            </w:r>
            <w:r>
              <w:rPr>
                <w:rFonts w:ascii="Arial" w:hAnsi="Arial" w:cs="Arial" w:eastAsia="Arial" w:hint="default"/>
                <w:sz w:val="21"/>
                <w:szCs w:val="21"/>
              </w:rPr>
              <w:t>”</w:t>
            </w:r>
          </w:p>
        </w:tc>
      </w:tr>
      <w:tr>
        <w:trPr>
          <w:trHeight w:val="470"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vMerge/>
            <w:tcBorders>
              <w:left w:val="single" w:sz="9" w:space="0" w:color="D2D2D2"/>
              <w:right w:val="single" w:sz="4" w:space="0" w:color="000000"/>
            </w:tcBorders>
          </w:tcPr>
          <w:p>
            <w:pPr/>
          </w:p>
        </w:tc>
      </w:tr>
      <w:tr>
        <w:trPr>
          <w:trHeight w:val="199"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万户网络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北京万户网络技术有限公司</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华宇元典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北京华宇元典信息服务有限公司</w:t>
            </w:r>
          </w:p>
        </w:tc>
      </w:tr>
      <w:tr>
        <w:trPr>
          <w:trHeight w:val="48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溯源云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溯源云（北京）科技服务有限公司</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华宇科创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北京华宇科创投资有限公司</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联奕科技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Arial" w:hAnsi="Arial" w:cs="Arial" w:eastAsia="Arial" w:hint="default"/>
                <w:sz w:val="21"/>
                <w:szCs w:val="21"/>
              </w:rPr>
            </w:pPr>
            <w:r>
              <w:rPr>
                <w:rFonts w:ascii="宋体" w:hAnsi="宋体" w:cs="宋体" w:eastAsia="宋体" w:hint="default"/>
                <w:sz w:val="21"/>
                <w:szCs w:val="21"/>
              </w:rPr>
              <w:t>联奕科技有限公司，原</w:t>
            </w:r>
            <w:r>
              <w:rPr>
                <w:rFonts w:ascii="Arial" w:hAnsi="Arial" w:cs="Arial" w:eastAsia="Arial" w:hint="default"/>
                <w:sz w:val="21"/>
                <w:szCs w:val="21"/>
              </w:rPr>
              <w:t>“</w:t>
            </w:r>
            <w:r>
              <w:rPr>
                <w:rFonts w:ascii="宋体" w:hAnsi="宋体" w:cs="宋体" w:eastAsia="宋体" w:hint="default"/>
                <w:sz w:val="21"/>
                <w:szCs w:val="21"/>
              </w:rPr>
              <w:t>联奕科技股份有限公司</w:t>
            </w:r>
            <w:r>
              <w:rPr>
                <w:rFonts w:ascii="Arial" w:hAnsi="Arial" w:cs="Arial" w:eastAsia="Arial" w:hint="default"/>
                <w:sz w:val="21"/>
                <w:szCs w:val="21"/>
              </w:rPr>
              <w:t>”</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数字方舟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广州数字方舟信息技术股份有限公司</w:t>
            </w:r>
          </w:p>
        </w:tc>
      </w:tr>
      <w:tr>
        <w:trPr>
          <w:trHeight w:val="48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国信证券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10"/>
        <w:gridCol w:w="5436"/>
      </w:tblGrid>
      <w:tr>
        <w:trPr>
          <w:trHeight w:val="48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中审华寅五洲</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中审华寅五洲会计师事务所（特殊普通合伙）</w:t>
            </w:r>
          </w:p>
        </w:tc>
      </w:tr>
      <w:tr>
        <w:trPr>
          <w:trHeight w:val="48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致同</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4"/>
        <w:ind w:left="2651" w:right="0"/>
        <w:jc w:val="left"/>
        <w:rPr>
          <w:rFonts w:ascii="微软雅黑" w:hAnsi="微软雅黑" w:cs="微软雅黑" w:eastAsia="微软雅黑" w:hint="default"/>
          <w:b w:val="0"/>
          <w:bCs w:val="0"/>
        </w:rPr>
      </w:pPr>
      <w:bookmarkStart w:name="_bookmark0" w:id="1"/>
      <w:bookmarkEnd w:id="1"/>
      <w:r>
        <w:rPr>
          <w:b w:val="0"/>
          <w:bCs w:val="0"/>
        </w:rPr>
      </w:r>
      <w:r>
        <w:rPr>
          <w:rFonts w:ascii="微软雅黑" w:hAnsi="微软雅黑" w:cs="微软雅黑" w:eastAsia="微软雅黑" w:hint="default"/>
        </w:rPr>
        <w:t>第二节</w:t>
      </w:r>
      <w:r>
        <w:rPr>
          <w:rFonts w:ascii="微软雅黑" w:hAnsi="微软雅黑" w:cs="微软雅黑" w:eastAsia="微软雅黑" w:hint="default"/>
          <w:spacing w:val="60"/>
        </w:rPr>
        <w:t> </w:t>
      </w:r>
      <w:r>
        <w:rPr>
          <w:rFonts w:ascii="微软雅黑" w:hAnsi="微软雅黑" w:cs="微软雅黑" w:eastAsia="微软雅黑" w:hint="default"/>
        </w:rPr>
        <w:t>公司简介和主要财务指标</w:t>
      </w:r>
      <w:r>
        <w:rPr>
          <w:rFonts w:ascii="微软雅黑" w:hAnsi="微软雅黑" w:cs="微软雅黑" w:eastAsia="微软雅黑" w:hint="default"/>
          <w:b w:val="0"/>
          <w:bCs w:val="0"/>
        </w:rPr>
      </w:r>
    </w:p>
    <w:p>
      <w:pPr>
        <w:spacing w:line="240" w:lineRule="auto" w:before="4"/>
        <w:rPr>
          <w:rFonts w:ascii="微软雅黑" w:hAnsi="微软雅黑" w:cs="微软雅黑" w:eastAsia="微软雅黑" w:hint="default"/>
          <w:b/>
          <w:bCs/>
          <w:sz w:val="25"/>
          <w:szCs w:val="25"/>
        </w:rPr>
      </w:pPr>
    </w:p>
    <w:p>
      <w:pPr>
        <w:pStyle w:val="Heading2"/>
        <w:spacing w:line="367" w:lineRule="exact"/>
        <w:ind w:right="0"/>
        <w:jc w:val="left"/>
        <w:rPr>
          <w:b w:val="0"/>
          <w:bCs w:val="0"/>
        </w:rPr>
      </w:pP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2693"/>
        <w:gridCol w:w="2545"/>
        <w:gridCol w:w="2156"/>
        <w:gridCol w:w="2177"/>
      </w:tblGrid>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华宇软件</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Arial" w:hAnsi="Arial" w:cs="Arial" w:eastAsia="Arial" w:hint="default"/>
                <w:sz w:val="21"/>
                <w:szCs w:val="21"/>
              </w:rPr>
            </w:pPr>
            <w:r>
              <w:rPr>
                <w:rFonts w:ascii="Arial"/>
                <w:sz w:val="21"/>
              </w:rPr>
              <w:t>300271</w:t>
            </w:r>
          </w:p>
        </w:tc>
      </w:tr>
      <w:tr>
        <w:trPr>
          <w:trHeight w:val="40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华宇软件</w:t>
            </w:r>
          </w:p>
        </w:tc>
      </w:tr>
      <w:tr>
        <w:trPr>
          <w:trHeight w:val="40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Beijing Thunisoft</w:t>
            </w:r>
            <w:r>
              <w:rPr>
                <w:rFonts w:ascii="Arial"/>
                <w:spacing w:val="-12"/>
                <w:sz w:val="21"/>
              </w:rPr>
              <w:t> </w:t>
            </w:r>
            <w:r>
              <w:rPr>
                <w:rFonts w:ascii="Arial"/>
                <w:sz w:val="21"/>
              </w:rPr>
              <w:t>Co.,Ltd.</w:t>
            </w:r>
          </w:p>
        </w:tc>
      </w:tr>
      <w:tr>
        <w:trPr>
          <w:trHeight w:val="71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43"/>
              <w:jc w:val="left"/>
              <w:rPr>
                <w:rFonts w:ascii="宋体" w:hAnsi="宋体" w:cs="宋体" w:eastAsia="宋体" w:hint="default"/>
                <w:sz w:val="21"/>
                <w:szCs w:val="21"/>
              </w:rPr>
            </w:pPr>
            <w:r>
              <w:rPr>
                <w:rFonts w:ascii="宋体" w:hAnsi="宋体" w:cs="宋体" w:eastAsia="宋体" w:hint="default"/>
                <w:spacing w:val="-2"/>
                <w:sz w:val="21"/>
                <w:szCs w:val="21"/>
              </w:rPr>
              <w:t>公司的外文名称缩写（如</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w:t>
            </w:r>
          </w:p>
        </w:tc>
        <w:tc>
          <w:tcPr>
            <w:tcW w:w="6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23" w:right="0"/>
              <w:jc w:val="left"/>
              <w:rPr>
                <w:rFonts w:ascii="Arial" w:hAnsi="Arial" w:cs="Arial" w:eastAsia="Arial" w:hint="default"/>
                <w:sz w:val="21"/>
                <w:szCs w:val="21"/>
              </w:rPr>
            </w:pPr>
            <w:r>
              <w:rPr>
                <w:rFonts w:ascii="Arial"/>
                <w:sz w:val="21"/>
              </w:rPr>
              <w:t>Thunisoft</w:t>
            </w:r>
          </w:p>
        </w:tc>
      </w:tr>
      <w:tr>
        <w:trPr>
          <w:trHeight w:val="40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邵学</w:t>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6"/>
                <w:sz w:val="21"/>
                <w:szCs w:val="21"/>
              </w:rPr>
              <w:t> </w:t>
            </w:r>
            <w:r>
              <w:rPr>
                <w:rFonts w:ascii="Arial" w:hAnsi="Arial" w:cs="Arial" w:eastAsia="Arial" w:hint="default"/>
                <w:sz w:val="21"/>
                <w:szCs w:val="21"/>
              </w:rPr>
              <w:t>C</w:t>
            </w:r>
            <w:r>
              <w:rPr>
                <w:rFonts w:ascii="Arial" w:hAnsi="Arial" w:cs="Arial" w:eastAsia="Arial" w:hint="default"/>
                <w:spacing w:val="-6"/>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层</w:t>
            </w:r>
          </w:p>
        </w:tc>
      </w:tr>
      <w:tr>
        <w:trPr>
          <w:trHeight w:val="40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100084</w:t>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6"/>
                <w:sz w:val="21"/>
                <w:szCs w:val="21"/>
              </w:rPr>
              <w:t> </w:t>
            </w:r>
            <w:r>
              <w:rPr>
                <w:rFonts w:ascii="Arial" w:hAnsi="Arial" w:cs="Arial" w:eastAsia="Arial" w:hint="default"/>
                <w:sz w:val="21"/>
                <w:szCs w:val="21"/>
              </w:rPr>
              <w:t>C</w:t>
            </w:r>
            <w:r>
              <w:rPr>
                <w:rFonts w:ascii="Arial" w:hAnsi="Arial" w:cs="Arial" w:eastAsia="Arial" w:hint="default"/>
                <w:spacing w:val="-6"/>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层</w:t>
            </w:r>
          </w:p>
        </w:tc>
      </w:tr>
      <w:tr>
        <w:trPr>
          <w:trHeight w:val="40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100084</w:t>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hyperlink r:id="rId8">
              <w:r>
                <w:rPr>
                  <w:rFonts w:ascii="Arial"/>
                  <w:sz w:val="21"/>
                </w:rPr>
                <w:t>http://www.thunisoft.com/</w:t>
              </w:r>
            </w:hyperlink>
          </w:p>
        </w:tc>
      </w:tr>
      <w:tr>
        <w:trPr>
          <w:trHeight w:val="40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hyperlink r:id="rId9">
              <w:r>
                <w:rPr>
                  <w:rFonts w:ascii="Arial"/>
                  <w:sz w:val="21"/>
                </w:rPr>
                <w:t>IR@thunisoft.com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2693"/>
        <w:gridCol w:w="3404"/>
        <w:gridCol w:w="3473"/>
      </w:tblGrid>
      <w:tr>
        <w:trPr>
          <w:trHeight w:val="401" w:hRule="exact"/>
        </w:trPr>
        <w:tc>
          <w:tcPr>
            <w:tcW w:w="2693"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韦光宇</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遇晗</w:t>
            </w:r>
          </w:p>
        </w:tc>
      </w:tr>
      <w:tr>
        <w:trPr>
          <w:trHeight w:val="71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3" w:right="204"/>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号院清</w:t>
            </w:r>
            <w:r>
              <w:rPr>
                <w:rFonts w:ascii="宋体" w:hAnsi="宋体" w:cs="宋体" w:eastAsia="宋体" w:hint="default"/>
                <w:w w:val="100"/>
                <w:sz w:val="21"/>
                <w:szCs w:val="21"/>
              </w:rPr>
              <w:t> </w:t>
            </w:r>
            <w:r>
              <w:rPr>
                <w:rFonts w:ascii="宋体" w:hAnsi="宋体" w:cs="宋体" w:eastAsia="宋体" w:hint="default"/>
                <w:sz w:val="21"/>
                <w:szCs w:val="21"/>
              </w:rPr>
              <w:t>华科技园科技大厦</w:t>
            </w:r>
            <w:r>
              <w:rPr>
                <w:rFonts w:ascii="宋体" w:hAnsi="宋体" w:cs="宋体" w:eastAsia="宋体" w:hint="default"/>
                <w:spacing w:val="-55"/>
                <w:sz w:val="21"/>
                <w:szCs w:val="21"/>
              </w:rPr>
              <w:t> </w:t>
            </w:r>
            <w:r>
              <w:rPr>
                <w:rFonts w:ascii="Arial" w:hAnsi="Arial" w:cs="Arial" w:eastAsia="Arial" w:hint="default"/>
                <w:sz w:val="21"/>
                <w:szCs w:val="21"/>
              </w:rPr>
              <w:t>C</w:t>
            </w:r>
            <w:r>
              <w:rPr>
                <w:rFonts w:ascii="Arial" w:hAnsi="Arial" w:cs="Arial" w:eastAsia="Arial" w:hint="default"/>
                <w:spacing w:val="-7"/>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Arial" w:hAnsi="Arial" w:cs="Arial" w:eastAsia="Arial" w:hint="default"/>
                <w:sz w:val="21"/>
                <w:szCs w:val="21"/>
              </w:rPr>
              <w:t>25</w:t>
            </w:r>
            <w:r>
              <w:rPr>
                <w:rFonts w:ascii="Arial" w:hAnsi="Arial" w:cs="Arial" w:eastAsia="Arial" w:hint="default"/>
                <w:spacing w:val="-6"/>
                <w:sz w:val="21"/>
                <w:szCs w:val="21"/>
              </w:rPr>
              <w:t> </w:t>
            </w:r>
            <w:r>
              <w:rPr>
                <w:rFonts w:ascii="宋体" w:hAnsi="宋体" w:cs="宋体" w:eastAsia="宋体" w:hint="default"/>
                <w:sz w:val="21"/>
                <w:szCs w:val="21"/>
              </w:rPr>
              <w:t>层</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3" w:right="62"/>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号院清华</w:t>
            </w:r>
            <w:r>
              <w:rPr>
                <w:rFonts w:ascii="宋体" w:hAnsi="宋体" w:cs="宋体" w:eastAsia="宋体" w:hint="default"/>
                <w:w w:val="100"/>
                <w:sz w:val="21"/>
                <w:szCs w:val="21"/>
              </w:rPr>
              <w:t> </w:t>
            </w:r>
            <w:r>
              <w:rPr>
                <w:rFonts w:ascii="宋体" w:hAnsi="宋体" w:cs="宋体" w:eastAsia="宋体" w:hint="default"/>
                <w:sz w:val="21"/>
                <w:szCs w:val="21"/>
              </w:rPr>
              <w:t>科技园科技大厦</w:t>
            </w:r>
            <w:r>
              <w:rPr>
                <w:rFonts w:ascii="宋体" w:hAnsi="宋体" w:cs="宋体" w:eastAsia="宋体" w:hint="default"/>
                <w:spacing w:val="-55"/>
                <w:sz w:val="21"/>
                <w:szCs w:val="21"/>
              </w:rPr>
              <w:t> </w:t>
            </w:r>
            <w:r>
              <w:rPr>
                <w:rFonts w:ascii="Arial" w:hAnsi="Arial" w:cs="Arial" w:eastAsia="Arial" w:hint="default"/>
                <w:sz w:val="21"/>
                <w:szCs w:val="21"/>
              </w:rPr>
              <w:t>C</w:t>
            </w:r>
            <w:r>
              <w:rPr>
                <w:rFonts w:ascii="Arial" w:hAnsi="Arial" w:cs="Arial" w:eastAsia="Arial" w:hint="default"/>
                <w:spacing w:val="-5"/>
                <w:sz w:val="21"/>
                <w:szCs w:val="21"/>
              </w:rPr>
              <w:t> </w:t>
            </w:r>
            <w:r>
              <w:rPr>
                <w:rFonts w:ascii="宋体" w:hAnsi="宋体" w:cs="宋体" w:eastAsia="宋体" w:hint="default"/>
                <w:sz w:val="21"/>
                <w:szCs w:val="21"/>
              </w:rPr>
              <w:t>座</w:t>
            </w:r>
            <w:r>
              <w:rPr>
                <w:rFonts w:ascii="宋体" w:hAnsi="宋体" w:cs="宋体" w:eastAsia="宋体" w:hint="default"/>
                <w:spacing w:val="-1"/>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层</w:t>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010-82150085</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010-82150085</w:t>
            </w:r>
          </w:p>
        </w:tc>
      </w:tr>
      <w:tr>
        <w:trPr>
          <w:trHeight w:val="40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010-82150616</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010-82150616</w:t>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hyperlink r:id="rId9">
              <w:r>
                <w:rPr>
                  <w:rFonts w:ascii="Arial"/>
                  <w:sz w:val="21"/>
                </w:rPr>
                <w:t>IR@thunisoft.com</w:t>
              </w:r>
            </w:hyperlink>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hyperlink r:id="rId9">
              <w:r>
                <w:rPr>
                  <w:rFonts w:ascii="Arial"/>
                  <w:sz w:val="21"/>
                </w:rPr>
                <w:t>IR@thunisoft.com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6"/>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4254"/>
        <w:gridCol w:w="5315"/>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hyperlink r:id="rId10">
              <w:r>
                <w:rPr>
                  <w:rFonts w:ascii="Arial"/>
                  <w:sz w:val="21"/>
                </w:rPr>
                <w:t>http://www.cninfo.com.cn</w:t>
              </w:r>
            </w:hyperlink>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董事会办公室</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14"/>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r>
        <w:rPr/>
        <w:t>四、其他有关资料</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right="0"/>
        <w:jc w:val="left"/>
      </w:pPr>
      <w:r>
        <w:rPr/>
        <w:t>公司聘请的会计师事务所</w:t>
      </w:r>
    </w:p>
    <w:p>
      <w:pPr>
        <w:spacing w:line="240" w:lineRule="auto" w:before="11"/>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2662"/>
        <w:gridCol w:w="6906"/>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2"/>
                <w:sz w:val="21"/>
                <w:szCs w:val="21"/>
              </w:rPr>
              <w:t> </w:t>
            </w:r>
            <w:r>
              <w:rPr>
                <w:rFonts w:ascii="Arial" w:hAnsi="Arial" w:cs="Arial" w:eastAsia="Arial" w:hint="default"/>
                <w:sz w:val="21"/>
                <w:szCs w:val="21"/>
              </w:rPr>
              <w:t>22</w:t>
            </w:r>
            <w:r>
              <w:rPr>
                <w:rFonts w:ascii="Arial" w:hAnsi="Arial" w:cs="Arial" w:eastAsia="Arial" w:hint="default"/>
                <w:spacing w:val="-8"/>
                <w:sz w:val="21"/>
                <w:szCs w:val="21"/>
              </w:rPr>
              <w:t> </w:t>
            </w:r>
            <w:r>
              <w:rPr>
                <w:rFonts w:ascii="宋体" w:hAnsi="宋体" w:cs="宋体" w:eastAsia="宋体" w:hint="default"/>
                <w:sz w:val="21"/>
                <w:szCs w:val="21"/>
              </w:rPr>
              <w:t>号赛特广场</w:t>
            </w:r>
            <w:r>
              <w:rPr>
                <w:rFonts w:ascii="宋体" w:hAnsi="宋体" w:cs="宋体" w:eastAsia="宋体" w:hint="default"/>
                <w:spacing w:val="-53"/>
                <w:sz w:val="21"/>
                <w:szCs w:val="21"/>
              </w:rPr>
              <w:t> </w:t>
            </w: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陈平、赵奉忠</w:t>
            </w:r>
          </w:p>
        </w:tc>
      </w:tr>
    </w:tbl>
    <w:p>
      <w:pPr>
        <w:pStyle w:val="BodyText"/>
        <w:spacing w:line="240" w:lineRule="auto"/>
        <w:ind w:right="0"/>
        <w:jc w:val="left"/>
      </w:pPr>
      <w:r>
        <w:rPr/>
        <w:t>公司聘请的报告期内履行持续督导职责的保荐机构</w:t>
      </w:r>
    </w:p>
    <w:p>
      <w:pPr>
        <w:pStyle w:val="BodyText"/>
        <w:spacing w:line="256" w:lineRule="auto" w:before="36"/>
        <w:ind w:right="44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公司聘请的报告期内履行持续督导职责的财务顾问</w:t>
      </w:r>
    </w:p>
    <w:p>
      <w:pPr>
        <w:pStyle w:val="BodyText"/>
        <w:spacing w:line="240" w:lineRule="auto" w:before="22"/>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7"/>
        <w:rPr>
          <w:rFonts w:ascii="宋体" w:hAnsi="宋体" w:cs="宋体" w:eastAsia="宋体" w:hint="default"/>
          <w:sz w:val="4"/>
          <w:szCs w:val="4"/>
        </w:rPr>
      </w:pPr>
    </w:p>
    <w:tbl>
      <w:tblPr>
        <w:tblW w:w="0" w:type="auto"/>
        <w:jc w:val="left"/>
        <w:tblInd w:w="181" w:type="dxa"/>
        <w:tblLayout w:type="fixed"/>
        <w:tblCellMar>
          <w:top w:w="0" w:type="dxa"/>
          <w:left w:w="0" w:type="dxa"/>
          <w:bottom w:w="0" w:type="dxa"/>
          <w:right w:w="0" w:type="dxa"/>
        </w:tblCellMar>
        <w:tblLook w:val="01E0"/>
      </w:tblPr>
      <w:tblGrid>
        <w:gridCol w:w="2693"/>
        <w:gridCol w:w="2552"/>
        <w:gridCol w:w="2127"/>
        <w:gridCol w:w="2197"/>
      </w:tblGrid>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财务顾问名称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2" w:right="0"/>
              <w:jc w:val="left"/>
              <w:rPr>
                <w:rFonts w:ascii="宋体" w:hAnsi="宋体" w:cs="宋体" w:eastAsia="宋体" w:hint="default"/>
                <w:sz w:val="21"/>
                <w:szCs w:val="21"/>
              </w:rPr>
            </w:pPr>
            <w:r>
              <w:rPr>
                <w:rFonts w:ascii="宋体" w:hAnsi="宋体" w:cs="宋体" w:eastAsia="宋体" w:hint="default"/>
                <w:sz w:val="21"/>
                <w:szCs w:val="21"/>
              </w:rPr>
              <w:t>财务顾问办公地址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财务顾问主办人姓名</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3"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华泰联合证券有限责任公司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9" w:right="0"/>
              <w:jc w:val="left"/>
              <w:rPr>
                <w:rFonts w:ascii="Arial" w:hAnsi="Arial" w:cs="Arial" w:eastAsia="Arial" w:hint="default"/>
                <w:sz w:val="21"/>
                <w:szCs w:val="21"/>
              </w:rPr>
            </w:pPr>
            <w:r>
              <w:rPr>
                <w:rFonts w:ascii="宋体" w:hAnsi="宋体" w:cs="宋体" w:eastAsia="宋体" w:hint="default"/>
                <w:sz w:val="21"/>
                <w:szCs w:val="21"/>
              </w:rPr>
              <w:t>北京市西城区丰盛胡同</w:t>
            </w:r>
            <w:r>
              <w:rPr>
                <w:rFonts w:ascii="宋体" w:hAnsi="宋体" w:cs="宋体" w:eastAsia="宋体" w:hint="default"/>
                <w:spacing w:val="-52"/>
                <w:sz w:val="21"/>
                <w:szCs w:val="21"/>
              </w:rPr>
              <w:t> </w:t>
            </w:r>
            <w:r>
              <w:rPr>
                <w:rFonts w:ascii="Arial" w:hAnsi="Arial" w:cs="Arial" w:eastAsia="Arial" w:hint="default"/>
                <w:spacing w:val="-3"/>
                <w:sz w:val="21"/>
                <w:szCs w:val="21"/>
              </w:rPr>
              <w:t>22</w:t>
            </w:r>
            <w:r>
              <w:rPr>
                <w:rFonts w:ascii="Arial" w:hAnsi="Arial" w:cs="Arial" w:eastAsia="Arial" w:hint="default"/>
                <w:sz w:val="21"/>
                <w:szCs w:val="21"/>
              </w:rPr>
            </w:r>
          </w:p>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sz w:val="21"/>
                <w:szCs w:val="21"/>
              </w:rPr>
              <w:t>号丰铭国际大厦</w:t>
            </w:r>
            <w:r>
              <w:rPr>
                <w:rFonts w:ascii="宋体" w:hAnsi="宋体" w:cs="宋体" w:eastAsia="宋体" w:hint="default"/>
                <w:spacing w:val="-53"/>
                <w:sz w:val="21"/>
                <w:szCs w:val="21"/>
              </w:rPr>
              <w:t> </w:t>
            </w:r>
            <w:r>
              <w:rPr>
                <w:rFonts w:ascii="Arial" w:hAnsi="Arial" w:cs="Arial" w:eastAsia="Arial" w:hint="default"/>
                <w:sz w:val="21"/>
                <w:szCs w:val="21"/>
              </w:rPr>
              <w:t>A</w:t>
            </w:r>
            <w:r>
              <w:rPr>
                <w:rFonts w:ascii="Arial" w:hAnsi="Arial" w:cs="Arial" w:eastAsia="Arial" w:hint="default"/>
                <w:spacing w:val="-8"/>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Arial" w:hAnsi="Arial" w:cs="Arial" w:eastAsia="Arial" w:hint="default"/>
                <w:sz w:val="21"/>
                <w:szCs w:val="21"/>
              </w:rPr>
              <w:t>6</w:t>
            </w:r>
            <w:r>
              <w:rPr>
                <w:rFonts w:ascii="Arial" w:hAnsi="Arial" w:cs="Arial" w:eastAsia="Arial" w:hint="default"/>
                <w:spacing w:val="-8"/>
                <w:sz w:val="21"/>
                <w:szCs w:val="21"/>
              </w:rPr>
              <w:t> </w:t>
            </w:r>
            <w:r>
              <w:rPr>
                <w:rFonts w:ascii="宋体" w:hAnsi="宋体" w:cs="宋体" w:eastAsia="宋体" w:hint="default"/>
                <w:sz w:val="21"/>
                <w:szCs w:val="21"/>
              </w:rPr>
              <w:t>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于洋、王阳白</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91"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pStyle w:val="TableParagraph"/>
              <w:spacing w:line="240" w:lineRule="auto" w:before="22"/>
              <w:ind w:left="179"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五、主要会计数据和财务指标</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right="0"/>
        <w:jc w:val="left"/>
      </w:pPr>
      <w:r>
        <w:rPr/>
        <w:t>公司是否需追溯调整或重述以前年度会计数据</w:t>
      </w:r>
    </w:p>
    <w:p>
      <w:pPr>
        <w:pStyle w:val="BodyText"/>
        <w:spacing w:line="240" w:lineRule="auto" w:before="38"/>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7"/>
        <w:rPr>
          <w:rFonts w:ascii="宋体" w:hAnsi="宋体" w:cs="宋体" w:eastAsia="宋体" w:hint="default"/>
          <w:sz w:val="4"/>
          <w:szCs w:val="4"/>
        </w:rPr>
      </w:pPr>
    </w:p>
    <w:tbl>
      <w:tblPr>
        <w:tblW w:w="0" w:type="auto"/>
        <w:jc w:val="left"/>
        <w:tblInd w:w="181" w:type="dxa"/>
        <w:tblLayout w:type="fixed"/>
        <w:tblCellMar>
          <w:top w:w="0" w:type="dxa"/>
          <w:left w:w="0" w:type="dxa"/>
          <w:bottom w:w="0" w:type="dxa"/>
          <w:right w:w="0" w:type="dxa"/>
        </w:tblCellMar>
        <w:tblLook w:val="01E0"/>
      </w:tblPr>
      <w:tblGrid>
        <w:gridCol w:w="2621"/>
        <w:gridCol w:w="1738"/>
        <w:gridCol w:w="1738"/>
        <w:gridCol w:w="1702"/>
        <w:gridCol w:w="1772"/>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2,338,145,133.75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1,820,108,218.46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28.46%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1,351,669,927.31</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381,166,148.13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271,694,183.15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40.29%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208,457,095.29</w:t>
            </w:r>
          </w:p>
        </w:tc>
      </w:tr>
      <w:tr>
        <w:trPr>
          <w:trHeight w:val="102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非经常性损益的净利润</w:t>
            </w:r>
          </w:p>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Arial" w:hAnsi="Arial" w:cs="Arial" w:eastAsia="Arial" w:hint="default"/>
                <w:sz w:val="21"/>
                <w:szCs w:val="21"/>
              </w:rPr>
            </w:pPr>
            <w:r>
              <w:rPr>
                <w:rFonts w:ascii="Arial"/>
                <w:sz w:val="21"/>
              </w:rPr>
              <w:t>375,472,664.45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 w:right="0"/>
              <w:jc w:val="center"/>
              <w:rPr>
                <w:rFonts w:ascii="Arial" w:hAnsi="Arial" w:cs="Arial" w:eastAsia="Arial" w:hint="default"/>
                <w:sz w:val="21"/>
                <w:szCs w:val="21"/>
              </w:rPr>
            </w:pPr>
            <w:r>
              <w:rPr>
                <w:rFonts w:ascii="Arial"/>
                <w:sz w:val="21"/>
              </w:rPr>
              <w:t>265,246,953.49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Arial" w:hAnsi="Arial" w:cs="Arial" w:eastAsia="Arial" w:hint="default"/>
                <w:sz w:val="21"/>
                <w:szCs w:val="21"/>
              </w:rPr>
            </w:pPr>
            <w:r>
              <w:rPr>
                <w:rFonts w:ascii="Arial"/>
                <w:sz w:val="21"/>
              </w:rPr>
              <w:t>41.56%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 w:right="0"/>
              <w:jc w:val="center"/>
              <w:rPr>
                <w:rFonts w:ascii="Arial" w:hAnsi="Arial" w:cs="Arial" w:eastAsia="Arial" w:hint="default"/>
                <w:sz w:val="21"/>
                <w:szCs w:val="21"/>
              </w:rPr>
            </w:pPr>
            <w:r>
              <w:rPr>
                <w:rFonts w:ascii="Arial"/>
                <w:sz w:val="21"/>
              </w:rPr>
              <w:t>203,530,416.68</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491,523,303.34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237,220,809.69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107.20%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349,825,716.60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0.58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0.43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34.88%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0.34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0.42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35.71%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0.33</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Arial" w:hAnsi="Arial" w:cs="Arial" w:eastAsia="Arial" w:hint="default"/>
                <w:sz w:val="21"/>
                <w:szCs w:val="21"/>
              </w:rPr>
            </w:pPr>
            <w:r>
              <w:rPr>
                <w:rFonts w:ascii="Arial"/>
                <w:sz w:val="21"/>
              </w:rPr>
              <w:t>16.33%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16.37%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-0.04%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Arial" w:hAnsi="Arial" w:cs="Arial" w:eastAsia="Arial" w:hint="default"/>
                <w:sz w:val="21"/>
                <w:szCs w:val="21"/>
              </w:rPr>
            </w:pPr>
            <w:r>
              <w:rPr>
                <w:rFonts w:ascii="Arial"/>
                <w:sz w:val="21"/>
              </w:rPr>
              <w:t>16.00%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1"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35" w:right="105" w:hanging="526"/>
              <w:jc w:val="left"/>
              <w:rPr>
                <w:rFonts w:ascii="宋体" w:hAnsi="宋体" w:cs="宋体" w:eastAsia="宋体" w:hint="default"/>
                <w:sz w:val="21"/>
                <w:szCs w:val="21"/>
              </w:rPr>
            </w:pPr>
            <w:r>
              <w:rPr>
                <w:rFonts w:ascii="宋体" w:hAnsi="宋体" w:cs="宋体" w:eastAsia="宋体" w:hint="default"/>
                <w:sz w:val="21"/>
                <w:szCs w:val="21"/>
              </w:rPr>
              <w:t>本年末比上年末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3"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4"/>
                <w:sz w:val="21"/>
                <w:szCs w:val="21"/>
              </w:rPr>
              <w:t> </w:t>
            </w:r>
            <w:r>
              <w:rPr>
                <w:rFonts w:ascii="宋体" w:hAnsi="宋体" w:cs="宋体" w:eastAsia="宋体" w:hint="default"/>
                <w:sz w:val="21"/>
                <w:szCs w:val="21"/>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Arial" w:hAnsi="Arial" w:cs="Arial" w:eastAsia="Arial" w:hint="default"/>
                <w:sz w:val="21"/>
                <w:szCs w:val="21"/>
              </w:rPr>
            </w:pPr>
            <w:r>
              <w:rPr>
                <w:rFonts w:ascii="Arial"/>
                <w:sz w:val="21"/>
              </w:rPr>
              <w:t>5,131,044,859.77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2,876,868,375.89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sz w:val="21"/>
              </w:rPr>
              <w:t>78.36%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Arial" w:hAnsi="Arial" w:cs="Arial" w:eastAsia="Arial" w:hint="default"/>
                <w:sz w:val="21"/>
                <w:szCs w:val="21"/>
              </w:rPr>
            </w:pPr>
            <w:r>
              <w:rPr>
                <w:rFonts w:ascii="Arial"/>
                <w:sz w:val="21"/>
              </w:rPr>
              <w:t>2,677,274,090.30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center"/>
              <w:rPr>
                <w:rFonts w:ascii="Arial" w:hAnsi="Arial" w:cs="Arial" w:eastAsia="Arial" w:hint="default"/>
                <w:sz w:val="21"/>
                <w:szCs w:val="21"/>
              </w:rPr>
            </w:pPr>
            <w:r>
              <w:rPr>
                <w:rFonts w:ascii="Arial"/>
                <w:sz w:val="21"/>
              </w:rPr>
              <w:t>3,703,234,761.92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1,798,104,623.38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105.95%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center"/>
              <w:rPr>
                <w:rFonts w:ascii="Arial" w:hAnsi="Arial" w:cs="Arial" w:eastAsia="Arial" w:hint="default"/>
                <w:sz w:val="21"/>
                <w:szCs w:val="21"/>
              </w:rPr>
            </w:pPr>
            <w:r>
              <w:rPr>
                <w:rFonts w:ascii="Arial"/>
                <w:sz w:val="21"/>
              </w:rPr>
              <w:t>1,521,258,344.94</w:t>
            </w:r>
          </w:p>
        </w:tc>
      </w:tr>
    </w:tbl>
    <w:p>
      <w:pPr>
        <w:pStyle w:val="BodyText"/>
        <w:spacing w:line="312" w:lineRule="exact" w:before="31"/>
        <w:ind w:right="174"/>
        <w:jc w:val="left"/>
      </w:pPr>
      <w:r>
        <w:rPr/>
        <w:t>公司报告期末至年度报告披露日股本是否因发行新股、增发、配股、股权激励行权、回购等 原因发生变化且影响所有者权益金额</w:t>
      </w:r>
    </w:p>
    <w:p>
      <w:pPr>
        <w:pStyle w:val="BodyText"/>
        <w:spacing w:line="240" w:lineRule="auto" w:before="7"/>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after="0" w:line="240" w:lineRule="auto"/>
        <w:jc w:val="left"/>
        <w:sectPr>
          <w:pgSz w:w="11910" w:h="16840"/>
          <w:pgMar w:header="745" w:footer="980" w:top="1060" w:bottom="1160" w:left="980" w:right="980"/>
        </w:sectPr>
      </w:pPr>
    </w:p>
    <w:p>
      <w:pPr>
        <w:spacing w:line="240" w:lineRule="auto" w:before="7"/>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4523"/>
        <w:gridCol w:w="5046"/>
      </w:tblGrid>
      <w:tr>
        <w:trPr>
          <w:trHeight w:val="40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用最新股本计算的全面摊薄每股收益（元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0.5010</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六、分季度主要财务指标</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2835"/>
        <w:gridCol w:w="1702"/>
        <w:gridCol w:w="1702"/>
        <w:gridCol w:w="1699"/>
        <w:gridCol w:w="1702"/>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5"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277,615,083.65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570,185,084.53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491,936,749.66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998,408,215.91</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38,052,730.25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sz w:val="21"/>
              </w:rPr>
              <w:t>118,366,736.49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69,518,584.28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2"/>
                <w:sz w:val="21"/>
              </w:rPr>
              <w:t>155,228,097.11</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6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经常性损益的净利润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37,569,121.25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2"/>
                <w:sz w:val="21"/>
              </w:rPr>
              <w:t>118,136,439.86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64,250,147.88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spacing w:val="-1"/>
                <w:sz w:val="21"/>
              </w:rPr>
              <w:t>155,516,955.46</w:t>
            </w:r>
            <w:r>
              <w:rPr>
                <w:rFonts w:ascii="Arial"/>
                <w:sz w:val="21"/>
              </w:rPr>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-276,047,978.67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-38,441,388.00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2"/>
                <w:sz w:val="21"/>
              </w:rPr>
              <w:t>-116,272,948.93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922,285,618.94</w:t>
            </w:r>
          </w:p>
        </w:tc>
      </w:tr>
    </w:tbl>
    <w:p>
      <w:pPr>
        <w:pStyle w:val="BodyText"/>
        <w:spacing w:line="310" w:lineRule="exact" w:before="33"/>
        <w:ind w:right="174"/>
        <w:jc w:val="left"/>
      </w:pPr>
      <w:r>
        <w:rPr/>
        <w:t>上述财务指标或其加总数是否与公司已披露季度报告、半年度报告相关财务指标存在重大差 异</w:t>
      </w:r>
    </w:p>
    <w:p>
      <w:pPr>
        <w:spacing w:line="388" w:lineRule="auto" w:before="10"/>
        <w:ind w:left="152" w:right="5934" w:firstLine="0"/>
        <w:jc w:val="left"/>
        <w:rPr>
          <w:rFonts w:ascii="Microsoft JhengHei" w:hAnsi="Microsoft JhengHei" w:cs="Microsoft JhengHei" w:eastAsia="Microsoft JhengHei" w:hint="default"/>
          <w:sz w:val="24"/>
          <w:szCs w:val="24"/>
        </w:rPr>
      </w:pPr>
      <w:r>
        <w:rPr>
          <w:rFonts w:ascii="Arial" w:hAnsi="Arial" w:cs="Arial" w:eastAsia="Arial" w:hint="default"/>
          <w:sz w:val="24"/>
          <w:szCs w:val="24"/>
        </w:rPr>
        <w:t>□ </w:t>
      </w:r>
      <w:r>
        <w:rPr>
          <w:rFonts w:ascii="宋体" w:hAnsi="宋体" w:cs="宋体" w:eastAsia="宋体" w:hint="default"/>
          <w:sz w:val="24"/>
          <w:szCs w:val="24"/>
        </w:rPr>
        <w:t>是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否 </w:t>
      </w:r>
      <w:r>
        <w:rPr>
          <w:rFonts w:ascii="Microsoft JhengHei" w:hAnsi="Microsoft JhengHei" w:cs="Microsoft JhengHei" w:eastAsia="Microsoft JhengHei" w:hint="default"/>
          <w:b/>
          <w:bCs/>
          <w:sz w:val="24"/>
          <w:szCs w:val="24"/>
        </w:rPr>
        <w:t>七、境内外会计准则下会计数据差异</w:t>
      </w:r>
      <w:r>
        <w:rPr>
          <w:rFonts w:ascii="Microsoft JhengHei" w:hAnsi="Microsoft JhengHei" w:cs="Microsoft JhengHei" w:eastAsia="Microsoft JhengHei" w:hint="default"/>
          <w:sz w:val="24"/>
          <w:szCs w:val="24"/>
        </w:rPr>
      </w:r>
    </w:p>
    <w:p>
      <w:pPr>
        <w:spacing w:before="31"/>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、同时按照国际会计准则与按照中国会计准则披露的财务报告中净利润和净资产差异情况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369" w:lineRule="auto"/>
        <w:ind w:left="633" w:right="0"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公司报告期不存在按照国际会计准则与按照中国会计准则披露的财务报告中净利润和净</w:t>
      </w:r>
    </w:p>
    <w:p>
      <w:pPr>
        <w:pStyle w:val="BodyText"/>
        <w:spacing w:line="259" w:lineRule="exact"/>
        <w:ind w:right="0"/>
        <w:jc w:val="left"/>
      </w:pPr>
      <w:r>
        <w:rPr/>
        <w:t>资产差异情况。</w:t>
      </w:r>
    </w:p>
    <w:p>
      <w:pPr>
        <w:spacing w:line="240" w:lineRule="auto" w:before="10"/>
        <w:rPr>
          <w:rFonts w:ascii="宋体" w:hAnsi="宋体" w:cs="宋体" w:eastAsia="宋体" w:hint="default"/>
          <w:sz w:val="22"/>
          <w:szCs w:val="22"/>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、同时按照境外会计准则与按照中国会计准则披露的财务报告中净利润和净资产差异情况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pStyle w:val="BodyText"/>
        <w:spacing w:line="369" w:lineRule="auto"/>
        <w:ind w:left="633" w:right="0"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公司报告期不存在按照境外会计准则与按照中国会计准则披露的财务报告中净利润和净</w:t>
      </w:r>
    </w:p>
    <w:p>
      <w:pPr>
        <w:pStyle w:val="BodyText"/>
        <w:spacing w:line="262" w:lineRule="exact"/>
        <w:ind w:right="0"/>
        <w:jc w:val="left"/>
      </w:pPr>
      <w:r>
        <w:rPr/>
        <w:t>资产差异情况。</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pgSz w:w="11910" w:h="16840"/>
          <w:pgMar w:header="745" w:footer="980" w:top="1060" w:bottom="1160" w:left="980" w:right="980"/>
        </w:sectPr>
      </w:pPr>
    </w:p>
    <w:p>
      <w:pPr>
        <w:pStyle w:val="BodyText"/>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980"/>
          <w:cols w:num="2" w:equalWidth="0">
            <w:col w:w="1990" w:space="6811"/>
            <w:col w:w="1149"/>
          </w:cols>
        </w:sectPr>
      </w:pPr>
    </w:p>
    <w:p>
      <w:pPr>
        <w:spacing w:line="240" w:lineRule="auto" w:before="10"/>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3296"/>
        <w:gridCol w:w="1519"/>
        <w:gridCol w:w="1522"/>
        <w:gridCol w:w="1522"/>
        <w:gridCol w:w="1709"/>
      </w:tblGrid>
      <w:tr>
        <w:trPr>
          <w:trHeight w:val="40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80"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82"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82"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6"/>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122,938.66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-155,338.32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4" w:right="0"/>
              <w:jc w:val="left"/>
              <w:rPr>
                <w:rFonts w:ascii="Arial" w:hAnsi="Arial" w:cs="Arial" w:eastAsia="Arial" w:hint="default"/>
                <w:sz w:val="21"/>
                <w:szCs w:val="21"/>
              </w:rPr>
            </w:pPr>
            <w:r>
              <w:rPr>
                <w:rFonts w:ascii="Arial"/>
                <w:sz w:val="21"/>
              </w:rPr>
              <w:t>-5,927,122.24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6"/>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15,815,965.30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10,772,724.77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46" w:right="0"/>
              <w:jc w:val="left"/>
              <w:rPr>
                <w:rFonts w:ascii="Arial" w:hAnsi="Arial" w:cs="Arial" w:eastAsia="Arial" w:hint="default"/>
                <w:sz w:val="21"/>
                <w:szCs w:val="21"/>
              </w:rPr>
            </w:pPr>
            <w:r>
              <w:rPr>
                <w:rFonts w:ascii="Arial"/>
                <w:sz w:val="21"/>
              </w:rPr>
              <w:t>12,432,885.04</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7"/>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296"/>
        <w:gridCol w:w="1519"/>
        <w:gridCol w:w="1522"/>
        <w:gridCol w:w="1522"/>
        <w:gridCol w:w="1709"/>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3"/>
                <w:sz w:val="21"/>
              </w:rPr>
              <w:t>238,110.27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6"/>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套期保值业务外，持有交易性金融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资产、交易性金融负债产生的公允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售金融资产取得的投资收益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7"/>
              <w:jc w:val="right"/>
              <w:rPr>
                <w:rFonts w:ascii="Arial" w:hAnsi="Arial" w:cs="Arial" w:eastAsia="Arial" w:hint="default"/>
                <w:sz w:val="21"/>
                <w:szCs w:val="21"/>
              </w:rPr>
            </w:pPr>
            <w:r>
              <w:rPr>
                <w:rFonts w:ascii="Arial"/>
                <w:spacing w:val="-1"/>
                <w:sz w:val="21"/>
              </w:rPr>
              <w:t>466,690.95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6"/>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单独进行减值测试的应收款项减值</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准备转回</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231,016.97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778,303.18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6"/>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-7,624,599.75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-2,931,230.72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-200,409.80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1,064,882.17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1,086,379.65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1,839,721.61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9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1,786,955.33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930,849.60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243,754.00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5,693,483.68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6,447,229.66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4,926,678.61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w:t>
            </w:r>
            <w:r>
              <w:rPr>
                <w:rFonts w:ascii="Arial"/>
                <w:sz w:val="21"/>
              </w:rPr>
            </w:r>
          </w:p>
        </w:tc>
      </w:tr>
    </w:tbl>
    <w:p>
      <w:pPr>
        <w:pStyle w:val="BodyText"/>
        <w:spacing w:line="320" w:lineRule="exact"/>
        <w:ind w:right="0"/>
        <w:jc w:val="left"/>
      </w:pPr>
      <w:r>
        <w:rPr/>
        <w:t>对公司根据《公开发行证券的公司信息披露解释性公告第</w:t>
      </w:r>
      <w:r>
        <w:rPr>
          <w:spacing w:val="-59"/>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非经常性损益》定义界定</w:t>
      </w:r>
    </w:p>
    <w:p>
      <w:pPr>
        <w:pStyle w:val="BodyText"/>
        <w:spacing w:line="312" w:lineRule="exact" w:before="20"/>
        <w:ind w:right="159"/>
        <w:jc w:val="left"/>
      </w:pPr>
      <w:r>
        <w:rPr/>
        <w:t>的非经常性损益项目，以及把《公开发行证券的公司信息披露解释性公告第</w:t>
      </w:r>
      <w:r>
        <w:rPr>
          <w:spacing w:val="-59"/>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 性损益》中列举的非经常性损益项目界定为经常性损益的项目，应说明原因</w:t>
      </w:r>
    </w:p>
    <w:p>
      <w:pPr>
        <w:pStyle w:val="BodyText"/>
        <w:spacing w:line="240" w:lineRule="auto" w:before="10"/>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80" w:lineRule="auto" w:before="177"/>
        <w:ind w:right="137" w:firstLine="480"/>
        <w:jc w:val="left"/>
      </w:pPr>
      <w:r>
        <w:rPr/>
        <w:t>公司报告期不存在将根据《公开发行证券的公司信息披露解释性公告第 </w:t>
      </w:r>
      <w:r>
        <w:rPr>
          <w:rFonts w:ascii="Arial" w:hAnsi="Arial" w:cs="Arial" w:eastAsia="Arial" w:hint="default"/>
        </w:rPr>
        <w:t>1</w:t>
      </w:r>
      <w:r>
        <w:rPr>
          <w:rFonts w:ascii="Arial" w:hAnsi="Arial" w:cs="Arial" w:eastAsia="Arial" w:hint="default"/>
          <w:spacing w:val="-43"/>
        </w:rPr>
        <w:t> </w:t>
      </w:r>
      <w:r>
        <w:rPr/>
        <w:t>号</w:t>
      </w:r>
      <w:r>
        <w:rPr>
          <w:rFonts w:ascii="Arial" w:hAnsi="Arial" w:cs="Arial" w:eastAsia="Arial" w:hint="default"/>
        </w:rPr>
        <w:t>——</w:t>
      </w:r>
      <w:r>
        <w:rPr/>
        <w:t>非经常 性损益》定义、列举的非经常性损益项目界定为经常性损益的项目的情形。</w:t>
      </w:r>
    </w:p>
    <w:p>
      <w:pPr>
        <w:spacing w:after="0" w:line="28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1"/>
        <w:spacing w:line="440" w:lineRule="exact"/>
        <w:ind w:left="3433" w:right="3516"/>
        <w:jc w:val="center"/>
        <w:rPr>
          <w:rFonts w:ascii="微软雅黑" w:hAnsi="微软雅黑" w:cs="微软雅黑" w:eastAsia="微软雅黑" w:hint="default"/>
          <w:b w:val="0"/>
          <w:bCs w:val="0"/>
        </w:rPr>
      </w:pPr>
      <w:bookmarkStart w:name="_bookmark1" w:id="2"/>
      <w:bookmarkEnd w:id="2"/>
      <w:r>
        <w:rPr>
          <w:b w:val="0"/>
          <w:bCs w:val="0"/>
        </w:rPr>
      </w:r>
      <w:r>
        <w:rPr>
          <w:rFonts w:ascii="微软雅黑" w:hAnsi="微软雅黑" w:cs="微软雅黑" w:eastAsia="微软雅黑" w:hint="default"/>
        </w:rPr>
        <w:t>第三节</w:t>
      </w:r>
      <w:r>
        <w:rPr>
          <w:rFonts w:ascii="微软雅黑" w:hAnsi="微软雅黑" w:cs="微软雅黑" w:eastAsia="微软雅黑" w:hint="default"/>
          <w:spacing w:val="62"/>
        </w:rPr>
        <w:t> </w:t>
      </w:r>
      <w:r>
        <w:rPr>
          <w:rFonts w:ascii="微软雅黑" w:hAnsi="微软雅黑" w:cs="微软雅黑" w:eastAsia="微软雅黑" w:hint="default"/>
        </w:rPr>
        <w:t>公司业务概要</w:t>
      </w:r>
      <w:r>
        <w:rPr>
          <w:rFonts w:ascii="微软雅黑" w:hAnsi="微软雅黑" w:cs="微软雅黑" w:eastAsia="微软雅黑" w:hint="default"/>
          <w:b w:val="0"/>
          <w:bCs w:val="0"/>
        </w:rPr>
      </w:r>
    </w:p>
    <w:p>
      <w:pPr>
        <w:spacing w:line="620" w:lineRule="atLeast" w:before="183"/>
        <w:ind w:left="633" w:right="94"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一、报告期内公司从事的主要业务</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作为软件服务企业，华宇是国内法律科技市场的主要领导企业，并在教育信息化、食品</w:t>
      </w:r>
    </w:p>
    <w:p>
      <w:pPr>
        <w:pStyle w:val="BodyText"/>
        <w:spacing w:line="297" w:lineRule="auto" w:before="77"/>
        <w:ind w:right="94"/>
        <w:jc w:val="left"/>
      </w:pPr>
      <w:r>
        <w:rPr/>
        <w:t>安全与市场监管、安全可靠等重要的软件服务市场占据了领先优势，也是领域内诸多重要技</w:t>
      </w:r>
      <w:r>
        <w:rPr>
          <w:spacing w:val="-86"/>
        </w:rPr>
        <w:t> </w:t>
      </w:r>
      <w:r>
        <w:rPr>
          <w:spacing w:val="-86"/>
        </w:rPr>
      </w:r>
      <w:r>
        <w:rPr/>
        <w:t>术应用的积极推动者。</w:t>
      </w:r>
    </w:p>
    <w:p>
      <w:pPr>
        <w:pStyle w:val="BodyText"/>
        <w:spacing w:line="297" w:lineRule="auto" w:before="175"/>
        <w:ind w:right="239" w:firstLine="480"/>
        <w:jc w:val="both"/>
      </w:pPr>
      <w:r>
        <w:rPr/>
        <w:t>伴随中国建设和改革的历史进程，软件服务业的发展持续加快。越来越多的客户，在承 担重要社会服务职责、激烈市场竞争压力的背景下，越来越有动力和能力在业务应用和数据</w:t>
      </w:r>
      <w:r>
        <w:rPr>
          <w:spacing w:val="-91"/>
        </w:rPr>
        <w:t> </w:t>
      </w:r>
      <w:r>
        <w:rPr>
          <w:spacing w:val="-91"/>
        </w:rPr>
      </w:r>
      <w:r>
        <w:rPr/>
        <w:t>应用方面投入更大的力量，在需求侧提出了更高的要求。同时，以人工智能、大数据、云计</w:t>
      </w:r>
      <w:r>
        <w:rPr>
          <w:spacing w:val="-91"/>
        </w:rPr>
        <w:t> </w:t>
      </w:r>
      <w:r>
        <w:rPr>
          <w:spacing w:val="-91"/>
        </w:rPr>
      </w:r>
      <w:r>
        <w:rPr/>
        <w:t>算、移动互联等为代表的技术发展，也在产品技术应用和业务价值提升等方面不断创新、加</w:t>
      </w:r>
      <w:r>
        <w:rPr>
          <w:spacing w:val="-91"/>
        </w:rPr>
        <w:t> </w:t>
      </w:r>
      <w:r>
        <w:rPr>
          <w:spacing w:val="-91"/>
        </w:rPr>
      </w:r>
      <w:r>
        <w:rPr/>
        <w:t>快了产业供给侧的发展。同时，市场环境更加规范、成熟，因而更有利于优秀软件企业的发</w:t>
      </w:r>
      <w:r>
        <w:rPr>
          <w:spacing w:val="-91"/>
        </w:rPr>
        <w:t> </w:t>
      </w:r>
      <w:r>
        <w:rPr>
          <w:spacing w:val="-91"/>
        </w:rPr>
      </w:r>
      <w:r>
        <w:rPr/>
        <w:t>展。</w:t>
      </w:r>
    </w:p>
    <w:p>
      <w:pPr>
        <w:pStyle w:val="BodyText"/>
        <w:spacing w:line="297" w:lineRule="auto" w:before="175"/>
        <w:ind w:right="238" w:firstLine="480"/>
        <w:jc w:val="both"/>
      </w:pPr>
      <w:r>
        <w:rPr/>
        <w:t>在法律科技领域，公司业务完整覆盖法院、检察院、司法行政、政法委、纪检监察等法 律机关，并且已经扩展至面向律师、公司法务等法律人的商业法律服务领域。以法律科技为</w:t>
      </w:r>
      <w:r>
        <w:rPr>
          <w:spacing w:val="-91"/>
        </w:rPr>
        <w:t> </w:t>
      </w:r>
      <w:r>
        <w:rPr>
          <w:spacing w:val="-91"/>
        </w:rPr>
      </w:r>
      <w:r>
        <w:rPr/>
        <w:t>核心驱动力，持续扩展和赋能合作伙伴，共同为各类用户提供多维、专业、智能、场景化的</w:t>
      </w:r>
      <w:r>
        <w:rPr>
          <w:spacing w:val="-91"/>
        </w:rPr>
        <w:t> </w:t>
      </w:r>
      <w:r>
        <w:rPr>
          <w:spacing w:val="-91"/>
        </w:rPr>
      </w:r>
      <w:r>
        <w:rPr/>
        <w:t>应用、数据和知识服务。公司全方位覆盖法律机关和商业法律服务领域的一体化法律服务平</w:t>
      </w:r>
      <w:r>
        <w:rPr>
          <w:spacing w:val="-91"/>
        </w:rPr>
        <w:t> </w:t>
      </w:r>
      <w:r>
        <w:rPr>
          <w:spacing w:val="-91"/>
        </w:rPr>
      </w:r>
      <w:r>
        <w:rPr/>
        <w:t>台初步建成，逐步布局构建未来法律服务生态。</w:t>
      </w:r>
    </w:p>
    <w:p>
      <w:pPr>
        <w:pStyle w:val="BodyText"/>
        <w:spacing w:line="292" w:lineRule="auto" w:before="173"/>
        <w:ind w:right="231" w:firstLine="480"/>
        <w:jc w:val="both"/>
      </w:pPr>
      <w:r>
        <w:rPr/>
        <w:t>在教育信息化领域，公司以持续技术创新为核心竞争力，以持续产品和解决方案创新为 核心市场驱动力，致力于“教学、教务、学生服务”多场景需求，以自研软件为核心提供智</w:t>
      </w:r>
      <w:r>
        <w:rPr>
          <w:spacing w:val="-90"/>
        </w:rPr>
        <w:t> </w:t>
      </w:r>
      <w:r>
        <w:rPr>
          <w:spacing w:val="-90"/>
        </w:rPr>
      </w:r>
      <w:r>
        <w:rPr>
          <w:spacing w:val="-3"/>
        </w:rPr>
        <w:t>慧校园产品及解决方案。累积为</w:t>
      </w:r>
      <w:r>
        <w:rPr>
          <w:spacing w:val="-56"/>
        </w:rPr>
        <w:t> </w:t>
      </w:r>
      <w:r>
        <w:rPr>
          <w:rFonts w:ascii="Arial" w:hAnsi="Arial" w:cs="Arial" w:eastAsia="Arial" w:hint="default"/>
        </w:rPr>
        <w:t>700</w:t>
      </w:r>
      <w:r>
        <w:rPr>
          <w:rFonts w:ascii="Arial" w:hAnsi="Arial" w:cs="Arial" w:eastAsia="Arial" w:hint="default"/>
          <w:spacing w:val="-3"/>
        </w:rPr>
        <w:t> </w:t>
      </w:r>
      <w:r>
        <w:rPr>
          <w:spacing w:val="-5"/>
        </w:rPr>
        <w:t>多所高校、</w:t>
      </w:r>
      <w:r>
        <w:rPr>
          <w:rFonts w:ascii="Arial" w:hAnsi="Arial" w:cs="Arial" w:eastAsia="Arial" w:hint="default"/>
          <w:spacing w:val="-5"/>
        </w:rPr>
        <w:t>1000</w:t>
      </w:r>
      <w:r>
        <w:rPr>
          <w:rFonts w:ascii="Arial" w:hAnsi="Arial" w:cs="Arial" w:eastAsia="Arial" w:hint="default"/>
          <w:spacing w:val="-1"/>
        </w:rPr>
        <w:t> </w:t>
      </w:r>
      <w:r>
        <w:rPr>
          <w:spacing w:val="-3"/>
        </w:rPr>
        <w:t>多万师生提供信息化服务，客户覆盖全</w:t>
      </w:r>
      <w:r>
        <w:rPr/>
        <w:t> 国</w:t>
      </w:r>
      <w:r>
        <w:rPr>
          <w:spacing w:val="-61"/>
        </w:rPr>
        <w:t> </w:t>
      </w:r>
      <w:r>
        <w:rPr>
          <w:rFonts w:ascii="Arial" w:hAnsi="Arial" w:cs="Arial" w:eastAsia="Arial" w:hint="default"/>
        </w:rPr>
        <w:t>28</w:t>
      </w:r>
      <w:r>
        <w:rPr>
          <w:rFonts w:ascii="Arial" w:hAnsi="Arial" w:cs="Arial" w:eastAsia="Arial" w:hint="default"/>
          <w:spacing w:val="-7"/>
        </w:rPr>
        <w:t> </w:t>
      </w:r>
      <w:r>
        <w:rPr/>
        <w:t>个省市自治区。</w:t>
      </w:r>
    </w:p>
    <w:p>
      <w:pPr>
        <w:pStyle w:val="BodyText"/>
        <w:spacing w:line="297" w:lineRule="auto" w:before="154"/>
        <w:ind w:right="239" w:firstLine="480"/>
        <w:jc w:val="both"/>
      </w:pPr>
      <w:r>
        <w:rPr/>
        <w:t>在食品安全与市场监管领域，公司发挥食药监管、工商及市场监管领域产品方案和市场 积累，为新市场监管部门提供全方位信息化服务。创新推进食品追溯业务，积极推动智慧食</w:t>
      </w:r>
      <w:r>
        <w:rPr>
          <w:spacing w:val="-91"/>
        </w:rPr>
        <w:t> </w:t>
      </w:r>
      <w:r>
        <w:rPr>
          <w:spacing w:val="-91"/>
        </w:rPr>
      </w:r>
      <w:r>
        <w:rPr/>
        <w:t>品安全监管体系构建。业务覆盖</w:t>
      </w:r>
      <w:r>
        <w:rPr>
          <w:spacing w:val="-61"/>
        </w:rPr>
        <w:t> </w:t>
      </w:r>
      <w:r>
        <w:rPr>
          <w:rFonts w:ascii="Arial" w:hAnsi="Arial" w:cs="Arial" w:eastAsia="Arial" w:hint="default"/>
        </w:rPr>
        <w:t>18</w:t>
      </w:r>
      <w:r>
        <w:rPr>
          <w:rFonts w:ascii="Arial" w:hAnsi="Arial" w:cs="Arial" w:eastAsia="Arial" w:hint="default"/>
          <w:spacing w:val="-8"/>
        </w:rPr>
        <w:t> </w:t>
      </w:r>
      <w:r>
        <w:rPr/>
        <w:t>个省市，全国市场布局初现。</w:t>
      </w:r>
    </w:p>
    <w:p>
      <w:pPr>
        <w:pStyle w:val="BodyText"/>
        <w:spacing w:line="297" w:lineRule="auto" w:before="151"/>
        <w:ind w:right="108" w:firstLine="480"/>
        <w:jc w:val="both"/>
      </w:pPr>
      <w:r>
        <w:rPr/>
        <w:t>在安全可靠领域，公司紧抓党政国产化替代机会开拓新业务市场，打造核心应用和方案 能力；布局法检司等安全可靠行业解决方案；加强与产业链伙伴深入合作，研究探索先进技</w:t>
      </w:r>
      <w:r>
        <w:rPr>
          <w:spacing w:val="-91"/>
        </w:rPr>
        <w:t> </w:t>
      </w:r>
      <w:r>
        <w:rPr>
          <w:spacing w:val="-91"/>
        </w:rPr>
      </w:r>
      <w:r>
        <w:rPr>
          <w:spacing w:val="-8"/>
        </w:rPr>
        <w:t>术领域，储备核心技术。报告期内开拓上海北京河南贵州多地党政市场，营收同比增加</w:t>
      </w:r>
      <w:r>
        <w:rPr>
          <w:spacing w:val="-33"/>
        </w:rPr>
        <w:t> </w:t>
      </w:r>
      <w:r>
        <w:rPr>
          <w:rFonts w:ascii="Arial" w:hAnsi="Arial" w:cs="Arial" w:eastAsia="Arial" w:hint="default"/>
        </w:rPr>
        <w:t>102%</w:t>
      </w:r>
      <w:r>
        <w:rPr/>
        <w:t>。</w:t>
      </w:r>
    </w:p>
    <w:p>
      <w:pPr>
        <w:pStyle w:val="BodyText"/>
        <w:spacing w:line="300" w:lineRule="auto" w:before="149"/>
        <w:ind w:right="231" w:firstLine="480"/>
        <w:jc w:val="both"/>
      </w:pPr>
      <w:r>
        <w:rPr>
          <w:spacing w:val="-6"/>
        </w:rPr>
        <w:t>各业务具体发展情况详见“第四节经营情况分析与讨论”中“一、概述”及“二、主营业</w:t>
      </w:r>
      <w:r>
        <w:rPr/>
        <w:t> 务分析”。</w:t>
      </w:r>
    </w:p>
    <w:p>
      <w:pPr>
        <w:spacing w:after="0" w:line="300" w:lineRule="auto"/>
        <w:jc w:val="both"/>
        <w:sectPr>
          <w:pgSz w:w="11910" w:h="16840"/>
          <w:pgMar w:header="745" w:footer="980" w:top="1060" w:bottom="1160" w:left="980" w:right="900"/>
        </w:sectPr>
      </w:pPr>
    </w:p>
    <w:p>
      <w:pPr>
        <w:spacing w:line="240" w:lineRule="auto" w:before="9"/>
        <w:rPr>
          <w:rFonts w:ascii="宋体" w:hAnsi="宋体" w:cs="宋体" w:eastAsia="宋体" w:hint="default"/>
          <w:sz w:val="23"/>
          <w:szCs w:val="23"/>
        </w:rPr>
      </w:pPr>
    </w:p>
    <w:p>
      <w:pPr>
        <w:pStyle w:val="Heading2"/>
        <w:spacing w:line="367" w:lineRule="exact"/>
        <w:ind w:right="0"/>
        <w:jc w:val="left"/>
        <w:rPr>
          <w:b w:val="0"/>
          <w:bCs w:val="0"/>
        </w:rPr>
      </w:pPr>
      <w:r>
        <w:rPr/>
        <w:t>二、主要资产重大变化情况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、主要资产重大变化情况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2410"/>
        <w:gridCol w:w="7158"/>
      </w:tblGrid>
      <w:tr>
        <w:trPr>
          <w:trHeight w:val="76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780"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7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本年销售回款情况较好，同时并购联奕科技增加了货币资金</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主要由于公司业务增长及并购联奕科技增加了应收账款</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、主要境外资产情况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spacing w:line="391" w:lineRule="auto" w:before="0"/>
        <w:ind w:left="152" w:right="7614" w:firstLine="0"/>
        <w:jc w:val="left"/>
        <w:rPr>
          <w:rFonts w:ascii="Microsoft JhengHei" w:hAnsi="Microsoft JhengHei" w:cs="Microsoft JhengHei" w:eastAsia="Microsoft JhengHei"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三、核心竞争力分析</w:t>
      </w:r>
      <w:r>
        <w:rPr>
          <w:rFonts w:ascii="Microsoft JhengHei" w:hAnsi="Microsoft JhengHei" w:cs="Microsoft JhengHei" w:eastAsia="Microsoft JhengHei" w:hint="default"/>
          <w:sz w:val="24"/>
          <w:szCs w:val="24"/>
        </w:rPr>
      </w:r>
    </w:p>
    <w:p>
      <w:pPr>
        <w:pStyle w:val="BodyText"/>
        <w:spacing w:line="297" w:lineRule="auto" w:before="110"/>
        <w:ind w:right="158" w:firstLine="480"/>
        <w:jc w:val="both"/>
      </w:pPr>
      <w:r>
        <w:rPr/>
        <w:t>在软件服务市场，企业能否对细分领域业务有专业的理解，最为至关重要的，是其他能 力或要素资源能否发挥价值的前提和基础。因为，这决定企业能否发现客户需求，能否满足</w:t>
      </w:r>
      <w:r>
        <w:rPr>
          <w:spacing w:val="-91"/>
        </w:rPr>
        <w:t> </w:t>
      </w:r>
      <w:r>
        <w:rPr>
          <w:spacing w:val="-91"/>
        </w:rPr>
      </w:r>
      <w:r>
        <w:rPr/>
        <w:t>甚至引领客户需求。公司在法律科技、教育信息化、食品安全与市场监管、安全可靠等细分</w:t>
      </w:r>
      <w:r>
        <w:rPr>
          <w:spacing w:val="-91"/>
        </w:rPr>
        <w:t> </w:t>
      </w:r>
      <w:r>
        <w:rPr>
          <w:spacing w:val="-91"/>
        </w:rPr>
      </w:r>
      <w:r>
        <w:rPr/>
        <w:t>领域拥有龙头或领先的市场地位，根本上均源自公司专注耕耘细分领域多年积累和持续发展</w:t>
      </w:r>
      <w:r>
        <w:rPr>
          <w:spacing w:val="-91"/>
        </w:rPr>
        <w:t> </w:t>
      </w:r>
      <w:r>
        <w:rPr>
          <w:spacing w:val="-91"/>
        </w:rPr>
      </w:r>
      <w:r>
        <w:rPr/>
        <w:t>的“专业业务能力”。</w:t>
      </w:r>
    </w:p>
    <w:p>
      <w:pPr>
        <w:pStyle w:val="BodyText"/>
        <w:spacing w:line="297" w:lineRule="auto" w:before="173"/>
        <w:ind w:right="157" w:firstLine="480"/>
        <w:jc w:val="both"/>
      </w:pPr>
      <w:r>
        <w:rPr/>
        <w:t>此外，以人工智能、大数据、云计算、移动互联等为代表的信息技术发展日新月异，持 续推动产业供给侧发展。能否在业务需求的指引下，借助新技术持续创新，持续为客户创造</w:t>
      </w:r>
      <w:r>
        <w:rPr>
          <w:spacing w:val="-91"/>
        </w:rPr>
        <w:t> </w:t>
      </w:r>
      <w:r>
        <w:rPr>
          <w:spacing w:val="-91"/>
        </w:rPr>
      </w:r>
      <w:r>
        <w:rPr/>
        <w:t>价值，是检验一个优秀软件服务企业的重要标准。公司充分发挥在业务软件的领先地位，积</w:t>
      </w:r>
      <w:r>
        <w:rPr>
          <w:spacing w:val="-91"/>
        </w:rPr>
        <w:t> </w:t>
      </w:r>
      <w:r>
        <w:rPr>
          <w:spacing w:val="-91"/>
        </w:rPr>
      </w:r>
      <w:r>
        <w:rPr/>
        <w:t>极利用大数据、人工智能等先进技术，持续推进各个领域的应用、方案和服务创新。把大数</w:t>
      </w:r>
      <w:r>
        <w:rPr>
          <w:spacing w:val="-91"/>
        </w:rPr>
        <w:t> </w:t>
      </w:r>
      <w:r>
        <w:rPr>
          <w:spacing w:val="-91"/>
        </w:rPr>
      </w:r>
      <w:r>
        <w:rPr/>
        <w:t>据和人工智能嵌入业务流程，为客户提供场景化专业的技术应用、数据和知识服务，用数字</w:t>
      </w:r>
      <w:r>
        <w:rPr>
          <w:spacing w:val="-90"/>
        </w:rPr>
        <w:t> </w:t>
      </w:r>
      <w:r>
        <w:rPr>
          <w:spacing w:val="-90"/>
        </w:rPr>
      </w:r>
      <w:r>
        <w:rPr/>
        <w:t>智能助能客户持续提升管理和业务质效水平。</w:t>
      </w:r>
    </w:p>
    <w:p>
      <w:pPr>
        <w:pStyle w:val="BodyText"/>
        <w:spacing w:line="300" w:lineRule="auto" w:before="173"/>
        <w:ind w:right="156" w:firstLine="480"/>
        <w:jc w:val="both"/>
      </w:pPr>
      <w:r>
        <w:rPr/>
        <w:t>以上两点是公司最为核心的竞争力。其具体体现请详见“第四节经营情况分析与讨论” 中“一、概述”部分关于业务具体发展的介绍。</w:t>
      </w:r>
    </w:p>
    <w:p>
      <w:pPr>
        <w:spacing w:after="0" w:line="300"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47"/>
        <w:ind w:left="2964" w:right="94"/>
        <w:jc w:val="left"/>
        <w:rPr>
          <w:b w:val="0"/>
          <w:bCs w:val="0"/>
        </w:rPr>
      </w:pPr>
      <w:bookmarkStart w:name="_bookmark2" w:id="3"/>
      <w:bookmarkEnd w:id="3"/>
      <w:r>
        <w:rPr>
          <w:b w:val="0"/>
          <w:bCs w:val="0"/>
        </w:rPr>
      </w:r>
      <w:r>
        <w:rPr/>
        <w:t>第四节 </w:t>
      </w:r>
      <w:r>
        <w:rPr>
          <w:spacing w:val="11"/>
        </w:rPr>
        <w:t> </w:t>
      </w:r>
      <w:r>
        <w:rPr/>
        <w:t>经营情况讨论与分析</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2"/>
          <w:szCs w:val="12"/>
        </w:rPr>
      </w:pPr>
    </w:p>
    <w:p>
      <w:pPr>
        <w:spacing w:line="456" w:lineRule="exact" w:before="0"/>
        <w:ind w:left="152"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一、概述</w:t>
      </w:r>
      <w:r>
        <w:rPr>
          <w:rFonts w:ascii="Microsoft JhengHei" w:hAnsi="Microsoft JhengHei" w:cs="Microsoft JhengHei" w:eastAsia="Microsoft JhengHei" w:hint="default"/>
          <w:sz w:val="32"/>
          <w:szCs w:val="32"/>
        </w:rPr>
      </w:r>
    </w:p>
    <w:p>
      <w:pPr>
        <w:pStyle w:val="BodyText"/>
        <w:spacing w:line="268" w:lineRule="auto" w:before="260"/>
        <w:ind w:left="633" w:right="94" w:hanging="481"/>
        <w:jc w:val="left"/>
      </w:pPr>
      <w:r>
        <w:rPr>
          <w:rFonts w:ascii="Microsoft JhengHei" w:hAnsi="Microsoft JhengHei" w:cs="Microsoft JhengHei" w:eastAsia="Microsoft JhengHei" w:hint="default"/>
          <w:b/>
          <w:bCs/>
        </w:rPr>
        <w:t>（一）经营情况综述</w:t>
      </w:r>
      <w:r>
        <w:rPr>
          <w:rFonts w:ascii="Microsoft JhengHei" w:hAnsi="Microsoft JhengHei" w:cs="Microsoft JhengHei" w:eastAsia="Microsoft JhengHei" w:hint="default"/>
          <w:b/>
          <w:bCs/>
          <w:spacing w:val="-53"/>
        </w:rPr>
        <w:t> </w:t>
      </w:r>
      <w:r>
        <w:rPr>
          <w:rFonts w:ascii="Microsoft JhengHei" w:hAnsi="Microsoft JhengHei" w:cs="Microsoft JhengHei" w:eastAsia="Microsoft JhengHei" w:hint="default"/>
          <w:b/>
          <w:bCs/>
          <w:spacing w:val="-53"/>
        </w:rPr>
      </w:r>
      <w:r>
        <w:rPr/>
        <w:t>报告期内，公司新签合同额</w:t>
      </w:r>
      <w:r>
        <w:rPr>
          <w:rFonts w:ascii="Arial" w:hAnsi="Arial" w:cs="Arial" w:eastAsia="Arial" w:hint="default"/>
        </w:rPr>
        <w:t>28.25</w:t>
      </w:r>
      <w:r>
        <w:rPr/>
        <w:t>亿元，较去年同期增长</w:t>
      </w:r>
      <w:r>
        <w:rPr>
          <w:rFonts w:ascii="Arial" w:hAnsi="Arial" w:cs="Arial" w:eastAsia="Arial" w:hint="default"/>
        </w:rPr>
        <w:t>33%</w:t>
      </w:r>
      <w:r>
        <w:rPr/>
        <w:t>，期末在手合同额</w:t>
      </w:r>
      <w:r>
        <w:rPr>
          <w:rFonts w:ascii="Arial" w:hAnsi="Arial" w:cs="Arial" w:eastAsia="Arial" w:hint="default"/>
        </w:rPr>
        <w:t>17.38</w:t>
      </w:r>
      <w:r>
        <w:rPr/>
        <w:t>亿</w:t>
      </w:r>
    </w:p>
    <w:p>
      <w:pPr>
        <w:pStyle w:val="BodyText"/>
        <w:spacing w:line="283" w:lineRule="auto" w:before="28"/>
        <w:ind w:right="111"/>
        <w:jc w:val="both"/>
      </w:pPr>
      <w:r>
        <w:rPr/>
        <w:t>元。报告期内，公司实现营业收入</w:t>
      </w:r>
      <w:r>
        <w:rPr>
          <w:rFonts w:ascii="Arial" w:hAnsi="Arial" w:cs="Arial" w:eastAsia="Arial" w:hint="default"/>
        </w:rPr>
        <w:t>23.38</w:t>
      </w:r>
      <w:r>
        <w:rPr/>
        <w:t>亿元，较去年同期增长</w:t>
      </w:r>
      <w:r>
        <w:rPr>
          <w:rFonts w:ascii="Arial" w:hAnsi="Arial" w:cs="Arial" w:eastAsia="Arial" w:hint="default"/>
        </w:rPr>
        <w:t>28.46%</w:t>
      </w:r>
      <w:r>
        <w:rPr/>
        <w:t>；毛利率为</w:t>
      </w:r>
      <w:r>
        <w:rPr>
          <w:rFonts w:ascii="Arial" w:hAnsi="Arial" w:cs="Arial" w:eastAsia="Arial" w:hint="default"/>
        </w:rPr>
        <w:t>40.59%</w:t>
      </w:r>
      <w:r>
        <w:rPr/>
        <w:t>，</w:t>
      </w:r>
      <w:r>
        <w:rPr>
          <w:spacing w:val="-48"/>
        </w:rPr>
        <w:t> </w:t>
      </w:r>
      <w:r>
        <w:rPr>
          <w:spacing w:val="-4"/>
        </w:rPr>
        <w:t>较去年增加</w:t>
      </w:r>
      <w:r>
        <w:rPr>
          <w:rFonts w:ascii="Arial" w:hAnsi="Arial" w:cs="Arial" w:eastAsia="Arial" w:hint="default"/>
          <w:spacing w:val="-4"/>
        </w:rPr>
        <w:t>1.17</w:t>
      </w:r>
      <w:r>
        <w:rPr>
          <w:spacing w:val="-4"/>
        </w:rPr>
        <w:t>个百分点；归属于母公司所有者的净利润</w:t>
      </w:r>
      <w:r>
        <w:rPr>
          <w:rFonts w:ascii="Arial" w:hAnsi="Arial" w:cs="Arial" w:eastAsia="Arial" w:hint="default"/>
          <w:spacing w:val="-4"/>
        </w:rPr>
        <w:t>3.81</w:t>
      </w:r>
      <w:r>
        <w:rPr>
          <w:spacing w:val="-4"/>
        </w:rPr>
        <w:t>亿元，较去年同期增长</w:t>
      </w:r>
      <w:r>
        <w:rPr>
          <w:rFonts w:ascii="Arial" w:hAnsi="Arial" w:cs="Arial" w:eastAsia="Arial" w:hint="default"/>
          <w:spacing w:val="-4"/>
        </w:rPr>
        <w:t>40.29%</w:t>
      </w:r>
      <w:r>
        <w:rPr>
          <w:spacing w:val="-4"/>
        </w:rPr>
        <w:t>。</w:t>
      </w:r>
      <w:r>
        <w:rPr>
          <w:spacing w:val="-85"/>
        </w:rPr>
        <w:t> </w:t>
      </w:r>
      <w:r>
        <w:rPr/>
        <w:t>经营活动产生的现金流量净额</w:t>
      </w:r>
      <w:r>
        <w:rPr>
          <w:rFonts w:ascii="Arial" w:hAnsi="Arial" w:cs="Arial" w:eastAsia="Arial" w:hint="default"/>
        </w:rPr>
        <w:t>4.92</w:t>
      </w:r>
      <w:r>
        <w:rPr/>
        <w:t>亿元，较去年同期增长</w:t>
      </w:r>
      <w:r>
        <w:rPr>
          <w:rFonts w:ascii="Arial" w:hAnsi="Arial" w:cs="Arial" w:eastAsia="Arial" w:hint="default"/>
        </w:rPr>
        <w:t>107.2%</w:t>
      </w:r>
      <w:r>
        <w:rPr/>
        <w:t>。</w:t>
      </w:r>
    </w:p>
    <w:p>
      <w:pPr>
        <w:pStyle w:val="BodyText"/>
        <w:spacing w:line="297" w:lineRule="auto" w:before="50"/>
        <w:ind w:right="239" w:firstLine="480"/>
        <w:jc w:val="both"/>
      </w:pPr>
      <w:r>
        <w:rPr/>
        <w:t>作为软件服务企业，华宇是国内法律科技市场的主要领导企业，并在教育信息化、食品 安全与市场监管、安全可靠等重要的软件服务市场占据了领先优势，也是领域内诸多重要技</w:t>
      </w:r>
      <w:r>
        <w:rPr>
          <w:spacing w:val="-91"/>
        </w:rPr>
        <w:t> </w:t>
      </w:r>
      <w:r>
        <w:rPr>
          <w:spacing w:val="-91"/>
        </w:rPr>
      </w:r>
      <w:r>
        <w:rPr/>
        <w:t>术应用的积极推动者。作为智慧信息服务专家，报告期内，公司充分发挥并进一步巩固了以</w:t>
      </w:r>
      <w:r>
        <w:rPr>
          <w:spacing w:val="-91"/>
        </w:rPr>
        <w:t> </w:t>
      </w:r>
      <w:r>
        <w:rPr>
          <w:spacing w:val="-91"/>
        </w:rPr>
      </w:r>
      <w:r>
        <w:rPr/>
        <w:t>上优势。</w:t>
      </w:r>
    </w:p>
    <w:p>
      <w:pPr>
        <w:pStyle w:val="BodyText"/>
        <w:spacing w:line="297" w:lineRule="auto" w:before="60"/>
        <w:ind w:right="237" w:firstLine="480"/>
        <w:jc w:val="both"/>
      </w:pPr>
      <w:r>
        <w:rPr/>
        <w:t>伴随中国建设和改革的历史进程，软件服务业的发展持续加快。越来越多的客户，在承 担重要社会服务职责、激烈市场竞争压力的背景下，越来越有动力和能力在业务应用和数据</w:t>
      </w:r>
      <w:r>
        <w:rPr>
          <w:spacing w:val="-91"/>
        </w:rPr>
        <w:t> </w:t>
      </w:r>
      <w:r>
        <w:rPr>
          <w:spacing w:val="-91"/>
        </w:rPr>
      </w:r>
      <w:r>
        <w:rPr/>
        <w:t>应用方面投入更大的力量，在需求侧提出了更高的要求。同时，以人工智能、大数据、云计</w:t>
      </w:r>
      <w:r>
        <w:rPr>
          <w:spacing w:val="-91"/>
        </w:rPr>
        <w:t> </w:t>
      </w:r>
      <w:r>
        <w:rPr>
          <w:spacing w:val="-91"/>
        </w:rPr>
      </w:r>
      <w:r>
        <w:rPr/>
        <w:t>算、移动互联等为代表的技术发展，也在产品技术应用和业务价值提升等方面不断创新、加</w:t>
      </w:r>
      <w:r>
        <w:rPr>
          <w:spacing w:val="-91"/>
        </w:rPr>
        <w:t> </w:t>
      </w:r>
      <w:r>
        <w:rPr>
          <w:spacing w:val="-91"/>
        </w:rPr>
      </w:r>
      <w:r>
        <w:rPr/>
        <w:t>快了产业供给侧的发展。同时，市场环境更加规范、成熟，因而更有利于优秀软件企业的发</w:t>
      </w:r>
      <w:r>
        <w:rPr>
          <w:spacing w:val="-91"/>
        </w:rPr>
        <w:t> </w:t>
      </w:r>
      <w:r>
        <w:rPr>
          <w:spacing w:val="-91"/>
        </w:rPr>
      </w:r>
      <w:r>
        <w:rPr/>
        <w:t>展。</w:t>
      </w:r>
    </w:p>
    <w:p>
      <w:pPr>
        <w:pStyle w:val="BodyText"/>
        <w:spacing w:line="297" w:lineRule="auto" w:before="58"/>
        <w:ind w:right="232" w:firstLine="480"/>
        <w:jc w:val="both"/>
      </w:pPr>
      <w:r>
        <w:rPr/>
        <w:t>在法律科技领域，凭借对法律服务业务的深入理解和持续的技术与应用创新，公司深化 业务发展不断扩展目标客户群，目前已经完整覆盖法院、检察院、司法行政、政法委、纪检</w:t>
      </w:r>
      <w:r>
        <w:rPr>
          <w:spacing w:val="-91"/>
        </w:rPr>
        <w:t> </w:t>
      </w:r>
      <w:r>
        <w:rPr>
          <w:spacing w:val="-91"/>
        </w:rPr>
      </w:r>
      <w:r>
        <w:rPr>
          <w:spacing w:val="-5"/>
        </w:rPr>
        <w:t>监察等法律机关，并扩展至商业法律服务领域，向律师、公司法务等法律人提供专业、智能、</w:t>
      </w:r>
      <w:r>
        <w:rPr/>
        <w:t> 全方位一站式的法律科技应用和法律数据知识服务。以法律科技为核心驱动力，全方位覆盖</w:t>
      </w:r>
      <w:r>
        <w:rPr>
          <w:spacing w:val="-88"/>
        </w:rPr>
        <w:t> </w:t>
      </w:r>
      <w:r>
        <w:rPr>
          <w:spacing w:val="-88"/>
        </w:rPr>
      </w:r>
      <w:r>
        <w:rPr/>
        <w:t>法律机关和商业法律服务领域的一体化法律服务平台已经初步建成，以司法诉讼为主线连接</w:t>
      </w:r>
      <w:r>
        <w:rPr>
          <w:spacing w:val="-87"/>
        </w:rPr>
        <w:t> </w:t>
      </w:r>
      <w:r>
        <w:rPr>
          <w:spacing w:val="-87"/>
        </w:rPr>
      </w:r>
      <w:r>
        <w:rPr/>
        <w:t>司法执法机关、法律人、企业和社会公众，持续扩展和赋能合作伙伴，共同向服务平台上各</w:t>
      </w:r>
      <w:r>
        <w:rPr>
          <w:spacing w:val="-91"/>
        </w:rPr>
        <w:t> </w:t>
      </w:r>
      <w:r>
        <w:rPr>
          <w:spacing w:val="-91"/>
        </w:rPr>
      </w:r>
      <w:r>
        <w:rPr/>
        <w:t>单位各角色、各业务场景下的用户提供多维、丰富、专业、智能、实时和精准的服务。</w:t>
      </w:r>
    </w:p>
    <w:p>
      <w:pPr>
        <w:pStyle w:val="BodyText"/>
        <w:spacing w:line="295" w:lineRule="auto" w:before="58"/>
        <w:ind w:right="232" w:firstLine="480"/>
        <w:jc w:val="both"/>
      </w:pPr>
      <w:r>
        <w:rPr>
          <w:spacing w:val="-6"/>
        </w:rPr>
        <w:t>在法律科技领域，报告期内公司经营业绩主要来自于法院、检察院、司法行政、政法委、</w:t>
      </w:r>
      <w:r>
        <w:rPr/>
        <w:t> </w:t>
      </w:r>
      <w:r>
        <w:rPr>
          <w:spacing w:val="3"/>
        </w:rPr>
        <w:t>纪检监察等法律机关。公司业务覆盖全国</w:t>
      </w:r>
      <w:r>
        <w:rPr>
          <w:rFonts w:ascii="Arial" w:hAnsi="Arial" w:cs="Arial" w:eastAsia="Arial" w:hint="default"/>
          <w:spacing w:val="3"/>
        </w:rPr>
        <w:t>31</w:t>
      </w:r>
      <w:r>
        <w:rPr>
          <w:spacing w:val="3"/>
        </w:rPr>
        <w:t>个省超过</w:t>
      </w:r>
      <w:r>
        <w:rPr>
          <w:rFonts w:ascii="Arial" w:hAnsi="Arial" w:cs="Arial" w:eastAsia="Arial" w:hint="default"/>
          <w:spacing w:val="3"/>
        </w:rPr>
        <w:t>3000</w:t>
      </w:r>
      <w:r>
        <w:rPr>
          <w:spacing w:val="3"/>
        </w:rPr>
        <w:t>多家法院客户，面向智慧法院的</w:t>
      </w:r>
      <w:r>
        <w:rPr>
          <w:spacing w:val="-81"/>
        </w:rPr>
        <w:t> </w:t>
      </w:r>
      <w:r>
        <w:rPr>
          <w:spacing w:val="-81"/>
        </w:rPr>
      </w:r>
      <w:r>
        <w:rPr/>
        <w:t>“睿审”系统，在北京市高级人民法院的成功实施，取得了良好的应用效果和示范效应，报</w:t>
      </w:r>
      <w:r>
        <w:rPr>
          <w:spacing w:val="-92"/>
        </w:rPr>
        <w:t> </w:t>
      </w:r>
      <w:r>
        <w:rPr>
          <w:spacing w:val="-92"/>
        </w:rPr>
      </w:r>
      <w:r>
        <w:rPr/>
        <w:t>告期内已在包括北京、广西、甘肃、青海、江苏在内的十余个省市进行部署和应用。面向智</w:t>
      </w:r>
      <w:r>
        <w:rPr>
          <w:spacing w:val="-91"/>
        </w:rPr>
        <w:t> </w:t>
      </w:r>
      <w:r>
        <w:rPr>
          <w:spacing w:val="-91"/>
        </w:rPr>
      </w:r>
      <w:r>
        <w:rPr/>
        <w:t>慧检务的“晓督”系列产品和解决方案，推动检察机关的公诉、决策、侦监、民行等业务的</w:t>
      </w:r>
      <w:r>
        <w:rPr>
          <w:spacing w:val="-91"/>
        </w:rPr>
        <w:t> </w:t>
      </w:r>
      <w:r>
        <w:rPr>
          <w:spacing w:val="-91"/>
        </w:rPr>
      </w:r>
      <w:r>
        <w:rPr>
          <w:spacing w:val="-6"/>
        </w:rPr>
        <w:t>智能化，“晓督”系列产品和解决方案在贵州、浙江、北京等地成功落地。公司紧紧响应司法</w:t>
      </w:r>
      <w:r>
        <w:rPr>
          <w:spacing w:val="-80"/>
        </w:rPr>
        <w:t> </w:t>
      </w:r>
      <w:r>
        <w:rPr>
          <w:spacing w:val="-80"/>
        </w:rPr>
      </w:r>
      <w:r>
        <w:rPr/>
        <w:t>改革要求，在政法委、监察委行业的信息化取得了一系列突破。公司中标贵州、浙江、苏州</w:t>
      </w:r>
      <w:r>
        <w:rPr>
          <w:spacing w:val="-91"/>
        </w:rPr>
        <w:t> </w:t>
      </w:r>
      <w:r>
        <w:rPr>
          <w:spacing w:val="-91"/>
        </w:rPr>
      </w:r>
      <w:r>
        <w:rPr/>
        <w:t>政法大数据协同办案平台项目，推动公安、法院、检察院、监狱之间互联互通的政法协同大</w:t>
      </w:r>
    </w:p>
    <w:p>
      <w:pPr>
        <w:spacing w:after="0" w:line="295" w:lineRule="auto"/>
        <w:jc w:val="both"/>
        <w:sectPr>
          <w:pgSz w:w="11910" w:h="16840"/>
          <w:pgMar w:header="745" w:footer="980" w:top="1060" w:bottom="1160" w:left="980" w:right="900"/>
        </w:sectPr>
      </w:pPr>
    </w:p>
    <w:p>
      <w:pPr>
        <w:spacing w:line="240" w:lineRule="auto" w:before="8"/>
        <w:rPr>
          <w:rFonts w:ascii="宋体" w:hAnsi="宋体" w:cs="宋体" w:eastAsia="宋体" w:hint="default"/>
          <w:sz w:val="26"/>
          <w:szCs w:val="26"/>
        </w:rPr>
      </w:pPr>
    </w:p>
    <w:p>
      <w:pPr>
        <w:pStyle w:val="BodyText"/>
        <w:spacing w:line="290" w:lineRule="auto" w:before="26"/>
        <w:ind w:right="107"/>
        <w:jc w:val="left"/>
      </w:pPr>
      <w:r>
        <w:rPr/>
        <w:t>数据办案模式的创新。公司中标北京市监察委信息化建设项目，为监察委行业信息化的市场</w:t>
      </w:r>
      <w:r>
        <w:rPr>
          <w:spacing w:val="-91"/>
        </w:rPr>
        <w:t> </w:t>
      </w:r>
      <w:r>
        <w:rPr>
          <w:spacing w:val="-91"/>
        </w:rPr>
      </w:r>
      <w:r>
        <w:rPr>
          <w:spacing w:val="-4"/>
        </w:rPr>
        <w:t>开拓树立了应用标杆。报告期内法律科技领域公司收入完成</w:t>
      </w:r>
      <w:r>
        <w:rPr>
          <w:rFonts w:ascii="Arial" w:hAnsi="Arial" w:cs="Arial" w:eastAsia="Arial" w:hint="default"/>
          <w:spacing w:val="-4"/>
        </w:rPr>
        <w:t>16.92</w:t>
      </w:r>
      <w:r>
        <w:rPr>
          <w:spacing w:val="-4"/>
        </w:rPr>
        <w:t>亿，较去年同期增长</w:t>
      </w:r>
      <w:r>
        <w:rPr>
          <w:rFonts w:ascii="Arial" w:hAnsi="Arial" w:cs="Arial" w:eastAsia="Arial" w:hint="default"/>
          <w:spacing w:val="-4"/>
        </w:rPr>
        <w:t>19.38%</w:t>
      </w:r>
      <w:r>
        <w:rPr>
          <w:spacing w:val="-4"/>
        </w:rPr>
        <w:t>；</w:t>
      </w:r>
      <w:r>
        <w:rPr>
          <w:spacing w:val="-113"/>
        </w:rPr>
        <w:t> </w:t>
      </w:r>
      <w:r>
        <w:rPr/>
        <w:t>毛利率为</w:t>
      </w:r>
      <w:r>
        <w:rPr>
          <w:rFonts w:ascii="Arial" w:hAnsi="Arial" w:cs="Arial" w:eastAsia="Arial" w:hint="default"/>
        </w:rPr>
        <w:t>40.57%</w:t>
      </w:r>
      <w:r>
        <w:rPr/>
        <w:t>，较去年同期增加</w:t>
      </w:r>
      <w:r>
        <w:rPr>
          <w:rFonts w:ascii="Arial" w:hAnsi="Arial" w:cs="Arial" w:eastAsia="Arial" w:hint="default"/>
        </w:rPr>
        <w:t>3.1</w:t>
      </w:r>
      <w:r>
        <w:rPr/>
        <w:t>个百分点。</w:t>
      </w:r>
    </w:p>
    <w:p>
      <w:pPr>
        <w:pStyle w:val="BodyText"/>
        <w:spacing w:line="290" w:lineRule="auto" w:before="42"/>
        <w:ind w:right="349" w:firstLine="480"/>
        <w:jc w:val="both"/>
      </w:pPr>
      <w:r>
        <w:rPr/>
        <w:t>在教育信息化领域，公司已成功为</w:t>
      </w:r>
      <w:r>
        <w:rPr>
          <w:rFonts w:ascii="Arial" w:hAnsi="Arial" w:cs="Arial" w:eastAsia="Arial" w:hint="default"/>
        </w:rPr>
        <w:t>700</w:t>
      </w:r>
      <w:r>
        <w:rPr/>
        <w:t>多所高校、</w:t>
      </w:r>
      <w:r>
        <w:rPr>
          <w:rFonts w:ascii="Arial" w:hAnsi="Arial" w:cs="Arial" w:eastAsia="Arial" w:hint="default"/>
        </w:rPr>
        <w:t>1000</w:t>
      </w:r>
      <w:r>
        <w:rPr/>
        <w:t>多万师生提供了信息化服务。以 </w:t>
      </w:r>
      <w:r>
        <w:rPr>
          <w:spacing w:val="-5"/>
        </w:rPr>
        <w:t>自研软件为核心提供整体智慧校园解决方案，致力于“教学、教务、学生服务”多场景需求，</w:t>
      </w:r>
      <w:r>
        <w:rPr>
          <w:spacing w:val="-117"/>
        </w:rPr>
        <w:t> </w:t>
      </w:r>
      <w:r>
        <w:rPr>
          <w:spacing w:val="-117"/>
        </w:rPr>
      </w:r>
      <w:r>
        <w:rPr/>
        <w:t>在各类学校中得到广泛应用，其中部分学校的智慧校园建设项目已成为区域乃至全国的样板</w:t>
      </w:r>
      <w:r>
        <w:rPr>
          <w:spacing w:val="-91"/>
        </w:rPr>
        <w:t> </w:t>
      </w:r>
      <w:r>
        <w:rPr>
          <w:spacing w:val="-91"/>
        </w:rPr>
      </w:r>
      <w:r>
        <w:rPr/>
        <w:t>或示范工程。目前，公司客户覆盖全国</w:t>
      </w:r>
      <w:r>
        <w:rPr>
          <w:rFonts w:ascii="Arial" w:hAnsi="Arial" w:cs="Arial" w:eastAsia="Arial" w:hint="default"/>
        </w:rPr>
        <w:t>28</w:t>
      </w:r>
      <w:r>
        <w:rPr/>
        <w:t>个省市、自治区，并已形成覆盖全国的服务网络。</w:t>
      </w:r>
      <w:r>
        <w:rPr>
          <w:spacing w:val="-116"/>
        </w:rPr>
        <w:t> </w:t>
      </w:r>
      <w:r>
        <w:rPr>
          <w:spacing w:val="-116"/>
        </w:rPr>
      </w:r>
      <w:r>
        <w:rPr/>
        <w:t>报告期内教育信息化领域公司收入完成</w:t>
      </w:r>
      <w:r>
        <w:rPr>
          <w:rFonts w:ascii="Arial" w:hAnsi="Arial" w:cs="Arial" w:eastAsia="Arial" w:hint="default"/>
        </w:rPr>
        <w:t>2.22</w:t>
      </w:r>
      <w:r>
        <w:rPr/>
        <w:t>亿，毛利率为</w:t>
      </w:r>
      <w:r>
        <w:rPr>
          <w:rFonts w:ascii="Arial" w:hAnsi="Arial" w:cs="Arial" w:eastAsia="Arial" w:hint="default"/>
        </w:rPr>
        <w:t>50.48%</w:t>
      </w:r>
      <w:r>
        <w:rPr/>
        <w:t>。</w:t>
      </w:r>
    </w:p>
    <w:p>
      <w:pPr>
        <w:pStyle w:val="BodyText"/>
        <w:spacing w:line="292" w:lineRule="auto" w:before="42"/>
        <w:ind w:right="352" w:firstLine="480"/>
        <w:jc w:val="both"/>
      </w:pPr>
      <w:r>
        <w:rPr/>
        <w:t>在食品安全与市场监管领域，受国家筹划机构改革的大市场环境影响，整体市场信息化 需求释放较大程度受到影响，报告期内公司在食品安全与市场监管领域业绩较去年同期较大</w:t>
      </w:r>
      <w:r>
        <w:rPr>
          <w:spacing w:val="-91"/>
        </w:rPr>
        <w:t> </w:t>
      </w:r>
      <w:r>
        <w:rPr>
          <w:spacing w:val="-91"/>
        </w:rPr>
      </w:r>
      <w:r>
        <w:rPr>
          <w:spacing w:val="-8"/>
        </w:rPr>
        <w:t>幅度降低，收入完成</w:t>
      </w:r>
      <w:r>
        <w:rPr>
          <w:rFonts w:ascii="Arial" w:hAnsi="Arial" w:cs="Arial" w:eastAsia="Arial" w:hint="default"/>
          <w:spacing w:val="-8"/>
        </w:rPr>
        <w:t>0.47</w:t>
      </w:r>
      <w:r>
        <w:rPr>
          <w:spacing w:val="-8"/>
        </w:rPr>
        <w:t>亿，较去年同期降低</w:t>
      </w:r>
      <w:r>
        <w:rPr>
          <w:rFonts w:ascii="Arial" w:hAnsi="Arial" w:cs="Arial" w:eastAsia="Arial" w:hint="default"/>
          <w:spacing w:val="-8"/>
        </w:rPr>
        <w:t>25.92%</w:t>
      </w:r>
      <w:r>
        <w:rPr>
          <w:spacing w:val="-8"/>
        </w:rPr>
        <w:t>；毛利率为</w:t>
      </w:r>
      <w:r>
        <w:rPr>
          <w:rFonts w:ascii="Arial" w:hAnsi="Arial" w:cs="Arial" w:eastAsia="Arial" w:hint="default"/>
          <w:spacing w:val="-8"/>
        </w:rPr>
        <w:t>42.84%</w:t>
      </w:r>
      <w:r>
        <w:rPr>
          <w:spacing w:val="-8"/>
        </w:rPr>
        <w:t>，较去年同期增加</w:t>
      </w:r>
      <w:r>
        <w:rPr>
          <w:rFonts w:ascii="Arial" w:hAnsi="Arial" w:cs="Arial" w:eastAsia="Arial" w:hint="default"/>
          <w:spacing w:val="-8"/>
        </w:rPr>
        <w:t>4.45</w:t>
      </w:r>
      <w:r>
        <w:rPr>
          <w:rFonts w:ascii="Arial" w:hAnsi="Arial" w:cs="Arial" w:eastAsia="Arial" w:hint="default"/>
          <w:spacing w:val="-34"/>
        </w:rPr>
        <w:t> </w:t>
      </w:r>
      <w:r>
        <w:rPr>
          <w:rFonts w:ascii="Arial" w:hAnsi="Arial" w:cs="Arial" w:eastAsia="Arial" w:hint="default"/>
          <w:spacing w:val="-34"/>
        </w:rPr>
      </w:r>
      <w:r>
        <w:rPr/>
        <w:t>个百分点。</w:t>
      </w:r>
    </w:p>
    <w:p>
      <w:pPr>
        <w:pStyle w:val="BodyText"/>
        <w:spacing w:line="297" w:lineRule="auto" w:before="62"/>
        <w:ind w:right="354" w:firstLine="480"/>
        <w:jc w:val="both"/>
      </w:pPr>
      <w:r>
        <w:rPr/>
        <w:t>公司充分发挥在业务软件的领先地位，积极利用大数据、人工智能等先进技术，持续推 进各个领域的应用、方案和服务创新。把大数据和人工智能嵌入业务流程，为客户提供场景</w:t>
      </w:r>
      <w:r>
        <w:rPr>
          <w:spacing w:val="-87"/>
        </w:rPr>
        <w:t> </w:t>
      </w:r>
      <w:r>
        <w:rPr>
          <w:spacing w:val="-87"/>
        </w:rPr>
      </w:r>
      <w:r>
        <w:rPr/>
        <w:t>化智能化的专业技术应用、数据和知识服务，用数字智能助能客户持续提升管理和业务质效</w:t>
      </w:r>
      <w:r>
        <w:rPr>
          <w:spacing w:val="-91"/>
        </w:rPr>
        <w:t> </w:t>
      </w:r>
      <w:r>
        <w:rPr>
          <w:spacing w:val="-91"/>
        </w:rPr>
      </w:r>
      <w:r>
        <w:rPr/>
        <w:t>水平，进而持续加强在各个细分领域的市场竞争力。公司在数据和智能应用、数据和知识服</w:t>
      </w:r>
      <w:r>
        <w:rPr>
          <w:spacing w:val="-91"/>
        </w:rPr>
        <w:t> </w:t>
      </w:r>
      <w:r>
        <w:rPr>
          <w:spacing w:val="-91"/>
        </w:rPr>
      </w:r>
      <w:r>
        <w:rPr/>
        <w:t>务方面业务增长迅速，报告期内实现收入</w:t>
      </w:r>
      <w:r>
        <w:rPr>
          <w:rFonts w:ascii="Arial" w:hAnsi="Arial" w:cs="Arial" w:eastAsia="Arial" w:hint="default"/>
        </w:rPr>
        <w:t>2.57</w:t>
      </w:r>
      <w:r>
        <w:rPr/>
        <w:t>亿，连续两年同比增速超过</w:t>
      </w:r>
      <w:r>
        <w:rPr>
          <w:rFonts w:ascii="Arial" w:hAnsi="Arial" w:cs="Arial" w:eastAsia="Arial" w:hint="default"/>
        </w:rPr>
        <w:t>50%</w:t>
      </w:r>
      <w:r>
        <w:rPr/>
        <w:t>。</w:t>
      </w:r>
    </w:p>
    <w:p>
      <w:pPr>
        <w:pStyle w:val="Heading2"/>
        <w:spacing w:line="416" w:lineRule="exact"/>
        <w:ind w:right="107"/>
        <w:jc w:val="left"/>
        <w:rPr>
          <w:b w:val="0"/>
          <w:bCs w:val="0"/>
        </w:rPr>
      </w:pPr>
      <w:r>
        <w:rPr/>
        <w:t>（二）主要业务发展情况</w:t>
      </w:r>
      <w:r>
        <w:rPr>
          <w:b w:val="0"/>
          <w:bCs w:val="0"/>
        </w:rPr>
      </w:r>
    </w:p>
    <w:p>
      <w:pPr>
        <w:pStyle w:val="Heading2"/>
        <w:spacing w:line="240" w:lineRule="auto" w:before="12"/>
        <w:ind w:right="107"/>
        <w:jc w:val="left"/>
        <w:rPr>
          <w:b w:val="0"/>
          <w:bCs w:val="0"/>
        </w:rPr>
      </w:pPr>
      <w:r>
        <w:rPr>
          <w:rFonts w:ascii="Arial" w:hAnsi="Arial" w:cs="Arial" w:eastAsia="Arial" w:hint="default"/>
        </w:rPr>
        <w:t>1</w:t>
      </w:r>
      <w:r>
        <w:rPr/>
        <w:t>、法律科技</w:t>
      </w:r>
      <w:r>
        <w:rPr>
          <w:b w:val="0"/>
          <w:bCs w:val="0"/>
        </w:rPr>
      </w:r>
    </w:p>
    <w:p>
      <w:pPr>
        <w:pStyle w:val="BodyText"/>
        <w:spacing w:line="312" w:lineRule="auto" w:before="52"/>
        <w:ind w:left="633" w:right="107"/>
        <w:jc w:val="left"/>
      </w:pPr>
      <w:r>
        <w:rPr/>
        <w:t>【</w:t>
      </w:r>
      <w:r>
        <w:rPr>
          <w:rFonts w:ascii="Arial" w:hAnsi="Arial" w:cs="Arial" w:eastAsia="Arial" w:hint="default"/>
        </w:rPr>
        <w:t>1.1</w:t>
      </w:r>
      <w:r>
        <w:rPr>
          <w:rFonts w:ascii="Arial" w:hAnsi="Arial" w:cs="Arial" w:eastAsia="Arial" w:hint="default"/>
          <w:spacing w:val="54"/>
        </w:rPr>
        <w:t> </w:t>
      </w:r>
      <w:r>
        <w:rPr/>
        <w:t>市场情况和趋势】</w:t>
      </w:r>
      <w:r>
        <w:rPr>
          <w:w w:val="100"/>
        </w:rPr>
        <w:t> </w:t>
      </w:r>
      <w:r>
        <w:rPr/>
        <w:t>近年来，以国家治理体系和治理能力现代化为导向，党和国家持续加深司法体制改革，</w:t>
      </w:r>
    </w:p>
    <w:p>
      <w:pPr>
        <w:pStyle w:val="BodyText"/>
        <w:spacing w:line="290" w:lineRule="auto" w:before="5"/>
        <w:ind w:right="107"/>
        <w:jc w:val="left"/>
      </w:pPr>
      <w:r>
        <w:rPr/>
        <w:t>坚持法治国家、法治政府、法治社会一体建设，统筹推进科学立法、严格执法、公正司法、</w:t>
      </w:r>
      <w:r>
        <w:rPr>
          <w:spacing w:val="-91"/>
        </w:rPr>
        <w:t> </w:t>
      </w:r>
      <w:r>
        <w:rPr>
          <w:spacing w:val="-91"/>
        </w:rPr>
      </w:r>
      <w:r>
        <w:rPr/>
        <w:t>全民守法，全面推进依法治国。在国家大战略下，法律服务领域的发展愈发蓬勃和繁荣。以</w:t>
      </w:r>
      <w:r>
        <w:rPr>
          <w:spacing w:val="-90"/>
        </w:rPr>
        <w:t> </w:t>
      </w:r>
      <w:r>
        <w:rPr>
          <w:spacing w:val="-90"/>
        </w:rPr>
      </w:r>
      <w:r>
        <w:rPr>
          <w:spacing w:val="-7"/>
          <w:w w:val="99"/>
        </w:rPr>
        <w:t>法院为例，</w:t>
      </w:r>
      <w:r>
        <w:rPr>
          <w:rFonts w:ascii="Arial" w:hAnsi="Arial" w:cs="Arial" w:eastAsia="Arial" w:hint="default"/>
          <w:spacing w:val="-7"/>
          <w:w w:val="99"/>
        </w:rPr>
        <w:t>2016</w:t>
      </w:r>
      <w:r>
        <w:rPr>
          <w:spacing w:val="-7"/>
          <w:w w:val="99"/>
        </w:rPr>
        <w:t>年全国法院受理案件</w:t>
      </w:r>
      <w:r>
        <w:rPr>
          <w:rFonts w:ascii="Arial" w:hAnsi="Arial" w:cs="Arial" w:eastAsia="Arial" w:hint="default"/>
          <w:spacing w:val="-7"/>
          <w:w w:val="99"/>
        </w:rPr>
        <w:t>2303</w:t>
      </w:r>
      <w:r>
        <w:rPr>
          <w:spacing w:val="-7"/>
          <w:w w:val="99"/>
        </w:rPr>
        <w:t>万件，结案标的额</w:t>
      </w:r>
      <w:r>
        <w:rPr>
          <w:rFonts w:ascii="Arial" w:hAnsi="Arial" w:cs="Arial" w:eastAsia="Arial" w:hint="default"/>
          <w:spacing w:val="-7"/>
          <w:w w:val="99"/>
        </w:rPr>
        <w:t>4.98</w:t>
      </w:r>
      <w:r>
        <w:rPr>
          <w:spacing w:val="-7"/>
          <w:w w:val="99"/>
        </w:rPr>
        <w:t>万亿，近三年平均增幅约</w:t>
      </w:r>
      <w:r>
        <w:rPr>
          <w:rFonts w:ascii="Arial" w:hAnsi="Arial" w:cs="Arial" w:eastAsia="Arial" w:hint="default"/>
          <w:spacing w:val="-7"/>
          <w:w w:val="99"/>
        </w:rPr>
        <w:t>20%</w:t>
      </w:r>
      <w:r>
        <w:rPr>
          <w:spacing w:val="-7"/>
          <w:w w:val="99"/>
        </w:rPr>
        <w:t>。</w:t>
      </w:r>
      <w:r>
        <w:rPr>
          <w:spacing w:val="-86"/>
          <w:w w:val="99"/>
        </w:rPr>
        <w:t> </w:t>
      </w:r>
      <w:r>
        <w:rPr>
          <w:rFonts w:ascii="Arial" w:hAnsi="Arial" w:cs="Arial" w:eastAsia="Arial" w:hint="default"/>
        </w:rPr>
        <w:t>2017</w:t>
      </w:r>
      <w:r>
        <w:rPr/>
        <w:t>年是我国司法改革的攻坚之年，也是法院、检察院、司法行政等机关“十三五规划”的 第二年，政法各个机关的信息化建设需求非常旺盛，社会、公民、企业的公共法律服务市场</w:t>
      </w:r>
      <w:r>
        <w:rPr>
          <w:spacing w:val="-91"/>
        </w:rPr>
        <w:t> </w:t>
      </w:r>
      <w:r>
        <w:rPr>
          <w:spacing w:val="-91"/>
        </w:rPr>
      </w:r>
      <w:r>
        <w:rPr/>
        <w:t>进一步打开。</w:t>
      </w:r>
      <w:r>
        <w:rPr>
          <w:rFonts w:ascii="Arial" w:hAnsi="Arial" w:cs="Arial" w:eastAsia="Arial" w:hint="default"/>
        </w:rPr>
        <w:t>2017</w:t>
      </w:r>
      <w:r>
        <w:rPr/>
        <w:t>年</w:t>
      </w:r>
      <w:r>
        <w:rPr>
          <w:rFonts w:ascii="Arial" w:hAnsi="Arial" w:cs="Arial" w:eastAsia="Arial" w:hint="default"/>
        </w:rPr>
        <w:t>3</w:t>
      </w:r>
      <w:r>
        <w:rPr/>
        <w:t>月</w:t>
      </w:r>
      <w:r>
        <w:rPr>
          <w:rFonts w:ascii="Arial" w:hAnsi="Arial" w:cs="Arial" w:eastAsia="Arial" w:hint="default"/>
        </w:rPr>
        <w:t>12</w:t>
      </w:r>
      <w:r>
        <w:rPr/>
        <w:t>日，十二届全国人大五次会议举行第三次全体会议，最高人民法</w:t>
      </w:r>
      <w:r>
        <w:rPr>
          <w:spacing w:val="-70"/>
        </w:rPr>
        <w:t> </w:t>
      </w:r>
      <w:r>
        <w:rPr>
          <w:spacing w:val="-70"/>
        </w:rPr>
      </w:r>
      <w:r>
        <w:rPr/>
        <w:t>院院长周强做关于最高人民法院工作的报告，提出</w:t>
      </w:r>
      <w:r>
        <w:rPr>
          <w:rFonts w:ascii="Arial" w:hAnsi="Arial" w:cs="Arial" w:eastAsia="Arial" w:hint="default"/>
        </w:rPr>
        <w:t>2017</w:t>
      </w:r>
      <w:r>
        <w:rPr/>
        <w:t>年人民法院将加快建设智慧法院，努 </w:t>
      </w:r>
      <w:r>
        <w:rPr>
          <w:spacing w:val="-5"/>
        </w:rPr>
        <w:t>力提供更多优质司法服务。在最高检印发实施《“十三五”时期科技强检规划纲要》中明确要</w:t>
      </w:r>
      <w:r>
        <w:rPr>
          <w:spacing w:val="-116"/>
        </w:rPr>
        <w:t> </w:t>
      </w:r>
      <w:r>
        <w:rPr>
          <w:spacing w:val="-116"/>
        </w:rPr>
      </w:r>
      <w:r>
        <w:rPr/>
        <w:t>求：到</w:t>
      </w:r>
      <w:r>
        <w:rPr>
          <w:rFonts w:ascii="Arial" w:hAnsi="Arial" w:cs="Arial" w:eastAsia="Arial" w:hint="default"/>
        </w:rPr>
        <w:t>2017</w:t>
      </w:r>
      <w:r>
        <w:rPr/>
        <w:t>年底，要建成覆盖全国四级检察机关涵盖司法办案、检察办公、队伍管理、检务 </w:t>
      </w:r>
      <w:r>
        <w:rPr>
          <w:spacing w:val="2"/>
        </w:rPr>
        <w:t>保障、检察决策支持、检务公开和服务等在内的电子检务工程“六大平台”。到</w:t>
      </w:r>
      <w:r>
        <w:rPr>
          <w:rFonts w:ascii="Arial" w:hAnsi="Arial" w:cs="Arial" w:eastAsia="Arial" w:hint="default"/>
          <w:spacing w:val="2"/>
        </w:rPr>
        <w:t>2020</w:t>
      </w:r>
      <w:r>
        <w:rPr>
          <w:spacing w:val="2"/>
        </w:rPr>
        <w:t>年底，</w:t>
      </w:r>
      <w:r>
        <w:rPr>
          <w:spacing w:val="-116"/>
        </w:rPr>
        <w:t> </w:t>
      </w:r>
      <w:r>
        <w:rPr>
          <w:spacing w:val="-5"/>
        </w:rPr>
        <w:t>建成国家检察大数据中心，建立检务大数据资源库，全国检察机关主要工作都在“六大平台”</w:t>
      </w:r>
      <w:r>
        <w:rPr>
          <w:spacing w:val="-115"/>
        </w:rPr>
        <w:t> </w:t>
      </w:r>
      <w:r>
        <w:rPr>
          <w:spacing w:val="-115"/>
        </w:rPr>
      </w:r>
      <w:r>
        <w:rPr/>
        <w:t>运行。</w:t>
      </w:r>
    </w:p>
    <w:p>
      <w:pPr>
        <w:pStyle w:val="BodyText"/>
        <w:spacing w:line="240" w:lineRule="auto" w:before="65"/>
        <w:ind w:left="633" w:right="107"/>
        <w:jc w:val="left"/>
      </w:pPr>
      <w:r>
        <w:rPr/>
        <w:t>【</w:t>
      </w:r>
      <w:r>
        <w:rPr>
          <w:rFonts w:ascii="Arial" w:hAnsi="Arial" w:cs="Arial" w:eastAsia="Arial" w:hint="default"/>
        </w:rPr>
        <w:t>1.2</w:t>
      </w:r>
      <w:r>
        <w:rPr>
          <w:rFonts w:ascii="Arial" w:hAnsi="Arial" w:cs="Arial" w:eastAsia="Arial" w:hint="default"/>
          <w:spacing w:val="54"/>
        </w:rPr>
        <w:t> </w:t>
      </w:r>
      <w:r>
        <w:rPr/>
        <w:t>业务发展策略】</w:t>
      </w:r>
    </w:p>
    <w:p>
      <w:pPr>
        <w:spacing w:after="0" w:line="240" w:lineRule="auto"/>
        <w:jc w:val="left"/>
        <w:sectPr>
          <w:pgSz w:w="11910" w:h="16840"/>
          <w:pgMar w:header="745" w:footer="980" w:top="1060" w:bottom="1160" w:left="980" w:right="780"/>
        </w:sectPr>
      </w:pPr>
    </w:p>
    <w:p>
      <w:pPr>
        <w:spacing w:line="240" w:lineRule="auto" w:before="8"/>
        <w:rPr>
          <w:rFonts w:ascii="宋体" w:hAnsi="宋体" w:cs="宋体" w:eastAsia="宋体" w:hint="default"/>
          <w:sz w:val="26"/>
          <w:szCs w:val="26"/>
        </w:rPr>
      </w:pPr>
    </w:p>
    <w:p>
      <w:pPr>
        <w:pStyle w:val="BodyText"/>
        <w:spacing w:line="297" w:lineRule="auto" w:before="26"/>
        <w:ind w:right="154" w:firstLine="480"/>
        <w:jc w:val="both"/>
      </w:pPr>
      <w:r>
        <w:rPr/>
        <w:t>凭借对法律服务业务的深入理解和持续的技术与应用创新，公司深化业务发展，不断扩 </w:t>
      </w:r>
      <w:r>
        <w:rPr>
          <w:spacing w:val="-5"/>
        </w:rPr>
        <w:t>展目标客户群，目前已经完整覆盖法院、检察院、司法行政、政法委、纪检监察等法律机关，</w:t>
      </w:r>
      <w:r>
        <w:rPr/>
        <w:t> 并扩展至商业法律服务领域，向律师、公司法务等法律人提供专业、智能、全方位一站式的</w:t>
      </w:r>
      <w:r>
        <w:rPr>
          <w:spacing w:val="-91"/>
        </w:rPr>
        <w:t> </w:t>
      </w:r>
      <w:r>
        <w:rPr>
          <w:spacing w:val="-91"/>
        </w:rPr>
      </w:r>
      <w:r>
        <w:rPr/>
        <w:t>法律科技应用和法律数据知识服务。以法律科技为核心驱动力，全方位覆盖法律机关和商业</w:t>
      </w:r>
      <w:r>
        <w:rPr>
          <w:spacing w:val="-89"/>
        </w:rPr>
        <w:t> </w:t>
      </w:r>
      <w:r>
        <w:rPr>
          <w:spacing w:val="-89"/>
        </w:rPr>
      </w:r>
      <w:r>
        <w:rPr/>
        <w:t>法律服务领域的一体化法律服务平台已经初步建成，以诉讼服务司法诉讼为主线连接司法执</w:t>
      </w:r>
      <w:r>
        <w:rPr>
          <w:spacing w:val="-88"/>
        </w:rPr>
        <w:t> </w:t>
      </w:r>
      <w:r>
        <w:rPr>
          <w:spacing w:val="-88"/>
        </w:rPr>
      </w:r>
      <w:r>
        <w:rPr/>
        <w:t>法机关、法律人、企业和社会公众，持续扩展和赋能合作伙伴，共同向服务平台上各单位各</w:t>
      </w:r>
      <w:r>
        <w:rPr>
          <w:spacing w:val="-91"/>
        </w:rPr>
        <w:t> </w:t>
      </w:r>
      <w:r>
        <w:rPr>
          <w:spacing w:val="-91"/>
        </w:rPr>
      </w:r>
      <w:r>
        <w:rPr/>
        <w:t>角色、各业务场景下的用户提供多维、丰富、专业、智能、实时和精准的服务。</w:t>
      </w:r>
    </w:p>
    <w:p>
      <w:pPr>
        <w:pStyle w:val="BodyText"/>
        <w:spacing w:line="297" w:lineRule="auto" w:before="58"/>
        <w:ind w:right="155" w:firstLine="480"/>
        <w:jc w:val="both"/>
      </w:pPr>
      <w:r>
        <w:rPr/>
        <w:t>随着目标客户群的持续扩展，法律科技领域的市场空间也从单一面向法院每年几十亿市 场，扩展为整体面向法律机关每年数百亿市场，进一步扩展为面向全社会法律科技服务每年</w:t>
      </w:r>
      <w:r>
        <w:rPr>
          <w:spacing w:val="-90"/>
        </w:rPr>
        <w:t> </w:t>
      </w:r>
      <w:r>
        <w:rPr>
          <w:spacing w:val="-90"/>
        </w:rPr>
      </w:r>
      <w:r>
        <w:rPr>
          <w:spacing w:val="-5"/>
        </w:rPr>
        <w:t>千亿级的市场。报告期内，公司经营业绩主要来自于面向法院、检察院、司法行政、政法委、</w:t>
      </w:r>
      <w:r>
        <w:rPr/>
        <w:t> 纪检监察等法律机关的产品和服务。</w:t>
      </w:r>
    </w:p>
    <w:p>
      <w:pPr>
        <w:pStyle w:val="BodyText"/>
        <w:spacing w:line="312" w:lineRule="auto" w:before="58"/>
        <w:ind w:left="753" w:right="0" w:hanging="120"/>
        <w:jc w:val="left"/>
      </w:pPr>
      <w:r>
        <w:rPr/>
        <w:t>【</w:t>
      </w:r>
      <w:r>
        <w:rPr>
          <w:rFonts w:ascii="Arial" w:hAnsi="Arial" w:cs="Arial" w:eastAsia="Arial" w:hint="default"/>
        </w:rPr>
        <w:t>1.3</w:t>
      </w:r>
      <w:r>
        <w:rPr>
          <w:rFonts w:ascii="Arial" w:hAnsi="Arial" w:cs="Arial" w:eastAsia="Arial" w:hint="default"/>
          <w:spacing w:val="54"/>
        </w:rPr>
        <w:t> </w:t>
      </w:r>
      <w:r>
        <w:rPr/>
        <w:t>报告期业务发展情况】</w:t>
      </w:r>
      <w:r>
        <w:rPr>
          <w:w w:val="100"/>
        </w:rPr>
        <w:t> </w:t>
      </w:r>
      <w:r>
        <w:rPr>
          <w:spacing w:val="-3"/>
        </w:rPr>
        <w:t>报告期内，公司在法律人工智能技术的研究上持续加大投入，不断打磨产品，发布法律</w:t>
      </w:r>
    </w:p>
    <w:p>
      <w:pPr>
        <w:pStyle w:val="BodyText"/>
        <w:spacing w:line="297" w:lineRule="auto" w:before="2"/>
        <w:ind w:right="154"/>
        <w:jc w:val="both"/>
      </w:pPr>
      <w:r>
        <w:rPr>
          <w:spacing w:val="-6"/>
        </w:rPr>
        <w:t>大数据平台“睿元”、法律人工智能平台“睿核”，两个基础能力平台有效支撑智慧法律相关</w:t>
      </w:r>
      <w:r>
        <w:rPr>
          <w:spacing w:val="-82"/>
        </w:rPr>
        <w:t> </w:t>
      </w:r>
      <w:r>
        <w:rPr>
          <w:spacing w:val="-82"/>
        </w:rPr>
      </w:r>
      <w:r>
        <w:rPr/>
        <w:t>应用和方案持续创新。公司全方位覆盖法律机关和商业法律服务领域的一体化法律服务平台</w:t>
      </w:r>
      <w:r>
        <w:rPr>
          <w:spacing w:val="-91"/>
        </w:rPr>
        <w:t> </w:t>
      </w:r>
      <w:r>
        <w:rPr>
          <w:spacing w:val="-91"/>
        </w:rPr>
      </w:r>
      <w:r>
        <w:rPr/>
        <w:t>初步建成，逐步布局构建未来法律服务生态。</w:t>
      </w:r>
    </w:p>
    <w:p>
      <w:pPr>
        <w:pStyle w:val="BodyText"/>
        <w:spacing w:line="288" w:lineRule="auto" w:before="60"/>
        <w:ind w:right="149" w:firstLine="480"/>
        <w:jc w:val="both"/>
      </w:pPr>
      <w:r>
        <w:rPr/>
        <w:t>元典律师平台已经全面覆盖律师业务工作场景，上线以来用户稳定增长，目前已经有超 过一万个法律团队在律师平台进行案件管理工作，人数超过任何一家律师事务所或者法律服</w:t>
      </w:r>
      <w:r>
        <w:rPr>
          <w:spacing w:val="-91"/>
        </w:rPr>
        <w:t> </w:t>
      </w:r>
      <w:r>
        <w:rPr>
          <w:spacing w:val="-91"/>
        </w:rPr>
      </w:r>
      <w:r>
        <w:rPr/>
        <w:t>务机构，占行业高频执业律师总人数的三分之一左右。基于互联网的粉丝营销，元典律师平</w:t>
      </w:r>
      <w:r>
        <w:rPr>
          <w:spacing w:val="-91"/>
        </w:rPr>
        <w:t> </w:t>
      </w:r>
      <w:r>
        <w:rPr>
          <w:spacing w:val="-91"/>
        </w:rPr>
      </w:r>
      <w:r>
        <w:rPr>
          <w:spacing w:val="-5"/>
        </w:rPr>
        <w:t>台</w:t>
      </w:r>
      <w:r>
        <w:rPr>
          <w:rFonts w:ascii="Arial" w:hAnsi="Arial" w:cs="Arial" w:eastAsia="Arial" w:hint="default"/>
          <w:spacing w:val="-5"/>
        </w:rPr>
        <w:t>CAC</w:t>
      </w:r>
      <w:r>
        <w:rPr>
          <w:spacing w:val="-5"/>
        </w:rPr>
        <w:t>（客户获得成本）始终在同类竞争中保持优势。以</w:t>
      </w:r>
      <w:r>
        <w:rPr>
          <w:rFonts w:ascii="Arial" w:hAnsi="Arial" w:cs="Arial" w:eastAsia="Arial" w:hint="default"/>
          <w:spacing w:val="-5"/>
        </w:rPr>
        <w:t>2018</w:t>
      </w:r>
      <w:r>
        <w:rPr>
          <w:spacing w:val="-5"/>
        </w:rPr>
        <w:t>年</w:t>
      </w:r>
      <w:r>
        <w:rPr>
          <w:rFonts w:ascii="Arial" w:hAnsi="Arial" w:cs="Arial" w:eastAsia="Arial" w:hint="default"/>
          <w:spacing w:val="-5"/>
        </w:rPr>
        <w:t>3</w:t>
      </w:r>
      <w:r>
        <w:rPr>
          <w:spacing w:val="-5"/>
        </w:rPr>
        <w:t>月为例，目前律师平台上在</w:t>
      </w:r>
      <w:r>
        <w:rPr>
          <w:spacing w:val="-81"/>
        </w:rPr>
        <w:t> </w:t>
      </w:r>
      <w:r>
        <w:rPr>
          <w:spacing w:val="-81"/>
        </w:rPr>
      </w:r>
      <w:r>
        <w:rPr>
          <w:spacing w:val="-4"/>
        </w:rPr>
        <w:t>办案件近两万个，其中诉讼类案件</w:t>
      </w:r>
      <w:r>
        <w:rPr>
          <w:rFonts w:ascii="Arial" w:hAnsi="Arial" w:cs="Arial" w:eastAsia="Arial" w:hint="default"/>
          <w:spacing w:val="-4"/>
        </w:rPr>
        <w:t>15000</w:t>
      </w:r>
      <w:r>
        <w:rPr>
          <w:spacing w:val="-4"/>
        </w:rPr>
        <w:t>余个，其余为公司法务等非诉项目。以单个案件律师</w:t>
      </w:r>
      <w:r>
        <w:rPr>
          <w:spacing w:val="-105"/>
        </w:rPr>
        <w:t> </w:t>
      </w:r>
      <w:r>
        <w:rPr>
          <w:spacing w:val="-105"/>
        </w:rPr>
      </w:r>
      <w:r>
        <w:rPr>
          <w:spacing w:val="-1"/>
        </w:rPr>
        <w:t>服务费</w:t>
      </w:r>
      <w:r>
        <w:rPr>
          <w:rFonts w:ascii="Arial" w:hAnsi="Arial" w:cs="Arial" w:eastAsia="Arial" w:hint="default"/>
          <w:spacing w:val="-1"/>
        </w:rPr>
        <w:t>10</w:t>
      </w:r>
      <w:r>
        <w:rPr>
          <w:spacing w:val="-1"/>
        </w:rPr>
        <w:t>万元计，平台数据价值大约</w:t>
      </w:r>
      <w:r>
        <w:rPr>
          <w:rFonts w:ascii="Arial" w:hAnsi="Arial" w:cs="Arial" w:eastAsia="Arial" w:hint="default"/>
          <w:spacing w:val="-1"/>
        </w:rPr>
        <w:t>20</w:t>
      </w:r>
      <w:r>
        <w:rPr>
          <w:spacing w:val="-1"/>
        </w:rPr>
        <w:t>亿元。同时推出了元典知识库尝试法律人在线知识社</w:t>
      </w:r>
      <w:r>
        <w:rPr>
          <w:spacing w:val="-100"/>
        </w:rPr>
        <w:t> </w:t>
      </w:r>
      <w:r>
        <w:rPr>
          <w:spacing w:val="-100"/>
        </w:rPr>
      </w:r>
      <w:r>
        <w:rPr>
          <w:spacing w:val="-2"/>
        </w:rPr>
        <w:t>区，第一批供</w:t>
      </w:r>
      <w:r>
        <w:rPr>
          <w:rFonts w:ascii="Arial" w:hAnsi="Arial" w:cs="Arial" w:eastAsia="Arial" w:hint="default"/>
          <w:spacing w:val="-2"/>
        </w:rPr>
        <w:t>14</w:t>
      </w:r>
      <w:r>
        <w:rPr>
          <w:spacing w:val="-2"/>
        </w:rPr>
        <w:t>个常用免费知识包，上线至今已经在</w:t>
      </w:r>
      <w:r>
        <w:rPr>
          <w:rFonts w:ascii="Arial" w:hAnsi="Arial" w:cs="Arial" w:eastAsia="Arial" w:hint="default"/>
          <w:spacing w:val="-2"/>
        </w:rPr>
        <w:t>6000</w:t>
      </w:r>
      <w:r>
        <w:rPr>
          <w:spacing w:val="-2"/>
        </w:rPr>
        <w:t>多个案件中被复用，进一步提升了</w:t>
      </w:r>
      <w:r>
        <w:rPr>
          <w:spacing w:val="-86"/>
        </w:rPr>
        <w:t> </w:t>
      </w:r>
      <w:r>
        <w:rPr>
          <w:spacing w:val="-86"/>
        </w:rPr>
      </w:r>
      <w:r>
        <w:rPr/>
        <w:t>用户黏性。</w:t>
      </w:r>
    </w:p>
    <w:p>
      <w:pPr>
        <w:pStyle w:val="BodyText"/>
        <w:spacing w:line="297" w:lineRule="auto" w:before="67"/>
        <w:ind w:right="151" w:firstLine="480"/>
        <w:jc w:val="both"/>
      </w:pPr>
      <w:r>
        <w:rPr/>
        <w:t>“睿审”系统在北京市高级人民法院的成功实施，取得了良好的应用效果和示范效应， 报告期内已在包括北京、广西、甘肃、青海、江苏在内的十余个省市进行部署和应用。贵州</w:t>
      </w:r>
      <w:r>
        <w:rPr>
          <w:spacing w:val="-91"/>
        </w:rPr>
        <w:t> </w:t>
      </w:r>
      <w:r>
        <w:rPr>
          <w:spacing w:val="-91"/>
        </w:rPr>
      </w:r>
      <w:r>
        <w:rPr/>
        <w:t>省作为全国首个国家大数据综合试验区，率先上线了智慧决策、智慧公诉系统，与贵州省高</w:t>
      </w:r>
      <w:r>
        <w:rPr>
          <w:spacing w:val="-88"/>
        </w:rPr>
        <w:t> </w:t>
      </w:r>
      <w:r>
        <w:rPr>
          <w:spacing w:val="-88"/>
        </w:rPr>
      </w:r>
      <w:r>
        <w:rPr/>
        <w:t>级人民法院、省公安厅实现政法协同，实现了很好的应用效果，为贵州省检察“数据大脑”</w:t>
      </w:r>
      <w:r>
        <w:rPr>
          <w:spacing w:val="-86"/>
        </w:rPr>
        <w:t> </w:t>
      </w:r>
      <w:r>
        <w:rPr>
          <w:spacing w:val="-86"/>
        </w:rPr>
      </w:r>
      <w:r>
        <w:rPr/>
        <w:t>建设提供了有效的技术支撑，并成为全国司法体制改革推进会上的标杆成果进行了介绍。报</w:t>
      </w:r>
      <w:r>
        <w:rPr>
          <w:spacing w:val="-91"/>
        </w:rPr>
        <w:t> </w:t>
      </w:r>
      <w:r>
        <w:rPr>
          <w:spacing w:val="-91"/>
        </w:rPr>
      </w:r>
      <w:r>
        <w:rPr>
          <w:spacing w:val="-5"/>
        </w:rPr>
        <w:t>告期内，公司“晓督”系列产品和解决方案在浙江等地成功落地，取得了非常好的应用效果，</w:t>
      </w:r>
      <w:r>
        <w:rPr>
          <w:spacing w:val="-117"/>
        </w:rPr>
        <w:t> </w:t>
      </w:r>
      <w:r>
        <w:rPr>
          <w:spacing w:val="-117"/>
        </w:rPr>
      </w:r>
      <w:r>
        <w:rPr/>
        <w:t>浙江省杭州市江干区人民检察院的检察官对智慧公诉给予了非常高的评价，为后续全国推广</w:t>
      </w:r>
      <w:r>
        <w:rPr>
          <w:spacing w:val="-91"/>
        </w:rPr>
        <w:t> </w:t>
      </w:r>
      <w:r>
        <w:rPr>
          <w:spacing w:val="-91"/>
        </w:rPr>
      </w:r>
      <w:r>
        <w:rPr/>
        <w:t>奠定了坚实的基础。同时，公司与北京市人民检察院建立联合创新的战略协议，技术与业务</w:t>
      </w:r>
      <w:r>
        <w:rPr>
          <w:spacing w:val="-91"/>
        </w:rPr>
        <w:t> </w:t>
      </w:r>
      <w:r>
        <w:rPr>
          <w:spacing w:val="-91"/>
        </w:rPr>
      </w:r>
      <w:r>
        <w:rPr/>
        <w:t>深度融合，探索未来智慧检务的新方向、新机制，深度促进“智慧检务”的建设进程。</w:t>
      </w:r>
    </w:p>
    <w:p>
      <w:pPr>
        <w:pStyle w:val="BodyText"/>
        <w:spacing w:line="300" w:lineRule="auto" w:before="58"/>
        <w:ind w:right="159" w:firstLine="480"/>
        <w:jc w:val="both"/>
      </w:pPr>
      <w:r>
        <w:rPr/>
        <w:t>公司紧紧响应司法改革要求，在政法委、监察委行业的信息化取得了一系列突破。公司 中标贵州、浙江、苏州政法大数据协同办案平台项目，推动公安、法院、检察院、监狱之间</w:t>
      </w:r>
    </w:p>
    <w:p>
      <w:pPr>
        <w:spacing w:after="0" w:line="300" w:lineRule="auto"/>
        <w:jc w:val="both"/>
        <w:sectPr>
          <w:pgSz w:w="11910" w:h="16840"/>
          <w:pgMar w:header="745" w:footer="980" w:top="1060" w:bottom="1160" w:left="980" w:right="980"/>
        </w:sectPr>
      </w:pPr>
    </w:p>
    <w:p>
      <w:pPr>
        <w:spacing w:line="240" w:lineRule="auto" w:before="8"/>
        <w:rPr>
          <w:rFonts w:ascii="宋体" w:hAnsi="宋体" w:cs="宋体" w:eastAsia="宋体" w:hint="default"/>
          <w:sz w:val="26"/>
          <w:szCs w:val="26"/>
        </w:rPr>
      </w:pPr>
    </w:p>
    <w:p>
      <w:pPr>
        <w:pStyle w:val="BodyText"/>
        <w:spacing w:line="297" w:lineRule="auto" w:before="26"/>
        <w:ind w:right="158"/>
        <w:jc w:val="both"/>
      </w:pPr>
      <w:r>
        <w:rPr/>
        <w:t>互联互通的政法协同大数据办案模式的创新。公司中标北京市监察委信息化建设项目，为监</w:t>
      </w:r>
      <w:r>
        <w:rPr>
          <w:spacing w:val="-91"/>
        </w:rPr>
        <w:t> </w:t>
      </w:r>
      <w:r>
        <w:rPr>
          <w:spacing w:val="-91"/>
        </w:rPr>
      </w:r>
      <w:r>
        <w:rPr/>
        <w:t>察委行业信息化的市场开拓树立了应用标杆。公司充分利用法院、检察院等行业积累的产品</w:t>
      </w:r>
      <w:r>
        <w:rPr>
          <w:spacing w:val="-91"/>
        </w:rPr>
        <w:t> </w:t>
      </w:r>
      <w:r>
        <w:rPr>
          <w:spacing w:val="-91"/>
        </w:rPr>
      </w:r>
      <w:r>
        <w:rPr/>
        <w:t>和解决方案的优势、资源优势、客户优势，全力开拓司法行政行业市场，取得重大突破。报</w:t>
      </w:r>
      <w:r>
        <w:rPr>
          <w:spacing w:val="-91"/>
        </w:rPr>
        <w:t> </w:t>
      </w:r>
      <w:r>
        <w:rPr>
          <w:spacing w:val="-91"/>
        </w:rPr>
      </w:r>
      <w:r>
        <w:rPr/>
        <w:t>告期内，公司成功中标司法部执法管理平台；在全国第一批四个高戒备监狱试点省份中，公</w:t>
      </w:r>
      <w:r>
        <w:rPr>
          <w:spacing w:val="-91"/>
        </w:rPr>
        <w:t> </w:t>
      </w:r>
      <w:r>
        <w:rPr>
          <w:spacing w:val="-91"/>
        </w:rPr>
      </w:r>
      <w:r>
        <w:rPr/>
        <w:t>司中标山西、云南两个高戒备监狱试点项目；中标湖北、浙江、辽宁监狱管理局减刑假释平</w:t>
      </w:r>
      <w:r>
        <w:rPr>
          <w:spacing w:val="-91"/>
        </w:rPr>
        <w:t> </w:t>
      </w:r>
      <w:r>
        <w:rPr>
          <w:spacing w:val="-91"/>
        </w:rPr>
      </w:r>
      <w:r>
        <w:rPr/>
        <w:t>台项目，实现了多个省份监狱市场的突破，深化巩固了公司法、监业务协同布局；中标北京</w:t>
      </w:r>
      <w:r>
        <w:rPr>
          <w:spacing w:val="-91"/>
        </w:rPr>
        <w:t> </w:t>
      </w:r>
      <w:r>
        <w:rPr>
          <w:spacing w:val="-91"/>
        </w:rPr>
      </w:r>
      <w:r>
        <w:rPr/>
        <w:t>监狱管理局、燕城监狱管理局等项目，并成功开拓了内蒙古地区市场。中标云南省戒毒管理</w:t>
      </w:r>
      <w:r>
        <w:rPr>
          <w:spacing w:val="-91"/>
        </w:rPr>
        <w:t> </w:t>
      </w:r>
      <w:r>
        <w:rPr>
          <w:spacing w:val="-91"/>
        </w:rPr>
      </w:r>
      <w:r>
        <w:rPr/>
        <w:t>局规范化综合管理平台项目，实现了戒毒业务的零突破。</w:t>
      </w:r>
    </w:p>
    <w:p>
      <w:pPr>
        <w:pStyle w:val="BodyText"/>
        <w:spacing w:line="312" w:lineRule="auto" w:before="60"/>
        <w:ind w:left="633" w:right="0"/>
        <w:jc w:val="left"/>
      </w:pPr>
      <w:r>
        <w:rPr/>
        <w:t>【</w:t>
      </w:r>
      <w:r>
        <w:rPr>
          <w:rFonts w:ascii="Arial" w:hAnsi="Arial" w:cs="Arial" w:eastAsia="Arial" w:hint="default"/>
        </w:rPr>
        <w:t>1.4</w:t>
      </w:r>
      <w:r>
        <w:rPr>
          <w:rFonts w:ascii="Arial" w:hAnsi="Arial" w:cs="Arial" w:eastAsia="Arial" w:hint="default"/>
          <w:spacing w:val="54"/>
        </w:rPr>
        <w:t> </w:t>
      </w:r>
      <w:r>
        <w:rPr/>
        <w:t>产品和方案创新】</w:t>
      </w:r>
      <w:r>
        <w:rPr>
          <w:w w:val="100"/>
        </w:rPr>
        <w:t> </w:t>
      </w:r>
      <w:r>
        <w:rPr>
          <w:spacing w:val="-2"/>
        </w:rPr>
        <w:t>围绕智慧法院</w:t>
      </w:r>
      <w:r>
        <w:rPr>
          <w:rFonts w:ascii="Arial" w:hAnsi="Arial" w:cs="Arial" w:eastAsia="Arial" w:hint="default"/>
          <w:spacing w:val="-2"/>
        </w:rPr>
        <w:t>3.0</w:t>
      </w:r>
      <w:r>
        <w:rPr>
          <w:spacing w:val="-2"/>
        </w:rPr>
        <w:t>建设目标，公司积极投入、研发面向未来的智能化、一体化的信息系统</w:t>
      </w:r>
    </w:p>
    <w:p>
      <w:pPr>
        <w:pStyle w:val="BodyText"/>
        <w:spacing w:line="292" w:lineRule="exact"/>
        <w:ind w:right="0"/>
        <w:jc w:val="both"/>
      </w:pPr>
      <w:r>
        <w:rPr/>
        <w:t>产品和解决方案，推动全国法院信息系统转型升级，打造有竞争力的以“网络化、阳光化和</w:t>
      </w:r>
    </w:p>
    <w:p>
      <w:pPr>
        <w:pStyle w:val="BodyText"/>
        <w:spacing w:line="292" w:lineRule="auto" w:before="77"/>
        <w:ind w:right="151"/>
        <w:jc w:val="both"/>
      </w:pPr>
      <w:r>
        <w:rPr>
          <w:spacing w:val="-5"/>
        </w:rPr>
        <w:t>智能化”特征、以“全业务、全流程、全方位”为标准的智慧法院总体解决方案。公司深度应</w:t>
      </w:r>
      <w:r>
        <w:rPr>
          <w:spacing w:val="-117"/>
        </w:rPr>
        <w:t> </w:t>
      </w:r>
      <w:r>
        <w:rPr>
          <w:spacing w:val="-117"/>
        </w:rPr>
      </w:r>
      <w:r>
        <w:rPr>
          <w:spacing w:val="-5"/>
        </w:rPr>
        <w:t>用互联网、人工智能、大数据、区块链等技术，以法官审判为核心，逐步构建从立案、审判、</w:t>
      </w:r>
      <w:r>
        <w:rPr/>
        <w:t> 庭审、审管、执行、决策、研究全新智慧法院产品和解决方案—“睿审”，同时完成了智慧</w:t>
      </w:r>
      <w:r>
        <w:rPr>
          <w:spacing w:val="-88"/>
        </w:rPr>
        <w:t> </w:t>
      </w:r>
      <w:r>
        <w:rPr>
          <w:spacing w:val="-88"/>
        </w:rPr>
      </w:r>
      <w:r>
        <w:rPr>
          <w:spacing w:val="-7"/>
        </w:rPr>
        <w:t>立案、智慧庭审、智慧审判管理、智慧执行、电子诉讼等创新产品与解决方案的研发。在</w:t>
      </w:r>
      <w:r>
        <w:rPr>
          <w:rFonts w:ascii="Arial" w:hAnsi="Arial" w:cs="Arial" w:eastAsia="Arial" w:hint="default"/>
          <w:spacing w:val="-7"/>
        </w:rPr>
        <w:t>2017</w:t>
      </w:r>
      <w:r>
        <w:rPr>
          <w:rFonts w:ascii="Arial" w:hAnsi="Arial" w:cs="Arial" w:eastAsia="Arial" w:hint="default"/>
          <w:spacing w:val="-27"/>
        </w:rPr>
        <w:t> </w:t>
      </w:r>
      <w:r>
        <w:rPr>
          <w:rFonts w:ascii="Arial" w:hAnsi="Arial" w:cs="Arial" w:eastAsia="Arial" w:hint="default"/>
          <w:spacing w:val="-27"/>
        </w:rPr>
      </w:r>
      <w:r>
        <w:rPr>
          <w:spacing w:val="-5"/>
        </w:rPr>
        <w:t>年中国国际软件博览会上，华宇“睿审”被评为“金提名奖”，在中国软件行业协会主办的中</w:t>
      </w:r>
      <w:r>
        <w:rPr>
          <w:spacing w:val="-117"/>
        </w:rPr>
        <w:t> </w:t>
      </w:r>
      <w:r>
        <w:rPr>
          <w:spacing w:val="-117"/>
        </w:rPr>
      </w:r>
      <w:r>
        <w:rPr>
          <w:spacing w:val="-6"/>
          <w:w w:val="99"/>
        </w:rPr>
        <w:t>国软件产业发展创新峰会上，“睿审”获评“</w:t>
      </w:r>
      <w:r>
        <w:rPr>
          <w:rFonts w:ascii="Arial" w:hAnsi="Arial" w:cs="Arial" w:eastAsia="Arial" w:hint="default"/>
          <w:spacing w:val="-6"/>
          <w:w w:val="99"/>
        </w:rPr>
        <w:t>2017</w:t>
      </w:r>
      <w:r>
        <w:rPr>
          <w:spacing w:val="-6"/>
          <w:w w:val="99"/>
        </w:rPr>
        <w:t>十大软件创新产品”。国家全面深化科技强</w:t>
      </w:r>
      <w:r>
        <w:rPr/>
        <w:t> </w:t>
      </w:r>
      <w:r>
        <w:rPr>
          <w:spacing w:val="-2"/>
        </w:rPr>
        <w:t>检战略，公司以电子检务工程为抓手，进一步向“智慧检务</w:t>
      </w:r>
      <w:r>
        <w:rPr>
          <w:rFonts w:ascii="Arial" w:hAnsi="Arial" w:cs="Arial" w:eastAsia="Arial" w:hint="default"/>
          <w:spacing w:val="-2"/>
        </w:rPr>
        <w:t>4.0</w:t>
      </w:r>
      <w:r>
        <w:rPr>
          <w:spacing w:val="-2"/>
        </w:rPr>
        <w:t>”方向迈进。公司深挖“智慧</w:t>
      </w:r>
      <w:r>
        <w:rPr>
          <w:spacing w:val="-96"/>
        </w:rPr>
        <w:t> </w:t>
      </w:r>
      <w:r>
        <w:rPr>
          <w:spacing w:val="-96"/>
        </w:rPr>
      </w:r>
      <w:r>
        <w:rPr/>
        <w:t>检务”建设需求，利用大数据、人工智能等技术成功研发出了面向智慧检务的“晓督”系列</w:t>
      </w:r>
      <w:r>
        <w:rPr>
          <w:spacing w:val="-87"/>
        </w:rPr>
        <w:t> </w:t>
      </w:r>
      <w:r>
        <w:rPr>
          <w:spacing w:val="-87"/>
        </w:rPr>
      </w:r>
      <w:r>
        <w:rPr/>
        <w:t>产品和解决方案，推动检察机关的公诉、决策、侦监、民行等业务的智能化。</w:t>
      </w:r>
    </w:p>
    <w:p>
      <w:pPr>
        <w:spacing w:line="240" w:lineRule="auto" w:before="10"/>
        <w:rPr>
          <w:rFonts w:ascii="宋体" w:hAnsi="宋体" w:cs="宋体" w:eastAsia="宋体" w:hint="default"/>
          <w:sz w:val="4"/>
          <w:szCs w:val="4"/>
        </w:rPr>
      </w:pPr>
    </w:p>
    <w:tbl>
      <w:tblPr>
        <w:tblW w:w="0" w:type="auto"/>
        <w:jc w:val="left"/>
        <w:tblInd w:w="765" w:type="dxa"/>
        <w:tblLayout w:type="fixed"/>
        <w:tblCellMar>
          <w:top w:w="0" w:type="dxa"/>
          <w:left w:w="0" w:type="dxa"/>
          <w:bottom w:w="0" w:type="dxa"/>
          <w:right w:w="0" w:type="dxa"/>
        </w:tblCellMar>
        <w:tblLook w:val="01E0"/>
      </w:tblPr>
      <w:tblGrid>
        <w:gridCol w:w="1135"/>
        <w:gridCol w:w="6145"/>
      </w:tblGrid>
      <w:tr>
        <w:trPr>
          <w:trHeight w:val="480" w:hRule="exact"/>
        </w:trPr>
        <w:tc>
          <w:tcPr>
            <w:tcW w:w="7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6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智慧法院解决方案“睿审”中的部分智能应用软件</w:t>
            </w:r>
            <w:r>
              <w:rPr>
                <w:rFonts w:ascii="Microsoft JhengHei" w:hAnsi="Microsoft JhengHei" w:cs="Microsoft JhengHei" w:eastAsia="Microsoft JhengHei" w:hint="default"/>
                <w:sz w:val="18"/>
                <w:szCs w:val="18"/>
              </w:rPr>
            </w:r>
          </w:p>
        </w:tc>
      </w:tr>
      <w:tr>
        <w:trPr>
          <w:trHeight w:val="48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当事人</w:t>
            </w:r>
            <w:r>
              <w:rPr>
                <w:rFonts w:ascii="Microsoft JhengHei" w:hAnsi="Microsoft JhengHei" w:cs="Microsoft JhengHei" w:eastAsia="Microsoft JhengHei" w:hint="default"/>
                <w:sz w:val="18"/>
                <w:szCs w:val="18"/>
              </w:rPr>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智能诉讼引导、诉讼风险智能评估、诉状智能生成、微诉讼等</w:t>
            </w:r>
          </w:p>
        </w:tc>
      </w:tr>
      <w:tr>
        <w:trPr>
          <w:trHeight w:val="126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立案法官</w:t>
            </w:r>
            <w:r>
              <w:rPr>
                <w:rFonts w:ascii="Microsoft JhengHei" w:hAnsi="Microsoft JhengHei" w:cs="Microsoft JhengHei" w:eastAsia="Microsoft JhengHei" w:hint="default"/>
                <w:sz w:val="18"/>
                <w:szCs w:val="18"/>
              </w:rPr>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89"/>
              <w:ind w:left="103" w:right="99"/>
              <w:jc w:val="both"/>
              <w:rPr>
                <w:rFonts w:ascii="宋体" w:hAnsi="宋体" w:cs="宋体" w:eastAsia="宋体" w:hint="default"/>
                <w:sz w:val="18"/>
                <w:szCs w:val="18"/>
              </w:rPr>
            </w:pPr>
            <w:r>
              <w:rPr>
                <w:rFonts w:ascii="宋体" w:hAnsi="宋体" w:cs="宋体" w:eastAsia="宋体" w:hint="default"/>
                <w:spacing w:val="-1"/>
                <w:sz w:val="18"/>
                <w:szCs w:val="18"/>
              </w:rPr>
              <w:t>互联网立案、跨地域立案、材料文字识别与信息提取、自动材料审查、自动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风险甄别、当事人画像、繁简分流建议、格式文书快速生成、智能材料收转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柜、电子材料自动归目、集约化送达等</w:t>
            </w:r>
          </w:p>
        </w:tc>
      </w:tr>
      <w:tr>
        <w:trPr>
          <w:trHeight w:val="164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审判法官</w:t>
            </w:r>
            <w:r>
              <w:rPr>
                <w:rFonts w:ascii="Microsoft JhengHei" w:hAnsi="Microsoft JhengHei" w:cs="Microsoft JhengHei" w:eastAsia="Microsoft JhengHei" w:hint="default"/>
                <w:sz w:val="18"/>
                <w:szCs w:val="18"/>
              </w:rPr>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396" w:lineRule="auto" w:before="89"/>
              <w:ind w:left="103" w:right="90"/>
              <w:jc w:val="both"/>
              <w:rPr>
                <w:rFonts w:ascii="宋体" w:hAnsi="宋体" w:cs="宋体" w:eastAsia="宋体" w:hint="default"/>
                <w:sz w:val="18"/>
                <w:szCs w:val="18"/>
              </w:rPr>
            </w:pPr>
            <w:r>
              <w:rPr>
                <w:rFonts w:ascii="宋体" w:hAnsi="宋体" w:cs="宋体" w:eastAsia="宋体" w:hint="default"/>
                <w:sz w:val="18"/>
                <w:szCs w:val="18"/>
              </w:rPr>
              <w:t>电子卷宗、睿核法律人工智能引擎、非法证据排除、证据智能指引、证据关 联分析、案件画像与案情研判分析、团队化办案支持、庭审语音自动笔录、 庭上证据随讲随翻、裁判文书自动生成，道交、金融、劳动争议一体化办案 等</w:t>
            </w:r>
          </w:p>
        </w:tc>
      </w:tr>
      <w:tr>
        <w:trPr>
          <w:trHeight w:val="4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审判管理</w:t>
            </w:r>
            <w:r>
              <w:rPr>
                <w:rFonts w:ascii="Microsoft JhengHei" w:hAnsi="Microsoft JhengHei" w:cs="Microsoft JhengHei" w:eastAsia="Microsoft JhengHei" w:hint="default"/>
                <w:sz w:val="18"/>
                <w:szCs w:val="18"/>
              </w:rPr>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庭审视频巡查、电子卷宗巡查、量刑偏离巡查、终本执行巡查等</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97" w:lineRule="auto" w:before="26"/>
        <w:ind w:right="150" w:firstLine="480"/>
        <w:jc w:val="both"/>
      </w:pPr>
      <w:r>
        <w:rPr/>
        <w:t>公司在法律人工智能技术的研究上持续加大投入，不断打磨产品。报告期内，公司发布 </w:t>
      </w:r>
      <w:r>
        <w:rPr>
          <w:spacing w:val="-11"/>
        </w:rPr>
        <w:t>了法律人工智能平台“睿核”，是基于多元融合数据、运用法律认知技术、提供法律知识服务、</w:t>
      </w:r>
      <w:r>
        <w:rPr>
          <w:spacing w:val="-100"/>
        </w:rPr>
        <w:t> </w:t>
      </w:r>
      <w:r>
        <w:rPr>
          <w:spacing w:val="-100"/>
        </w:rPr>
      </w:r>
      <w:r>
        <w:rPr>
          <w:spacing w:val="-5"/>
        </w:rPr>
        <w:t>满足法律知识需求的一体化分析平台。“睿核”以“知识图谱”为核心，利用自然语言理解和</w:t>
      </w:r>
    </w:p>
    <w:p>
      <w:pPr>
        <w:spacing w:after="0" w:line="297" w:lineRule="auto"/>
        <w:jc w:val="both"/>
        <w:sectPr>
          <w:pgSz w:w="11910" w:h="16840"/>
          <w:pgMar w:header="745" w:footer="980" w:top="1060" w:bottom="1160" w:left="980" w:right="980"/>
        </w:sectPr>
      </w:pPr>
    </w:p>
    <w:p>
      <w:pPr>
        <w:spacing w:line="240" w:lineRule="auto" w:before="8"/>
        <w:rPr>
          <w:rFonts w:ascii="宋体" w:hAnsi="宋体" w:cs="宋体" w:eastAsia="宋体" w:hint="default"/>
          <w:sz w:val="26"/>
          <w:szCs w:val="26"/>
        </w:rPr>
      </w:pPr>
    </w:p>
    <w:p>
      <w:pPr>
        <w:pStyle w:val="BodyText"/>
        <w:spacing w:line="290" w:lineRule="auto" w:before="26"/>
        <w:ind w:right="228"/>
        <w:jc w:val="both"/>
      </w:pPr>
      <w:r>
        <w:rPr/>
        <w:t>认知技术，通过对具有法律文本中的法律知识动态关联抽取，并转化为具体的服务接口，与</w:t>
      </w:r>
      <w:r>
        <w:rPr>
          <w:spacing w:val="-91"/>
        </w:rPr>
        <w:t> </w:t>
      </w:r>
      <w:r>
        <w:rPr>
          <w:spacing w:val="-91"/>
        </w:rPr>
      </w:r>
      <w:r>
        <w:rPr>
          <w:spacing w:val="2"/>
        </w:rPr>
        <w:t>不同的业务场景下的智能服务应用相结合，为各类用户提供法律知识辅助服务</w:t>
      </w:r>
      <w:r>
        <w:rPr>
          <w:rFonts w:ascii="Arial" w:hAnsi="Arial" w:cs="Arial" w:eastAsia="Arial" w:hint="default"/>
          <w:spacing w:val="2"/>
        </w:rPr>
        <w:t>,</w:t>
      </w:r>
      <w:r>
        <w:rPr>
          <w:rFonts w:ascii="Arial" w:hAnsi="Arial" w:cs="Arial" w:eastAsia="Arial" w:hint="default"/>
          <w:spacing w:val="61"/>
        </w:rPr>
        <w:t> </w:t>
      </w:r>
      <w:r>
        <w:rPr/>
        <w:t>实现对法律</w:t>
      </w:r>
      <w:r>
        <w:rPr>
          <w:spacing w:val="2"/>
        </w:rPr>
        <w:t> </w:t>
      </w:r>
      <w:r>
        <w:rPr/>
        <w:t>知识的生产、管理和输出。公司以“睿核”为核心形成了多款法律服务应用解决方案，面向</w:t>
      </w:r>
      <w:r>
        <w:rPr>
          <w:spacing w:val="-86"/>
        </w:rPr>
        <w:t> </w:t>
      </w:r>
      <w:r>
        <w:rPr>
          <w:spacing w:val="-86"/>
        </w:rPr>
      </w:r>
      <w:r>
        <w:rPr/>
        <w:t>智慧法院的“睿审”系列产品和解决方案，面向智慧检务的“晓督”系列产品和解决方案，</w:t>
      </w:r>
      <w:r>
        <w:rPr>
          <w:spacing w:val="-89"/>
        </w:rPr>
        <w:t> </w:t>
      </w:r>
      <w:r>
        <w:rPr>
          <w:spacing w:val="-89"/>
        </w:rPr>
      </w:r>
      <w:r>
        <w:rPr/>
        <w:t>报告期内已在包括北京、广西、甘肃、青海、江苏、贵州、浙江在内的十余个省市进行部署</w:t>
      </w:r>
      <w:r>
        <w:rPr>
          <w:spacing w:val="-91"/>
        </w:rPr>
        <w:t> </w:t>
      </w:r>
      <w:r>
        <w:rPr>
          <w:spacing w:val="-91"/>
        </w:rPr>
      </w:r>
      <w:r>
        <w:rPr>
          <w:spacing w:val="-4"/>
        </w:rPr>
        <w:t>和应用。在一系列场景化智能应用支持下，可以有效地减少至少</w:t>
      </w:r>
      <w:r>
        <w:rPr>
          <w:rFonts w:ascii="Times New Roman" w:hAnsi="Times New Roman" w:cs="Times New Roman" w:eastAsia="Times New Roman" w:hint="default"/>
          <w:spacing w:val="-4"/>
        </w:rPr>
        <w:t>75%</w:t>
      </w:r>
      <w:r>
        <w:rPr>
          <w:spacing w:val="-4"/>
        </w:rPr>
        <w:t>的庭前阅卷时间、可以将</w:t>
      </w:r>
      <w:r>
        <w:rPr>
          <w:spacing w:val="-111"/>
        </w:rPr>
        <w:t> </w:t>
      </w:r>
      <w:r>
        <w:rPr>
          <w:spacing w:val="-111"/>
        </w:rPr>
      </w:r>
      <w:r>
        <w:rPr>
          <w:spacing w:val="-3"/>
        </w:rPr>
        <w:t>案例推荐匹配度从</w:t>
      </w:r>
      <w:r>
        <w:rPr>
          <w:rFonts w:ascii="Times New Roman" w:hAnsi="Times New Roman" w:cs="Times New Roman" w:eastAsia="Times New Roman" w:hint="default"/>
          <w:spacing w:val="-3"/>
        </w:rPr>
        <w:t>20%</w:t>
      </w:r>
      <w:r>
        <w:rPr>
          <w:spacing w:val="-3"/>
        </w:rPr>
        <w:t>提升到</w:t>
      </w:r>
      <w:r>
        <w:rPr>
          <w:rFonts w:ascii="Times New Roman" w:hAnsi="Times New Roman" w:cs="Times New Roman" w:eastAsia="Times New Roman" w:hint="default"/>
          <w:spacing w:val="-3"/>
        </w:rPr>
        <w:t>90%</w:t>
      </w:r>
      <w:r>
        <w:rPr>
          <w:spacing w:val="-3"/>
        </w:rPr>
        <w:t>，实现精准推荐效果；还可以将笔录的修改时间从五十六分</w:t>
      </w:r>
      <w:r>
        <w:rPr>
          <w:spacing w:val="-113"/>
        </w:rPr>
        <w:t> </w:t>
      </w:r>
      <w:r>
        <w:rPr>
          <w:spacing w:val="-113"/>
        </w:rPr>
      </w:r>
      <w:r>
        <w:rPr/>
        <w:t>钟缩减到八分钟，将庭审记录的信息完整度从</w:t>
      </w:r>
      <w:r>
        <w:rPr>
          <w:rFonts w:ascii="Times New Roman" w:hAnsi="Times New Roman" w:cs="Times New Roman" w:eastAsia="Times New Roman" w:hint="default"/>
        </w:rPr>
        <w:t>30%</w:t>
      </w:r>
      <w:r>
        <w:rPr/>
        <w:t>提升到</w:t>
      </w:r>
      <w:r>
        <w:rPr>
          <w:rFonts w:ascii="Times New Roman" w:hAnsi="Times New Roman" w:cs="Times New Roman" w:eastAsia="Times New Roman" w:hint="default"/>
        </w:rPr>
        <w:t>100%</w:t>
      </w:r>
      <w:r>
        <w:rPr/>
        <w:t>，同时可以提供超过</w:t>
      </w:r>
      <w:r>
        <w:rPr>
          <w:rFonts w:ascii="Times New Roman" w:hAnsi="Times New Roman" w:cs="Times New Roman" w:eastAsia="Times New Roman" w:hint="default"/>
        </w:rPr>
        <w:t>80%</w:t>
      </w:r>
      <w:r>
        <w:rPr/>
        <w:t>的量</w:t>
      </w:r>
      <w:r>
        <w:rPr>
          <w:spacing w:val="-86"/>
        </w:rPr>
        <w:t> </w:t>
      </w:r>
      <w:r>
        <w:rPr/>
        <w:t>刑精准度分析、</w:t>
      </w:r>
      <w:r>
        <w:rPr>
          <w:rFonts w:ascii="Times New Roman" w:hAnsi="Times New Roman" w:cs="Times New Roman" w:eastAsia="Times New Roman" w:hint="default"/>
        </w:rPr>
        <w:t>70%</w:t>
      </w:r>
      <w:r>
        <w:rPr/>
        <w:t>以上庭审文本的自动生成效率提升比例。</w:t>
      </w:r>
    </w:p>
    <w:p>
      <w:pPr>
        <w:pStyle w:val="BodyText"/>
        <w:spacing w:line="295" w:lineRule="auto" w:before="41"/>
        <w:ind w:right="229" w:firstLine="480"/>
        <w:jc w:val="both"/>
      </w:pPr>
      <w:r>
        <w:rPr/>
        <w:t>公司积极储备未来法律科技市场的新动能，与清华大学法学院成立了清华大学法律大数 据研究中心，携手北京大学设立法律人工智能研究中心，通过课题方式推动法律大数据、法</w:t>
      </w:r>
      <w:r>
        <w:rPr>
          <w:spacing w:val="-91"/>
        </w:rPr>
        <w:t> </w:t>
      </w:r>
      <w:r>
        <w:rPr>
          <w:spacing w:val="-91"/>
        </w:rPr>
      </w:r>
      <w:r>
        <w:rPr>
          <w:spacing w:val="-5"/>
        </w:rPr>
        <w:t>律人工智能等领域深入研究，为未来的智慧法院和智慧检务等法律智能“蓄能”。公司与北京</w:t>
      </w:r>
      <w:r>
        <w:rPr>
          <w:spacing w:val="-117"/>
        </w:rPr>
        <w:t> </w:t>
      </w:r>
      <w:r>
        <w:rPr>
          <w:spacing w:val="-117"/>
        </w:rPr>
      </w:r>
      <w:r>
        <w:rPr/>
        <w:t>市检、贵州省检、山西高院等十多个省级客户签订了战略合作协议，在未来智慧法院、智慧</w:t>
      </w:r>
      <w:r>
        <w:rPr>
          <w:spacing w:val="-91"/>
        </w:rPr>
        <w:t> </w:t>
      </w:r>
      <w:r>
        <w:rPr>
          <w:spacing w:val="-91"/>
        </w:rPr>
      </w:r>
      <w:r>
        <w:rPr/>
        <w:t>检务建设进程中联合创新、联合研发。公司与阿里云签订了合作框架协议，在云计算、大数</w:t>
      </w:r>
      <w:r>
        <w:rPr>
          <w:spacing w:val="-91"/>
        </w:rPr>
        <w:t> </w:t>
      </w:r>
      <w:r>
        <w:rPr>
          <w:spacing w:val="-91"/>
        </w:rPr>
      </w:r>
      <w:r>
        <w:rPr>
          <w:spacing w:val="-3"/>
        </w:rPr>
        <w:t>据、人工智能等技术领域开展深度合作，共同推进智慧</w:t>
      </w:r>
      <w:r>
        <w:rPr>
          <w:rFonts w:ascii="Arial" w:hAnsi="Arial" w:cs="Arial" w:eastAsia="Arial" w:hint="default"/>
          <w:spacing w:val="-3"/>
        </w:rPr>
        <w:t>+</w:t>
      </w:r>
      <w:r>
        <w:rPr>
          <w:spacing w:val="-3"/>
        </w:rPr>
        <w:t>法院、智慧检务、智慧司法、智慧政</w:t>
      </w:r>
      <w:r>
        <w:rPr>
          <w:spacing w:val="-99"/>
        </w:rPr>
        <w:t> </w:t>
      </w:r>
      <w:r>
        <w:rPr>
          <w:spacing w:val="-99"/>
        </w:rPr>
      </w:r>
      <w:r>
        <w:rPr/>
        <w:t>法、智慧监察等产品和解决方案的落地和实践。</w:t>
      </w:r>
    </w:p>
    <w:p>
      <w:pPr>
        <w:pStyle w:val="BodyText"/>
        <w:spacing w:line="312" w:lineRule="auto" w:before="60"/>
        <w:ind w:left="633" w:right="94"/>
        <w:jc w:val="left"/>
      </w:pPr>
      <w:r>
        <w:rPr/>
        <w:t>【</w:t>
      </w:r>
      <w:r>
        <w:rPr>
          <w:rFonts w:ascii="Arial" w:hAnsi="Arial" w:cs="Arial" w:eastAsia="Arial" w:hint="default"/>
        </w:rPr>
        <w:t>1.5</w:t>
      </w:r>
      <w:r>
        <w:rPr>
          <w:rFonts w:ascii="Arial" w:hAnsi="Arial" w:cs="Arial" w:eastAsia="Arial" w:hint="default"/>
          <w:spacing w:val="-2"/>
        </w:rPr>
        <w:t> </w:t>
      </w:r>
      <w:r>
        <w:rPr>
          <w:rFonts w:ascii="Arial" w:hAnsi="Arial" w:cs="Arial" w:eastAsia="Arial" w:hint="default"/>
        </w:rPr>
        <w:t>2018</w:t>
      </w:r>
      <w:r>
        <w:rPr/>
        <w:t>年业务展望】 </w:t>
      </w:r>
      <w:r>
        <w:rPr>
          <w:spacing w:val="-11"/>
          <w:w w:val="99"/>
        </w:rPr>
        <w:t>根据《人民法院信息化建设五年发展规划（</w:t>
      </w:r>
      <w:r>
        <w:rPr>
          <w:rFonts w:ascii="Arial" w:hAnsi="Arial" w:cs="Arial" w:eastAsia="Arial" w:hint="default"/>
          <w:spacing w:val="-11"/>
          <w:w w:val="99"/>
        </w:rPr>
        <w:t>2016~2020</w:t>
      </w:r>
      <w:r>
        <w:rPr>
          <w:spacing w:val="-11"/>
          <w:w w:val="99"/>
        </w:rPr>
        <w:t>）》、《“十三五”时期科技强检规</w:t>
      </w:r>
    </w:p>
    <w:p>
      <w:pPr>
        <w:pStyle w:val="BodyText"/>
        <w:spacing w:line="311" w:lineRule="exact"/>
        <w:ind w:right="0"/>
        <w:jc w:val="both"/>
        <w:rPr>
          <w:rFonts w:ascii="Arial" w:hAnsi="Arial" w:cs="Arial" w:eastAsia="Arial" w:hint="default"/>
        </w:rPr>
      </w:pPr>
      <w:r>
        <w:rPr>
          <w:spacing w:val="-8"/>
        </w:rPr>
        <w:t>划纲要》的要求，</w:t>
      </w:r>
      <w:r>
        <w:rPr>
          <w:rFonts w:ascii="Arial" w:hAnsi="Arial" w:cs="Arial" w:eastAsia="Arial" w:hint="default"/>
          <w:spacing w:val="-8"/>
        </w:rPr>
        <w:t>2017</w:t>
      </w:r>
      <w:r>
        <w:rPr>
          <w:spacing w:val="-8"/>
        </w:rPr>
        <w:t>年基础能力建设、试点建设，为后续的全国推广和应用奠定基础，</w:t>
      </w:r>
      <w:r>
        <w:rPr>
          <w:rFonts w:ascii="Arial" w:hAnsi="Arial" w:cs="Arial" w:eastAsia="Arial" w:hint="default"/>
          <w:spacing w:val="-8"/>
        </w:rPr>
        <w:t>2018</w:t>
      </w:r>
    </w:p>
    <w:p>
      <w:pPr>
        <w:pStyle w:val="BodyText"/>
        <w:spacing w:line="290" w:lineRule="auto" w:before="57"/>
        <w:ind w:right="231"/>
        <w:jc w:val="both"/>
      </w:pPr>
      <w:r>
        <w:rPr/>
        <w:t>年将是各个行业智慧</w:t>
      </w:r>
      <w:r>
        <w:rPr>
          <w:rFonts w:ascii="Arial" w:hAnsi="Arial" w:cs="Arial" w:eastAsia="Arial" w:hint="default"/>
        </w:rPr>
        <w:t>+</w:t>
      </w:r>
      <w:r>
        <w:rPr/>
        <w:t>法律服务的深度推进之年，</w:t>
      </w:r>
      <w:r>
        <w:rPr>
          <w:spacing w:val="-38"/>
        </w:rPr>
        <w:t> </w:t>
      </w:r>
      <w:r>
        <w:rPr/>
        <w:t>智慧应用将全面发展。在</w:t>
      </w:r>
      <w:r>
        <w:rPr>
          <w:rFonts w:ascii="Arial" w:hAnsi="Arial" w:cs="Arial" w:eastAsia="Arial" w:hint="default"/>
        </w:rPr>
        <w:t>2017</w:t>
      </w:r>
      <w:r>
        <w:rPr/>
        <w:t>年取得成功 </w:t>
      </w:r>
      <w:r>
        <w:rPr>
          <w:spacing w:val="-1"/>
        </w:rPr>
        <w:t>的基础上，</w:t>
      </w:r>
      <w:r>
        <w:rPr>
          <w:rFonts w:ascii="Arial" w:hAnsi="Arial" w:cs="Arial" w:eastAsia="Arial" w:hint="default"/>
          <w:spacing w:val="-1"/>
        </w:rPr>
        <w:t>2018</w:t>
      </w:r>
      <w:r>
        <w:rPr>
          <w:spacing w:val="-1"/>
        </w:rPr>
        <w:t>年公司为法院、检察院、司法行政、政法委、监察委等各个行业继续深度研</w:t>
      </w:r>
      <w:r>
        <w:rPr>
          <w:spacing w:val="-103"/>
        </w:rPr>
        <w:t> </w:t>
      </w:r>
      <w:r>
        <w:rPr>
          <w:spacing w:val="-103"/>
        </w:rPr>
      </w:r>
      <w:r>
        <w:rPr>
          <w:spacing w:val="-9"/>
        </w:rPr>
        <w:t>发智慧</w:t>
      </w:r>
      <w:r>
        <w:rPr>
          <w:rFonts w:ascii="Arial" w:hAnsi="Arial" w:cs="Arial" w:eastAsia="Arial" w:hint="default"/>
          <w:spacing w:val="-9"/>
        </w:rPr>
        <w:t>+</w:t>
      </w:r>
      <w:r>
        <w:rPr>
          <w:spacing w:val="-9"/>
        </w:rPr>
        <w:t>系列产品和解决方案，全力构建华宇大数据平台“睿元”和华宇人工智平台“睿核”，</w:t>
      </w:r>
      <w:r>
        <w:rPr>
          <w:spacing w:val="-85"/>
        </w:rPr>
        <w:t> </w:t>
      </w:r>
      <w:r>
        <w:rPr>
          <w:spacing w:val="-85"/>
        </w:rPr>
      </w:r>
      <w:r>
        <w:rPr/>
        <w:t>为客户提供集中化、平台型、智能化、一体化、精细化的全新的综合解决方案，打造业务全</w:t>
      </w:r>
      <w:r>
        <w:rPr>
          <w:spacing w:val="-91"/>
        </w:rPr>
        <w:t> </w:t>
      </w:r>
      <w:r>
        <w:rPr>
          <w:spacing w:val="-91"/>
        </w:rPr>
      </w:r>
      <w:r>
        <w:rPr/>
        <w:t>面覆盖、创新业务模式、实体业务支持、精细化业务管理、自动化指挥调度的智慧法院、智</w:t>
      </w:r>
      <w:r>
        <w:rPr>
          <w:spacing w:val="-88"/>
        </w:rPr>
        <w:t> </w:t>
      </w:r>
      <w:r>
        <w:rPr>
          <w:spacing w:val="-88"/>
        </w:rPr>
      </w:r>
      <w:r>
        <w:rPr>
          <w:spacing w:val="-1"/>
        </w:rPr>
        <w:t>慧检务、智慧司法、智慧政法、智慧监察体系。</w:t>
      </w:r>
      <w:r>
        <w:rPr>
          <w:rFonts w:ascii="Arial" w:hAnsi="Arial" w:cs="Arial" w:eastAsia="Arial" w:hint="default"/>
          <w:spacing w:val="-1"/>
        </w:rPr>
        <w:t>2018</w:t>
      </w:r>
      <w:r>
        <w:rPr>
          <w:spacing w:val="-1"/>
        </w:rPr>
        <w:t>年法律科技市场预计仍然保持较高增长</w:t>
      </w:r>
      <w:r>
        <w:rPr>
          <w:spacing w:val="-98"/>
        </w:rPr>
        <w:t> </w:t>
      </w:r>
      <w:r>
        <w:rPr>
          <w:spacing w:val="-98"/>
        </w:rPr>
      </w:r>
      <w:r>
        <w:rPr/>
        <w:t>速度，这主要依赖三个业务增长引擎：一是智慧法律相关的创新解决方案和软件产品在全国</w:t>
      </w:r>
      <w:r>
        <w:rPr>
          <w:spacing w:val="-91"/>
        </w:rPr>
        <w:t> </w:t>
      </w:r>
      <w:r>
        <w:rPr>
          <w:spacing w:val="-91"/>
        </w:rPr>
      </w:r>
      <w:r>
        <w:rPr/>
        <w:t>各业务市场加速落地，二是政法委牵头下的政法机关互联互通以及后续的数据服务，三是监</w:t>
      </w:r>
      <w:r>
        <w:rPr>
          <w:spacing w:val="-91"/>
        </w:rPr>
        <w:t> </w:t>
      </w:r>
      <w:r>
        <w:rPr>
          <w:spacing w:val="-91"/>
        </w:rPr>
      </w:r>
      <w:r>
        <w:rPr/>
        <w:t>察委业务系统建设。</w:t>
      </w:r>
    </w:p>
    <w:p>
      <w:pPr>
        <w:pStyle w:val="Heading2"/>
        <w:spacing w:line="368" w:lineRule="exact"/>
        <w:ind w:right="0"/>
        <w:jc w:val="both"/>
        <w:rPr>
          <w:b w:val="0"/>
          <w:bCs w:val="0"/>
        </w:rPr>
      </w:pPr>
      <w:r>
        <w:rPr>
          <w:rFonts w:ascii="Arial" w:hAnsi="Arial" w:cs="Arial" w:eastAsia="Arial" w:hint="default"/>
        </w:rPr>
        <w:t>2</w:t>
      </w:r>
      <w:r>
        <w:rPr/>
        <w:t>、教育信息化</w:t>
      </w:r>
      <w:r>
        <w:rPr>
          <w:b w:val="0"/>
          <w:bCs w:val="0"/>
        </w:rPr>
      </w:r>
    </w:p>
    <w:p>
      <w:pPr>
        <w:pStyle w:val="BodyText"/>
        <w:spacing w:line="355" w:lineRule="auto" w:before="50"/>
        <w:ind w:left="748" w:right="94" w:hanging="116"/>
        <w:jc w:val="left"/>
      </w:pPr>
      <w:r>
        <w:rPr/>
        <w:t>【</w:t>
      </w:r>
      <w:r>
        <w:rPr>
          <w:rFonts w:ascii="Arial" w:hAnsi="Arial" w:cs="Arial" w:eastAsia="Arial" w:hint="default"/>
        </w:rPr>
        <w:t>2.1</w:t>
      </w:r>
      <w:r>
        <w:rPr>
          <w:rFonts w:ascii="Arial" w:hAnsi="Arial" w:cs="Arial" w:eastAsia="Arial" w:hint="default"/>
          <w:spacing w:val="54"/>
        </w:rPr>
        <w:t> </w:t>
      </w:r>
      <w:r>
        <w:rPr/>
        <w:t>市场情况和趋势】</w:t>
      </w:r>
      <w:r>
        <w:rPr>
          <w:w w:val="100"/>
        </w:rPr>
        <w:t> </w:t>
      </w:r>
      <w:r>
        <w:rPr/>
        <w:t>百年大计，教育为本。党的十九大报告围绕“优先发展教育事业”作出新的全面部署，</w:t>
      </w:r>
    </w:p>
    <w:p>
      <w:pPr>
        <w:pStyle w:val="BodyText"/>
        <w:spacing w:line="276" w:lineRule="exact"/>
        <w:ind w:left="266" w:right="0"/>
        <w:jc w:val="both"/>
      </w:pPr>
      <w:r>
        <w:rPr/>
        <w:t>明确提出“建设教育强国是中华民族伟大复兴的基础工程，必须把教育事业放在优先位置，</w:t>
      </w:r>
    </w:p>
    <w:p>
      <w:pPr>
        <w:pStyle w:val="BodyText"/>
        <w:spacing w:line="290" w:lineRule="auto" w:before="74"/>
        <w:ind w:left="266" w:right="232"/>
        <w:jc w:val="both"/>
      </w:pPr>
      <w:r>
        <w:rPr>
          <w:spacing w:val="-8"/>
        </w:rPr>
        <w:t>加快教育现代化，办好人民满意的教育”。教育信息化对我国教育改革发展、对落实十九大、</w:t>
      </w:r>
      <w:r>
        <w:rPr>
          <w:spacing w:val="-108"/>
        </w:rPr>
        <w:t> </w:t>
      </w:r>
      <w:r>
        <w:rPr>
          <w:spacing w:val="-108"/>
        </w:rPr>
      </w:r>
      <w:r>
        <w:rPr>
          <w:spacing w:val="14"/>
        </w:rPr>
        <w:t>加快教育现代化、提升教育质量具有重大的意义；教育部科技司司长雷朝滋在</w:t>
      </w:r>
      <w:r>
        <w:rPr>
          <w:rFonts w:ascii="Arial" w:hAnsi="Arial" w:cs="Arial" w:eastAsia="Arial" w:hint="default"/>
          <w:spacing w:val="14"/>
        </w:rPr>
        <w:t>2017</w:t>
      </w:r>
      <w:r>
        <w:rPr>
          <w:spacing w:val="14"/>
        </w:rPr>
        <w:t>年</w:t>
      </w:r>
      <w:r>
        <w:rPr>
          <w:spacing w:val="-106"/>
        </w:rPr>
        <w:t> </w:t>
      </w:r>
      <w:r>
        <w:rPr>
          <w:rFonts w:ascii="Arial" w:hAnsi="Arial" w:cs="Arial" w:eastAsia="Arial" w:hint="default"/>
          <w:spacing w:val="-3"/>
        </w:rPr>
        <w:t>CERNET</w:t>
      </w:r>
      <w:r>
        <w:rPr>
          <w:spacing w:val="-3"/>
        </w:rPr>
        <w:t>年会上指出，信息化是推进教育变革的革命性力量，是信息时代教育改革发展的必</w:t>
      </w:r>
    </w:p>
    <w:p>
      <w:pPr>
        <w:spacing w:after="0" w:line="290" w:lineRule="auto"/>
        <w:jc w:val="both"/>
        <w:sectPr>
          <w:pgSz w:w="11910" w:h="16840"/>
          <w:pgMar w:header="745" w:footer="980" w:top="1060" w:bottom="1160" w:left="980" w:right="900"/>
        </w:sectPr>
      </w:pPr>
    </w:p>
    <w:p>
      <w:pPr>
        <w:spacing w:line="240" w:lineRule="auto" w:before="8"/>
        <w:rPr>
          <w:rFonts w:ascii="宋体" w:hAnsi="宋体" w:cs="宋体" w:eastAsia="宋体" w:hint="default"/>
          <w:sz w:val="26"/>
          <w:szCs w:val="26"/>
        </w:rPr>
      </w:pPr>
    </w:p>
    <w:p>
      <w:pPr>
        <w:pStyle w:val="BodyText"/>
        <w:spacing w:line="288" w:lineRule="auto" w:before="26"/>
        <w:ind w:left="266" w:right="102"/>
        <w:jc w:val="left"/>
      </w:pPr>
      <w:r>
        <w:rPr/>
        <w:t>由之路，是促进教育公平、提高教育质量、推动教育改革的有力抓手和有效手段。根据党中 央的总体要求，公共财政优先保障教育方面的投入，近十年来全国财政性教育经费投入逐年 </w:t>
      </w:r>
      <w:r>
        <w:rPr>
          <w:spacing w:val="-3"/>
        </w:rPr>
        <w:t>增加，占</w:t>
      </w:r>
      <w:r>
        <w:rPr>
          <w:rFonts w:ascii="Arial" w:hAnsi="Arial" w:cs="Arial" w:eastAsia="Arial" w:hint="default"/>
          <w:spacing w:val="-3"/>
        </w:rPr>
        <w:t>GDP</w:t>
      </w:r>
      <w:r>
        <w:rPr>
          <w:spacing w:val="-3"/>
        </w:rPr>
        <w:t>比已经连续</w:t>
      </w:r>
      <w:r>
        <w:rPr>
          <w:rFonts w:ascii="Arial" w:hAnsi="Arial" w:cs="Arial" w:eastAsia="Arial" w:hint="default"/>
          <w:spacing w:val="-3"/>
        </w:rPr>
        <w:t>5</w:t>
      </w:r>
      <w:r>
        <w:rPr>
          <w:spacing w:val="-3"/>
        </w:rPr>
        <w:t>年保持在</w:t>
      </w:r>
      <w:r>
        <w:rPr>
          <w:rFonts w:ascii="Arial" w:hAnsi="Arial" w:cs="Arial" w:eastAsia="Arial" w:hint="default"/>
          <w:spacing w:val="-3"/>
        </w:rPr>
        <w:t>4%</w:t>
      </w:r>
      <w:r>
        <w:rPr>
          <w:spacing w:val="-3"/>
        </w:rPr>
        <w:t>以上，为教育事业全面发展奠定了坚实的基础。国家</w:t>
      </w:r>
      <w:r>
        <w:rPr>
          <w:spacing w:val="-114"/>
        </w:rPr>
        <w:t> </w:t>
      </w:r>
      <w:r>
        <w:rPr>
          <w:spacing w:val="-114"/>
        </w:rPr>
      </w:r>
      <w:r>
        <w:rPr/>
        <w:t>对教育的持续投入，使得我国教育信息化市场规模实现了快速发展，</w:t>
      </w:r>
      <w:r>
        <w:rPr>
          <w:spacing w:val="-7"/>
        </w:rPr>
        <w:t> </w:t>
      </w:r>
      <w:r>
        <w:rPr>
          <w:rFonts w:ascii="Arial" w:hAnsi="Arial" w:cs="Arial" w:eastAsia="Arial" w:hint="default"/>
        </w:rPr>
        <w:t>2016</w:t>
      </w:r>
      <w:r>
        <w:rPr/>
        <w:t>年教育信息化经 </w:t>
      </w:r>
      <w:r>
        <w:rPr>
          <w:spacing w:val="-6"/>
        </w:rPr>
        <w:t>费已超</w:t>
      </w:r>
      <w:r>
        <w:rPr>
          <w:rFonts w:ascii="Arial" w:hAnsi="Arial" w:cs="Arial" w:eastAsia="Arial" w:hint="default"/>
          <w:spacing w:val="-6"/>
        </w:rPr>
        <w:t>2500</w:t>
      </w:r>
      <w:r>
        <w:rPr>
          <w:spacing w:val="-6"/>
        </w:rPr>
        <w:t>亿；据估算，</w:t>
      </w:r>
      <w:r>
        <w:rPr>
          <w:rFonts w:ascii="Arial" w:hAnsi="Arial" w:cs="Arial" w:eastAsia="Arial" w:hint="default"/>
          <w:spacing w:val="-6"/>
        </w:rPr>
        <w:t>2020</w:t>
      </w:r>
      <w:r>
        <w:rPr>
          <w:spacing w:val="-6"/>
        </w:rPr>
        <w:t>年，教育信息化经费或将达</w:t>
      </w:r>
      <w:r>
        <w:rPr>
          <w:rFonts w:ascii="Arial" w:hAnsi="Arial" w:cs="Arial" w:eastAsia="Arial" w:hint="default"/>
          <w:spacing w:val="-6"/>
        </w:rPr>
        <w:t>3500</w:t>
      </w:r>
      <w:r>
        <w:rPr>
          <w:spacing w:val="-6"/>
        </w:rPr>
        <w:t>亿以上，在未来一定时期内，</w:t>
      </w:r>
      <w:r>
        <w:rPr>
          <w:spacing w:val="-93"/>
        </w:rPr>
        <w:t> </w:t>
      </w:r>
      <w:r>
        <w:rPr>
          <w:spacing w:val="-93"/>
        </w:rPr>
      </w:r>
      <w:r>
        <w:rPr>
          <w:spacing w:val="-2"/>
        </w:rPr>
        <w:t>教育信息化的投入规模将仍然保持较高的增长速度，教育信息化行业将面临广阔的发展空间。</w:t>
      </w:r>
    </w:p>
    <w:p>
      <w:pPr>
        <w:pStyle w:val="BodyText"/>
        <w:spacing w:line="240" w:lineRule="auto" w:before="130"/>
        <w:ind w:left="748" w:right="107"/>
        <w:jc w:val="left"/>
      </w:pPr>
      <w:r>
        <w:rPr/>
        <w:t>【</w:t>
      </w:r>
      <w:r>
        <w:rPr>
          <w:rFonts w:ascii="Arial" w:hAnsi="Arial" w:cs="Arial" w:eastAsia="Arial" w:hint="default"/>
        </w:rPr>
        <w:t>2.2</w:t>
      </w:r>
      <w:r>
        <w:rPr>
          <w:rFonts w:ascii="Arial" w:hAnsi="Arial" w:cs="Arial" w:eastAsia="Arial" w:hint="default"/>
          <w:spacing w:val="54"/>
        </w:rPr>
        <w:t> </w:t>
      </w:r>
      <w:r>
        <w:rPr/>
        <w:t>业务发展策略】</w:t>
      </w:r>
    </w:p>
    <w:p>
      <w:pPr>
        <w:pStyle w:val="BodyText"/>
        <w:spacing w:line="292" w:lineRule="auto" w:before="158"/>
        <w:ind w:left="266" w:right="344" w:firstLine="482"/>
        <w:jc w:val="both"/>
      </w:pPr>
      <w:r>
        <w:rPr>
          <w:rFonts w:ascii="Arial" w:hAnsi="Arial" w:cs="Arial" w:eastAsia="Arial" w:hint="default"/>
        </w:rPr>
        <w:t>2017</w:t>
      </w:r>
      <w:r>
        <w:rPr/>
        <w:t>年，公司通过并购联奕科技进入教育信息化领域。联奕科技成立于</w:t>
      </w:r>
      <w:r>
        <w:rPr>
          <w:rFonts w:ascii="Arial" w:hAnsi="Arial" w:cs="Arial" w:eastAsia="Arial" w:hint="default"/>
        </w:rPr>
        <w:t>2004</w:t>
      </w:r>
      <w:r>
        <w:rPr/>
        <w:t>年，为教</w:t>
      </w:r>
      <w:r>
        <w:rPr>
          <w:spacing w:val="2"/>
        </w:rPr>
        <w:t> </w:t>
      </w:r>
      <w:r>
        <w:rPr>
          <w:spacing w:val="-2"/>
        </w:rPr>
        <w:t>育信息化行业专业、领先的智慧校园创新解决方案服务商，是国内首家智慧校园领域容器云</w:t>
      </w:r>
      <w:r>
        <w:rPr>
          <w:spacing w:val="-118"/>
        </w:rPr>
        <w:t> </w:t>
      </w:r>
      <w:r>
        <w:rPr>
          <w:spacing w:val="-118"/>
        </w:rPr>
      </w:r>
      <w:r>
        <w:rPr>
          <w:spacing w:val="-6"/>
        </w:rPr>
        <w:t>平台，生产级的容器云服务提供商，助力高校打造领先的原生应用云平台，实现“互联网</w:t>
      </w:r>
      <w:r>
        <w:rPr>
          <w:rFonts w:ascii="Arial" w:hAnsi="Arial" w:cs="Arial" w:eastAsia="Arial" w:hint="default"/>
          <w:spacing w:val="-6"/>
        </w:rPr>
        <w:t>+</w:t>
      </w:r>
      <w:r>
        <w:rPr>
          <w:spacing w:val="-6"/>
        </w:rPr>
        <w:t>”</w:t>
      </w:r>
      <w:r>
        <w:rPr>
          <w:spacing w:val="-86"/>
        </w:rPr>
        <w:t> </w:t>
      </w:r>
      <w:r>
        <w:rPr>
          <w:spacing w:val="-2"/>
        </w:rPr>
        <w:t>持续创新。多年来，联奕科技以自研软件产品为核心提供智慧校园产品及解决方案，定位于</w:t>
      </w:r>
      <w:r>
        <w:rPr>
          <w:spacing w:val="-116"/>
        </w:rPr>
        <w:t> </w:t>
      </w:r>
      <w:r>
        <w:rPr>
          <w:spacing w:val="-116"/>
        </w:rPr>
      </w:r>
      <w:r>
        <w:rPr>
          <w:spacing w:val="-2"/>
        </w:rPr>
        <w:t>解决校园教育信息化领域信息管理方面的精细化、智能化和服务化需求，致力于“教学、教</w:t>
      </w:r>
      <w:r>
        <w:rPr>
          <w:spacing w:val="-118"/>
        </w:rPr>
        <w:t> </w:t>
      </w:r>
      <w:r>
        <w:rPr>
          <w:spacing w:val="-118"/>
        </w:rPr>
      </w:r>
      <w:r>
        <w:rPr>
          <w:spacing w:val="-2"/>
        </w:rPr>
        <w:t>务、学生服务”等多方面、多场景的实际需求，积累了丰富的教育信息化行业业务经验。目</w:t>
      </w:r>
      <w:r>
        <w:rPr>
          <w:spacing w:val="-116"/>
        </w:rPr>
        <w:t> </w:t>
      </w:r>
      <w:r>
        <w:rPr>
          <w:spacing w:val="-116"/>
        </w:rPr>
      </w:r>
      <w:r>
        <w:rPr/>
        <w:t>前，公司更多专注在高校教育信息化领域。</w:t>
      </w:r>
    </w:p>
    <w:p>
      <w:pPr>
        <w:pStyle w:val="BodyText"/>
        <w:spacing w:line="355" w:lineRule="auto" w:before="122"/>
        <w:ind w:left="748" w:right="107"/>
        <w:jc w:val="left"/>
      </w:pPr>
      <w:r>
        <w:rPr/>
        <w:t>【</w:t>
      </w:r>
      <w:r>
        <w:rPr>
          <w:rFonts w:ascii="Arial" w:hAnsi="Arial" w:cs="Arial" w:eastAsia="Arial" w:hint="default"/>
        </w:rPr>
        <w:t>2.3</w:t>
      </w:r>
      <w:r>
        <w:rPr>
          <w:rFonts w:ascii="Arial" w:hAnsi="Arial" w:cs="Arial" w:eastAsia="Arial" w:hint="default"/>
          <w:spacing w:val="54"/>
        </w:rPr>
        <w:t> </w:t>
      </w:r>
      <w:r>
        <w:rPr/>
        <w:t>报告期业务发展情况】</w:t>
      </w:r>
      <w:r>
        <w:rPr>
          <w:w w:val="100"/>
        </w:rPr>
        <w:t> </w:t>
      </w:r>
      <w:r>
        <w:rPr>
          <w:spacing w:val="-3"/>
        </w:rPr>
        <w:t>随着解决方案的完善、产品线的拓宽和业务范围的扩大，覆盖客户的范围持续增加。公</w:t>
      </w:r>
    </w:p>
    <w:p>
      <w:pPr>
        <w:pStyle w:val="BodyText"/>
        <w:spacing w:line="293" w:lineRule="exact"/>
        <w:ind w:left="266" w:right="0"/>
        <w:jc w:val="both"/>
      </w:pPr>
      <w:r>
        <w:rPr/>
        <w:t>司已成功为</w:t>
      </w:r>
      <w:r>
        <w:rPr>
          <w:rFonts w:ascii="Arial" w:hAnsi="Arial" w:cs="Arial" w:eastAsia="Arial" w:hint="default"/>
        </w:rPr>
        <w:t>700</w:t>
      </w:r>
      <w:r>
        <w:rPr/>
        <w:t>多所高校、</w:t>
      </w:r>
      <w:r>
        <w:rPr>
          <w:rFonts w:ascii="Arial" w:hAnsi="Arial" w:cs="Arial" w:eastAsia="Arial" w:hint="default"/>
        </w:rPr>
        <w:t>1000</w:t>
      </w:r>
      <w:r>
        <w:rPr/>
        <w:t>多万师生提供了信息化服务，整体智慧校园解决方案在各类</w:t>
      </w:r>
    </w:p>
    <w:p>
      <w:pPr>
        <w:pStyle w:val="BodyText"/>
        <w:spacing w:line="240" w:lineRule="auto" w:before="57"/>
        <w:ind w:left="266" w:right="0"/>
        <w:jc w:val="both"/>
      </w:pPr>
      <w:r>
        <w:rPr/>
        <w:t>学校中得到广泛应用，其中部分学校的智慧校园建设项目已成为区域乃至全国的样板或示范</w:t>
      </w:r>
    </w:p>
    <w:p>
      <w:pPr>
        <w:pStyle w:val="BodyText"/>
        <w:spacing w:line="390" w:lineRule="exact" w:before="45"/>
        <w:ind w:left="266" w:right="351"/>
        <w:jc w:val="both"/>
      </w:pPr>
      <w:r>
        <w:rPr>
          <w:spacing w:val="-3"/>
        </w:rPr>
        <w:t>工程。目前，公司以华南为中心，客户覆盖全国</w:t>
      </w:r>
      <w:r>
        <w:rPr>
          <w:rFonts w:ascii="Arial" w:hAnsi="Arial" w:cs="Arial" w:eastAsia="Arial" w:hint="default"/>
          <w:spacing w:val="-3"/>
        </w:rPr>
        <w:t>28</w:t>
      </w:r>
      <w:r>
        <w:rPr>
          <w:spacing w:val="-3"/>
        </w:rPr>
        <w:t>个省市、自治区，并已形成覆盖全国的服</w:t>
      </w:r>
      <w:r>
        <w:rPr>
          <w:spacing w:val="-106"/>
        </w:rPr>
        <w:t> </w:t>
      </w:r>
      <w:r>
        <w:rPr>
          <w:spacing w:val="-106"/>
        </w:rPr>
      </w:r>
      <w:r>
        <w:rPr>
          <w:spacing w:val="-2"/>
        </w:rPr>
        <w:t>务网络。报告期内，</w:t>
      </w:r>
      <w:r>
        <w:rPr>
          <w:rFonts w:ascii="Microsoft JhengHei" w:hAnsi="Microsoft JhengHei" w:cs="Microsoft JhengHei" w:eastAsia="Microsoft JhengHei" w:hint="default"/>
          <w:b/>
          <w:bCs/>
          <w:spacing w:val="-2"/>
        </w:rPr>
        <w:t>东区</w:t>
      </w:r>
      <w:r>
        <w:rPr>
          <w:spacing w:val="-2"/>
        </w:rPr>
        <w:t>江苏区域引领了高职教学诊断与改进项目的先锋，其中公司建设的</w:t>
      </w:r>
    </w:p>
    <w:p>
      <w:pPr>
        <w:pStyle w:val="BodyText"/>
        <w:spacing w:line="264" w:lineRule="auto" w:before="33"/>
        <w:ind w:left="266" w:right="348"/>
        <w:jc w:val="both"/>
      </w:pPr>
      <w:r>
        <w:rPr>
          <w:spacing w:val="-4"/>
        </w:rPr>
        <w:t>无锡职业技术学院诊改项目在全国高职高专校长联席会议</w:t>
      </w:r>
      <w:r>
        <w:rPr>
          <w:rFonts w:ascii="Arial" w:hAnsi="Arial" w:cs="Arial" w:eastAsia="Arial" w:hint="default"/>
          <w:spacing w:val="-4"/>
        </w:rPr>
        <w:t>2017</w:t>
      </w:r>
      <w:r>
        <w:rPr>
          <w:spacing w:val="-4"/>
        </w:rPr>
        <w:t>年年会“特色·协调·共舞”</w:t>
      </w:r>
      <w:r>
        <w:rPr>
          <w:spacing w:val="-86"/>
        </w:rPr>
        <w:t> </w:t>
      </w:r>
      <w:r>
        <w:rPr>
          <w:spacing w:val="-86"/>
        </w:rPr>
      </w:r>
      <w:r>
        <w:rPr>
          <w:spacing w:val="-3"/>
        </w:rPr>
        <w:t>成果展中被评为“优秀案例”，报告期内还陆续中标了江苏食品药品职业技术学院、江苏财</w:t>
      </w:r>
      <w:r>
        <w:rPr>
          <w:spacing w:val="-84"/>
        </w:rPr>
        <w:t> </w:t>
      </w:r>
      <w:r>
        <w:rPr>
          <w:spacing w:val="-84"/>
        </w:rPr>
      </w:r>
      <w:r>
        <w:rPr>
          <w:spacing w:val="-2"/>
        </w:rPr>
        <w:t>经职业技术学院等诊改项目，为今后在该领域的大力推广奠定了良好的基础。</w:t>
      </w:r>
      <w:r>
        <w:rPr>
          <w:rFonts w:ascii="Microsoft JhengHei" w:hAnsi="Microsoft JhengHei" w:cs="Microsoft JhengHei" w:eastAsia="Microsoft JhengHei" w:hint="default"/>
          <w:b/>
          <w:bCs/>
          <w:spacing w:val="-2"/>
        </w:rPr>
        <w:t>西区</w:t>
      </w:r>
      <w:r>
        <w:rPr>
          <w:spacing w:val="-2"/>
        </w:rPr>
        <w:t>新疆市场</w:t>
      </w:r>
      <w:r>
        <w:rPr>
          <w:spacing w:val="-112"/>
        </w:rPr>
        <w:t> </w:t>
      </w:r>
      <w:r>
        <w:rPr>
          <w:spacing w:val="-2"/>
        </w:rPr>
        <w:t>实现零突破，中标新疆轻工职业技术学院项目，并依托本项目成果在当地形成良好的口碑效</w:t>
      </w:r>
    </w:p>
    <w:p>
      <w:pPr>
        <w:pStyle w:val="BodyText"/>
        <w:spacing w:line="254" w:lineRule="auto" w:before="53"/>
        <w:ind w:left="266" w:right="350"/>
        <w:jc w:val="both"/>
      </w:pPr>
      <w:r>
        <w:rPr>
          <w:spacing w:val="-2"/>
        </w:rPr>
        <w:t>应，公司的项目规划及实施建设能力获新疆多所高校认可；同时中标遵义医学院及遵义医学</w:t>
      </w:r>
      <w:r>
        <w:rPr>
          <w:spacing w:val="-118"/>
        </w:rPr>
        <w:t> </w:t>
      </w:r>
      <w:r>
        <w:rPr>
          <w:spacing w:val="-118"/>
        </w:rPr>
      </w:r>
      <w:r>
        <w:rPr>
          <w:spacing w:val="-2"/>
        </w:rPr>
        <w:t>院（珠海校区）项目，开创一校两方案的建设新模式；</w:t>
      </w:r>
      <w:r>
        <w:rPr>
          <w:rFonts w:ascii="Microsoft JhengHei" w:hAnsi="Microsoft JhengHei" w:cs="Microsoft JhengHei" w:eastAsia="Microsoft JhengHei" w:hint="default"/>
          <w:b/>
          <w:bCs/>
          <w:spacing w:val="-2"/>
        </w:rPr>
        <w:t>南区</w:t>
      </w:r>
      <w:r>
        <w:rPr>
          <w:spacing w:val="-2"/>
        </w:rPr>
        <w:t>广东市场成果显著，由公司参与</w:t>
      </w:r>
      <w:r>
        <w:rPr>
          <w:spacing w:val="-117"/>
        </w:rPr>
        <w:t> </w:t>
      </w:r>
      <w:r>
        <w:rPr>
          <w:spacing w:val="-117"/>
        </w:rPr>
      </w:r>
      <w:r>
        <w:rPr>
          <w:spacing w:val="-2"/>
        </w:rPr>
        <w:t>建设的广州城建职业学院、广东机电职业技术学院、广东工贸职业技术学院、河源职业技术</w:t>
      </w:r>
    </w:p>
    <w:p>
      <w:pPr>
        <w:pStyle w:val="BodyText"/>
        <w:spacing w:line="264" w:lineRule="auto" w:before="60"/>
        <w:ind w:left="266" w:right="349"/>
        <w:jc w:val="both"/>
      </w:pPr>
      <w:r>
        <w:rPr>
          <w:spacing w:val="-2"/>
        </w:rPr>
        <w:t>学院、广东农工商职业技术学院、清远职业技术学院均通过审核，入选由中央电化教育馆遴</w:t>
      </w:r>
      <w:r>
        <w:rPr>
          <w:spacing w:val="-112"/>
        </w:rPr>
        <w:t> </w:t>
      </w:r>
      <w:r>
        <w:rPr>
          <w:spacing w:val="-112"/>
        </w:rPr>
      </w:r>
      <w:r>
        <w:rPr>
          <w:spacing w:val="-2"/>
        </w:rPr>
        <w:t>选的第三批职业院校数字校园建设实验校。</w:t>
      </w:r>
      <w:r>
        <w:rPr>
          <w:rFonts w:ascii="Microsoft JhengHei" w:hAnsi="Microsoft JhengHei" w:cs="Microsoft JhengHei" w:eastAsia="Microsoft JhengHei" w:hint="default"/>
          <w:b/>
          <w:bCs/>
          <w:spacing w:val="-2"/>
        </w:rPr>
        <w:t>北区</w:t>
      </w:r>
      <w:r>
        <w:rPr>
          <w:spacing w:val="-2"/>
        </w:rPr>
        <w:t>华北市场呈井喷式发展，陆续中标北京电影</w:t>
      </w:r>
      <w:r>
        <w:rPr>
          <w:spacing w:val="-118"/>
        </w:rPr>
        <w:t> </w:t>
      </w:r>
      <w:r>
        <w:rPr>
          <w:spacing w:val="-118"/>
        </w:rPr>
      </w:r>
      <w:r>
        <w:rPr>
          <w:spacing w:val="-2"/>
        </w:rPr>
        <w:t>学院、北京联合大学、北京石油化工学院、天津市东丽区教育局、天津市劳动经济学校、天</w:t>
      </w:r>
      <w:r>
        <w:rPr>
          <w:spacing w:val="-115"/>
        </w:rPr>
        <w:t> </w:t>
      </w:r>
      <w:r>
        <w:rPr>
          <w:spacing w:val="-115"/>
        </w:rPr>
      </w:r>
      <w:r>
        <w:rPr>
          <w:spacing w:val="-2"/>
        </w:rPr>
        <w:t>津市滨海新区塘沽教学仪器设备站、河北工业大学、衡水职业技术学院等重大项目；</w:t>
      </w:r>
      <w:r>
        <w:rPr>
          <w:rFonts w:ascii="Microsoft JhengHei" w:hAnsi="Microsoft JhengHei" w:cs="Microsoft JhengHei" w:eastAsia="Microsoft JhengHei" w:hint="default"/>
          <w:b/>
          <w:bCs/>
          <w:spacing w:val="-2"/>
        </w:rPr>
        <w:t>中区</w:t>
      </w:r>
      <w:r>
        <w:rPr>
          <w:spacing w:val="-2"/>
        </w:rPr>
        <w:t>湖</w:t>
      </w:r>
      <w:r>
        <w:rPr>
          <w:spacing w:val="-116"/>
        </w:rPr>
        <w:t> </w:t>
      </w:r>
      <w:r>
        <w:rPr/>
        <w:t>北市场武汉大学学生一站式办事大厅基于公司自主研发的容器平台奕云</w:t>
      </w:r>
      <w:r>
        <w:rPr>
          <w:rFonts w:ascii="Arial" w:hAnsi="Arial" w:cs="Arial" w:eastAsia="Arial" w:hint="default"/>
        </w:rPr>
        <w:t>CaaS</w:t>
      </w:r>
      <w:r>
        <w:rPr/>
        <w:t>平台实现，该</w:t>
      </w:r>
      <w:r>
        <w:rPr>
          <w:spacing w:val="-77"/>
        </w:rPr>
        <w:t> </w:t>
      </w:r>
      <w:r>
        <w:rPr>
          <w:spacing w:val="-77"/>
        </w:rPr>
      </w:r>
      <w:r>
        <w:rPr/>
        <w:t>办事大厅在</w:t>
      </w:r>
      <w:r>
        <w:rPr>
          <w:rFonts w:ascii="Arial" w:hAnsi="Arial" w:cs="Arial" w:eastAsia="Arial" w:hint="default"/>
        </w:rPr>
        <w:t>2017</w:t>
      </w:r>
      <w:r>
        <w:rPr/>
        <w:t>迎新季凭着稳定的性能和超高的效率成为</w:t>
      </w:r>
      <w:r>
        <w:rPr>
          <w:rFonts w:ascii="Arial" w:hAnsi="Arial" w:cs="Arial" w:eastAsia="Arial" w:hint="default"/>
        </w:rPr>
        <w:t>2017</w:t>
      </w:r>
      <w:r>
        <w:rPr/>
        <w:t>年高校办事大厅里的业界新</w:t>
      </w:r>
      <w:r>
        <w:rPr>
          <w:spacing w:val="-70"/>
        </w:rPr>
        <w:t> </w:t>
      </w:r>
      <w:r>
        <w:rPr>
          <w:spacing w:val="-70"/>
        </w:rPr>
      </w:r>
      <w:r>
        <w:rPr>
          <w:spacing w:val="-2"/>
        </w:rPr>
        <w:t>标杆；华中农业大学数据交换与综合治理平台项目基于微服务技术架构，以大数据和互联网</w:t>
      </w:r>
    </w:p>
    <w:p>
      <w:pPr>
        <w:spacing w:after="0" w:line="264" w:lineRule="auto"/>
        <w:jc w:val="both"/>
        <w:sectPr>
          <w:pgSz w:w="11910" w:h="16840"/>
          <w:pgMar w:header="745" w:footer="980" w:top="1060" w:bottom="1160" w:left="980" w:right="780"/>
        </w:sectPr>
      </w:pPr>
    </w:p>
    <w:p>
      <w:pPr>
        <w:spacing w:line="240" w:lineRule="auto" w:before="8"/>
        <w:rPr>
          <w:rFonts w:ascii="宋体" w:hAnsi="宋体" w:cs="宋体" w:eastAsia="宋体" w:hint="default"/>
          <w:sz w:val="26"/>
          <w:szCs w:val="26"/>
        </w:rPr>
      </w:pPr>
    </w:p>
    <w:p>
      <w:pPr>
        <w:pStyle w:val="BodyText"/>
        <w:spacing w:line="297" w:lineRule="auto" w:before="26"/>
        <w:ind w:left="266" w:right="235"/>
        <w:jc w:val="both"/>
      </w:pPr>
      <w:r>
        <w:rPr>
          <w:spacing w:val="-2"/>
        </w:rPr>
        <w:t>架构的智慧校园平台结构为基础，对学校现有数据中心进行全面升级改造，构建全新的高校</w:t>
      </w:r>
      <w:r>
        <w:rPr>
          <w:spacing w:val="-118"/>
        </w:rPr>
        <w:t> </w:t>
      </w:r>
      <w:r>
        <w:rPr>
          <w:spacing w:val="-118"/>
        </w:rPr>
      </w:r>
      <w:r>
        <w:rPr/>
        <w:t>数据中心软件平台及数据治理体系，率先在国内高校建成了目标明确的数据治理工程。</w:t>
      </w:r>
    </w:p>
    <w:p>
      <w:pPr>
        <w:pStyle w:val="BodyText"/>
        <w:spacing w:line="355" w:lineRule="auto" w:before="120"/>
        <w:ind w:left="748" w:right="94" w:hanging="116"/>
        <w:jc w:val="left"/>
      </w:pPr>
      <w:r>
        <w:rPr/>
        <w:t>【</w:t>
      </w:r>
      <w:r>
        <w:rPr>
          <w:rFonts w:ascii="Arial" w:hAnsi="Arial" w:cs="Arial" w:eastAsia="Arial" w:hint="default"/>
        </w:rPr>
        <w:t>2.4</w:t>
      </w:r>
      <w:r>
        <w:rPr>
          <w:rFonts w:ascii="Arial" w:hAnsi="Arial" w:cs="Arial" w:eastAsia="Arial" w:hint="default"/>
          <w:spacing w:val="54"/>
        </w:rPr>
        <w:t> </w:t>
      </w:r>
      <w:r>
        <w:rPr/>
        <w:t>产品和方案创新】</w:t>
      </w:r>
      <w:r>
        <w:rPr>
          <w:w w:val="100"/>
        </w:rPr>
        <w:t> </w:t>
      </w:r>
      <w:r>
        <w:rPr>
          <w:spacing w:val="-3"/>
        </w:rPr>
        <w:t>公司以持续技术创新为核心竞争力。在技术路线方面，公司率先将已在金融、电商、互</w:t>
      </w:r>
    </w:p>
    <w:p>
      <w:pPr>
        <w:pStyle w:val="BodyText"/>
        <w:spacing w:line="274" w:lineRule="exact"/>
        <w:ind w:left="266" w:right="0"/>
        <w:jc w:val="both"/>
      </w:pPr>
      <w:r>
        <w:rPr/>
        <w:t>联网等行业得到成熟应用的微服务技术架构引入教育信息化领域，基于此全新技术构建高度</w:t>
      </w:r>
    </w:p>
    <w:p>
      <w:pPr>
        <w:pStyle w:val="BodyText"/>
        <w:spacing w:line="288" w:lineRule="auto" w:before="77"/>
        <w:ind w:left="266" w:right="228"/>
        <w:jc w:val="both"/>
      </w:pPr>
      <w:r>
        <w:rPr>
          <w:spacing w:val="-8"/>
        </w:rPr>
        <w:t>柔性、强鲁棒性、全面开放的智慧校园基础支撑平台，为高校提供高可用的、可伸缩性强的、</w:t>
      </w:r>
      <w:r>
        <w:rPr>
          <w:spacing w:val="-112"/>
        </w:rPr>
        <w:t> </w:t>
      </w:r>
      <w:r>
        <w:rPr>
          <w:spacing w:val="-112"/>
        </w:rPr>
      </w:r>
      <w:r>
        <w:rPr>
          <w:spacing w:val="-4"/>
        </w:rPr>
        <w:t>且支持敏捷交付的支撑平台及各类应用产品。</w:t>
      </w:r>
      <w:r>
        <w:rPr>
          <w:rFonts w:ascii="Arial" w:hAnsi="Arial" w:cs="Arial" w:eastAsia="Arial" w:hint="default"/>
          <w:spacing w:val="-4"/>
        </w:rPr>
        <w:t>2017</w:t>
      </w:r>
      <w:r>
        <w:rPr>
          <w:spacing w:val="-4"/>
        </w:rPr>
        <w:t>年，中标并完成中山大学本科教务系统项</w:t>
      </w:r>
      <w:r>
        <w:rPr>
          <w:spacing w:val="-84"/>
        </w:rPr>
        <w:t> </w:t>
      </w:r>
      <w:r>
        <w:rPr>
          <w:spacing w:val="-84"/>
        </w:rPr>
      </w:r>
      <w:r>
        <w:rPr>
          <w:spacing w:val="-2"/>
        </w:rPr>
        <w:t>目的建设，采用最新的微服务架构技术重构完全学分制本科教务系统，这是是在整个教务领</w:t>
      </w:r>
      <w:r>
        <w:rPr>
          <w:spacing w:val="-118"/>
        </w:rPr>
        <w:t> </w:t>
      </w:r>
      <w:r>
        <w:rPr>
          <w:spacing w:val="-118"/>
        </w:rPr>
      </w:r>
      <w:r>
        <w:rPr>
          <w:spacing w:val="-7"/>
          <w:w w:val="99"/>
        </w:rPr>
        <w:t>域极具示范意义。</w:t>
      </w:r>
      <w:r>
        <w:rPr>
          <w:rFonts w:ascii="Arial" w:hAnsi="Arial" w:cs="Arial" w:eastAsia="Arial" w:hint="default"/>
          <w:spacing w:val="-7"/>
          <w:w w:val="99"/>
        </w:rPr>
        <w:t>2017</w:t>
      </w:r>
      <w:r>
        <w:rPr>
          <w:spacing w:val="-7"/>
          <w:w w:val="99"/>
        </w:rPr>
        <w:t>年</w:t>
      </w:r>
      <w:r>
        <w:rPr>
          <w:rFonts w:ascii="Arial" w:hAnsi="Arial" w:cs="Arial" w:eastAsia="Arial" w:hint="default"/>
          <w:spacing w:val="-7"/>
          <w:w w:val="99"/>
        </w:rPr>
        <w:t>11</w:t>
      </w:r>
      <w:r>
        <w:rPr>
          <w:spacing w:val="-7"/>
          <w:w w:val="99"/>
        </w:rPr>
        <w:t>月发布智慧校园领域首款容器云平台（奕云</w:t>
      </w:r>
      <w:r>
        <w:rPr>
          <w:rFonts w:ascii="Arial" w:hAnsi="Arial" w:cs="Arial" w:eastAsia="Arial" w:hint="default"/>
          <w:spacing w:val="-7"/>
          <w:w w:val="99"/>
        </w:rPr>
        <w:t>CaaS</w:t>
      </w:r>
      <w:r>
        <w:rPr>
          <w:spacing w:val="-7"/>
          <w:w w:val="99"/>
        </w:rPr>
        <w:t>），这一技术可</w:t>
      </w:r>
      <w:r>
        <w:rPr>
          <w:spacing w:val="-82"/>
          <w:w w:val="99"/>
        </w:rPr>
        <w:t> </w:t>
      </w:r>
      <w:r>
        <w:rPr>
          <w:spacing w:val="-82"/>
          <w:w w:val="99"/>
        </w:rPr>
      </w:r>
      <w:r>
        <w:rPr>
          <w:spacing w:val="-3"/>
        </w:rPr>
        <w:t>为高校提供</w:t>
      </w:r>
      <w:r>
        <w:rPr>
          <w:rFonts w:ascii="Arial" w:hAnsi="Arial" w:cs="Arial" w:eastAsia="Arial" w:hint="default"/>
          <w:spacing w:val="-3"/>
        </w:rPr>
        <w:t>DevOps</w:t>
      </w:r>
      <w:r>
        <w:rPr>
          <w:spacing w:val="-3"/>
        </w:rPr>
        <w:t>、微服务架构、自动化运维等解决方案，通过奕云</w:t>
      </w:r>
      <w:r>
        <w:rPr>
          <w:rFonts w:ascii="Arial" w:hAnsi="Arial" w:cs="Arial" w:eastAsia="Arial" w:hint="default"/>
          <w:spacing w:val="-3"/>
        </w:rPr>
        <w:t>CaaS</w:t>
      </w:r>
      <w:r>
        <w:rPr>
          <w:spacing w:val="-3"/>
        </w:rPr>
        <w:t>容器云平台提供</w:t>
      </w:r>
      <w:r>
        <w:rPr>
          <w:spacing w:val="-95"/>
        </w:rPr>
        <w:t> </w:t>
      </w:r>
      <w:r>
        <w:rPr>
          <w:spacing w:val="-95"/>
        </w:rPr>
      </w:r>
      <w:r>
        <w:rPr>
          <w:spacing w:val="-2"/>
        </w:rPr>
        <w:t>的容器服务，助力高校实现基础设施云化，应用架构现代化，开发流程敏捷化，打造行业领</w:t>
      </w:r>
      <w:r>
        <w:rPr>
          <w:w w:val="100"/>
        </w:rPr>
        <w:t> </w:t>
      </w:r>
      <w:r>
        <w:rPr>
          <w:spacing w:val="-2"/>
        </w:rPr>
        <w:t>先的</w:t>
      </w:r>
      <w:r>
        <w:rPr>
          <w:rFonts w:ascii="Arial" w:hAnsi="Arial" w:cs="Arial" w:eastAsia="Arial" w:hint="default"/>
          <w:spacing w:val="-2"/>
        </w:rPr>
        <w:t>IT</w:t>
      </w:r>
      <w:r>
        <w:rPr>
          <w:spacing w:val="-2"/>
        </w:rPr>
        <w:t>能力。公司与武汉大学深度合作，为其打造的学生一站式办事大厅基于公司自主研发</w:t>
      </w:r>
      <w:r>
        <w:rPr>
          <w:spacing w:val="-87"/>
        </w:rPr>
        <w:t> </w:t>
      </w:r>
      <w:r>
        <w:rPr>
          <w:spacing w:val="-87"/>
        </w:rPr>
      </w:r>
      <w:r>
        <w:rPr>
          <w:spacing w:val="-1"/>
        </w:rPr>
        <w:t>的容器平台奕云</w:t>
      </w:r>
      <w:r>
        <w:rPr>
          <w:rFonts w:ascii="Arial" w:hAnsi="Arial" w:cs="Arial" w:eastAsia="Arial" w:hint="default"/>
          <w:spacing w:val="-1"/>
        </w:rPr>
        <w:t>CaaS</w:t>
      </w:r>
      <w:r>
        <w:rPr>
          <w:spacing w:val="-1"/>
        </w:rPr>
        <w:t>平台实现，该办事大厅在</w:t>
      </w:r>
      <w:r>
        <w:rPr>
          <w:rFonts w:ascii="Arial" w:hAnsi="Arial" w:cs="Arial" w:eastAsia="Arial" w:hint="default"/>
          <w:spacing w:val="-1"/>
        </w:rPr>
        <w:t>2017</w:t>
      </w:r>
      <w:r>
        <w:rPr>
          <w:spacing w:val="-1"/>
        </w:rPr>
        <w:t>迎新季凭着稳定的性能和超高的效率成</w:t>
      </w:r>
      <w:r>
        <w:rPr>
          <w:spacing w:val="-91"/>
        </w:rPr>
        <w:t> </w:t>
      </w:r>
      <w:r>
        <w:rPr/>
        <w:t>为</w:t>
      </w:r>
      <w:r>
        <w:rPr>
          <w:rFonts w:ascii="Arial" w:hAnsi="Arial" w:cs="Arial" w:eastAsia="Arial" w:hint="default"/>
        </w:rPr>
        <w:t>2017</w:t>
      </w:r>
      <w:r>
        <w:rPr/>
        <w:t>年高校办事大厅里的业界新标杆。</w:t>
      </w:r>
    </w:p>
    <w:p>
      <w:pPr>
        <w:pStyle w:val="BodyText"/>
        <w:spacing w:line="295" w:lineRule="auto" w:before="105"/>
        <w:ind w:left="266" w:right="230" w:firstLine="482"/>
        <w:jc w:val="both"/>
      </w:pPr>
      <w:r>
        <w:rPr>
          <w:spacing w:val="-3"/>
        </w:rPr>
        <w:t>公司以持续产品及解决方案创新为核心市场驱动力。凭借多年来在教育领域的平台建设</w:t>
      </w:r>
      <w:r>
        <w:rPr/>
        <w:t> </w:t>
      </w:r>
      <w:r>
        <w:rPr>
          <w:spacing w:val="-6"/>
          <w:w w:val="99"/>
        </w:rPr>
        <w:t>经验和领先的大数据技术，研发了《联奕高等教育诊断改进管理软件》，并在</w:t>
      </w:r>
      <w:r>
        <w:rPr>
          <w:rFonts w:ascii="Arial" w:hAnsi="Arial" w:cs="Arial" w:eastAsia="Arial" w:hint="default"/>
          <w:spacing w:val="-6"/>
          <w:w w:val="99"/>
        </w:rPr>
        <w:t>2016-2017</w:t>
      </w:r>
      <w:r>
        <w:rPr>
          <w:spacing w:val="-6"/>
          <w:w w:val="99"/>
        </w:rPr>
        <w:t>年成</w:t>
      </w:r>
      <w:r>
        <w:rPr>
          <w:spacing w:val="-117"/>
          <w:w w:val="99"/>
        </w:rPr>
        <w:t> </w:t>
      </w:r>
      <w:r>
        <w:rPr>
          <w:spacing w:val="-2"/>
        </w:rPr>
        <w:t>功应用于无锡职业技术学院、江苏食品药品职业技术学院、江西旅游商贸职业学院等多所高</w:t>
      </w:r>
      <w:r>
        <w:rPr/>
        <w:t> </w:t>
      </w:r>
      <w:r>
        <w:rPr>
          <w:spacing w:val="-2"/>
        </w:rPr>
        <w:t>等职业院校，其中大部分院校为国家及省级重点示范高职、诊改工作试点院校，在该细分产</w:t>
      </w:r>
      <w:r>
        <w:rPr>
          <w:spacing w:val="-112"/>
        </w:rPr>
        <w:t> </w:t>
      </w:r>
      <w:r>
        <w:rPr>
          <w:spacing w:val="-112"/>
        </w:rPr>
      </w:r>
      <w:r>
        <w:rPr>
          <w:spacing w:val="-2"/>
        </w:rPr>
        <w:t>品领域迅速取得市场领先地位。国家大力推进职业院校开展教学工作诊断与改进工作，是新</w:t>
      </w:r>
      <w:r>
        <w:rPr>
          <w:spacing w:val="-118"/>
        </w:rPr>
        <w:t> </w:t>
      </w:r>
      <w:r>
        <w:rPr>
          <w:spacing w:val="-118"/>
        </w:rPr>
      </w:r>
      <w:r>
        <w:rPr>
          <w:spacing w:val="-2"/>
        </w:rPr>
        <w:t>形势下加快发展现代职业教育的战略选择，公司研发的高等教育诊断改进管理软件在多所示</w:t>
      </w:r>
      <w:r>
        <w:rPr>
          <w:spacing w:val="-115"/>
        </w:rPr>
        <w:t> </w:t>
      </w:r>
      <w:r>
        <w:rPr>
          <w:spacing w:val="-115"/>
        </w:rPr>
      </w:r>
      <w:r>
        <w:rPr/>
        <w:t>范院校率先落地并成功应用为今后在该领域的推广打下了良好的基础。</w:t>
      </w:r>
    </w:p>
    <w:p>
      <w:pPr>
        <w:pStyle w:val="BodyText"/>
        <w:spacing w:line="295" w:lineRule="auto" w:before="120"/>
        <w:ind w:left="266" w:right="94" w:firstLine="482"/>
        <w:jc w:val="left"/>
      </w:pPr>
      <w:r>
        <w:rPr>
          <w:rFonts w:ascii="Arial" w:hAnsi="Arial" w:cs="Arial" w:eastAsia="Arial" w:hint="default"/>
          <w:spacing w:val="-7"/>
        </w:rPr>
        <w:t>2017</w:t>
      </w:r>
      <w:r>
        <w:rPr>
          <w:spacing w:val="-7"/>
        </w:rPr>
        <w:t>年，公司受中山大学委托，与中山大学合作开发“高等教育质量监测国家数据平台”</w:t>
      </w:r>
      <w:r>
        <w:rPr/>
        <w:t> 项目，该项目由教育部高等教育教学评估中心牵头，研发成果供全国所有本科院校使用，旨 在推动高等教育内涵式发展，提高高等学校人才培养质量，建立五位一体中国特色、 世界</w:t>
      </w:r>
      <w:r>
        <w:rPr>
          <w:spacing w:val="-79"/>
        </w:rPr>
        <w:t> </w:t>
      </w:r>
      <w:r>
        <w:rPr>
          <w:spacing w:val="-79"/>
        </w:rPr>
      </w:r>
      <w:r>
        <w:rPr/>
        <w:t>水平高等教育质量保障体系。该平台具有强大的数据分析、统计与生成功能，能够满足不同</w:t>
      </w:r>
      <w:r>
        <w:rPr/>
        <w:t> 层次、类型用户的需求；服务高等学校建立本科质量常态监测机制，加快高校管理信息化建 设，促进管理、决策的科学化； 服务国家实现对高等教育质量的常态监控，提高政策制订</w:t>
      </w:r>
      <w:r>
        <w:rPr>
          <w:spacing w:val="-83"/>
        </w:rPr>
        <w:t> </w:t>
      </w:r>
      <w:r>
        <w:rPr>
          <w:spacing w:val="-83"/>
        </w:rPr>
      </w:r>
      <w:r>
        <w:rPr/>
        <w:t>的科学性、有效性； 服务地方教育管理部门完善区域内高等教育质量保障制度，制定具有</w:t>
      </w:r>
      <w:r>
        <w:rPr>
          <w:spacing w:val="-84"/>
        </w:rPr>
        <w:t> </w:t>
      </w:r>
      <w:r>
        <w:rPr>
          <w:spacing w:val="-84"/>
        </w:rPr>
      </w:r>
      <w:r>
        <w:rPr/>
        <w:t>针对性的政策法规；服务社会公众了解高等教育客观信息，对高等学校人才培养质量进行监</w:t>
      </w:r>
      <w:r>
        <w:rPr/>
        <w:t> 督和评价。该平台的成功建设，获得了教育部、广大本科院校及各级教育部门的高度认可。</w:t>
      </w:r>
    </w:p>
    <w:p>
      <w:pPr>
        <w:pStyle w:val="BodyText"/>
        <w:spacing w:line="297" w:lineRule="auto" w:before="120"/>
        <w:ind w:left="266" w:right="230" w:firstLine="482"/>
        <w:jc w:val="both"/>
      </w:pPr>
      <w:r>
        <w:rPr>
          <w:spacing w:val="-3"/>
        </w:rPr>
        <w:t>在教育大数据方面，公司提出数据质量工程，并基于自身研发的大数据平台，完善与创</w:t>
      </w:r>
      <w:r>
        <w:rPr/>
        <w:t> </w:t>
      </w:r>
      <w:r>
        <w:rPr>
          <w:spacing w:val="-2"/>
        </w:rPr>
        <w:t>新数据治理解决方案，为教育行业大数据中心的数据质量提供了强大的保障平台、解决了各</w:t>
      </w:r>
      <w:r>
        <w:rPr>
          <w:spacing w:val="-118"/>
        </w:rPr>
        <w:t> </w:t>
      </w:r>
      <w:r>
        <w:rPr>
          <w:spacing w:val="-118"/>
        </w:rPr>
      </w:r>
      <w:r>
        <w:rPr>
          <w:spacing w:val="-2"/>
        </w:rPr>
        <w:t>大高校的当前业务数据紊乱、数据不完整、数据不规范的老大难问题，构建出高质量的数据</w:t>
      </w:r>
      <w:r>
        <w:rPr>
          <w:spacing w:val="-115"/>
        </w:rPr>
        <w:t> </w:t>
      </w:r>
      <w:r>
        <w:rPr>
          <w:spacing w:val="-115"/>
        </w:rPr>
      </w:r>
      <w:r>
        <w:rPr>
          <w:spacing w:val="-2"/>
        </w:rPr>
        <w:t>中心，支撑高校领导的管理决策分析、预测挖掘及各类数据服务，实现教育行业用户的数据</w:t>
      </w:r>
    </w:p>
    <w:p>
      <w:pPr>
        <w:spacing w:after="0" w:line="297" w:lineRule="auto"/>
        <w:jc w:val="both"/>
        <w:sectPr>
          <w:pgSz w:w="11910" w:h="16840"/>
          <w:pgMar w:header="745" w:footer="980" w:top="1060" w:bottom="1160" w:left="980" w:right="900"/>
        </w:sectPr>
      </w:pPr>
    </w:p>
    <w:p>
      <w:pPr>
        <w:spacing w:line="240" w:lineRule="auto" w:before="8"/>
        <w:rPr>
          <w:rFonts w:ascii="宋体" w:hAnsi="宋体" w:cs="宋体" w:eastAsia="宋体" w:hint="default"/>
          <w:sz w:val="26"/>
          <w:szCs w:val="26"/>
        </w:rPr>
      </w:pPr>
    </w:p>
    <w:p>
      <w:pPr>
        <w:pStyle w:val="BodyText"/>
        <w:spacing w:line="297" w:lineRule="auto" w:before="26"/>
        <w:ind w:left="266" w:right="150"/>
        <w:jc w:val="both"/>
      </w:pPr>
      <w:r>
        <w:rPr>
          <w:spacing w:val="-2"/>
        </w:rPr>
        <w:t>高效共享，保证并盘活用户的数据资产；报告期内，公司的数据治理解决方案成功应用于华</w:t>
      </w:r>
      <w:r>
        <w:rPr>
          <w:spacing w:val="-112"/>
        </w:rPr>
        <w:t> </w:t>
      </w:r>
      <w:r>
        <w:rPr>
          <w:spacing w:val="-112"/>
        </w:rPr>
      </w:r>
      <w:r>
        <w:rPr>
          <w:spacing w:val="-2"/>
        </w:rPr>
        <w:t>中农业大学，华南农业大学等院校，其中华中农业大学数据交换与综合治理平台项目基于微</w:t>
      </w:r>
      <w:r>
        <w:rPr>
          <w:spacing w:val="-118"/>
        </w:rPr>
        <w:t> </w:t>
      </w:r>
      <w:r>
        <w:rPr>
          <w:spacing w:val="-118"/>
        </w:rPr>
      </w:r>
      <w:r>
        <w:rPr>
          <w:spacing w:val="-2"/>
        </w:rPr>
        <w:t>服务技术架构，以大数据和互联网架构的智慧校园平台结构为基础，对学校现有数据中心进</w:t>
      </w:r>
      <w:r>
        <w:rPr>
          <w:spacing w:val="-118"/>
        </w:rPr>
        <w:t> </w:t>
      </w:r>
      <w:r>
        <w:rPr>
          <w:spacing w:val="-118"/>
        </w:rPr>
      </w:r>
      <w:r>
        <w:rPr>
          <w:spacing w:val="-2"/>
        </w:rPr>
        <w:t>行全面升级改造，构建全新的高校数据中心软件平台及数据治理体系，率先在国内高校建成</w:t>
      </w:r>
      <w:r>
        <w:rPr>
          <w:spacing w:val="-118"/>
        </w:rPr>
        <w:t> </w:t>
      </w:r>
      <w:r>
        <w:rPr>
          <w:spacing w:val="-118"/>
        </w:rPr>
      </w:r>
      <w:r>
        <w:rPr/>
        <w:t>了目标明确的数据治理工程。</w:t>
      </w:r>
    </w:p>
    <w:p>
      <w:pPr>
        <w:pStyle w:val="BodyText"/>
        <w:spacing w:line="288" w:lineRule="auto" w:before="118"/>
        <w:ind w:left="266" w:right="148" w:firstLine="482"/>
        <w:jc w:val="both"/>
      </w:pPr>
      <w:r>
        <w:rPr>
          <w:spacing w:val="-5"/>
        </w:rPr>
        <w:t>随着业务持续开拓，公司在教育信息化领域的品牌形象和知名持续提升。</w:t>
      </w:r>
      <w:r>
        <w:rPr>
          <w:rFonts w:ascii="Arial" w:hAnsi="Arial" w:cs="Arial" w:eastAsia="Arial" w:hint="default"/>
          <w:spacing w:val="-5"/>
        </w:rPr>
        <w:t>2017</w:t>
      </w:r>
      <w:r>
        <w:rPr>
          <w:spacing w:val="-5"/>
        </w:rPr>
        <w:t>年</w:t>
      </w:r>
      <w:r>
        <w:rPr>
          <w:rFonts w:ascii="Arial" w:hAnsi="Arial" w:cs="Arial" w:eastAsia="Arial" w:hint="default"/>
          <w:spacing w:val="-5"/>
        </w:rPr>
        <w:t>11</w:t>
      </w:r>
      <w:r>
        <w:rPr>
          <w:spacing w:val="-5"/>
        </w:rPr>
        <w:t>月</w:t>
      </w:r>
      <w:r>
        <w:rPr>
          <w:rFonts w:ascii="Arial" w:hAnsi="Arial" w:cs="Arial" w:eastAsia="Arial" w:hint="default"/>
          <w:spacing w:val="-5"/>
        </w:rPr>
        <w:t>11</w:t>
      </w:r>
      <w:r>
        <w:rPr>
          <w:rFonts w:ascii="Arial" w:hAnsi="Arial" w:cs="Arial" w:eastAsia="Arial" w:hint="default"/>
          <w:spacing w:val="-16"/>
          <w:w w:val="99"/>
        </w:rPr>
        <w:t> </w:t>
      </w:r>
      <w:r>
        <w:rPr>
          <w:spacing w:val="-4"/>
        </w:rPr>
        <w:t>日，由中国高等教育学会主办、公司承办的“微服务·大智慧</w:t>
      </w:r>
      <w:r>
        <w:rPr>
          <w:rFonts w:ascii="Arial" w:hAnsi="Arial" w:cs="Arial" w:eastAsia="Arial" w:hint="default"/>
          <w:spacing w:val="-4"/>
        </w:rPr>
        <w:t>——</w:t>
      </w:r>
      <w:r>
        <w:rPr>
          <w:rFonts w:ascii="Arial" w:hAnsi="Arial" w:cs="Arial" w:eastAsia="Arial" w:hint="default"/>
          <w:spacing w:val="-4"/>
        </w:rPr>
        <w:t>2017</w:t>
      </w:r>
      <w:r>
        <w:rPr>
          <w:spacing w:val="-4"/>
        </w:rPr>
        <w:t>智慧校园广州论坛”</w:t>
      </w:r>
      <w:r>
        <w:rPr>
          <w:spacing w:val="-84"/>
        </w:rPr>
        <w:t> </w:t>
      </w:r>
      <w:r>
        <w:rPr>
          <w:spacing w:val="-4"/>
        </w:rPr>
        <w:t>在广州长隆国际会展中心召开，近</w:t>
      </w:r>
      <w:r>
        <w:rPr>
          <w:rFonts w:ascii="Arial" w:hAnsi="Arial" w:cs="Arial" w:eastAsia="Arial" w:hint="default"/>
          <w:spacing w:val="-4"/>
        </w:rPr>
        <w:t>20</w:t>
      </w:r>
      <w:r>
        <w:rPr>
          <w:spacing w:val="-4"/>
        </w:rPr>
        <w:t>位知名教育信息化专家、学者、互联网企业代表、</w:t>
      </w:r>
      <w:r>
        <w:rPr>
          <w:rFonts w:ascii="Arial" w:hAnsi="Arial" w:cs="Arial" w:eastAsia="Arial" w:hint="default"/>
          <w:spacing w:val="-4"/>
        </w:rPr>
        <w:t>1000</w:t>
      </w:r>
      <w:r>
        <w:rPr>
          <w:rFonts w:ascii="Arial" w:hAnsi="Arial" w:cs="Arial" w:eastAsia="Arial" w:hint="default"/>
          <w:spacing w:val="-55"/>
        </w:rPr>
        <w:t> </w:t>
      </w:r>
      <w:r>
        <w:rPr>
          <w:rFonts w:ascii="Arial" w:hAnsi="Arial" w:cs="Arial" w:eastAsia="Arial" w:hint="default"/>
          <w:spacing w:val="-55"/>
        </w:rPr>
      </w:r>
      <w:r>
        <w:rPr>
          <w:spacing w:val="-2"/>
        </w:rPr>
        <w:t>多名来自全国各地的高校、职业院校、成人教育机构信息化主管领导、教务管理人员、教科</w:t>
      </w:r>
      <w:r>
        <w:rPr/>
        <w:t> </w:t>
      </w:r>
      <w:r>
        <w:rPr>
          <w:spacing w:val="-2"/>
        </w:rPr>
        <w:t>研人员和一线教师代表、教育信息化领域相关从业人员参加了大会。大会的成功举办为教育</w:t>
      </w:r>
      <w:r>
        <w:rPr>
          <w:spacing w:val="-118"/>
        </w:rPr>
        <w:t> </w:t>
      </w:r>
      <w:r>
        <w:rPr>
          <w:spacing w:val="-118"/>
        </w:rPr>
      </w:r>
      <w:r>
        <w:rPr/>
        <w:t>信息化领域学校、企业、研究机构搭建了良好的交流平台。</w:t>
      </w:r>
    </w:p>
    <w:p>
      <w:pPr>
        <w:pStyle w:val="BodyText"/>
        <w:spacing w:line="355" w:lineRule="auto" w:before="127"/>
        <w:ind w:left="748" w:right="0" w:hanging="116"/>
        <w:jc w:val="left"/>
      </w:pPr>
      <w:r>
        <w:rPr/>
        <w:t>【</w:t>
      </w:r>
      <w:r>
        <w:rPr>
          <w:rFonts w:ascii="Arial" w:hAnsi="Arial" w:cs="Arial" w:eastAsia="Arial" w:hint="default"/>
        </w:rPr>
        <w:t>2.5</w:t>
      </w:r>
      <w:r>
        <w:rPr>
          <w:rFonts w:ascii="Arial" w:hAnsi="Arial" w:cs="Arial" w:eastAsia="Arial" w:hint="default"/>
          <w:spacing w:val="-2"/>
        </w:rPr>
        <w:t> </w:t>
      </w:r>
      <w:r>
        <w:rPr>
          <w:rFonts w:ascii="Arial" w:hAnsi="Arial" w:cs="Arial" w:eastAsia="Arial" w:hint="default"/>
        </w:rPr>
        <w:t>2018</w:t>
      </w:r>
      <w:r>
        <w:rPr/>
        <w:t>年业务展望】 </w:t>
      </w:r>
      <w:r>
        <w:rPr>
          <w:rFonts w:ascii="Arial" w:hAnsi="Arial" w:cs="Arial" w:eastAsia="Arial" w:hint="default"/>
          <w:spacing w:val="-4"/>
        </w:rPr>
        <w:t>2018</w:t>
      </w:r>
      <w:r>
        <w:rPr>
          <w:spacing w:val="-4"/>
        </w:rPr>
        <w:t>年，公司将充分发挥成功案例和标杆客户的优势，借助品牌势能继续深入开发全国</w:t>
      </w:r>
    </w:p>
    <w:p>
      <w:pPr>
        <w:pStyle w:val="BodyText"/>
        <w:spacing w:line="243" w:lineRule="exact"/>
        <w:ind w:left="266" w:right="0"/>
        <w:jc w:val="both"/>
      </w:pPr>
      <w:r>
        <w:rPr/>
        <w:t>市场，促进数字校园方案销售持续增长；丰富产品和解决方案，面向完全学分制本科教务和</w:t>
      </w:r>
    </w:p>
    <w:p>
      <w:pPr>
        <w:pStyle w:val="BodyText"/>
        <w:spacing w:line="297" w:lineRule="auto" w:before="77"/>
        <w:ind w:left="266" w:right="154"/>
        <w:jc w:val="both"/>
      </w:pPr>
      <w:r>
        <w:rPr>
          <w:spacing w:val="-2"/>
        </w:rPr>
        <w:t>高职高专学徒制教务的管理系统、本科评估系统平台、高职高专诊改系统平台等主打产品组</w:t>
      </w:r>
      <w:r>
        <w:rPr>
          <w:spacing w:val="-118"/>
        </w:rPr>
        <w:t> </w:t>
      </w:r>
      <w:r>
        <w:rPr>
          <w:spacing w:val="-118"/>
        </w:rPr>
      </w:r>
      <w:r>
        <w:rPr>
          <w:spacing w:val="-2"/>
        </w:rPr>
        <w:t>合，布局专业软件产品销售团队。持续加强技术创新，深化产品和方案创新。深入研发并进</w:t>
      </w:r>
      <w:r>
        <w:rPr/>
        <w:t> </w:t>
      </w:r>
      <w:r>
        <w:rPr>
          <w:spacing w:val="-2"/>
        </w:rPr>
        <w:t>一步提升微服务架构、容器平台产品的行业领先优势；基于大数据的智慧校园系列产品研发</w:t>
      </w:r>
      <w:r>
        <w:rPr>
          <w:spacing w:val="-118"/>
        </w:rPr>
        <w:t> </w:t>
      </w:r>
      <w:r>
        <w:rPr>
          <w:spacing w:val="-118"/>
        </w:rPr>
      </w:r>
      <w:r>
        <w:rPr/>
        <w:t>及解决方案打造，比如学生关爱系统相关产品、精准就业系统等。</w:t>
      </w:r>
    </w:p>
    <w:p>
      <w:pPr>
        <w:pStyle w:val="Heading2"/>
        <w:spacing w:line="240" w:lineRule="auto" w:before="3"/>
        <w:ind w:right="0"/>
        <w:jc w:val="left"/>
        <w:rPr>
          <w:b w:val="0"/>
          <w:bCs w:val="0"/>
        </w:rPr>
      </w:pPr>
      <w:r>
        <w:rPr>
          <w:rFonts w:ascii="Arial" w:hAnsi="Arial" w:cs="Arial" w:eastAsia="Arial" w:hint="default"/>
        </w:rPr>
        <w:t>3</w:t>
      </w:r>
      <w:r>
        <w:rPr/>
        <w:t>、食品安全与市场监管</w:t>
      </w:r>
      <w:r>
        <w:rPr>
          <w:b w:val="0"/>
          <w:bCs w:val="0"/>
        </w:rPr>
      </w:r>
    </w:p>
    <w:p>
      <w:pPr>
        <w:pStyle w:val="BodyText"/>
        <w:spacing w:line="355" w:lineRule="auto" w:before="50"/>
        <w:ind w:left="748" w:right="0" w:hanging="116"/>
        <w:jc w:val="left"/>
      </w:pPr>
      <w:r>
        <w:rPr/>
        <w:t>【</w:t>
      </w:r>
      <w:r>
        <w:rPr>
          <w:rFonts w:ascii="Arial" w:hAnsi="Arial" w:cs="Arial" w:eastAsia="Arial" w:hint="default"/>
        </w:rPr>
        <w:t>3.1</w:t>
      </w:r>
      <w:r>
        <w:rPr>
          <w:rFonts w:ascii="Arial" w:hAnsi="Arial" w:cs="Arial" w:eastAsia="Arial" w:hint="default"/>
          <w:spacing w:val="54"/>
        </w:rPr>
        <w:t> </w:t>
      </w:r>
      <w:r>
        <w:rPr/>
        <w:t>市场情况和趋势】</w:t>
      </w:r>
      <w:r>
        <w:rPr>
          <w:w w:val="100"/>
        </w:rPr>
        <w:t> </w:t>
      </w:r>
      <w:r>
        <w:rPr>
          <w:spacing w:val="-3"/>
        </w:rPr>
        <w:t>受国家筹划机构改革的大市场环境影响，整体食品安全监管市场的信息化需求释放很大</w:t>
      </w:r>
    </w:p>
    <w:p>
      <w:pPr>
        <w:pStyle w:val="BodyText"/>
        <w:spacing w:line="293" w:lineRule="exact"/>
        <w:ind w:left="266" w:right="0"/>
        <w:jc w:val="both"/>
        <w:rPr>
          <w:rFonts w:ascii="Arial" w:hAnsi="Arial" w:cs="Arial" w:eastAsia="Arial" w:hint="default"/>
        </w:rPr>
      </w:pPr>
      <w:r>
        <w:rPr/>
        <w:t>程度受到限制，报告期内公司在食品安全与市场监管领域业绩同比较大幅度降低。</w:t>
      </w:r>
      <w:r>
        <w:rPr>
          <w:rFonts w:ascii="Arial" w:hAnsi="Arial" w:cs="Arial" w:eastAsia="Arial" w:hint="default"/>
        </w:rPr>
        <w:t>2018</w:t>
      </w:r>
      <w:r>
        <w:rPr/>
        <w:t>年</w:t>
      </w:r>
      <w:r>
        <w:rPr>
          <w:rFonts w:ascii="Arial" w:hAnsi="Arial" w:cs="Arial" w:eastAsia="Arial" w:hint="default"/>
        </w:rPr>
        <w:t>3</w:t>
      </w:r>
    </w:p>
    <w:p>
      <w:pPr>
        <w:pStyle w:val="BodyText"/>
        <w:spacing w:line="297" w:lineRule="auto" w:before="57"/>
        <w:ind w:left="266" w:right="149"/>
        <w:jc w:val="both"/>
      </w:pPr>
      <w:r>
        <w:rPr>
          <w:spacing w:val="-2"/>
        </w:rPr>
        <w:t>月全国人大一次会议通过国务院机构改革方案，不再保留国家工商行政管理总局、国家质量</w:t>
      </w:r>
      <w:r>
        <w:rPr>
          <w:spacing w:val="-118"/>
        </w:rPr>
        <w:t> </w:t>
      </w:r>
      <w:r>
        <w:rPr>
          <w:spacing w:val="-118"/>
        </w:rPr>
      </w:r>
      <w:r>
        <w:rPr>
          <w:spacing w:val="-2"/>
        </w:rPr>
        <w:t>监督检验检疫总局、国家食品药品监督管理总局，组建国家市场监督管理总局。未来随着部</w:t>
      </w:r>
      <w:r>
        <w:rPr>
          <w:spacing w:val="-112"/>
        </w:rPr>
        <w:t> </w:t>
      </w:r>
      <w:r>
        <w:rPr>
          <w:spacing w:val="-112"/>
        </w:rPr>
      </w:r>
      <w:r>
        <w:rPr>
          <w:spacing w:val="-2"/>
        </w:rPr>
        <w:t>委的调整完成，大市场监管信息化的需求将逐步释放。公司将凭借在食品药品监管、工商及</w:t>
      </w:r>
      <w:r>
        <w:rPr>
          <w:spacing w:val="-112"/>
        </w:rPr>
        <w:t> </w:t>
      </w:r>
      <w:r>
        <w:rPr>
          <w:spacing w:val="-112"/>
        </w:rPr>
      </w:r>
      <w:r>
        <w:rPr>
          <w:spacing w:val="-2"/>
        </w:rPr>
        <w:t>市场监管市场多年积累的技术和业务经验，紧抓机构改革带来的新的市场机遇，推动业务发</w:t>
      </w:r>
      <w:r>
        <w:rPr>
          <w:spacing w:val="-118"/>
        </w:rPr>
        <w:t> </w:t>
      </w:r>
      <w:r>
        <w:rPr>
          <w:spacing w:val="-118"/>
        </w:rPr>
      </w:r>
      <w:r>
        <w:rPr/>
        <w:t>展，巩固市场竞争优势。</w:t>
      </w:r>
    </w:p>
    <w:p>
      <w:pPr>
        <w:pStyle w:val="BodyText"/>
        <w:spacing w:line="297" w:lineRule="auto" w:before="120"/>
        <w:ind w:left="266" w:right="150" w:firstLine="482"/>
        <w:jc w:val="both"/>
      </w:pPr>
      <w:r>
        <w:rPr>
          <w:spacing w:val="-3"/>
        </w:rPr>
        <w:t>习近平总书记在中国十九大的报告中，提出实施健康中国战略，强调了人民健康是民族</w:t>
      </w:r>
      <w:r>
        <w:rPr/>
        <w:t> </w:t>
      </w:r>
      <w:r>
        <w:rPr>
          <w:spacing w:val="-2"/>
        </w:rPr>
        <w:t>昌盛和国家富强的重要标志。其中要求实施食品安全战略，让人民吃得放心。随着我国对食</w:t>
      </w:r>
      <w:r>
        <w:rPr>
          <w:spacing w:val="-112"/>
        </w:rPr>
        <w:t> </w:t>
      </w:r>
      <w:r>
        <w:rPr>
          <w:spacing w:val="-112"/>
        </w:rPr>
      </w:r>
      <w:r>
        <w:rPr>
          <w:spacing w:val="-2"/>
        </w:rPr>
        <w:t>品安全工作的重视，其在机构、监管方式、技术手段等方面的纵深发展，结合近年来国家在</w:t>
      </w:r>
      <w:r>
        <w:rPr/>
        <w:t> </w:t>
      </w:r>
      <w:r>
        <w:rPr>
          <w:spacing w:val="-2"/>
        </w:rPr>
        <w:t>食品安全政策方针的逐渐加强和持续推动，我国食品安全信息化行业将持续加速发展。据有</w:t>
      </w:r>
      <w:r>
        <w:rPr>
          <w:spacing w:val="-117"/>
        </w:rPr>
        <w:t> </w:t>
      </w:r>
      <w:r>
        <w:rPr>
          <w:spacing w:val="-117"/>
        </w:rPr>
      </w:r>
      <w:r>
        <w:rPr>
          <w:spacing w:val="-2"/>
        </w:rPr>
        <w:t>关机构估算，食品安全信息化在监管领域具有百亿的市场空间，而追溯将有上千亿量级的市</w:t>
      </w:r>
      <w:r>
        <w:rPr>
          <w:spacing w:val="-118"/>
        </w:rPr>
        <w:t> </w:t>
      </w:r>
      <w:r>
        <w:rPr>
          <w:spacing w:val="-118"/>
        </w:rPr>
      </w:r>
      <w:r>
        <w:rPr/>
        <w:t>场空间。</w:t>
      </w:r>
    </w:p>
    <w:p>
      <w:pPr>
        <w:pStyle w:val="BodyText"/>
        <w:spacing w:line="240" w:lineRule="auto" w:before="118"/>
        <w:ind w:left="748" w:right="0"/>
        <w:jc w:val="left"/>
      </w:pPr>
      <w:r>
        <w:rPr/>
        <w:t>【</w:t>
      </w:r>
      <w:r>
        <w:rPr>
          <w:rFonts w:ascii="Arial" w:hAnsi="Arial" w:cs="Arial" w:eastAsia="Arial" w:hint="default"/>
        </w:rPr>
        <w:t>3.2</w:t>
      </w:r>
      <w:r>
        <w:rPr>
          <w:rFonts w:ascii="Arial" w:hAnsi="Arial" w:cs="Arial" w:eastAsia="Arial" w:hint="default"/>
          <w:spacing w:val="54"/>
        </w:rPr>
        <w:t> </w:t>
      </w:r>
      <w:r>
        <w:rPr/>
        <w:t>业务发展策略】</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6"/>
          <w:szCs w:val="26"/>
        </w:rPr>
      </w:pPr>
    </w:p>
    <w:p>
      <w:pPr>
        <w:pStyle w:val="BodyText"/>
        <w:spacing w:line="297" w:lineRule="auto" w:before="26"/>
        <w:ind w:left="266" w:right="150" w:firstLine="482"/>
        <w:jc w:val="both"/>
      </w:pPr>
      <w:r>
        <w:rPr>
          <w:spacing w:val="-3"/>
        </w:rPr>
        <w:t>公司多年来在食品药品监管、工商及市场监管领域积累的技术和业务经验以及领先的行</w:t>
      </w:r>
      <w:r>
        <w:rPr/>
        <w:t> </w:t>
      </w:r>
      <w:r>
        <w:rPr>
          <w:spacing w:val="-2"/>
        </w:rPr>
        <w:t>业市场地位，将成为公司为新的市场监管部门提供全方位信息化服务的先天优势。公司将在</w:t>
      </w:r>
      <w:r>
        <w:rPr>
          <w:spacing w:val="-118"/>
        </w:rPr>
        <w:t> </w:t>
      </w:r>
      <w:r>
        <w:rPr>
          <w:spacing w:val="-118"/>
        </w:rPr>
      </w:r>
      <w:r>
        <w:rPr>
          <w:spacing w:val="-2"/>
        </w:rPr>
        <w:t>深圳市场监管委一体化综合监管和执法平台的基础上，结合现有工商和食药领域的成果，提</w:t>
      </w:r>
      <w:r>
        <w:rPr>
          <w:spacing w:val="-118"/>
        </w:rPr>
        <w:t> </w:t>
      </w:r>
      <w:r>
        <w:rPr>
          <w:spacing w:val="-118"/>
        </w:rPr>
      </w:r>
      <w:r>
        <w:rPr>
          <w:spacing w:val="-2"/>
        </w:rPr>
        <w:t>供能够满足主体监管、食品监管、药械化监管、特种设备监管、计量监管、标准监管、商标</w:t>
      </w:r>
      <w:r>
        <w:rPr>
          <w:spacing w:val="-112"/>
        </w:rPr>
        <w:t> </w:t>
      </w:r>
      <w:r>
        <w:rPr>
          <w:spacing w:val="-112"/>
        </w:rPr>
      </w:r>
      <w:r>
        <w:rPr>
          <w:spacing w:val="-2"/>
        </w:rPr>
        <w:t>监管、合同监管等一体化的综合监管和执法平台，形成满足基层“多帽合一”业务需求的产</w:t>
      </w:r>
      <w:r>
        <w:rPr>
          <w:spacing w:val="-118"/>
        </w:rPr>
        <w:t> </w:t>
      </w:r>
      <w:r>
        <w:rPr>
          <w:spacing w:val="-118"/>
        </w:rPr>
      </w:r>
      <w:r>
        <w:rPr>
          <w:spacing w:val="-2"/>
        </w:rPr>
        <w:t>品，快速开拓基础市场监管局市场。公司将进一步创新推进食品追溯业务，全面推动智慧食</w:t>
      </w:r>
      <w:r>
        <w:rPr>
          <w:spacing w:val="-112"/>
        </w:rPr>
        <w:t> </w:t>
      </w:r>
      <w:r>
        <w:rPr>
          <w:spacing w:val="-112"/>
        </w:rPr>
      </w:r>
      <w:r>
        <w:rPr/>
        <w:t>品安全监管体系的构建，努力成为食品安全以及市场监管的领军企业。</w:t>
      </w:r>
    </w:p>
    <w:p>
      <w:pPr>
        <w:pStyle w:val="BodyText"/>
        <w:spacing w:line="355" w:lineRule="auto" w:before="118"/>
        <w:ind w:left="748" w:right="0"/>
        <w:jc w:val="left"/>
      </w:pPr>
      <w:r>
        <w:rPr/>
        <w:t>【</w:t>
      </w:r>
      <w:r>
        <w:rPr>
          <w:rFonts w:ascii="Arial" w:hAnsi="Arial" w:cs="Arial" w:eastAsia="Arial" w:hint="default"/>
        </w:rPr>
        <w:t>3.3</w:t>
      </w:r>
      <w:r>
        <w:rPr>
          <w:rFonts w:ascii="Arial" w:hAnsi="Arial" w:cs="Arial" w:eastAsia="Arial" w:hint="default"/>
          <w:spacing w:val="54"/>
        </w:rPr>
        <w:t> </w:t>
      </w:r>
      <w:r>
        <w:rPr/>
        <w:t>报告期业务发展情况】</w:t>
      </w:r>
      <w:r>
        <w:rPr>
          <w:w w:val="100"/>
        </w:rPr>
        <w:t> </w:t>
      </w:r>
      <w:r>
        <w:rPr>
          <w:spacing w:val="-3"/>
        </w:rPr>
        <w:t>公司凭借多年来业务积累对食品安全行业有着深刻理解，凭借完整的解决方案和优质的</w:t>
      </w:r>
    </w:p>
    <w:p>
      <w:pPr>
        <w:pStyle w:val="BodyText"/>
        <w:spacing w:line="276" w:lineRule="exact"/>
        <w:ind w:left="266" w:right="0"/>
        <w:jc w:val="both"/>
      </w:pPr>
      <w:r>
        <w:rPr/>
        <w:t>服务，特别是应用软件的领先优势，积累了大量成功的示范项目，同时已经在全国市场取得</w:t>
      </w:r>
    </w:p>
    <w:p>
      <w:pPr>
        <w:pStyle w:val="BodyText"/>
        <w:spacing w:line="285" w:lineRule="auto" w:before="75"/>
        <w:ind w:left="266" w:right="149"/>
        <w:jc w:val="both"/>
      </w:pPr>
      <w:r>
        <w:rPr>
          <w:spacing w:val="-2"/>
        </w:rPr>
        <w:t>有效突破，形成良好行业口碑和强劲市场竞争力。报告期内，在甘肃、宁夏、上海、江西等</w:t>
      </w:r>
      <w:r>
        <w:rPr>
          <w:spacing w:val="-112"/>
        </w:rPr>
        <w:t> </w:t>
      </w:r>
      <w:r>
        <w:rPr>
          <w:spacing w:val="-112"/>
        </w:rPr>
      </w:r>
      <w:r>
        <w:rPr>
          <w:spacing w:val="-3"/>
        </w:rPr>
        <w:t>地继续取得突破，目前公司业务领域己覆盖全国</w:t>
      </w:r>
      <w:r>
        <w:rPr>
          <w:rFonts w:ascii="Arial" w:hAnsi="Arial" w:cs="Arial" w:eastAsia="Arial" w:hint="default"/>
          <w:spacing w:val="-3"/>
        </w:rPr>
        <w:t>17</w:t>
      </w:r>
      <w:r>
        <w:rPr>
          <w:spacing w:val="-3"/>
        </w:rPr>
        <w:t>个省市，全国市场布局初见成效。据近年</w:t>
      </w:r>
      <w:r>
        <w:rPr>
          <w:spacing w:val="-102"/>
        </w:rPr>
        <w:t> </w:t>
      </w:r>
      <w:r>
        <w:rPr>
          <w:spacing w:val="-102"/>
        </w:rPr>
      </w:r>
      <w:r>
        <w:rPr>
          <w:spacing w:val="-1"/>
        </w:rPr>
        <w:t>来的食品安全行业招投标公开信息统计，公司中标数量、中标金额逐年攀升，在</w:t>
      </w:r>
      <w:r>
        <w:rPr>
          <w:rFonts w:ascii="Arial" w:hAnsi="Arial" w:cs="Arial" w:eastAsia="Arial" w:hint="default"/>
          <w:spacing w:val="-1"/>
        </w:rPr>
        <w:t>2015-2017</w:t>
      </w:r>
      <w:r>
        <w:rPr>
          <w:rFonts w:ascii="Arial" w:hAnsi="Arial" w:cs="Arial" w:eastAsia="Arial" w:hint="default"/>
          <w:spacing w:val="-51"/>
        </w:rPr>
        <w:t> </w:t>
      </w:r>
      <w:r>
        <w:rPr>
          <w:rFonts w:ascii="Arial" w:hAnsi="Arial" w:cs="Arial" w:eastAsia="Arial" w:hint="default"/>
          <w:spacing w:val="-51"/>
        </w:rPr>
      </w:r>
      <w:r>
        <w:rPr/>
        <w:t>年的中标统计排名中位列前三。</w:t>
      </w:r>
      <w:r>
        <w:rPr>
          <w:rFonts w:ascii="Arial" w:hAnsi="Arial" w:cs="Arial" w:eastAsia="Arial" w:hint="default"/>
        </w:rPr>
        <w:t>2017</w:t>
      </w:r>
      <w:r>
        <w:rPr/>
        <w:t>年</w:t>
      </w:r>
      <w:r>
        <w:rPr>
          <w:rFonts w:ascii="Arial" w:hAnsi="Arial" w:cs="Arial" w:eastAsia="Arial" w:hint="default"/>
        </w:rPr>
        <w:t>6</w:t>
      </w:r>
      <w:r>
        <w:rPr/>
        <w:t>月份在</w:t>
      </w:r>
      <w:r>
        <w:rPr>
          <w:rFonts w:ascii="Arial" w:hAnsi="Arial" w:cs="Arial" w:eastAsia="Arial" w:hint="default"/>
        </w:rPr>
        <w:t>“</w:t>
      </w:r>
      <w:r>
        <w:rPr/>
        <w:t>国家食品安全周</w:t>
      </w:r>
      <w:r>
        <w:rPr>
          <w:rFonts w:ascii="Arial" w:hAnsi="Arial" w:cs="Arial" w:eastAsia="Arial" w:hint="default"/>
        </w:rPr>
        <w:t>”</w:t>
      </w:r>
      <w:r>
        <w:rPr/>
        <w:t>期间，由公司提供信息化</w:t>
      </w:r>
      <w:r>
        <w:rPr>
          <w:spacing w:val="-70"/>
        </w:rPr>
        <w:t> </w:t>
      </w:r>
      <w:r>
        <w:rPr>
          <w:spacing w:val="-70"/>
        </w:rPr>
      </w:r>
      <w:r>
        <w:rPr/>
        <w:t>支持的武汉市、宜昌市均通过了国家验收，第一批被评为</w:t>
      </w:r>
      <w:r>
        <w:rPr>
          <w:rFonts w:ascii="Arial" w:hAnsi="Arial" w:cs="Arial" w:eastAsia="Arial" w:hint="default"/>
        </w:rPr>
        <w:t>“</w:t>
      </w:r>
      <w:r>
        <w:rPr/>
        <w:t>国家食品安全示范城市</w:t>
      </w:r>
      <w:r>
        <w:rPr>
          <w:rFonts w:ascii="Arial" w:hAnsi="Arial" w:cs="Arial" w:eastAsia="Arial" w:hint="default"/>
        </w:rPr>
        <w:t>”</w:t>
      </w:r>
      <w:r>
        <w:rPr/>
        <w:t>，目前公</w:t>
      </w:r>
      <w:r>
        <w:rPr>
          <w:spacing w:val="-114"/>
        </w:rPr>
        <w:t> </w:t>
      </w:r>
      <w:r>
        <w:rPr>
          <w:spacing w:val="-114"/>
        </w:rPr>
      </w:r>
      <w:r>
        <w:rPr/>
        <w:t>司正积极围绕</w:t>
      </w:r>
      <w:r>
        <w:rPr>
          <w:rFonts w:ascii="Arial" w:hAnsi="Arial" w:cs="Arial" w:eastAsia="Arial" w:hint="default"/>
        </w:rPr>
        <w:t>“</w:t>
      </w:r>
      <w:r>
        <w:rPr/>
        <w:t>国家创建食品安全示范城市</w:t>
      </w:r>
      <w:r>
        <w:rPr>
          <w:rFonts w:ascii="Arial" w:hAnsi="Arial" w:cs="Arial" w:eastAsia="Arial" w:hint="default"/>
        </w:rPr>
        <w:t>”</w:t>
      </w:r>
      <w:r>
        <w:rPr/>
        <w:t>这一机遇，进一步拓展市场空间。</w:t>
      </w:r>
    </w:p>
    <w:p>
      <w:pPr>
        <w:pStyle w:val="BodyText"/>
        <w:spacing w:line="292" w:lineRule="auto" w:before="107"/>
        <w:ind w:left="266" w:right="149" w:firstLine="482"/>
        <w:jc w:val="both"/>
      </w:pPr>
      <w:r>
        <w:rPr>
          <w:spacing w:val="-2"/>
        </w:rPr>
        <w:t>公司积极探索新技术在食品安全行业内的应用，融合大数据思想及时推出了诸如“餐饮</w:t>
      </w:r>
      <w:r>
        <w:rPr/>
        <w:t> </w:t>
      </w:r>
      <w:r>
        <w:rPr>
          <w:rFonts w:ascii="Arial" w:hAnsi="Arial" w:cs="Arial" w:eastAsia="Arial" w:hint="default"/>
          <w:spacing w:val="-4"/>
        </w:rPr>
        <w:t>020</w:t>
      </w:r>
      <w:r>
        <w:rPr>
          <w:spacing w:val="-4"/>
        </w:rPr>
        <w:t>互联网监管云平台</w:t>
      </w:r>
      <w:r>
        <w:rPr>
          <w:rFonts w:ascii="Arial" w:hAnsi="Arial" w:cs="Arial" w:eastAsia="Arial" w:hint="default"/>
          <w:spacing w:val="-4"/>
        </w:rPr>
        <w:t>”</w:t>
      </w:r>
      <w:r>
        <w:rPr>
          <w:spacing w:val="-4"/>
        </w:rPr>
        <w:t>、</w:t>
      </w:r>
      <w:r>
        <w:rPr>
          <w:rFonts w:ascii="Arial" w:hAnsi="Arial" w:cs="Arial" w:eastAsia="Arial" w:hint="default"/>
          <w:spacing w:val="-4"/>
        </w:rPr>
        <w:t>“</w:t>
      </w:r>
      <w:r>
        <w:rPr>
          <w:spacing w:val="-4"/>
        </w:rPr>
        <w:t>食品药品大数据分析</w:t>
      </w:r>
      <w:r>
        <w:rPr>
          <w:rFonts w:ascii="Arial" w:hAnsi="Arial" w:cs="Arial" w:eastAsia="Arial" w:hint="default"/>
          <w:spacing w:val="-4"/>
        </w:rPr>
        <w:t>”</w:t>
      </w:r>
      <w:r>
        <w:rPr>
          <w:spacing w:val="-4"/>
        </w:rPr>
        <w:t>、</w:t>
      </w:r>
      <w:r>
        <w:rPr>
          <w:rFonts w:ascii="Arial" w:hAnsi="Arial" w:cs="Arial" w:eastAsia="Arial" w:hint="default"/>
          <w:spacing w:val="-4"/>
        </w:rPr>
        <w:t>“</w:t>
      </w:r>
      <w:r>
        <w:rPr>
          <w:spacing w:val="-4"/>
        </w:rPr>
        <w:t>食品药品安全风险管理</w:t>
      </w:r>
      <w:r>
        <w:rPr>
          <w:rFonts w:ascii="Arial" w:hAnsi="Arial" w:cs="Arial" w:eastAsia="Arial" w:hint="default"/>
          <w:spacing w:val="-4"/>
        </w:rPr>
        <w:t>”</w:t>
      </w:r>
      <w:r>
        <w:rPr>
          <w:spacing w:val="-4"/>
        </w:rPr>
        <w:t>等全新解决方案，</w:t>
      </w:r>
      <w:r>
        <w:rPr>
          <w:spacing w:val="-104"/>
        </w:rPr>
        <w:t> </w:t>
      </w:r>
      <w:r>
        <w:rPr>
          <w:spacing w:val="-2"/>
        </w:rPr>
        <w:t>为拓展食药监业务打造了更多差异化的竞争优势。在食品安全追溯方面，公司与中国食品药</w:t>
      </w:r>
      <w:r>
        <w:rPr>
          <w:spacing w:val="-118"/>
        </w:rPr>
        <w:t> </w:t>
      </w:r>
      <w:r>
        <w:rPr>
          <w:spacing w:val="-118"/>
        </w:rPr>
      </w:r>
      <w:r>
        <w:rPr/>
        <w:t>品企业质量安全促进会等发起单位共同出资设立</w:t>
      </w:r>
      <w:r>
        <w:rPr>
          <w:rFonts w:ascii="Arial" w:hAnsi="Arial" w:cs="Arial" w:eastAsia="Arial" w:hint="default"/>
        </w:rPr>
        <w:t>“</w:t>
      </w:r>
      <w:r>
        <w:rPr/>
        <w:t>溯源云（北京）科技服务有限公司</w:t>
      </w:r>
      <w:r>
        <w:rPr>
          <w:rFonts w:ascii="Arial" w:hAnsi="Arial" w:cs="Arial" w:eastAsia="Arial" w:hint="default"/>
        </w:rPr>
        <w:t>”</w:t>
      </w:r>
      <w:r>
        <w:rPr/>
        <w:t>，建设</w:t>
      </w:r>
      <w:r>
        <w:rPr>
          <w:spacing w:val="-113"/>
        </w:rPr>
        <w:t> </w:t>
      </w:r>
      <w:r>
        <w:rPr>
          <w:spacing w:val="-113"/>
        </w:rPr>
      </w:r>
      <w:r>
        <w:rPr/>
        <w:t>全国性的</w:t>
      </w:r>
      <w:r>
        <w:rPr>
          <w:rFonts w:ascii="Arial" w:hAnsi="Arial" w:cs="Arial" w:eastAsia="Arial" w:hint="default"/>
        </w:rPr>
        <w:t>“</w:t>
      </w:r>
      <w:r>
        <w:rPr/>
        <w:t>食品追溯信息平台</w:t>
      </w:r>
      <w:r>
        <w:rPr>
          <w:rFonts w:ascii="Arial" w:hAnsi="Arial" w:cs="Arial" w:eastAsia="Arial" w:hint="default"/>
        </w:rPr>
        <w:t>”</w:t>
      </w:r>
      <w:r>
        <w:rPr/>
        <w:t>，通过市场化方式引导企业建设追溯体系。公司进一步加强食</w:t>
      </w:r>
      <w:r>
        <w:rPr>
          <w:spacing w:val="-115"/>
        </w:rPr>
        <w:t> </w:t>
      </w:r>
      <w:r>
        <w:rPr>
          <w:spacing w:val="-115"/>
        </w:rPr>
      </w:r>
      <w:r>
        <w:rPr>
          <w:spacing w:val="-2"/>
        </w:rPr>
        <w:t>品安全领域产业链的战略布局，有效提升公司在食品安全领域的核心竞争力。目前由促进会</w:t>
      </w:r>
      <w:r>
        <w:rPr>
          <w:spacing w:val="-118"/>
        </w:rPr>
        <w:t> </w:t>
      </w:r>
      <w:r>
        <w:rPr>
          <w:spacing w:val="-118"/>
        </w:rPr>
      </w:r>
      <w:r>
        <w:rPr>
          <w:spacing w:val="-2"/>
        </w:rPr>
        <w:t>牵头建设、由溯源云公司负责运营的“溯源云”食品追溯平台已上线运行，并在会员企业积</w:t>
      </w:r>
      <w:r>
        <w:rPr/>
        <w:t> </w:t>
      </w:r>
      <w:r>
        <w:rPr>
          <w:spacing w:val="-8"/>
        </w:rPr>
        <w:t>极落地推广。在市场监管领域，公司在深圳市场监管委项目、天津市市场监管委等的基础上，</w:t>
      </w:r>
      <w:r>
        <w:rPr>
          <w:spacing w:val="-110"/>
        </w:rPr>
        <w:t> </w:t>
      </w:r>
      <w:r>
        <w:rPr>
          <w:spacing w:val="-110"/>
        </w:rPr>
      </w:r>
      <w:r>
        <w:rPr/>
        <w:t>逐步形成面向市场监管部门的服务方案，为拓展市场监管市场做好了准备工作。</w:t>
      </w:r>
    </w:p>
    <w:p>
      <w:pPr>
        <w:pStyle w:val="BodyText"/>
        <w:spacing w:line="355" w:lineRule="auto" w:before="122"/>
        <w:ind w:left="748" w:right="0"/>
        <w:jc w:val="left"/>
      </w:pPr>
      <w:r>
        <w:rPr/>
        <w:t>【</w:t>
      </w:r>
      <w:r>
        <w:rPr>
          <w:rFonts w:ascii="Arial" w:hAnsi="Arial" w:cs="Arial" w:eastAsia="Arial" w:hint="default"/>
        </w:rPr>
        <w:t>3.4</w:t>
      </w:r>
      <w:r>
        <w:rPr>
          <w:rFonts w:ascii="Arial" w:hAnsi="Arial" w:cs="Arial" w:eastAsia="Arial" w:hint="default"/>
          <w:spacing w:val="-2"/>
        </w:rPr>
        <w:t> </w:t>
      </w:r>
      <w:r>
        <w:rPr>
          <w:rFonts w:ascii="Arial" w:hAnsi="Arial" w:cs="Arial" w:eastAsia="Arial" w:hint="default"/>
        </w:rPr>
        <w:t>2018</w:t>
      </w:r>
      <w:r>
        <w:rPr/>
        <w:t>年业务展望】 </w:t>
      </w:r>
      <w:r>
        <w:rPr>
          <w:spacing w:val="-3"/>
        </w:rPr>
        <w:t>针对新的机构改革方案，公司梳理确定了“食品安全与市场监管战略规划”。首先，创</w:t>
      </w:r>
    </w:p>
    <w:p>
      <w:pPr>
        <w:pStyle w:val="BodyText"/>
        <w:spacing w:line="293" w:lineRule="exact"/>
        <w:ind w:left="266" w:right="0"/>
        <w:jc w:val="both"/>
      </w:pPr>
      <w:r>
        <w:rPr/>
        <w:t>新推进食品追溯业务，</w:t>
      </w:r>
      <w:r>
        <w:rPr>
          <w:spacing w:val="-6"/>
        </w:rPr>
        <w:t> </w:t>
      </w:r>
      <w:r>
        <w:rPr>
          <w:spacing w:val="-3"/>
        </w:rPr>
        <w:t>重点通过完善智能监管、智能执法，构建互联网</w:t>
      </w:r>
      <w:r>
        <w:rPr>
          <w:rFonts w:ascii="Arial" w:hAnsi="Arial" w:cs="Arial" w:eastAsia="Arial" w:hint="default"/>
          <w:spacing w:val="-3"/>
        </w:rPr>
        <w:t>+</w:t>
      </w:r>
      <w:r>
        <w:rPr>
          <w:spacing w:val="-3"/>
        </w:rPr>
        <w:t>公众服务以及社会</w:t>
      </w:r>
    </w:p>
    <w:p>
      <w:pPr>
        <w:pStyle w:val="BodyText"/>
        <w:spacing w:line="297" w:lineRule="auto" w:before="58"/>
        <w:ind w:left="266" w:right="149"/>
        <w:jc w:val="both"/>
      </w:pPr>
      <w:r>
        <w:rPr>
          <w:spacing w:val="-8"/>
        </w:rPr>
        <w:t>共治平台，充分利用在食品安全领域具有的法规标准、舆情、检验检测、案件等的数据基础，</w:t>
      </w:r>
      <w:r>
        <w:rPr>
          <w:spacing w:val="-112"/>
        </w:rPr>
        <w:t> </w:t>
      </w:r>
      <w:r>
        <w:rPr>
          <w:spacing w:val="-112"/>
        </w:rPr>
      </w:r>
      <w:r>
        <w:rPr>
          <w:spacing w:val="-2"/>
        </w:rPr>
        <w:t>开展监管大数据分析利用，实现风险管理与监管的深入融合，全面推动智慧食品安全监管体</w:t>
      </w:r>
      <w:r>
        <w:rPr>
          <w:spacing w:val="-118"/>
        </w:rPr>
        <w:t> </w:t>
      </w:r>
      <w:r>
        <w:rPr>
          <w:spacing w:val="-118"/>
        </w:rPr>
      </w:r>
      <w:r>
        <w:rPr>
          <w:spacing w:val="-2"/>
        </w:rPr>
        <w:t>系的构建。其次，在深圳市场监管委一体化综合监管和执法平台的基础上，结合现有工商和</w:t>
      </w:r>
      <w:r>
        <w:rPr>
          <w:spacing w:val="-115"/>
        </w:rPr>
        <w:t> </w:t>
      </w:r>
      <w:r>
        <w:rPr>
          <w:spacing w:val="-115"/>
        </w:rPr>
      </w:r>
      <w:r>
        <w:rPr>
          <w:spacing w:val="-8"/>
        </w:rPr>
        <w:t>食药的成果，推出满足基层“多帽合一”业务需求的产品，开拓基础市场监管局市场。再次，</w:t>
      </w:r>
      <w:r>
        <w:rPr>
          <w:spacing w:val="-106"/>
        </w:rPr>
        <w:t> </w:t>
      </w:r>
      <w:r>
        <w:rPr>
          <w:spacing w:val="-106"/>
        </w:rPr>
      </w:r>
      <w:r>
        <w:rPr>
          <w:spacing w:val="-2"/>
        </w:rPr>
        <w:t>围绕双安双创机会，拓展合作渠道，实现食品安全业务在全国的推广和覆盖。并积极拓展和</w:t>
      </w:r>
      <w:r>
        <w:rPr>
          <w:spacing w:val="-112"/>
        </w:rPr>
        <w:t> </w:t>
      </w:r>
      <w:r>
        <w:rPr>
          <w:spacing w:val="-112"/>
        </w:rPr>
      </w:r>
      <w:r>
        <w:rPr>
          <w:spacing w:val="-3"/>
        </w:rPr>
        <w:t>深化网监业务，以</w:t>
      </w:r>
      <w:r>
        <w:rPr>
          <w:rFonts w:ascii="Arial" w:hAnsi="Arial" w:cs="Arial" w:eastAsia="Arial" w:hint="default"/>
          <w:spacing w:val="-3"/>
        </w:rPr>
        <w:t>O2O</w:t>
      </w:r>
      <w:r>
        <w:rPr>
          <w:spacing w:val="-3"/>
        </w:rPr>
        <w:t>餐饮产品和数据服务为切入点，完善并推广互联网监测产品及云平台</w:t>
      </w:r>
    </w:p>
    <w:p>
      <w:pPr>
        <w:spacing w:after="0" w:line="297" w:lineRule="auto"/>
        <w:jc w:val="both"/>
        <w:sectPr>
          <w:pgSz w:w="11910" w:h="16840"/>
          <w:pgMar w:header="745" w:footer="980" w:top="1060" w:bottom="1160" w:left="980" w:right="980"/>
        </w:sectPr>
      </w:pPr>
    </w:p>
    <w:p>
      <w:pPr>
        <w:spacing w:line="240" w:lineRule="auto" w:before="8"/>
        <w:rPr>
          <w:rFonts w:ascii="宋体" w:hAnsi="宋体" w:cs="宋体" w:eastAsia="宋体" w:hint="default"/>
          <w:sz w:val="26"/>
          <w:szCs w:val="26"/>
        </w:rPr>
      </w:pPr>
    </w:p>
    <w:p>
      <w:pPr>
        <w:pStyle w:val="BodyText"/>
        <w:spacing w:line="240" w:lineRule="auto" w:before="26"/>
        <w:ind w:left="266" w:right="0"/>
        <w:jc w:val="left"/>
      </w:pPr>
      <w:r>
        <w:rPr/>
        <w:t>服务。</w:t>
      </w:r>
    </w:p>
    <w:p>
      <w:pPr>
        <w:pStyle w:val="BodyText"/>
        <w:spacing w:line="292" w:lineRule="auto" w:before="176"/>
        <w:ind w:left="266" w:right="212" w:firstLine="482"/>
        <w:jc w:val="both"/>
      </w:pPr>
      <w:r>
        <w:rPr>
          <w:spacing w:val="-3"/>
        </w:rPr>
        <w:t>基于国家对食品安全工作的逐年重视，也随着云计算、物联网、大数据、移动应用等技</w:t>
      </w:r>
      <w:r>
        <w:rPr/>
        <w:t> </w:t>
      </w:r>
      <w:r>
        <w:rPr>
          <w:spacing w:val="-2"/>
        </w:rPr>
        <w:t>术的普及和推广，未来公司进行在食品安全与市场监管领域不仅实现对业务的纵深挖掘和横</w:t>
      </w:r>
      <w:r>
        <w:rPr>
          <w:spacing w:val="-115"/>
        </w:rPr>
        <w:t> </w:t>
      </w:r>
      <w:r>
        <w:rPr>
          <w:spacing w:val="-115"/>
        </w:rPr>
      </w:r>
      <w:r>
        <w:rPr/>
        <w:t>向推动，同时也充分实现技术</w:t>
      </w:r>
      <w:r>
        <w:rPr>
          <w:rFonts w:ascii="Arial" w:hAnsi="Arial" w:cs="Arial" w:eastAsia="Arial" w:hint="default"/>
        </w:rPr>
        <w:t>+</w:t>
      </w:r>
      <w:r>
        <w:rPr/>
        <w:t>业务的创新，充分发挥自身的行业优势和资源优势，扩大市</w:t>
      </w:r>
      <w:r>
        <w:rPr>
          <w:spacing w:val="-101"/>
        </w:rPr>
        <w:t> </w:t>
      </w:r>
      <w:r>
        <w:rPr>
          <w:spacing w:val="-101"/>
        </w:rPr>
      </w:r>
      <w:r>
        <w:rPr/>
        <w:t>场占有率，成为食品安全与市场监管的领军企业。</w:t>
      </w:r>
    </w:p>
    <w:p>
      <w:pPr>
        <w:pStyle w:val="Heading2"/>
        <w:spacing w:line="240" w:lineRule="auto" w:before="5"/>
        <w:ind w:right="0"/>
        <w:jc w:val="left"/>
        <w:rPr>
          <w:b w:val="0"/>
          <w:bCs w:val="0"/>
        </w:rPr>
      </w:pPr>
      <w:r>
        <w:rPr>
          <w:rFonts w:ascii="Arial" w:hAnsi="Arial" w:cs="Arial" w:eastAsia="Arial" w:hint="default"/>
        </w:rPr>
        <w:t>4</w:t>
      </w:r>
      <w:r>
        <w:rPr/>
        <w:t>、安全可靠</w:t>
      </w:r>
      <w:r>
        <w:rPr>
          <w:b w:val="0"/>
          <w:bCs w:val="0"/>
        </w:rPr>
      </w:r>
    </w:p>
    <w:p>
      <w:pPr>
        <w:pStyle w:val="BodyText"/>
        <w:spacing w:line="295" w:lineRule="auto" w:before="110"/>
        <w:ind w:left="266" w:right="0" w:firstLine="482"/>
        <w:jc w:val="left"/>
      </w:pPr>
      <w:r>
        <w:rPr>
          <w:spacing w:val="-3"/>
        </w:rPr>
        <w:t>随着我国网络强国战略的推进，“加快推进国产自主可控替代计划，构建安全可靠的信</w:t>
      </w:r>
      <w:r>
        <w:rPr/>
        <w:t> 息技术体系”成为国家信息化建设进程的必然途径。目前有关部门正在推进优化政策环境，</w:t>
      </w:r>
      <w:r>
        <w:rPr>
          <w:spacing w:val="-85"/>
        </w:rPr>
        <w:t> </w:t>
      </w:r>
      <w:r>
        <w:rPr>
          <w:spacing w:val="-85"/>
        </w:rPr>
      </w:r>
      <w:r>
        <w:rPr>
          <w:spacing w:val="-3"/>
        </w:rPr>
        <w:t>给安全可靠相关企业提供更好的成长空间。“十三五”期间国产操作系统、高端芯片、高端</w:t>
      </w:r>
      <w:r>
        <w:rPr>
          <w:spacing w:val="-83"/>
        </w:rPr>
        <w:t> </w:t>
      </w:r>
      <w:r>
        <w:rPr>
          <w:spacing w:val="-83"/>
        </w:rPr>
      </w:r>
      <w:r>
        <w:rPr>
          <w:spacing w:val="-4"/>
        </w:rPr>
        <w:t>服务器、集成开发平台等基础通用性技术标准的制定和推广也会相继落地和应用。</w:t>
      </w:r>
      <w:r>
        <w:rPr>
          <w:rFonts w:ascii="Arial" w:hAnsi="Arial" w:cs="Arial" w:eastAsia="Arial" w:hint="default"/>
          <w:spacing w:val="-4"/>
        </w:rPr>
        <w:t>2020</w:t>
      </w:r>
      <w:r>
        <w:rPr>
          <w:spacing w:val="-4"/>
        </w:rPr>
        <w:t>年前</w:t>
      </w:r>
      <w:r>
        <w:rPr>
          <w:spacing w:val="-82"/>
        </w:rPr>
        <w:t> </w:t>
      </w:r>
      <w:r>
        <w:rPr/>
        <w:t>党政办公国产化替代工程将进一步加快，市场将出现集中的爆发期，每年安全可靠市场规模</w:t>
      </w:r>
      <w:r>
        <w:rPr/>
        <w:t> 将达百亿。</w:t>
      </w:r>
    </w:p>
    <w:p>
      <w:pPr>
        <w:pStyle w:val="BodyText"/>
        <w:spacing w:line="297" w:lineRule="auto" w:before="120"/>
        <w:ind w:left="266" w:right="209" w:firstLine="482"/>
        <w:jc w:val="both"/>
      </w:pPr>
      <w:r>
        <w:rPr>
          <w:spacing w:val="-3"/>
        </w:rPr>
        <w:t>报告期内，公司凭借深厚的技术积累和业务优势，已经形成了完整的面向党政办公的安</w:t>
      </w:r>
      <w:r>
        <w:rPr/>
        <w:t> </w:t>
      </w:r>
      <w:r>
        <w:rPr>
          <w:spacing w:val="-2"/>
        </w:rPr>
        <w:t>全可靠解决方案。公司持续加大在安全可靠领域的研发投入，逐步扩充技术团队，深入探索</w:t>
      </w:r>
      <w:r>
        <w:rPr>
          <w:spacing w:val="-112"/>
        </w:rPr>
        <w:t> </w:t>
      </w:r>
      <w:r>
        <w:rPr>
          <w:spacing w:val="-112"/>
        </w:rPr>
      </w:r>
      <w:r>
        <w:rPr>
          <w:spacing w:val="-2"/>
        </w:rPr>
        <w:t>安全可靠相关技术研究，深化安全可靠产品研发，完成了法、检等行业领域的典型产品的安</w:t>
      </w:r>
      <w:r>
        <w:rPr>
          <w:spacing w:val="-115"/>
        </w:rPr>
        <w:t> </w:t>
      </w:r>
      <w:r>
        <w:rPr>
          <w:spacing w:val="-115"/>
        </w:rPr>
      </w:r>
      <w:r>
        <w:rPr>
          <w:spacing w:val="-2"/>
        </w:rPr>
        <w:t>全可靠适配和优化，完成了公司自有数据库、中间件等通用平台软件的按照安全可靠标准要</w:t>
      </w:r>
      <w:r>
        <w:rPr>
          <w:spacing w:val="-118"/>
        </w:rPr>
        <w:t> </w:t>
      </w:r>
      <w:r>
        <w:rPr>
          <w:spacing w:val="-118"/>
        </w:rPr>
      </w:r>
      <w:r>
        <w:rPr>
          <w:spacing w:val="-2"/>
        </w:rPr>
        <w:t>求的技术迁移和体系完善，为拓宽了安全可靠领域的市场空间奠定了基础。目前公司在大连</w:t>
      </w:r>
      <w:r>
        <w:rPr>
          <w:spacing w:val="-118"/>
        </w:rPr>
        <w:t> </w:t>
      </w:r>
      <w:r>
        <w:rPr>
          <w:spacing w:val="-118"/>
        </w:rPr>
      </w:r>
      <w:r>
        <w:rPr>
          <w:spacing w:val="-2"/>
        </w:rPr>
        <w:t>研发中心、合肥研发中心、南京研发中心分别建立安全可靠实验室，用于相关研究课题任务</w:t>
      </w:r>
      <w:r>
        <w:rPr>
          <w:spacing w:val="-112"/>
        </w:rPr>
        <w:t> </w:t>
      </w:r>
      <w:r>
        <w:rPr>
          <w:spacing w:val="-112"/>
        </w:rPr>
      </w:r>
      <w:r>
        <w:rPr>
          <w:spacing w:val="-2"/>
        </w:rPr>
        <w:t>的落地研发、适配、验证工作。目前安全可靠实验室完成了可兼容龙芯、飞腾、兆芯平台的</w:t>
      </w:r>
      <w:r>
        <w:rPr>
          <w:spacing w:val="-115"/>
        </w:rPr>
        <w:t> </w:t>
      </w:r>
      <w:r>
        <w:rPr>
          <w:spacing w:val="-115"/>
        </w:rPr>
      </w:r>
      <w:r>
        <w:rPr>
          <w:spacing w:val="-2"/>
        </w:rPr>
        <w:t>党政办公解决方案的研发适配，对底层平台架构进行深度优化设计，实现了对达梦、人大金</w:t>
      </w:r>
      <w:r>
        <w:rPr>
          <w:spacing w:val="-112"/>
        </w:rPr>
        <w:t> </w:t>
      </w:r>
      <w:r>
        <w:rPr>
          <w:spacing w:val="-112"/>
        </w:rPr>
      </w:r>
      <w:r>
        <w:rPr>
          <w:spacing w:val="-2"/>
        </w:rPr>
        <w:t>仓、神舟等国产通用数据库的兼容，可实现在东方通、金蝶、中创等国产中间件上的稳定运</w:t>
      </w:r>
      <w:r>
        <w:rPr/>
        <w:t> 行。</w:t>
      </w:r>
    </w:p>
    <w:p>
      <w:pPr>
        <w:pStyle w:val="BodyText"/>
        <w:spacing w:line="288" w:lineRule="auto" w:before="118"/>
        <w:ind w:left="266" w:right="212" w:firstLine="482"/>
        <w:jc w:val="both"/>
      </w:pPr>
      <w:r>
        <w:rPr>
          <w:rFonts w:ascii="Arial" w:hAnsi="Arial" w:cs="Arial" w:eastAsia="Arial" w:hint="default"/>
          <w:spacing w:val="-2"/>
        </w:rPr>
        <w:t>2017</w:t>
      </w:r>
      <w:r>
        <w:rPr>
          <w:spacing w:val="-2"/>
        </w:rPr>
        <w:t>年</w:t>
      </w:r>
      <w:r>
        <w:rPr>
          <w:rFonts w:ascii="Arial" w:hAnsi="Arial" w:cs="Arial" w:eastAsia="Arial" w:hint="default"/>
          <w:spacing w:val="-2"/>
        </w:rPr>
        <w:t>6</w:t>
      </w:r>
      <w:r>
        <w:rPr>
          <w:spacing w:val="-2"/>
        </w:rPr>
        <w:t>月，第</w:t>
      </w:r>
      <w:r>
        <w:rPr>
          <w:rFonts w:ascii="Arial" w:hAnsi="Arial" w:cs="Arial" w:eastAsia="Arial" w:hint="default"/>
          <w:spacing w:val="-2"/>
        </w:rPr>
        <w:t>21</w:t>
      </w:r>
      <w:r>
        <w:rPr>
          <w:spacing w:val="-2"/>
        </w:rPr>
        <w:t>届中国国际软件博览会上，公司在主题专区展示了以打造安全可靠产</w:t>
      </w:r>
      <w:r>
        <w:rPr/>
        <w:t> </w:t>
      </w:r>
      <w:r>
        <w:rPr>
          <w:spacing w:val="-2"/>
        </w:rPr>
        <w:t>业链为核心的整体解决方案以及安全可靠典型应用，充分显示了公司深厚的技术实力和产品</w:t>
      </w:r>
      <w:r>
        <w:rPr>
          <w:spacing w:val="-115"/>
        </w:rPr>
        <w:t> </w:t>
      </w:r>
      <w:r>
        <w:rPr>
          <w:spacing w:val="-115"/>
        </w:rPr>
      </w:r>
      <w:r>
        <w:rPr>
          <w:spacing w:val="-4"/>
        </w:rPr>
        <w:t>优势，赢得广大客户的好评。</w:t>
      </w:r>
      <w:r>
        <w:rPr>
          <w:rFonts w:ascii="Arial" w:hAnsi="Arial" w:cs="Arial" w:eastAsia="Arial" w:hint="default"/>
          <w:spacing w:val="-4"/>
        </w:rPr>
        <w:t>2017</w:t>
      </w:r>
      <w:r>
        <w:rPr>
          <w:spacing w:val="-4"/>
        </w:rPr>
        <w:t>年，公司积极开拓上海、北京、河南、贵州等地党政办公</w:t>
      </w:r>
      <w:r>
        <w:rPr>
          <w:spacing w:val="-88"/>
        </w:rPr>
        <w:t> </w:t>
      </w:r>
      <w:r>
        <w:rPr>
          <w:spacing w:val="-88"/>
        </w:rPr>
      </w:r>
      <w:r>
        <w:rPr/>
        <w:t>业务领域市场，安全可靠业务营业收入同比增长</w:t>
      </w:r>
      <w:r>
        <w:rPr>
          <w:rFonts w:ascii="Arial" w:hAnsi="Arial" w:cs="Arial" w:eastAsia="Arial" w:hint="default"/>
        </w:rPr>
        <w:t>102%</w:t>
      </w:r>
      <w:r>
        <w:rPr/>
        <w:t>。</w:t>
      </w:r>
    </w:p>
    <w:p>
      <w:pPr>
        <w:pStyle w:val="BodyText"/>
        <w:spacing w:line="295" w:lineRule="auto" w:before="105"/>
        <w:ind w:left="266" w:right="208" w:firstLine="482"/>
        <w:jc w:val="both"/>
      </w:pPr>
      <w:r>
        <w:rPr>
          <w:spacing w:val="-3"/>
        </w:rPr>
        <w:t>随着党政国产化替代市场的集中爆发，公司将利用遍布全国的销售渠道和服务渠道，进</w:t>
      </w:r>
      <w:r>
        <w:rPr/>
        <w:t> </w:t>
      </w:r>
      <w:r>
        <w:rPr>
          <w:spacing w:val="-4"/>
        </w:rPr>
        <w:t>一步加强与各地合作伙伴的市场合作，实现安全可靠市场机会的快速落单。</w:t>
      </w:r>
      <w:r>
        <w:rPr>
          <w:rFonts w:ascii="Arial" w:hAnsi="Arial" w:cs="Arial" w:eastAsia="Arial" w:hint="default"/>
          <w:spacing w:val="-4"/>
        </w:rPr>
        <w:t>2018</w:t>
      </w:r>
      <w:r>
        <w:rPr>
          <w:spacing w:val="-4"/>
        </w:rPr>
        <w:t>年公司将通</w:t>
      </w:r>
      <w:r>
        <w:rPr>
          <w:spacing w:val="-82"/>
        </w:rPr>
        <w:t> </w:t>
      </w:r>
      <w:r>
        <w:rPr>
          <w:spacing w:val="-2"/>
        </w:rPr>
        <w:t>过以下重点工作进一步加大安全可靠业务布局，构建安全可靠研发、测试、应用平台；着力</w:t>
      </w:r>
      <w:r>
        <w:rPr/>
        <w:t> </w:t>
      </w:r>
      <w:r>
        <w:rPr>
          <w:spacing w:val="-8"/>
        </w:rPr>
        <w:t>布局法、检、司等安全可靠行业解决方案；加大营销队伍体系建设，发力全国安全可靠市场；</w:t>
      </w:r>
      <w:r>
        <w:rPr>
          <w:spacing w:val="-112"/>
        </w:rPr>
        <w:t> </w:t>
      </w:r>
      <w:r>
        <w:rPr>
          <w:spacing w:val="-112"/>
        </w:rPr>
      </w:r>
      <w:r>
        <w:rPr>
          <w:spacing w:val="-2"/>
        </w:rPr>
        <w:t>加强与高校、研究所、安全可靠产业链伙伴一起深入合作，在大数据、云计算、大规模并行</w:t>
      </w:r>
      <w:r>
        <w:rPr>
          <w:spacing w:val="-115"/>
        </w:rPr>
        <w:t> </w:t>
      </w:r>
      <w:r>
        <w:rPr>
          <w:spacing w:val="-115"/>
        </w:rPr>
      </w:r>
      <w:r>
        <w:rPr>
          <w:spacing w:val="-2"/>
        </w:rPr>
        <w:t>交易处理等安全可靠平台技术领域进行深入技术研究和探索，为安全可靠技术在公司更广泛</w:t>
      </w:r>
      <w:r>
        <w:rPr>
          <w:spacing w:val="-115"/>
        </w:rPr>
        <w:t> </w:t>
      </w:r>
      <w:r>
        <w:rPr>
          <w:spacing w:val="-115"/>
        </w:rPr>
      </w:r>
      <w:r>
        <w:rPr/>
        <w:t>的行业应用奠定基础。</w:t>
      </w:r>
    </w:p>
    <w:p>
      <w:pPr>
        <w:pStyle w:val="Heading2"/>
        <w:spacing w:line="240" w:lineRule="auto" w:before="5"/>
        <w:ind w:right="0"/>
        <w:jc w:val="left"/>
        <w:rPr>
          <w:b w:val="0"/>
          <w:bCs w:val="0"/>
        </w:rPr>
      </w:pPr>
      <w:r>
        <w:rPr>
          <w:rFonts w:ascii="Arial" w:hAnsi="Arial" w:cs="Arial" w:eastAsia="Arial" w:hint="default"/>
        </w:rPr>
        <w:t>5</w:t>
      </w:r>
      <w:r>
        <w:rPr/>
        <w:t>、大数据和人工智能</w:t>
      </w:r>
      <w:r>
        <w:rPr>
          <w:b w:val="0"/>
          <w:bCs w:val="0"/>
        </w:rPr>
      </w:r>
    </w:p>
    <w:p>
      <w:pPr>
        <w:spacing w:after="0" w:line="240" w:lineRule="auto"/>
        <w:jc w:val="left"/>
        <w:sectPr>
          <w:pgSz w:w="11910" w:h="16840"/>
          <w:pgMar w:header="745" w:footer="980" w:top="1060" w:bottom="1160" w:left="980" w:right="920"/>
        </w:sectPr>
      </w:pPr>
    </w:p>
    <w:p>
      <w:pPr>
        <w:spacing w:line="240" w:lineRule="auto" w:before="0"/>
        <w:rPr>
          <w:rFonts w:ascii="Microsoft JhengHei" w:hAnsi="Microsoft JhengHei" w:cs="Microsoft JhengHei" w:eastAsia="Microsoft JhengHei" w:hint="default"/>
          <w:b/>
          <w:bCs/>
          <w:sz w:val="20"/>
          <w:szCs w:val="20"/>
        </w:rPr>
      </w:pPr>
    </w:p>
    <w:p>
      <w:pPr>
        <w:pStyle w:val="BodyText"/>
        <w:spacing w:line="297" w:lineRule="auto" w:before="26"/>
        <w:ind w:right="234" w:firstLine="480"/>
        <w:jc w:val="both"/>
      </w:pPr>
      <w:r>
        <w:rPr/>
        <w:t>公司充分发挥在业务软件的领先地位，积极利用大数据、人工智能等先进技术，持续推 进各个领域的应用、方案和服务创新。把大数据和人工智能嵌入业务流程，为客户提供场景</w:t>
      </w:r>
      <w:r>
        <w:rPr>
          <w:spacing w:val="-87"/>
        </w:rPr>
        <w:t> </w:t>
      </w:r>
      <w:r>
        <w:rPr>
          <w:spacing w:val="-87"/>
        </w:rPr>
      </w:r>
      <w:r>
        <w:rPr/>
        <w:t>化智能化的专业技术应用、数据和知识服务，用数字智能助能客户持续提升管理和业务质效</w:t>
      </w:r>
      <w:r>
        <w:rPr>
          <w:spacing w:val="-91"/>
        </w:rPr>
        <w:t> </w:t>
      </w:r>
      <w:r>
        <w:rPr>
          <w:spacing w:val="-91"/>
        </w:rPr>
      </w:r>
      <w:r>
        <w:rPr/>
        <w:t>水平，进而持续加强在各个细分领域的市场竞争力。公司在数据和智能应用、数据和知识服</w:t>
      </w:r>
      <w:r>
        <w:rPr>
          <w:spacing w:val="-91"/>
        </w:rPr>
        <w:t> </w:t>
      </w:r>
      <w:r>
        <w:rPr>
          <w:spacing w:val="-91"/>
        </w:rPr>
      </w:r>
      <w:r>
        <w:rPr/>
        <w:t>务方面业务增长迅速，报告期内实现收入</w:t>
      </w:r>
      <w:r>
        <w:rPr>
          <w:rFonts w:ascii="Arial" w:hAnsi="Arial" w:cs="Arial" w:eastAsia="Arial" w:hint="default"/>
        </w:rPr>
        <w:t>2.57</w:t>
      </w:r>
      <w:r>
        <w:rPr/>
        <w:t>亿，连续两年同比增速超过</w:t>
      </w:r>
      <w:r>
        <w:rPr>
          <w:rFonts w:ascii="Arial" w:hAnsi="Arial" w:cs="Arial" w:eastAsia="Arial" w:hint="default"/>
        </w:rPr>
        <w:t>50%</w:t>
      </w:r>
      <w:r>
        <w:rPr/>
        <w:t>。</w:t>
      </w:r>
    </w:p>
    <w:p>
      <w:pPr>
        <w:pStyle w:val="BodyText"/>
        <w:spacing w:line="297" w:lineRule="auto" w:before="34"/>
        <w:ind w:right="231" w:firstLine="480"/>
        <w:jc w:val="both"/>
      </w:pPr>
      <w:r>
        <w:rPr>
          <w:spacing w:val="-17"/>
        </w:rPr>
        <w:t>在法律科技领域，公司研发并发布了法律大数据平台（睿元）、法律人工智能平台（睿核），</w:t>
      </w:r>
      <w:r>
        <w:rPr/>
        <w:t> </w:t>
      </w:r>
      <w:r>
        <w:rPr>
          <w:spacing w:val="-5"/>
        </w:rPr>
        <w:t>两个基础能力平台有效支撑智慧法院“睿审”系统和智慧检务“晓督”系统，已在包括北京、</w:t>
      </w:r>
      <w:r>
        <w:rPr>
          <w:spacing w:val="-117"/>
        </w:rPr>
        <w:t> </w:t>
      </w:r>
      <w:r>
        <w:rPr>
          <w:spacing w:val="-117"/>
        </w:rPr>
      </w:r>
      <w:r>
        <w:rPr/>
        <w:t>广西、甘肃、青海、江苏、贵州、浙江在内的十余个省市进行部署和应用，取得了很好的应</w:t>
      </w:r>
      <w:r>
        <w:rPr>
          <w:spacing w:val="-86"/>
        </w:rPr>
        <w:t> </w:t>
      </w:r>
      <w:r>
        <w:rPr>
          <w:spacing w:val="-86"/>
        </w:rPr>
      </w:r>
      <w:r>
        <w:rPr/>
        <w:t>用和示范效果。公司会继续打造“睿元”和“睿核”成行业级大数据和人工智能技术支撑平</w:t>
      </w:r>
      <w:r>
        <w:rPr>
          <w:spacing w:val="-89"/>
        </w:rPr>
        <w:t> </w:t>
      </w:r>
      <w:r>
        <w:rPr>
          <w:spacing w:val="-89"/>
        </w:rPr>
      </w:r>
      <w:r>
        <w:rPr/>
        <w:t>台，向其他细分领域输出技术、场景、数据和知识的能力。</w:t>
      </w:r>
    </w:p>
    <w:p>
      <w:pPr>
        <w:pStyle w:val="BodyText"/>
        <w:spacing w:line="297" w:lineRule="auto" w:before="58"/>
        <w:ind w:right="96" w:firstLine="480"/>
        <w:jc w:val="left"/>
      </w:pPr>
      <w:r>
        <w:rPr/>
        <w:t>在教育信息化领域，公司的数据治理解决方案成功应用于华中农业大学，华南农业大学 等院校，其中华中农业大学数据交换与综合治理平台项目基于微服务技术架构，以大数据和</w:t>
      </w:r>
      <w:r>
        <w:rPr>
          <w:spacing w:val="-91"/>
        </w:rPr>
        <w:t> </w:t>
      </w:r>
      <w:r>
        <w:rPr>
          <w:spacing w:val="-91"/>
        </w:rPr>
      </w:r>
      <w:r>
        <w:rPr/>
        <w:t>互联网架构的智慧校园平台结构为基础，对学校现有数据中心进行全面升级改造，构建全新</w:t>
      </w:r>
      <w:r>
        <w:rPr>
          <w:spacing w:val="-91"/>
        </w:rPr>
        <w:t> </w:t>
      </w:r>
      <w:r>
        <w:rPr>
          <w:spacing w:val="-91"/>
        </w:rPr>
      </w:r>
      <w:r>
        <w:rPr>
          <w:spacing w:val="-2"/>
        </w:rPr>
        <w:t>的高校数据中心软件平台及数据治理体系，率先在国内高校建成了目标明确的数据治理工程。</w:t>
      </w:r>
      <w:r>
        <w:rPr/>
        <w:t> 公司研发的高等教育诊断改进管理软件在多所示范院校率先落地并成功应用为今后在该领域</w:t>
      </w:r>
      <w:r>
        <w:rPr>
          <w:spacing w:val="-90"/>
        </w:rPr>
        <w:t> </w:t>
      </w:r>
      <w:r>
        <w:rPr>
          <w:spacing w:val="-90"/>
        </w:rPr>
      </w:r>
      <w:r>
        <w:rPr>
          <w:spacing w:val="-3"/>
        </w:rPr>
        <w:t>的推广打下了良好的基础。公司与与中山大学合作开发“高等教育质量监测国家数据平台”，</w:t>
      </w:r>
      <w:r>
        <w:rPr>
          <w:spacing w:val="-83"/>
        </w:rPr>
        <w:t> </w:t>
      </w:r>
      <w:r>
        <w:rPr>
          <w:spacing w:val="-83"/>
        </w:rPr>
      </w:r>
      <w:r>
        <w:rPr/>
        <w:t>服务高等学校建立本科质量常态监测机制，服务国家实现对高等教育质量的常态监控，服务</w:t>
      </w:r>
      <w:r>
        <w:rPr>
          <w:spacing w:val="-91"/>
        </w:rPr>
        <w:t> </w:t>
      </w:r>
      <w:r>
        <w:rPr>
          <w:spacing w:val="-91"/>
        </w:rPr>
      </w:r>
      <w:r>
        <w:rPr>
          <w:spacing w:val="-2"/>
        </w:rPr>
        <w:t>地方教育管理部门完善区域内高等教育质量保障制度，服务社会公众了解高等教育客观信息，</w:t>
      </w:r>
      <w:r>
        <w:rPr/>
        <w:t> 对高等学校人才培养质量进行监督和评价。获得了教育部、广大本科院校及各级教育部门的</w:t>
      </w:r>
      <w:r>
        <w:rPr>
          <w:spacing w:val="-91"/>
        </w:rPr>
        <w:t> </w:t>
      </w:r>
      <w:r>
        <w:rPr>
          <w:spacing w:val="-91"/>
        </w:rPr>
      </w:r>
      <w:r>
        <w:rPr/>
        <w:t>高度认可。</w:t>
      </w:r>
    </w:p>
    <w:p>
      <w:pPr>
        <w:pStyle w:val="BodyText"/>
        <w:spacing w:line="280" w:lineRule="auto" w:before="58"/>
        <w:ind w:right="234" w:firstLine="480"/>
        <w:jc w:val="both"/>
      </w:pPr>
      <w:r>
        <w:rPr/>
        <w:t>在食品安全与市场监管领域，公司推出餐饮</w:t>
      </w:r>
      <w:r>
        <w:rPr>
          <w:rFonts w:ascii="Arial" w:hAnsi="Arial" w:cs="Arial" w:eastAsia="Arial" w:hint="default"/>
        </w:rPr>
        <w:t>O2O</w:t>
      </w:r>
      <w:r>
        <w:rPr/>
        <w:t>互联网监管云平台，取得良好收效，助 力实现精准监管，并在此基础上逐步形成食药监领域线上线下一体化监管的产品和服务。</w:t>
      </w:r>
    </w:p>
    <w:p>
      <w:pPr>
        <w:pStyle w:val="BodyText"/>
        <w:spacing w:line="295" w:lineRule="auto" w:before="77"/>
        <w:ind w:right="233" w:firstLine="480"/>
        <w:jc w:val="both"/>
      </w:pPr>
      <w:r>
        <w:rPr>
          <w:spacing w:val="-3"/>
        </w:rPr>
        <w:t>在税务领域，“智能数据平台</w:t>
      </w:r>
      <w:r>
        <w:rPr>
          <w:rFonts w:ascii="Arial" w:hAnsi="Arial" w:cs="Arial" w:eastAsia="Arial" w:hint="default"/>
          <w:spacing w:val="-3"/>
        </w:rPr>
        <w:t>+</w:t>
      </w:r>
      <w:r>
        <w:rPr>
          <w:spacing w:val="-3"/>
        </w:rPr>
        <w:t>数据咨询服务”的交付模式已经基本成型，较传统数据应</w:t>
      </w:r>
      <w:r>
        <w:rPr/>
        <w:t> 用系统的优势已经逐渐凸显，用户也越来越依赖于新型数据应用平台和服务带来的效率提升</w:t>
      </w:r>
      <w:r>
        <w:rPr>
          <w:spacing w:val="-91"/>
        </w:rPr>
        <w:t> </w:t>
      </w:r>
      <w:r>
        <w:rPr>
          <w:spacing w:val="-91"/>
        </w:rPr>
      </w:r>
      <w:r>
        <w:rPr/>
        <w:t>和业务创新，不仅在局端有大量的应用场景，在企业税务领域也呈现较大需求。在企业税务</w:t>
      </w:r>
      <w:r>
        <w:rPr>
          <w:spacing w:val="-91"/>
        </w:rPr>
        <w:t> </w:t>
      </w:r>
      <w:r>
        <w:rPr>
          <w:spacing w:val="-91"/>
        </w:rPr>
      </w:r>
      <w:r>
        <w:rPr/>
        <w:t>领域，基于全面创新的税务管理理念，从智能申报、智能服务到智能风险监控，形成了流程</w:t>
      </w:r>
      <w:r>
        <w:rPr>
          <w:spacing w:val="-91"/>
        </w:rPr>
        <w:t> </w:t>
      </w:r>
      <w:r>
        <w:rPr>
          <w:spacing w:val="-91"/>
        </w:rPr>
      </w:r>
      <w:r>
        <w:rPr/>
        <w:t>创新、管理创新、模式创新的全面闭环式的企业税务管理系统，为今后税务行业的业绩增长</w:t>
      </w:r>
      <w:r>
        <w:rPr>
          <w:spacing w:val="-91"/>
        </w:rPr>
        <w:t> </w:t>
      </w:r>
      <w:r>
        <w:rPr>
          <w:spacing w:val="-91"/>
        </w:rPr>
      </w:r>
      <w:r>
        <w:rPr/>
        <w:t>构建了广阔的空间；在企业税务领域，基于全面创新的税务管理理念，从智能申报、智能服</w:t>
      </w:r>
      <w:r>
        <w:rPr>
          <w:spacing w:val="-86"/>
        </w:rPr>
        <w:t> </w:t>
      </w:r>
      <w:r>
        <w:rPr>
          <w:spacing w:val="-86"/>
        </w:rPr>
      </w:r>
      <w:r>
        <w:rPr/>
        <w:t>务到智能风险监控，形成了流程创新、管理创新、模式创新的全面闭环式的企业税务管理系</w:t>
      </w:r>
      <w:r>
        <w:rPr>
          <w:spacing w:val="-91"/>
        </w:rPr>
        <w:t> </w:t>
      </w:r>
      <w:r>
        <w:rPr>
          <w:spacing w:val="-91"/>
        </w:rPr>
      </w:r>
      <w:r>
        <w:rPr/>
        <w:t>统，为今后税务行业的业绩增长构建了广阔的空间。</w:t>
      </w:r>
    </w:p>
    <w:p>
      <w:pPr>
        <w:pStyle w:val="BodyText"/>
        <w:spacing w:line="297" w:lineRule="auto" w:before="60"/>
        <w:ind w:right="234" w:firstLine="480"/>
        <w:jc w:val="both"/>
      </w:pPr>
      <w:r>
        <w:rPr>
          <w:spacing w:val="-6"/>
        </w:rPr>
        <w:t>在金融领域，“智能数据”战略稳步推进，为各类金融行业用户提供实时、融合、智能化</w:t>
      </w:r>
      <w:r>
        <w:rPr/>
        <w:t> 的数据探索能力，并着手开展用智能数据服务技术改善核心业务的尝试。在细分市场租赁业</w:t>
      </w:r>
      <w:r>
        <w:rPr>
          <w:spacing w:val="-91"/>
        </w:rPr>
        <w:t> </w:t>
      </w:r>
      <w:r>
        <w:rPr>
          <w:spacing w:val="-91"/>
        </w:rPr>
      </w:r>
      <w:r>
        <w:rPr/>
        <w:t>务领域，通过构建全面满足各类监管政策的智能报表平台，快速准确完成内外部监管要求，</w:t>
      </w:r>
      <w:r>
        <w:rPr>
          <w:spacing w:val="-91"/>
        </w:rPr>
        <w:t> </w:t>
      </w:r>
      <w:r>
        <w:rPr>
          <w:spacing w:val="-91"/>
        </w:rPr>
      </w:r>
      <w:r>
        <w:rPr/>
        <w:t>同时结合物联网、大数据、人工智能等技术解决了长期以来困扰用户的资产管理监控难题，</w:t>
      </w:r>
      <w:r>
        <w:rPr>
          <w:spacing w:val="-91"/>
        </w:rPr>
        <w:t> </w:t>
      </w:r>
      <w:r>
        <w:rPr>
          <w:spacing w:val="-91"/>
        </w:rPr>
      </w:r>
      <w:r>
        <w:rPr/>
        <w:t>报告期内租赁行业用户数和业务规模成倍增长。</w:t>
      </w:r>
    </w:p>
    <w:p>
      <w:pPr>
        <w:spacing w:after="0" w:line="297" w:lineRule="auto"/>
        <w:jc w:val="both"/>
        <w:sectPr>
          <w:pgSz w:w="11910" w:h="16840"/>
          <w:pgMar w:header="745" w:footer="980" w:top="1060" w:bottom="1160" w:left="980" w:right="900"/>
        </w:sectPr>
      </w:pPr>
    </w:p>
    <w:p>
      <w:pPr>
        <w:spacing w:line="240" w:lineRule="auto" w:before="7"/>
        <w:rPr>
          <w:rFonts w:ascii="宋体" w:hAnsi="宋体" w:cs="宋体" w:eastAsia="宋体" w:hint="default"/>
          <w:sz w:val="25"/>
          <w:szCs w:val="25"/>
        </w:rPr>
      </w:pPr>
    </w:p>
    <w:p>
      <w:pPr>
        <w:pStyle w:val="BodyText"/>
        <w:spacing w:line="266" w:lineRule="auto" w:before="26"/>
        <w:ind w:right="149" w:firstLine="480"/>
        <w:jc w:val="both"/>
      </w:pPr>
      <w:r>
        <w:rPr/>
        <w:t>在数据通用技术积累层面，子公司亿信华辰聚焦行业业务需求赋能各个行业进行工具研 </w:t>
      </w:r>
      <w:r>
        <w:rPr>
          <w:spacing w:val="-4"/>
        </w:rPr>
        <w:t>发，发布了豌豆</w:t>
      </w:r>
      <w:r>
        <w:rPr>
          <w:spacing w:val="-55"/>
        </w:rPr>
        <w:t> </w:t>
      </w:r>
      <w:r>
        <w:rPr>
          <w:rFonts w:ascii="Arial" w:hAnsi="Arial" w:cs="Arial" w:eastAsia="Arial" w:hint="default"/>
          <w:spacing w:val="-5"/>
        </w:rPr>
        <w:t>BI</w:t>
      </w:r>
      <w:r>
        <w:rPr>
          <w:spacing w:val="-5"/>
        </w:rPr>
        <w:t>、亿信</w:t>
      </w:r>
      <w:r>
        <w:rPr>
          <w:spacing w:val="-55"/>
        </w:rPr>
        <w:t> </w:t>
      </w:r>
      <w:r>
        <w:rPr>
          <w:rFonts w:ascii="Arial" w:hAnsi="Arial" w:cs="Arial" w:eastAsia="Arial" w:hint="default"/>
        </w:rPr>
        <w:t>BI</w:t>
      </w:r>
      <w:r>
        <w:rPr>
          <w:rFonts w:ascii="Arial" w:hAnsi="Arial" w:cs="Arial" w:eastAsia="Arial" w:hint="default"/>
          <w:spacing w:val="-1"/>
        </w:rPr>
        <w:t> </w:t>
      </w:r>
      <w:r>
        <w:rPr>
          <w:spacing w:val="-3"/>
        </w:rPr>
        <w:t>新版本、移动采集等产品，在大数据管理和处理、大数据存储等</w:t>
      </w:r>
      <w:r>
        <w:rPr/>
        <w:t> 方面研发新产品和解决方案报。报告期内子公司亿信华辰继续巩固和升级面向数据全生命周</w:t>
      </w:r>
      <w:r>
        <w:rPr>
          <w:spacing w:val="-91"/>
        </w:rPr>
        <w:t> </w:t>
      </w:r>
      <w:r>
        <w:rPr>
          <w:spacing w:val="-91"/>
        </w:rPr>
      </w:r>
      <w:r>
        <w:rPr/>
        <w:t>期的商务智能产品线，创新和发展以智能识别、智能交互、智能认知、智能决策为特色的智</w:t>
      </w:r>
      <w:r>
        <w:rPr>
          <w:spacing w:val="-91"/>
        </w:rPr>
        <w:t> </w:t>
      </w:r>
      <w:r>
        <w:rPr>
          <w:spacing w:val="-91"/>
        </w:rPr>
      </w:r>
      <w:r>
        <w:rPr/>
        <w:t>能化数据产品线，先后发布了具有数据处理、图形化数据探索、可视化建模、模型应用等功</w:t>
      </w:r>
      <w:r>
        <w:rPr>
          <w:spacing w:val="-91"/>
        </w:rPr>
        <w:t> </w:t>
      </w:r>
      <w:r>
        <w:rPr>
          <w:spacing w:val="-91"/>
        </w:rPr>
      </w:r>
      <w:r>
        <w:rPr/>
        <w:t>能的“</w:t>
      </w:r>
      <w:r>
        <w:rPr>
          <w:rFonts w:ascii="Arial" w:hAnsi="Arial" w:cs="Arial" w:eastAsia="Arial" w:hint="default"/>
        </w:rPr>
        <w:t>WonderDM</w:t>
      </w:r>
      <w:r>
        <w:rPr>
          <w:rFonts w:ascii="Arial" w:hAnsi="Arial" w:cs="Arial" w:eastAsia="Arial" w:hint="default"/>
          <w:spacing w:val="-41"/>
        </w:rPr>
        <w:t> </w:t>
      </w:r>
      <w:r>
        <w:rPr/>
        <w:t>数据挖掘平台”和具有指标定义、指标体系、指标固化、指标自定义分析</w:t>
      </w:r>
      <w:r>
        <w:rPr>
          <w:w w:val="99"/>
        </w:rPr>
        <w:t> </w:t>
      </w:r>
      <w:r>
        <w:rPr>
          <w:spacing w:val="-1"/>
          <w:w w:val="99"/>
        </w:rPr>
        <w:t>等功能的“</w:t>
      </w:r>
      <w:r>
        <w:rPr>
          <w:rFonts w:ascii="Arial" w:hAnsi="Arial" w:cs="Arial" w:eastAsia="Arial" w:hint="default"/>
          <w:spacing w:val="-1"/>
          <w:w w:val="99"/>
        </w:rPr>
        <w:t>EsPowerIndex</w:t>
      </w:r>
      <w:r>
        <w:rPr>
          <w:rFonts w:ascii="Arial" w:hAnsi="Arial" w:cs="Arial" w:eastAsia="Arial" w:hint="default"/>
          <w:spacing w:val="-2"/>
          <w:w w:val="99"/>
        </w:rPr>
        <w:t> </w:t>
      </w:r>
      <w:r>
        <w:rPr>
          <w:spacing w:val="-8"/>
        </w:rPr>
        <w:t>指标管理平台”。同时，拳头产品亿信</w:t>
      </w:r>
      <w:r>
        <w:rPr>
          <w:spacing w:val="-54"/>
        </w:rPr>
        <w:t> </w:t>
      </w:r>
      <w:r>
        <w:rPr>
          <w:rFonts w:ascii="Arial" w:hAnsi="Arial" w:cs="Arial" w:eastAsia="Arial" w:hint="default"/>
          <w:spacing w:val="-1"/>
          <w:w w:val="100"/>
        </w:rPr>
        <w:t>BI </w:t>
      </w:r>
      <w:r>
        <w:rPr/>
        <w:t>引入人工智能技术和</w:t>
      </w:r>
      <w:r>
        <w:rPr>
          <w:spacing w:val="-54"/>
        </w:rPr>
        <w:t> </w:t>
      </w:r>
      <w:r>
        <w:rPr>
          <w:rFonts w:ascii="Arial" w:hAnsi="Arial" w:cs="Arial" w:eastAsia="Arial" w:hint="default"/>
          <w:w w:val="99"/>
        </w:rPr>
        <w:t>3D </w:t>
      </w:r>
      <w:r>
        <w:rPr/>
        <w:t>可视化技术，打造智能</w:t>
      </w:r>
      <w:r>
        <w:rPr>
          <w:spacing w:val="-92"/>
        </w:rPr>
        <w:t> </w:t>
      </w:r>
      <w:r>
        <w:rPr>
          <w:rFonts w:ascii="Arial" w:hAnsi="Arial" w:cs="Arial" w:eastAsia="Arial" w:hint="default"/>
        </w:rPr>
        <w:t>BI</w:t>
      </w:r>
      <w:r>
        <w:rPr>
          <w:rFonts w:ascii="Arial" w:hAnsi="Arial" w:cs="Arial" w:eastAsia="Arial" w:hint="default"/>
          <w:spacing w:val="-39"/>
        </w:rPr>
        <w:t> </w:t>
      </w:r>
      <w:r>
        <w:rPr/>
        <w:t>分析平台，通过不断完善的产品线，提升专业化的服务品质，树立 和打造亿信精品智造的国产软件品牌。</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二、主营业务分析</w:t>
      </w:r>
      <w:r>
        <w:rPr>
          <w:b w:val="0"/>
          <w:bCs w:val="0"/>
        </w:rPr>
      </w:r>
    </w:p>
    <w:p>
      <w:pPr>
        <w:spacing w:line="240" w:lineRule="auto" w:before="10"/>
        <w:rPr>
          <w:rFonts w:ascii="Microsoft JhengHei" w:hAnsi="Microsoft JhengHei" w:cs="Microsoft JhengHei" w:eastAsia="Microsoft JhengHei" w:hint="default"/>
          <w:b/>
          <w:bCs/>
          <w:sz w:val="12"/>
          <w:szCs w:val="12"/>
        </w:rPr>
      </w:pPr>
    </w:p>
    <w:p>
      <w:pPr>
        <w:spacing w:before="0"/>
        <w:ind w:left="152" w:right="0" w:firstLine="0"/>
        <w:jc w:val="left"/>
        <w:rPr>
          <w:rFonts w:ascii="Microsoft JhengHei" w:hAnsi="Microsoft JhengHei" w:cs="Microsoft JhengHei" w:eastAsia="Microsoft JhengHei" w:hint="default"/>
          <w:sz w:val="22"/>
          <w:szCs w:val="22"/>
        </w:rPr>
      </w:pPr>
      <w:r>
        <w:rPr>
          <w:rFonts w:ascii="Arial" w:hAnsi="Arial" w:cs="Arial" w:eastAsia="Arial" w:hint="default"/>
          <w:b/>
          <w:bCs/>
          <w:sz w:val="22"/>
          <w:szCs w:val="22"/>
        </w:rPr>
        <w:t>1</w:t>
      </w:r>
      <w:r>
        <w:rPr>
          <w:rFonts w:ascii="Microsoft JhengHei" w:hAnsi="Microsoft JhengHei" w:cs="Microsoft JhengHei" w:eastAsia="Microsoft JhengHei" w:hint="default"/>
          <w:b/>
          <w:bCs/>
          <w:sz w:val="22"/>
          <w:szCs w:val="22"/>
        </w:rPr>
        <w:t>、概述</w:t>
      </w:r>
      <w:r>
        <w:rPr>
          <w:rFonts w:ascii="Microsoft JhengHei" w:hAnsi="Microsoft JhengHei" w:cs="Microsoft JhengHei" w:eastAsia="Microsoft JhengHei" w:hint="default"/>
          <w:sz w:val="22"/>
          <w:szCs w:val="22"/>
        </w:rPr>
      </w:r>
    </w:p>
    <w:p>
      <w:pPr>
        <w:spacing w:line="240" w:lineRule="auto" w:before="8"/>
        <w:rPr>
          <w:rFonts w:ascii="Microsoft JhengHei" w:hAnsi="Microsoft JhengHei" w:cs="Microsoft JhengHei" w:eastAsia="Microsoft JhengHei" w:hint="default"/>
          <w:b/>
          <w:bCs/>
          <w:sz w:val="18"/>
          <w:szCs w:val="18"/>
        </w:rPr>
      </w:pPr>
    </w:p>
    <w:p>
      <w:pPr>
        <w:pStyle w:val="BodyText"/>
        <w:spacing w:line="240" w:lineRule="auto"/>
        <w:ind w:left="633" w:right="0"/>
        <w:jc w:val="left"/>
      </w:pPr>
      <w:r>
        <w:rPr/>
        <w:t>参见</w:t>
      </w:r>
      <w:r>
        <w:rPr>
          <w:rFonts w:ascii="Arial" w:hAnsi="Arial" w:cs="Arial" w:eastAsia="Arial" w:hint="default"/>
        </w:rPr>
        <w:t>“</w:t>
      </w:r>
      <w:r>
        <w:rPr/>
        <w:t>经营情况讨论与分析</w:t>
      </w:r>
      <w:r>
        <w:rPr>
          <w:rFonts w:ascii="Arial" w:hAnsi="Arial" w:cs="Arial" w:eastAsia="Arial" w:hint="default"/>
        </w:rPr>
        <w:t>”</w:t>
      </w:r>
      <w:r>
        <w:rPr/>
        <w:t>中的</w:t>
      </w:r>
      <w:r>
        <w:rPr>
          <w:rFonts w:ascii="Arial" w:hAnsi="Arial" w:cs="Arial" w:eastAsia="Arial" w:hint="default"/>
        </w:rPr>
        <w:t>“</w:t>
      </w:r>
      <w:r>
        <w:rPr/>
        <w:t>一、概述</w:t>
      </w:r>
      <w:r>
        <w:rPr>
          <w:rFonts w:ascii="Arial" w:hAnsi="Arial" w:cs="Arial" w:eastAsia="Arial" w:hint="default"/>
        </w:rPr>
        <w:t>”</w:t>
      </w:r>
      <w:r>
        <w:rPr/>
        <w:t>相关内容。</w:t>
      </w:r>
    </w:p>
    <w:p>
      <w:pPr>
        <w:spacing w:line="240" w:lineRule="auto" w:before="5"/>
        <w:rPr>
          <w:rFonts w:ascii="宋体" w:hAnsi="宋体" w:cs="宋体" w:eastAsia="宋体" w:hint="default"/>
          <w:sz w:val="21"/>
          <w:szCs w:val="21"/>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）营业收入构成</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422"/>
        <w:gridCol w:w="1751"/>
        <w:gridCol w:w="1506"/>
        <w:gridCol w:w="1827"/>
        <w:gridCol w:w="1612"/>
        <w:gridCol w:w="1450"/>
      </w:tblGrid>
      <w:tr>
        <w:trPr>
          <w:trHeight w:val="206" w:hRule="exact"/>
        </w:trPr>
        <w:tc>
          <w:tcPr>
            <w:tcW w:w="1422" w:type="dxa"/>
            <w:tcBorders>
              <w:top w:val="single" w:sz="4" w:space="0" w:color="000000"/>
              <w:left w:val="single" w:sz="4" w:space="0" w:color="000000"/>
              <w:bottom w:val="nil" w:sz="6" w:space="0" w:color="auto"/>
              <w:right w:val="single" w:sz="4" w:space="0" w:color="000000"/>
            </w:tcBorders>
            <w:shd w:val="clear" w:color="auto" w:fill="D2D2D2"/>
          </w:tcPr>
          <w:p>
            <w:pPr/>
          </w:p>
        </w:tc>
        <w:tc>
          <w:tcPr>
            <w:tcW w:w="32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4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22" w:type="dxa"/>
            <w:vMerge w:val="restart"/>
            <w:tcBorders>
              <w:top w:val="nil" w:sz="6" w:space="0" w:color="auto"/>
              <w:left w:val="single" w:sz="4" w:space="0" w:color="000000"/>
              <w:right w:val="single" w:sz="4" w:space="0" w:color="000000"/>
            </w:tcBorders>
            <w:shd w:val="clear" w:color="auto" w:fill="D2D2D2"/>
          </w:tcPr>
          <w:p>
            <w:pPr/>
          </w:p>
        </w:tc>
        <w:tc>
          <w:tcPr>
            <w:tcW w:w="3257" w:type="dxa"/>
            <w:gridSpan w:val="2"/>
            <w:vMerge/>
            <w:tcBorders>
              <w:left w:val="single" w:sz="4" w:space="0" w:color="000000"/>
              <w:bottom w:val="single" w:sz="4" w:space="0" w:color="000000"/>
              <w:right w:val="single" w:sz="4" w:space="0" w:color="000000"/>
            </w:tcBorders>
            <w:shd w:val="clear" w:color="auto" w:fill="D2D2D2"/>
          </w:tcPr>
          <w:p>
            <w:pPr/>
          </w:p>
        </w:tc>
        <w:tc>
          <w:tcPr>
            <w:tcW w:w="3439" w:type="dxa"/>
            <w:gridSpan w:val="2"/>
            <w:vMerge/>
            <w:tcBorders>
              <w:left w:val="single" w:sz="4" w:space="0" w:color="000000"/>
              <w:bottom w:val="single" w:sz="4" w:space="0" w:color="000000"/>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202" w:hRule="exact"/>
        </w:trPr>
        <w:tc>
          <w:tcPr>
            <w:tcW w:w="1422" w:type="dxa"/>
            <w:vMerge/>
            <w:tcBorders>
              <w:left w:val="single" w:sz="4" w:space="0" w:color="000000"/>
              <w:bottom w:val="nil" w:sz="6" w:space="0" w:color="auto"/>
              <w:right w:val="single" w:sz="4" w:space="0" w:color="000000"/>
            </w:tcBorders>
            <w:shd w:val="clear" w:color="auto" w:fill="D2D2D2"/>
          </w:tcPr>
          <w:p>
            <w:pPr/>
          </w:p>
        </w:tc>
        <w:tc>
          <w:tcPr>
            <w:tcW w:w="17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50"/>
              <w:jc w:val="center"/>
              <w:rPr>
                <w:rFonts w:ascii="宋体" w:hAnsi="宋体" w:cs="宋体" w:eastAsia="宋体" w:hint="default"/>
                <w:sz w:val="21"/>
                <w:szCs w:val="21"/>
              </w:rPr>
            </w:pPr>
            <w:r>
              <w:rPr>
                <w:rFonts w:ascii="宋体" w:hAnsi="宋体" w:cs="宋体" w:eastAsia="宋体" w:hint="default"/>
                <w:sz w:val="21"/>
                <w:szCs w:val="21"/>
              </w:rPr>
              <w:t>金额</w:t>
            </w:r>
          </w:p>
        </w:tc>
        <w:tc>
          <w:tcPr>
            <w:tcW w:w="15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6"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8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6"/>
              <w:jc w:val="center"/>
              <w:rPr>
                <w:rFonts w:ascii="宋体" w:hAnsi="宋体" w:cs="宋体" w:eastAsia="宋体" w:hint="default"/>
                <w:sz w:val="21"/>
                <w:szCs w:val="21"/>
              </w:rPr>
            </w:pPr>
            <w:r>
              <w:rPr>
                <w:rFonts w:ascii="宋体" w:hAnsi="宋体" w:cs="宋体" w:eastAsia="宋体" w:hint="default"/>
                <w:sz w:val="21"/>
                <w:szCs w:val="21"/>
              </w:rPr>
              <w:t>金额</w:t>
            </w:r>
          </w:p>
        </w:tc>
        <w:tc>
          <w:tcPr>
            <w:tcW w:w="16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1"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450"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4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1" w:type="dxa"/>
            <w:vMerge/>
            <w:tcBorders>
              <w:left w:val="single" w:sz="4" w:space="0" w:color="000000"/>
              <w:bottom w:val="single" w:sz="4" w:space="0" w:color="000000"/>
              <w:right w:val="single" w:sz="4" w:space="0" w:color="000000"/>
            </w:tcBorders>
            <w:shd w:val="clear" w:color="auto" w:fill="D2D2D2"/>
          </w:tcPr>
          <w:p>
            <w:pPr/>
          </w:p>
        </w:tc>
        <w:tc>
          <w:tcPr>
            <w:tcW w:w="1506" w:type="dxa"/>
            <w:vMerge/>
            <w:tcBorders>
              <w:left w:val="single" w:sz="4" w:space="0" w:color="000000"/>
              <w:bottom w:val="single" w:sz="4" w:space="0" w:color="000000"/>
              <w:right w:val="single" w:sz="4" w:space="0" w:color="000000"/>
            </w:tcBorders>
            <w:shd w:val="clear" w:color="auto" w:fill="D2D2D2"/>
          </w:tcPr>
          <w:p>
            <w:pPr/>
          </w:p>
        </w:tc>
        <w:tc>
          <w:tcPr>
            <w:tcW w:w="1827" w:type="dxa"/>
            <w:vMerge/>
            <w:tcBorders>
              <w:left w:val="single" w:sz="4" w:space="0" w:color="000000"/>
              <w:bottom w:val="single" w:sz="4" w:space="0" w:color="000000"/>
              <w:right w:val="single" w:sz="4" w:space="0" w:color="000000"/>
            </w:tcBorders>
            <w:shd w:val="clear" w:color="auto" w:fill="D2D2D2"/>
          </w:tcPr>
          <w:p>
            <w:pPr/>
          </w:p>
        </w:tc>
        <w:tc>
          <w:tcPr>
            <w:tcW w:w="1612"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4"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75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6"/>
              <w:ind w:left="18" w:right="0"/>
              <w:jc w:val="left"/>
              <w:rPr>
                <w:rFonts w:ascii="Arial" w:hAnsi="Arial" w:cs="Arial" w:eastAsia="Arial" w:hint="default"/>
                <w:sz w:val="21"/>
                <w:szCs w:val="21"/>
              </w:rPr>
            </w:pPr>
            <w:r>
              <w:rPr>
                <w:rFonts w:ascii="Arial"/>
                <w:sz w:val="21"/>
              </w:rPr>
              <w:t>2,338,145,133.75</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9"/>
              <w:jc w:val="right"/>
              <w:rPr>
                <w:rFonts w:ascii="Arial" w:hAnsi="Arial" w:cs="Arial" w:eastAsia="Arial" w:hint="default"/>
                <w:sz w:val="21"/>
                <w:szCs w:val="21"/>
              </w:rPr>
            </w:pPr>
            <w:r>
              <w:rPr>
                <w:rFonts w:ascii="Arial"/>
                <w:sz w:val="21"/>
              </w:rPr>
              <w:t>100%</w:t>
            </w:r>
          </w:p>
        </w:tc>
        <w:tc>
          <w:tcPr>
            <w:tcW w:w="182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6"/>
              <w:ind w:right="15"/>
              <w:jc w:val="right"/>
              <w:rPr>
                <w:rFonts w:ascii="Arial" w:hAnsi="Arial" w:cs="Arial" w:eastAsia="Arial" w:hint="default"/>
                <w:sz w:val="21"/>
                <w:szCs w:val="21"/>
              </w:rPr>
            </w:pPr>
            <w:r>
              <w:rPr>
                <w:rFonts w:ascii="Arial"/>
                <w:spacing w:val="-1"/>
                <w:sz w:val="21"/>
              </w:rPr>
              <w:t>1,820,108,218.46</w:t>
            </w:r>
          </w:p>
        </w:tc>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6"/>
              <w:jc w:val="right"/>
              <w:rPr>
                <w:rFonts w:ascii="Arial" w:hAnsi="Arial" w:cs="Arial" w:eastAsia="Arial" w:hint="default"/>
                <w:sz w:val="21"/>
                <w:szCs w:val="21"/>
              </w:rPr>
            </w:pPr>
            <w:r>
              <w:rPr>
                <w:rFonts w:ascii="Arial"/>
                <w:sz w:val="21"/>
              </w:rPr>
              <w:t>100%</w:t>
            </w:r>
          </w:p>
        </w:tc>
        <w:tc>
          <w:tcPr>
            <w:tcW w:w="14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28.46%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3"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法律科技</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Arial" w:hAnsi="Arial" w:cs="Arial" w:eastAsia="Arial" w:hint="default"/>
                <w:sz w:val="21"/>
                <w:szCs w:val="21"/>
              </w:rPr>
            </w:pPr>
            <w:r>
              <w:rPr>
                <w:rFonts w:ascii="Arial"/>
                <w:spacing w:val="-1"/>
                <w:sz w:val="21"/>
              </w:rPr>
              <w:t>1,691,651,818.51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72.35%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2"/>
              <w:jc w:val="right"/>
              <w:rPr>
                <w:rFonts w:ascii="Arial" w:hAnsi="Arial" w:cs="Arial" w:eastAsia="Arial" w:hint="default"/>
                <w:sz w:val="21"/>
                <w:szCs w:val="21"/>
              </w:rPr>
            </w:pPr>
            <w:r>
              <w:rPr>
                <w:rFonts w:ascii="Arial"/>
                <w:spacing w:val="-1"/>
                <w:sz w:val="21"/>
              </w:rPr>
              <w:t>1,416,998,378.12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77.85%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19.38%</w:t>
            </w:r>
          </w:p>
        </w:tc>
      </w:tr>
      <w:tr>
        <w:trPr>
          <w:trHeight w:val="401"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教育信息化</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Arial" w:hAnsi="Arial" w:cs="Arial" w:eastAsia="Arial" w:hint="default"/>
                <w:sz w:val="21"/>
                <w:szCs w:val="21"/>
              </w:rPr>
            </w:pPr>
            <w:r>
              <w:rPr>
                <w:rFonts w:ascii="Arial"/>
                <w:spacing w:val="-1"/>
                <w:sz w:val="21"/>
              </w:rPr>
              <w:t>221,809,087.71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9.49%</w:t>
            </w:r>
          </w:p>
        </w:tc>
        <w:tc>
          <w:tcPr>
            <w:tcW w:w="182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23"/>
              <w:jc w:val="left"/>
              <w:rPr>
                <w:rFonts w:ascii="宋体" w:hAnsi="宋体" w:cs="宋体" w:eastAsia="宋体" w:hint="default"/>
                <w:sz w:val="21"/>
                <w:szCs w:val="21"/>
              </w:rPr>
            </w:pPr>
            <w:r>
              <w:rPr>
                <w:rFonts w:ascii="宋体" w:hAnsi="宋体" w:cs="宋体" w:eastAsia="宋体" w:hint="default"/>
                <w:sz w:val="21"/>
                <w:szCs w:val="21"/>
              </w:rPr>
              <w:t>食品安全与市</w:t>
            </w:r>
            <w:r>
              <w:rPr>
                <w:rFonts w:ascii="宋体" w:hAnsi="宋体" w:cs="宋体" w:eastAsia="宋体" w:hint="default"/>
                <w:w w:val="100"/>
                <w:sz w:val="21"/>
                <w:szCs w:val="21"/>
              </w:rPr>
              <w:t> </w:t>
            </w:r>
            <w:r>
              <w:rPr>
                <w:rFonts w:ascii="宋体" w:hAnsi="宋体" w:cs="宋体" w:eastAsia="宋体" w:hint="default"/>
                <w:sz w:val="21"/>
                <w:szCs w:val="21"/>
              </w:rPr>
              <w:t>场监管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right"/>
              <w:rPr>
                <w:rFonts w:ascii="Arial" w:hAnsi="Arial" w:cs="Arial" w:eastAsia="Arial" w:hint="default"/>
                <w:sz w:val="21"/>
                <w:szCs w:val="21"/>
              </w:rPr>
            </w:pPr>
            <w:r>
              <w:rPr>
                <w:rFonts w:ascii="Arial"/>
                <w:spacing w:val="-1"/>
                <w:sz w:val="21"/>
              </w:rPr>
              <w:t>47,324,343.31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2.02%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2"/>
              <w:jc w:val="right"/>
              <w:rPr>
                <w:rFonts w:ascii="Arial" w:hAnsi="Arial" w:cs="Arial" w:eastAsia="Arial" w:hint="default"/>
                <w:sz w:val="21"/>
                <w:szCs w:val="21"/>
              </w:rPr>
            </w:pPr>
            <w:r>
              <w:rPr>
                <w:rFonts w:ascii="Arial"/>
                <w:spacing w:val="-2"/>
                <w:sz w:val="21"/>
              </w:rPr>
              <w:t>63,885,114.62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3.51%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-25.92%</w:t>
            </w:r>
          </w:p>
        </w:tc>
      </w:tr>
      <w:tr>
        <w:trPr>
          <w:trHeight w:val="402"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大企业及其他</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Arial" w:hAnsi="Arial" w:cs="Arial" w:eastAsia="Arial" w:hint="default"/>
                <w:sz w:val="21"/>
                <w:szCs w:val="21"/>
              </w:rPr>
            </w:pPr>
            <w:r>
              <w:rPr>
                <w:rFonts w:ascii="Arial"/>
                <w:spacing w:val="-1"/>
                <w:sz w:val="21"/>
              </w:rPr>
              <w:t>377,359,884.22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16.14%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2"/>
              <w:jc w:val="right"/>
              <w:rPr>
                <w:rFonts w:ascii="Arial" w:hAnsi="Arial" w:cs="Arial" w:eastAsia="Arial" w:hint="default"/>
                <w:sz w:val="21"/>
                <w:szCs w:val="21"/>
              </w:rPr>
            </w:pPr>
            <w:r>
              <w:rPr>
                <w:rFonts w:ascii="Arial"/>
                <w:spacing w:val="-1"/>
                <w:sz w:val="21"/>
              </w:rPr>
              <w:t>339,224,725.72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18.64%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4"/>
                <w:sz w:val="21"/>
              </w:rPr>
              <w:t>11.24%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1"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Arial" w:hAnsi="Arial" w:cs="Arial" w:eastAsia="Arial" w:hint="default"/>
                <w:sz w:val="21"/>
                <w:szCs w:val="21"/>
              </w:rPr>
            </w:pPr>
            <w:r>
              <w:rPr>
                <w:rFonts w:ascii="Arial"/>
                <w:spacing w:val="-1"/>
                <w:sz w:val="21"/>
              </w:rPr>
              <w:t>1,127,137,445.49</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48.21%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
              <w:jc w:val="right"/>
              <w:rPr>
                <w:rFonts w:ascii="Arial" w:hAnsi="Arial" w:cs="Arial" w:eastAsia="Arial" w:hint="default"/>
                <w:sz w:val="21"/>
                <w:szCs w:val="21"/>
              </w:rPr>
            </w:pPr>
            <w:r>
              <w:rPr>
                <w:rFonts w:ascii="Arial"/>
                <w:spacing w:val="-1"/>
                <w:sz w:val="21"/>
              </w:rPr>
              <w:t>793,085,272.66</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43.57%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42.12%</w:t>
            </w:r>
          </w:p>
        </w:tc>
      </w:tr>
      <w:tr>
        <w:trPr>
          <w:trHeight w:val="403"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系统建设服务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Arial" w:hAnsi="Arial" w:cs="Arial" w:eastAsia="Arial" w:hint="default"/>
                <w:sz w:val="21"/>
                <w:szCs w:val="21"/>
              </w:rPr>
            </w:pPr>
            <w:r>
              <w:rPr>
                <w:rFonts w:ascii="Arial"/>
                <w:spacing w:val="-1"/>
                <w:sz w:val="21"/>
              </w:rPr>
              <w:t>835,812,238.17</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35.75%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
              <w:jc w:val="right"/>
              <w:rPr>
                <w:rFonts w:ascii="Arial" w:hAnsi="Arial" w:cs="Arial" w:eastAsia="Arial" w:hint="default"/>
                <w:sz w:val="21"/>
                <w:szCs w:val="21"/>
              </w:rPr>
            </w:pPr>
            <w:r>
              <w:rPr>
                <w:rFonts w:ascii="Arial"/>
                <w:spacing w:val="-1"/>
                <w:sz w:val="21"/>
              </w:rPr>
              <w:t>709,845,708.57</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39.00%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17.75%</w:t>
            </w:r>
          </w:p>
        </w:tc>
      </w:tr>
      <w:tr>
        <w:trPr>
          <w:trHeight w:val="402"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Arial" w:hAnsi="Arial" w:cs="Arial" w:eastAsia="Arial" w:hint="default"/>
                <w:sz w:val="21"/>
                <w:szCs w:val="21"/>
              </w:rPr>
            </w:pPr>
            <w:r>
              <w:rPr>
                <w:rFonts w:ascii="Arial"/>
                <w:spacing w:val="-1"/>
                <w:sz w:val="21"/>
              </w:rPr>
              <w:t>375,195,450.09</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16.04%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
              <w:jc w:val="right"/>
              <w:rPr>
                <w:rFonts w:ascii="Arial" w:hAnsi="Arial" w:cs="Arial" w:eastAsia="Arial" w:hint="default"/>
                <w:sz w:val="21"/>
                <w:szCs w:val="21"/>
              </w:rPr>
            </w:pPr>
            <w:r>
              <w:rPr>
                <w:rFonts w:ascii="Arial"/>
                <w:spacing w:val="-1"/>
                <w:sz w:val="21"/>
              </w:rPr>
              <w:t>317,177,237.23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18.29%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1"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Arial" w:hAnsi="Arial" w:cs="Arial" w:eastAsia="Arial" w:hint="default"/>
                <w:sz w:val="21"/>
                <w:szCs w:val="21"/>
              </w:rPr>
            </w:pPr>
            <w:r>
              <w:rPr>
                <w:rFonts w:ascii="Arial"/>
                <w:spacing w:val="-1"/>
                <w:sz w:val="21"/>
              </w:rPr>
              <w:t>978,916,343.75</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41.87%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Arial" w:hAnsi="Arial" w:cs="Arial" w:eastAsia="Arial" w:hint="default"/>
                <w:sz w:val="21"/>
                <w:szCs w:val="21"/>
              </w:rPr>
            </w:pPr>
            <w:r>
              <w:rPr>
                <w:rFonts w:ascii="Arial"/>
                <w:spacing w:val="-1"/>
                <w:sz w:val="21"/>
              </w:rPr>
              <w:t>745,068,540.82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40.94%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31.39%</w:t>
            </w:r>
          </w:p>
        </w:tc>
      </w:tr>
      <w:tr>
        <w:trPr>
          <w:trHeight w:val="403"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Arial" w:hAnsi="Arial" w:cs="Arial" w:eastAsia="Arial" w:hint="default"/>
                <w:sz w:val="21"/>
                <w:szCs w:val="21"/>
              </w:rPr>
            </w:pPr>
            <w:r>
              <w:rPr>
                <w:rFonts w:ascii="Arial"/>
                <w:spacing w:val="-1"/>
                <w:sz w:val="21"/>
              </w:rPr>
              <w:t>285,557,513.92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12.21%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Arial" w:hAnsi="Arial" w:cs="Arial" w:eastAsia="Arial" w:hint="default"/>
                <w:sz w:val="21"/>
                <w:szCs w:val="21"/>
              </w:rPr>
            </w:pPr>
            <w:r>
              <w:rPr>
                <w:rFonts w:ascii="Arial"/>
                <w:spacing w:val="-1"/>
                <w:sz w:val="21"/>
              </w:rPr>
              <w:t>205,898,177.53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Arial" w:hAnsi="Arial" w:cs="Arial" w:eastAsia="Arial" w:hint="default"/>
                <w:sz w:val="21"/>
                <w:szCs w:val="21"/>
              </w:rPr>
            </w:pPr>
            <w:r>
              <w:rPr>
                <w:rFonts w:ascii="Arial"/>
                <w:spacing w:val="-4"/>
                <w:sz w:val="21"/>
              </w:rPr>
              <w:t>11.31%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38.69%</w:t>
            </w:r>
          </w:p>
        </w:tc>
      </w:tr>
    </w:tbl>
    <w:p>
      <w:pPr>
        <w:spacing w:after="0" w:line="240" w:lineRule="auto"/>
        <w:jc w:val="right"/>
        <w:rPr>
          <w:rFonts w:ascii="Arial" w:hAnsi="Arial" w:cs="Arial" w:eastAsia="Arial" w:hint="default"/>
          <w:sz w:val="21"/>
          <w:szCs w:val="21"/>
        </w:rPr>
        <w:sectPr>
          <w:pgSz w:w="11910" w:h="16840"/>
          <w:pgMar w:header="745" w:footer="980" w:top="1060" w:bottom="1160" w:left="980" w:right="980"/>
        </w:sectPr>
      </w:pPr>
    </w:p>
    <w:p>
      <w:pPr>
        <w:spacing w:line="240" w:lineRule="auto" w:before="7"/>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419"/>
        <w:gridCol w:w="1772"/>
        <w:gridCol w:w="1488"/>
        <w:gridCol w:w="1846"/>
        <w:gridCol w:w="1597"/>
        <w:gridCol w:w="1447"/>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278,750,728.58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4"/>
                <w:sz w:val="21"/>
              </w:rPr>
              <w:t>11.92%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250,190,520.78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13.75%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4"/>
                <w:sz w:val="21"/>
              </w:rPr>
              <w:t>11.42%</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265,904,531.01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4"/>
                <w:sz w:val="21"/>
              </w:rPr>
              <w:t>11.37%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244,277,874.93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13.42%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8.85%</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228,798,124.98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9.79%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194,951,451.60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10.71%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17.36%</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173,236,979.00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7.41%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120,322,620.57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6.61%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43.98%</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126,980,912.51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5.43%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59,399,032.23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3.26%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3"/>
                <w:sz w:val="21"/>
              </w:rPr>
              <w:t>113.78%</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）占公司营业收入或营业利润</w:t>
      </w:r>
      <w:r>
        <w:rPr>
          <w:rFonts w:ascii="Microsoft JhengHei" w:hAnsi="Microsoft JhengHei" w:cs="Microsoft JhengHei" w:eastAsia="Microsoft JhengHei" w:hint="default"/>
          <w:b/>
          <w:bCs/>
          <w:spacing w:val="22"/>
          <w:sz w:val="21"/>
          <w:szCs w:val="21"/>
        </w:rPr>
        <w:t> </w:t>
      </w:r>
      <w:r>
        <w:rPr>
          <w:rFonts w:ascii="Arial" w:hAnsi="Arial" w:cs="Arial" w:eastAsia="Arial" w:hint="default"/>
          <w:b/>
          <w:bCs/>
          <w:sz w:val="21"/>
          <w:szCs w:val="21"/>
        </w:rPr>
        <w:t>10%</w:t>
      </w:r>
      <w:r>
        <w:rPr>
          <w:rFonts w:ascii="Microsoft JhengHei" w:hAnsi="Microsoft JhengHei" w:cs="Microsoft JhengHei" w:eastAsia="Microsoft JhengHei" w:hint="default"/>
          <w:b/>
          <w:bCs/>
          <w:sz w:val="21"/>
          <w:szCs w:val="21"/>
        </w:rPr>
        <w:t>以上的行业、产品或地区情况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pgSz w:w="11910" w:h="16840"/>
          <w:pgMar w:header="745" w:footer="980" w:top="1060" w:bottom="1160" w:left="980" w:right="980"/>
        </w:sectPr>
      </w:pPr>
    </w:p>
    <w:p>
      <w:pPr>
        <w:pStyle w:val="BodyText"/>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980"/>
          <w:cols w:num="2" w:equalWidth="0">
            <w:col w:w="1990" w:space="6811"/>
            <w:col w:w="1149"/>
          </w:cols>
        </w:sectPr>
      </w:pP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330"/>
        <w:gridCol w:w="1721"/>
        <w:gridCol w:w="1694"/>
        <w:gridCol w:w="855"/>
        <w:gridCol w:w="1346"/>
        <w:gridCol w:w="1419"/>
        <w:gridCol w:w="1207"/>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毛利率</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43" w:right="33" w:hanging="106"/>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79" w:right="70" w:hanging="106"/>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4" w:right="6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年同期增减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法律科技</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1,691,651,818.51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1,005,350,492.02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 w:right="0"/>
              <w:jc w:val="center"/>
              <w:rPr>
                <w:rFonts w:ascii="Arial" w:hAnsi="Arial" w:cs="Arial" w:eastAsia="Arial" w:hint="default"/>
                <w:sz w:val="21"/>
                <w:szCs w:val="21"/>
              </w:rPr>
            </w:pPr>
            <w:r>
              <w:rPr>
                <w:rFonts w:ascii="Arial"/>
                <w:sz w:val="21"/>
              </w:rPr>
              <w:t>40.57%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19.38%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13.46%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3.10%</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教育信息化</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221,809,087.71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109,842,267.14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 w:right="0"/>
              <w:jc w:val="center"/>
              <w:rPr>
                <w:rFonts w:ascii="Arial" w:hAnsi="Arial" w:cs="Arial" w:eastAsia="Arial" w:hint="default"/>
                <w:sz w:val="21"/>
                <w:szCs w:val="21"/>
              </w:rPr>
            </w:pPr>
            <w:r>
              <w:rPr>
                <w:rFonts w:ascii="Arial"/>
                <w:sz w:val="21"/>
              </w:rPr>
              <w:t>50.48%</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31"/>
              <w:jc w:val="left"/>
              <w:rPr>
                <w:rFonts w:ascii="宋体" w:hAnsi="宋体" w:cs="宋体" w:eastAsia="宋体" w:hint="default"/>
                <w:sz w:val="21"/>
                <w:szCs w:val="21"/>
              </w:rPr>
            </w:pPr>
            <w:r>
              <w:rPr>
                <w:rFonts w:ascii="宋体" w:hAnsi="宋体" w:cs="宋体" w:eastAsia="宋体" w:hint="default"/>
                <w:sz w:val="21"/>
                <w:szCs w:val="21"/>
              </w:rPr>
              <w:t>食品安全与市</w:t>
            </w:r>
            <w:r>
              <w:rPr>
                <w:rFonts w:ascii="宋体" w:hAnsi="宋体" w:cs="宋体" w:eastAsia="宋体" w:hint="default"/>
                <w:w w:val="100"/>
                <w:sz w:val="21"/>
                <w:szCs w:val="21"/>
              </w:rPr>
              <w:t> </w:t>
            </w:r>
            <w:r>
              <w:rPr>
                <w:rFonts w:ascii="宋体" w:hAnsi="宋体" w:cs="宋体" w:eastAsia="宋体" w:hint="default"/>
                <w:sz w:val="21"/>
                <w:szCs w:val="21"/>
              </w:rPr>
              <w:t>场监管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47,324,343.31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27,049,203.39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86" w:right="0"/>
              <w:jc w:val="center"/>
              <w:rPr>
                <w:rFonts w:ascii="Arial" w:hAnsi="Arial" w:cs="Arial" w:eastAsia="Arial" w:hint="default"/>
                <w:sz w:val="21"/>
                <w:szCs w:val="21"/>
              </w:rPr>
            </w:pPr>
            <w:r>
              <w:rPr>
                <w:rFonts w:ascii="Arial"/>
                <w:sz w:val="21"/>
              </w:rPr>
              <w:t>42.84%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-31.27%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4.45%</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大企业及其他</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377,359,884.22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246,945,753.25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 w:right="0"/>
              <w:jc w:val="center"/>
              <w:rPr>
                <w:rFonts w:ascii="Arial" w:hAnsi="Arial" w:cs="Arial" w:eastAsia="Arial" w:hint="default"/>
                <w:sz w:val="21"/>
                <w:szCs w:val="21"/>
              </w:rPr>
            </w:pPr>
            <w:r>
              <w:rPr>
                <w:rFonts w:ascii="Arial"/>
                <w:sz w:val="21"/>
              </w:rPr>
              <w:t>34.56%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4"/>
                <w:sz w:val="21"/>
              </w:rPr>
              <w:t>11.24%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39.37%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-13.21%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1,127,137,445.49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449,921,260.95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 w:right="0"/>
              <w:jc w:val="center"/>
              <w:rPr>
                <w:rFonts w:ascii="Arial" w:hAnsi="Arial" w:cs="Arial" w:eastAsia="Arial" w:hint="default"/>
                <w:sz w:val="21"/>
                <w:szCs w:val="21"/>
              </w:rPr>
            </w:pPr>
            <w:r>
              <w:rPr>
                <w:rFonts w:ascii="Arial"/>
                <w:sz w:val="21"/>
              </w:rPr>
              <w:t>60.08%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42.12%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40.44%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0.47%</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系统建设服务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835,812,238.17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699,227,680.19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 w:right="0"/>
              <w:jc w:val="center"/>
              <w:rPr>
                <w:rFonts w:ascii="Arial" w:hAnsi="Arial" w:cs="Arial" w:eastAsia="Arial" w:hint="default"/>
                <w:sz w:val="21"/>
                <w:szCs w:val="21"/>
              </w:rPr>
            </w:pPr>
            <w:r>
              <w:rPr>
                <w:rFonts w:ascii="Arial"/>
                <w:sz w:val="21"/>
              </w:rPr>
              <w:t>16.34%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19.13%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-0.97%</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375,195,450.09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240,038,774.66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 w:right="0"/>
              <w:jc w:val="center"/>
              <w:rPr>
                <w:rFonts w:ascii="Arial" w:hAnsi="Arial" w:cs="Arial" w:eastAsia="Arial" w:hint="default"/>
                <w:sz w:val="21"/>
                <w:szCs w:val="21"/>
              </w:rPr>
            </w:pPr>
            <w:r>
              <w:rPr>
                <w:rFonts w:ascii="Arial"/>
                <w:sz w:val="21"/>
              </w:rPr>
              <w:t>36.02%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18.29%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22.87%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-2.39%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978,916,343.75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2"/>
                <w:sz w:val="21"/>
              </w:rPr>
              <w:t>665,911,620.75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 w:right="0"/>
              <w:jc w:val="center"/>
              <w:rPr>
                <w:rFonts w:ascii="Arial" w:hAnsi="Arial" w:cs="Arial" w:eastAsia="Arial" w:hint="default"/>
                <w:sz w:val="21"/>
                <w:szCs w:val="21"/>
              </w:rPr>
            </w:pPr>
            <w:r>
              <w:rPr>
                <w:rFonts w:ascii="Arial"/>
                <w:sz w:val="21"/>
              </w:rPr>
              <w:t>31.97%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31.39%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33.06%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-0.86%</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285,557,513.92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167,622,675.39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 w:right="0"/>
              <w:jc w:val="center"/>
              <w:rPr>
                <w:rFonts w:ascii="Arial" w:hAnsi="Arial" w:cs="Arial" w:eastAsia="Arial" w:hint="default"/>
                <w:sz w:val="21"/>
                <w:szCs w:val="21"/>
              </w:rPr>
            </w:pPr>
            <w:r>
              <w:rPr>
                <w:rFonts w:ascii="Arial"/>
                <w:sz w:val="21"/>
              </w:rPr>
              <w:t>41.30%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38.69%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32.44%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2.77%</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278,750,728.58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132,598,375.70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 w:right="0"/>
              <w:jc w:val="center"/>
              <w:rPr>
                <w:rFonts w:ascii="Arial" w:hAnsi="Arial" w:cs="Arial" w:eastAsia="Arial" w:hint="default"/>
                <w:sz w:val="21"/>
                <w:szCs w:val="21"/>
              </w:rPr>
            </w:pPr>
            <w:r>
              <w:rPr>
                <w:rFonts w:ascii="Arial"/>
                <w:sz w:val="21"/>
              </w:rPr>
              <w:t>52.43%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4"/>
                <w:sz w:val="21"/>
              </w:rPr>
              <w:t>11.42%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3"/>
                <w:sz w:val="21"/>
              </w:rPr>
              <w:t>-6.11%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8.88%</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265,904,531.01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153,527,418.68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 w:right="0"/>
              <w:jc w:val="center"/>
              <w:rPr>
                <w:rFonts w:ascii="Arial" w:hAnsi="Arial" w:cs="Arial" w:eastAsia="Arial" w:hint="default"/>
                <w:sz w:val="21"/>
                <w:szCs w:val="21"/>
              </w:rPr>
            </w:pPr>
            <w:r>
              <w:rPr>
                <w:rFonts w:ascii="Arial"/>
                <w:sz w:val="21"/>
              </w:rPr>
              <w:t>42.26%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8.85%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9.95%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-0.58%</w:t>
            </w:r>
          </w:p>
        </w:tc>
      </w:tr>
    </w:tbl>
    <w:p>
      <w:pPr>
        <w:pStyle w:val="BodyText"/>
        <w:spacing w:line="268" w:lineRule="auto"/>
        <w:ind w:left="633" w:right="173" w:hanging="481"/>
        <w:jc w:val="left"/>
      </w:pPr>
      <w:r>
        <w:rPr/>
        <w:t>变更口径的理由 公司分行业收入口径变更后，给投资者提供了更有效的数据，使投资者更清晰的了解公</w:t>
      </w:r>
    </w:p>
    <w:p>
      <w:pPr>
        <w:pStyle w:val="BodyText"/>
        <w:spacing w:line="283" w:lineRule="exact"/>
        <w:ind w:right="0"/>
        <w:jc w:val="left"/>
      </w:pPr>
      <w:r>
        <w:rPr/>
        <w:t>司在各领域业务的发展情况。</w:t>
      </w:r>
    </w:p>
    <w:p>
      <w:pPr>
        <w:spacing w:line="240" w:lineRule="auto" w:before="9"/>
        <w:rPr>
          <w:rFonts w:ascii="宋体" w:hAnsi="宋体" w:cs="宋体" w:eastAsia="宋体" w:hint="default"/>
          <w:sz w:val="19"/>
          <w:szCs w:val="19"/>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）公司实物销售收入是否大于劳务收入</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6"/>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）公司已签订的重大销售合同截至本报告期的履行情况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type w:val="continuous"/>
          <w:pgSz w:w="11910" w:h="16840"/>
          <w:pgMar w:top="1060" w:bottom="1160" w:left="980" w:right="980"/>
        </w:sectPr>
      </w:pPr>
    </w:p>
    <w:p>
      <w:pPr>
        <w:spacing w:line="240" w:lineRule="auto" w:before="11"/>
        <w:rPr>
          <w:rFonts w:ascii="宋体" w:hAnsi="宋体" w:cs="宋体" w:eastAsia="宋体" w:hint="default"/>
          <w:sz w:val="24"/>
          <w:szCs w:val="2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）营业成本构成</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80" w:top="1060" w:bottom="1160" w:left="980" w:right="980"/>
        </w:sectPr>
      </w:pPr>
    </w:p>
    <w:p>
      <w:pPr>
        <w:pStyle w:val="BodyText"/>
        <w:spacing w:line="240" w:lineRule="auto" w:before="26"/>
        <w:ind w:right="-20"/>
        <w:jc w:val="left"/>
      </w:pPr>
      <w:r>
        <w:rPr/>
        <w:t>产品分类</w:t>
      </w:r>
    </w:p>
    <w:p>
      <w:pPr>
        <w:spacing w:line="240" w:lineRule="auto" w:before="0"/>
        <w:rPr>
          <w:rFonts w:ascii="宋体" w:hAnsi="宋体" w:cs="宋体" w:eastAsia="宋体" w:hint="default"/>
          <w:sz w:val="20"/>
          <w:szCs w:val="20"/>
        </w:rPr>
      </w:pPr>
      <w:r>
        <w:rPr/>
        <w:br w:type="column"/>
      </w:r>
      <w:r>
        <w:rPr>
          <w:rFonts w:ascii="宋体"/>
          <w:sz w:val="20"/>
        </w:rPr>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980"/>
          <w:cols w:num="2" w:equalWidth="0">
            <w:col w:w="1113" w:space="7687"/>
            <w:col w:w="1150"/>
          </w:cols>
        </w:sectPr>
      </w:pP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560"/>
        <w:gridCol w:w="1841"/>
        <w:gridCol w:w="1560"/>
        <w:gridCol w:w="1844"/>
        <w:gridCol w:w="1561"/>
        <w:gridCol w:w="1274"/>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34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33"/>
              <w:jc w:val="right"/>
              <w:rPr>
                <w:rFonts w:ascii="宋体" w:hAnsi="宋体" w:cs="宋体" w:eastAsia="宋体" w:hint="default"/>
                <w:sz w:val="21"/>
                <w:szCs w:val="21"/>
              </w:rPr>
            </w:pPr>
            <w:r>
              <w:rPr>
                <w:rFonts w:ascii="宋体" w:hAnsi="宋体" w:cs="宋体" w:eastAsia="宋体" w:hint="default"/>
                <w:spacing w:val="-1"/>
                <w:sz w:val="21"/>
                <w:szCs w:val="21"/>
              </w:rPr>
              <w:t>占营业成本比重</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34"/>
              <w:jc w:val="right"/>
              <w:rPr>
                <w:rFonts w:ascii="宋体" w:hAnsi="宋体" w:cs="宋体" w:eastAsia="宋体" w:hint="default"/>
                <w:sz w:val="21"/>
                <w:szCs w:val="21"/>
              </w:rPr>
            </w:pPr>
            <w:r>
              <w:rPr>
                <w:rFonts w:ascii="宋体" w:hAnsi="宋体" w:cs="宋体" w:eastAsia="宋体" w:hint="default"/>
                <w:spacing w:val="-1"/>
                <w:sz w:val="21"/>
                <w:szCs w:val="21"/>
              </w:rPr>
              <w:t>占营业成本比重</w:t>
            </w:r>
          </w:p>
        </w:tc>
        <w:tc>
          <w:tcPr>
            <w:tcW w:w="12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449,921,260.95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32.39%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320,355,723.55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29.05%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40.44%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系统建设服务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699,227,680.19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50.33%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586,945,798.61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53.23%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19.13%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240,038,774.66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195,361,193.75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22.87%</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）报告期内合并范围是否发生变动</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pStyle w:val="BodyText"/>
        <w:spacing w:line="297" w:lineRule="auto" w:before="177"/>
        <w:ind w:right="159" w:firstLine="480"/>
        <w:jc w:val="both"/>
      </w:pPr>
      <w:r>
        <w:rPr/>
        <w:t>本公司根据集团经营需要，新设子公司溯源云（北京）科技服务有限公司、孙公司中科 智慧水运科技创新（广州）有限公司，并购联奕科技有限公司及其子公司广州优奕科信息科</w:t>
      </w:r>
      <w:r>
        <w:rPr>
          <w:spacing w:val="-91"/>
        </w:rPr>
        <w:t> </w:t>
      </w:r>
      <w:r>
        <w:rPr>
          <w:spacing w:val="-91"/>
        </w:rPr>
      </w:r>
      <w:r>
        <w:rPr/>
        <w:t>技有限公司导致增加合并范围；本年度合并范围减少子公司北京华宇科创投资有限公司。</w:t>
      </w:r>
    </w:p>
    <w:p>
      <w:pPr>
        <w:spacing w:line="240" w:lineRule="auto" w:before="4"/>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）公司报告期内业务、产品或服务发生重大变化或调整有关情况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）主要销售客户和主要供应商情况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40" w:lineRule="auto"/>
        <w:ind w:right="0"/>
        <w:jc w:val="left"/>
      </w:pPr>
      <w:r>
        <w:rPr/>
        <w:t>公司主要销售客户情况</w:t>
      </w:r>
    </w:p>
    <w:p>
      <w:pPr>
        <w:spacing w:line="240" w:lineRule="auto" w:before="11"/>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5531"/>
        <w:gridCol w:w="4037"/>
      </w:tblGrid>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358,390,962.17</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15.33%</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前五名客户销售额中关联方销售额占年度销售总额比例</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0.00%</w:t>
            </w:r>
          </w:p>
        </w:tc>
      </w:tr>
    </w:tbl>
    <w:p>
      <w:pPr>
        <w:pStyle w:val="BodyText"/>
        <w:spacing w:line="240" w:lineRule="auto"/>
        <w:ind w:right="0"/>
        <w:jc w:val="left"/>
      </w:pPr>
      <w:r>
        <w:rPr/>
        <w:t>公司前</w:t>
      </w:r>
      <w:r>
        <w:rPr>
          <w:spacing w:val="-60"/>
        </w:rPr>
        <w:t> </w:t>
      </w:r>
      <w:r>
        <w:rPr>
          <w:rFonts w:ascii="Arial" w:hAnsi="Arial" w:cs="Arial" w:eastAsia="Arial" w:hint="default"/>
        </w:rPr>
        <w:t>5</w:t>
      </w:r>
      <w:r>
        <w:rPr>
          <w:rFonts w:ascii="Arial" w:hAnsi="Arial" w:cs="Arial" w:eastAsia="Arial" w:hint="default"/>
          <w:spacing w:val="-6"/>
        </w:rPr>
        <w:t> </w:t>
      </w:r>
      <w:r>
        <w:rPr/>
        <w:t>大客户资料</w:t>
      </w:r>
    </w:p>
    <w:p>
      <w:pPr>
        <w:spacing w:line="240" w:lineRule="auto" w:before="7"/>
        <w:rPr>
          <w:rFonts w:ascii="宋体" w:hAnsi="宋体" w:cs="宋体" w:eastAsia="宋体" w:hint="default"/>
          <w:sz w:val="4"/>
          <w:szCs w:val="4"/>
        </w:rPr>
      </w:pPr>
    </w:p>
    <w:tbl>
      <w:tblPr>
        <w:tblW w:w="0" w:type="auto"/>
        <w:jc w:val="left"/>
        <w:tblInd w:w="193" w:type="dxa"/>
        <w:tblLayout w:type="fixed"/>
        <w:tblCellMar>
          <w:top w:w="0" w:type="dxa"/>
          <w:left w:w="0" w:type="dxa"/>
          <w:bottom w:w="0" w:type="dxa"/>
          <w:right w:w="0" w:type="dxa"/>
        </w:tblCellMar>
        <w:tblLook w:val="01E0"/>
      </w:tblPr>
      <w:tblGrid>
        <w:gridCol w:w="779"/>
        <w:gridCol w:w="3311"/>
        <w:gridCol w:w="2324"/>
        <w:gridCol w:w="3142"/>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1"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Arial" w:hAnsi="Arial" w:cs="Arial" w:eastAsia="Arial" w:hint="default"/>
                <w:sz w:val="21"/>
                <w:szCs w:val="21"/>
              </w:rPr>
            </w:pPr>
            <w:r>
              <w:rPr>
                <w:rFonts w:ascii="Arial"/>
                <w:w w:val="100"/>
                <w:sz w:val="21"/>
              </w:rPr>
              <w:t>1</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北京市高级人民法院</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98,108,824.30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4.20%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Arial" w:hAnsi="Arial" w:cs="Arial" w:eastAsia="Arial" w:hint="default"/>
                <w:sz w:val="21"/>
                <w:szCs w:val="21"/>
              </w:rPr>
            </w:pPr>
            <w:r>
              <w:rPr>
                <w:rFonts w:ascii="Arial"/>
                <w:w w:val="100"/>
                <w:sz w:val="21"/>
              </w:rPr>
              <w:t>2</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北京市第二中级人民法院</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84,847,768.72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3.63%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Arial" w:hAnsi="Arial" w:cs="Arial" w:eastAsia="Arial" w:hint="default"/>
                <w:sz w:val="21"/>
                <w:szCs w:val="21"/>
              </w:rPr>
            </w:pPr>
            <w:r>
              <w:rPr>
                <w:rFonts w:ascii="Arial"/>
                <w:w w:val="100"/>
                <w:sz w:val="21"/>
              </w:rPr>
              <w:t>3</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青海省高级人民法院</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74,628,393.61</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3.19%</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Arial" w:hAnsi="Arial" w:cs="Arial" w:eastAsia="Arial" w:hint="default"/>
                <w:sz w:val="21"/>
                <w:szCs w:val="21"/>
              </w:rPr>
            </w:pPr>
            <w:r>
              <w:rPr>
                <w:rFonts w:ascii="Arial"/>
                <w:w w:val="100"/>
                <w:sz w:val="21"/>
              </w:rPr>
              <w:t>4</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最高人民法院</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56,051,746.01</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1"/>
                <w:sz w:val="21"/>
              </w:rPr>
              <w:t>2.40%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Arial" w:hAnsi="Arial" w:cs="Arial" w:eastAsia="Arial" w:hint="default"/>
                <w:sz w:val="21"/>
                <w:szCs w:val="21"/>
              </w:rPr>
            </w:pPr>
            <w:r>
              <w:rPr>
                <w:rFonts w:ascii="Arial"/>
                <w:w w:val="100"/>
                <w:sz w:val="21"/>
              </w:rPr>
              <w:t>5</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中华人民共和国司法部</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44,754,229.53</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1.91%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 w:right="0"/>
              <w:jc w:val="center"/>
              <w:rPr>
                <w:rFonts w:ascii="Arial" w:hAnsi="Arial" w:cs="Arial" w:eastAsia="Arial" w:hint="default"/>
                <w:sz w:val="21"/>
                <w:szCs w:val="21"/>
              </w:rPr>
            </w:pPr>
            <w:r>
              <w:rPr>
                <w:rFonts w:ascii="Arial"/>
                <w:sz w:val="21"/>
              </w:rPr>
              <w:t>--</w:t>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358,390,962.17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15.33%</w:t>
            </w:r>
          </w:p>
        </w:tc>
      </w:tr>
    </w:tbl>
    <w:p>
      <w:pPr>
        <w:pStyle w:val="BodyText"/>
        <w:spacing w:line="240" w:lineRule="auto"/>
        <w:ind w:right="0"/>
        <w:jc w:val="left"/>
      </w:pPr>
      <w:r>
        <w:rPr/>
        <w:t>主要客户其他情况说明</w:t>
      </w:r>
    </w:p>
    <w:p>
      <w:pPr>
        <w:pStyle w:val="BodyText"/>
        <w:spacing w:line="256" w:lineRule="auto" w:before="36"/>
        <w:ind w:right="76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公司主要供应商情况</w:t>
      </w:r>
    </w:p>
    <w:p>
      <w:pPr>
        <w:spacing w:after="0" w:line="256" w:lineRule="auto"/>
        <w:jc w:val="left"/>
        <w:sectPr>
          <w:type w:val="continuous"/>
          <w:pgSz w:w="11910" w:h="16840"/>
          <w:pgMar w:top="1060" w:bottom="1160" w:left="980" w:right="980"/>
        </w:sectPr>
      </w:pPr>
    </w:p>
    <w:p>
      <w:pPr>
        <w:spacing w:line="240" w:lineRule="auto" w:before="7"/>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5376"/>
        <w:gridCol w:w="4192"/>
      </w:tblGrid>
      <w:tr>
        <w:trPr>
          <w:trHeight w:val="402" w:hRule="exact"/>
        </w:trPr>
        <w:tc>
          <w:tcPr>
            <w:tcW w:w="5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2"/>
                <w:sz w:val="21"/>
              </w:rPr>
              <w:t>113,906,146.65</w:t>
            </w:r>
          </w:p>
        </w:tc>
      </w:tr>
      <w:tr>
        <w:trPr>
          <w:trHeight w:val="402" w:hRule="exact"/>
        </w:trPr>
        <w:tc>
          <w:tcPr>
            <w:tcW w:w="5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4"/>
                <w:sz w:val="21"/>
              </w:rPr>
              <w:t>11.27%</w:t>
            </w:r>
          </w:p>
        </w:tc>
      </w:tr>
      <w:tr>
        <w:trPr>
          <w:trHeight w:val="403" w:hRule="exact"/>
        </w:trPr>
        <w:tc>
          <w:tcPr>
            <w:tcW w:w="5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前五名供应商采购额中关联方采购额占年度采购总额比例</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1.96%</w:t>
            </w:r>
          </w:p>
        </w:tc>
      </w:tr>
    </w:tbl>
    <w:p>
      <w:pPr>
        <w:pStyle w:val="BodyText"/>
        <w:spacing w:line="240" w:lineRule="auto"/>
        <w:ind w:right="0"/>
        <w:jc w:val="left"/>
      </w:pPr>
      <w:r>
        <w:rPr/>
        <w:t>公司前</w:t>
      </w:r>
      <w:r>
        <w:rPr>
          <w:spacing w:val="-60"/>
        </w:rPr>
        <w:t> </w:t>
      </w:r>
      <w:r>
        <w:rPr>
          <w:rFonts w:ascii="Arial" w:hAnsi="Arial" w:cs="Arial" w:eastAsia="Arial" w:hint="default"/>
        </w:rPr>
        <w:t>5</w:t>
      </w:r>
      <w:r>
        <w:rPr>
          <w:rFonts w:ascii="Arial" w:hAnsi="Arial" w:cs="Arial" w:eastAsia="Arial" w:hint="default"/>
          <w:spacing w:val="-6"/>
        </w:rPr>
        <w:t> </w:t>
      </w:r>
      <w:r>
        <w:rPr/>
        <w:t>名供应商资料</w:t>
      </w:r>
    </w:p>
    <w:p>
      <w:pPr>
        <w:spacing w:line="240" w:lineRule="auto" w:before="7"/>
        <w:rPr>
          <w:rFonts w:ascii="宋体" w:hAnsi="宋体" w:cs="宋体" w:eastAsia="宋体" w:hint="default"/>
          <w:sz w:val="4"/>
          <w:szCs w:val="4"/>
        </w:rPr>
      </w:pPr>
    </w:p>
    <w:tbl>
      <w:tblPr>
        <w:tblW w:w="0" w:type="auto"/>
        <w:jc w:val="left"/>
        <w:tblInd w:w="193" w:type="dxa"/>
        <w:tblLayout w:type="fixed"/>
        <w:tblCellMar>
          <w:top w:w="0" w:type="dxa"/>
          <w:left w:w="0" w:type="dxa"/>
          <w:bottom w:w="0" w:type="dxa"/>
          <w:right w:w="0" w:type="dxa"/>
        </w:tblCellMar>
        <w:tblLook w:val="01E0"/>
      </w:tblPr>
      <w:tblGrid>
        <w:gridCol w:w="911"/>
        <w:gridCol w:w="4464"/>
        <w:gridCol w:w="1985"/>
        <w:gridCol w:w="2197"/>
      </w:tblGrid>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7"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8"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Arial" w:hAnsi="Arial" w:cs="Arial" w:eastAsia="Arial" w:hint="default"/>
                <w:sz w:val="21"/>
                <w:szCs w:val="21"/>
              </w:rPr>
            </w:pPr>
            <w:r>
              <w:rPr>
                <w:rFonts w:ascii="Arial"/>
                <w:w w:val="100"/>
                <w:sz w:val="21"/>
              </w:rPr>
              <w:t>1</w:t>
            </w:r>
          </w:p>
        </w:tc>
        <w:tc>
          <w:tcPr>
            <w:tcW w:w="4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7" w:right="0"/>
              <w:jc w:val="left"/>
              <w:rPr>
                <w:rFonts w:ascii="宋体" w:hAnsi="宋体" w:cs="宋体" w:eastAsia="宋体" w:hint="default"/>
                <w:sz w:val="21"/>
                <w:szCs w:val="21"/>
              </w:rPr>
            </w:pPr>
            <w:r>
              <w:rPr>
                <w:rFonts w:ascii="宋体" w:hAnsi="宋体" w:cs="宋体" w:eastAsia="宋体" w:hint="default"/>
                <w:sz w:val="21"/>
                <w:szCs w:val="21"/>
              </w:rPr>
              <w:t>航天信息股份有限公司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30,996,667.56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3.06%</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Arial" w:hAnsi="Arial" w:cs="Arial" w:eastAsia="Arial" w:hint="default"/>
                <w:sz w:val="21"/>
                <w:szCs w:val="21"/>
              </w:rPr>
            </w:pPr>
            <w:r>
              <w:rPr>
                <w:rFonts w:ascii="Arial"/>
                <w:w w:val="100"/>
                <w:sz w:val="21"/>
              </w:rPr>
              <w:t>2</w:t>
            </w:r>
          </w:p>
        </w:tc>
        <w:tc>
          <w:tcPr>
            <w:tcW w:w="4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联强国际贸易（中国）有限公司北京分公司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24,519,150.50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2.43%</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Arial" w:hAnsi="Arial" w:cs="Arial" w:eastAsia="Arial" w:hint="default"/>
                <w:sz w:val="21"/>
                <w:szCs w:val="21"/>
              </w:rPr>
            </w:pPr>
            <w:r>
              <w:rPr>
                <w:rFonts w:ascii="Arial"/>
                <w:w w:val="100"/>
                <w:sz w:val="21"/>
              </w:rPr>
              <w:t>3</w:t>
            </w:r>
          </w:p>
        </w:tc>
        <w:tc>
          <w:tcPr>
            <w:tcW w:w="4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7" w:right="0"/>
              <w:jc w:val="left"/>
              <w:rPr>
                <w:rFonts w:ascii="宋体" w:hAnsi="宋体" w:cs="宋体" w:eastAsia="宋体" w:hint="default"/>
                <w:sz w:val="21"/>
                <w:szCs w:val="21"/>
              </w:rPr>
            </w:pPr>
            <w:r>
              <w:rPr>
                <w:rFonts w:ascii="宋体" w:hAnsi="宋体" w:cs="宋体" w:eastAsia="宋体" w:hint="default"/>
                <w:sz w:val="21"/>
                <w:szCs w:val="21"/>
              </w:rPr>
              <w:t>利亚德光电股份有限公司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23,656,347.00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2.34%</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Arial" w:hAnsi="Arial" w:cs="Arial" w:eastAsia="Arial" w:hint="default"/>
                <w:sz w:val="21"/>
                <w:szCs w:val="21"/>
              </w:rPr>
            </w:pPr>
            <w:r>
              <w:rPr>
                <w:rFonts w:ascii="Arial"/>
                <w:w w:val="100"/>
                <w:sz w:val="21"/>
              </w:rPr>
              <w:t>4</w:t>
            </w:r>
          </w:p>
        </w:tc>
        <w:tc>
          <w:tcPr>
            <w:tcW w:w="4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深圳市捷视飞通科技股份有限公司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19,766,262.59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1.96%</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Arial" w:hAnsi="Arial" w:cs="Arial" w:eastAsia="Arial" w:hint="default"/>
                <w:sz w:val="21"/>
                <w:szCs w:val="21"/>
              </w:rPr>
            </w:pPr>
            <w:r>
              <w:rPr>
                <w:rFonts w:ascii="Arial"/>
                <w:w w:val="100"/>
                <w:sz w:val="21"/>
              </w:rPr>
              <w:t>5</w:t>
            </w:r>
          </w:p>
        </w:tc>
        <w:tc>
          <w:tcPr>
            <w:tcW w:w="4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7" w:right="0"/>
              <w:jc w:val="left"/>
              <w:rPr>
                <w:rFonts w:ascii="宋体" w:hAnsi="宋体" w:cs="宋体" w:eastAsia="宋体" w:hint="default"/>
                <w:sz w:val="21"/>
                <w:szCs w:val="21"/>
              </w:rPr>
            </w:pPr>
            <w:r>
              <w:rPr>
                <w:rFonts w:ascii="宋体" w:hAnsi="宋体" w:cs="宋体" w:eastAsia="宋体" w:hint="default"/>
                <w:sz w:val="21"/>
                <w:szCs w:val="21"/>
              </w:rPr>
              <w:t>北京华兴宏达科技发展有限公司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14,967,719.00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1.48%</w:t>
            </w:r>
          </w:p>
        </w:tc>
      </w:tr>
      <w:tr>
        <w:trPr>
          <w:trHeight w:val="404"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3" w:right="0"/>
              <w:jc w:val="center"/>
              <w:rPr>
                <w:rFonts w:ascii="Arial" w:hAnsi="Arial" w:cs="Arial" w:eastAsia="Arial" w:hint="default"/>
                <w:sz w:val="21"/>
                <w:szCs w:val="21"/>
              </w:rPr>
            </w:pPr>
            <w:r>
              <w:rPr>
                <w:rFonts w:ascii="Arial"/>
                <w:sz w:val="21"/>
              </w:rPr>
              <w:t>--</w:t>
            </w:r>
          </w:p>
        </w:tc>
        <w:tc>
          <w:tcPr>
            <w:tcW w:w="19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2"/>
                <w:sz w:val="21"/>
              </w:rPr>
              <w:t>113,906,146.65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spacing w:val="-4"/>
                <w:sz w:val="21"/>
              </w:rPr>
              <w:t>11.27%</w:t>
            </w:r>
          </w:p>
        </w:tc>
      </w:tr>
    </w:tbl>
    <w:p>
      <w:pPr>
        <w:pStyle w:val="BodyText"/>
        <w:spacing w:line="240" w:lineRule="auto"/>
        <w:ind w:right="0"/>
        <w:jc w:val="left"/>
      </w:pPr>
      <w:r>
        <w:rPr/>
        <w:t>主要供应商其他情况说明</w:t>
      </w:r>
    </w:p>
    <w:p>
      <w:pPr>
        <w:pStyle w:val="BodyText"/>
        <w:spacing w:line="240" w:lineRule="auto" w:before="36"/>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、费用</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93" w:type="dxa"/>
        <w:tblLayout w:type="fixed"/>
        <w:tblCellMar>
          <w:top w:w="0" w:type="dxa"/>
          <w:left w:w="0" w:type="dxa"/>
          <w:bottom w:w="0" w:type="dxa"/>
          <w:right w:w="0" w:type="dxa"/>
        </w:tblCellMar>
        <w:tblLook w:val="01E0"/>
      </w:tblPr>
      <w:tblGrid>
        <w:gridCol w:w="1892"/>
        <w:gridCol w:w="1649"/>
        <w:gridCol w:w="1637"/>
        <w:gridCol w:w="1462"/>
        <w:gridCol w:w="2917"/>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0"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8"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5"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130,520,356.57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3"/>
                <w:sz w:val="21"/>
              </w:rPr>
              <w:t>111,848,399.16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16.69%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456,642,635.32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359,495,982.19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27.02%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14" w:right="0"/>
              <w:jc w:val="left"/>
              <w:rPr>
                <w:rFonts w:ascii="Arial" w:hAnsi="Arial" w:cs="Arial" w:eastAsia="Arial" w:hint="default"/>
                <w:sz w:val="21"/>
                <w:szCs w:val="21"/>
              </w:rPr>
            </w:pPr>
            <w:r>
              <w:rPr>
                <w:rFonts w:ascii="Arial"/>
                <w:sz w:val="21"/>
              </w:rPr>
              <w:t>-7,649,125.04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9" w:right="0"/>
              <w:jc w:val="left"/>
              <w:rPr>
                <w:rFonts w:ascii="Arial" w:hAnsi="Arial" w:cs="Arial" w:eastAsia="Arial" w:hint="default"/>
                <w:sz w:val="21"/>
                <w:szCs w:val="21"/>
              </w:rPr>
            </w:pPr>
            <w:r>
              <w:rPr>
                <w:rFonts w:ascii="Arial"/>
                <w:sz w:val="21"/>
              </w:rPr>
              <w:t>-4,714,972.96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45" w:right="0"/>
              <w:jc w:val="left"/>
              <w:rPr>
                <w:rFonts w:ascii="Arial" w:hAnsi="Arial" w:cs="Arial" w:eastAsia="Arial" w:hint="default"/>
                <w:sz w:val="21"/>
                <w:szCs w:val="21"/>
              </w:rPr>
            </w:pPr>
            <w:r>
              <w:rPr>
                <w:rFonts w:ascii="Arial"/>
                <w:sz w:val="21"/>
              </w:rPr>
              <w:t>-62.23%</w:t>
            </w:r>
          </w:p>
        </w:tc>
        <w:tc>
          <w:tcPr>
            <w:tcW w:w="2917"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47"/>
              <w:jc w:val="left"/>
              <w:rPr>
                <w:rFonts w:ascii="宋体" w:hAnsi="宋体" w:cs="宋体" w:eastAsia="宋体" w:hint="default"/>
                <w:sz w:val="21"/>
                <w:szCs w:val="21"/>
              </w:rPr>
            </w:pPr>
            <w:r>
              <w:rPr>
                <w:rFonts w:ascii="宋体" w:hAnsi="宋体" w:cs="宋体" w:eastAsia="宋体" w:hint="default"/>
                <w:spacing w:val="-2"/>
                <w:sz w:val="21"/>
                <w:szCs w:val="21"/>
              </w:rPr>
              <w:t>销售回款较好，增加了利息收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入</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、研发投入</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80" w:lineRule="auto" w:before="177"/>
        <w:ind w:right="140" w:firstLine="480"/>
        <w:jc w:val="left"/>
      </w:pPr>
      <w:r>
        <w:rPr/>
        <w:t>报告期内，公司保持了稳定的研发投入，研发支出总额为 </w:t>
      </w:r>
      <w:r>
        <w:rPr>
          <w:rFonts w:ascii="Arial" w:hAnsi="Arial" w:cs="Arial" w:eastAsia="Arial" w:hint="default"/>
        </w:rPr>
        <w:t>33,077.44</w:t>
      </w:r>
      <w:r>
        <w:rPr>
          <w:rFonts w:ascii="Arial" w:hAnsi="Arial" w:cs="Arial" w:eastAsia="Arial" w:hint="default"/>
          <w:spacing w:val="-20"/>
        </w:rPr>
        <w:t> </w:t>
      </w:r>
      <w:r>
        <w:rPr/>
        <w:t>万元，占营业收入 比例为</w:t>
      </w:r>
      <w:r>
        <w:rPr>
          <w:spacing w:val="-65"/>
        </w:rPr>
        <w:t> </w:t>
      </w:r>
      <w:r>
        <w:rPr>
          <w:rFonts w:ascii="Arial" w:hAnsi="Arial" w:cs="Arial" w:eastAsia="Arial" w:hint="default"/>
        </w:rPr>
        <w:t>14.15%</w:t>
      </w:r>
      <w:r>
        <w:rPr/>
        <w:t>，为公司进一步提高核心竞争力提供有力的保障。</w:t>
      </w:r>
    </w:p>
    <w:p>
      <w:pPr>
        <w:spacing w:line="240" w:lineRule="auto" w:before="0"/>
        <w:rPr>
          <w:rFonts w:ascii="宋体" w:hAnsi="宋体" w:cs="宋体" w:eastAsia="宋体" w:hint="default"/>
          <w:sz w:val="24"/>
          <w:szCs w:val="24"/>
        </w:rPr>
      </w:pPr>
    </w:p>
    <w:p>
      <w:pPr>
        <w:pStyle w:val="BodyText"/>
        <w:spacing w:line="240" w:lineRule="auto" w:before="168"/>
        <w:ind w:right="0"/>
        <w:jc w:val="left"/>
      </w:pPr>
      <w:r>
        <w:rPr/>
        <w:t>近三年公司研发投入金额及占营业收入的比例</w:t>
      </w:r>
    </w:p>
    <w:p>
      <w:pPr>
        <w:spacing w:line="240" w:lineRule="auto" w:before="11"/>
        <w:rPr>
          <w:rFonts w:ascii="宋体" w:hAnsi="宋体" w:cs="宋体" w:eastAsia="宋体" w:hint="default"/>
          <w:sz w:val="5"/>
          <w:szCs w:val="5"/>
        </w:rPr>
      </w:pPr>
    </w:p>
    <w:tbl>
      <w:tblPr>
        <w:tblW w:w="0" w:type="auto"/>
        <w:jc w:val="left"/>
        <w:tblInd w:w="193" w:type="dxa"/>
        <w:tblLayout w:type="fixed"/>
        <w:tblCellMar>
          <w:top w:w="0" w:type="dxa"/>
          <w:left w:w="0" w:type="dxa"/>
          <w:bottom w:w="0" w:type="dxa"/>
          <w:right w:w="0" w:type="dxa"/>
        </w:tblCellMar>
        <w:tblLook w:val="01E0"/>
      </w:tblPr>
      <w:tblGrid>
        <w:gridCol w:w="3806"/>
        <w:gridCol w:w="1994"/>
        <w:gridCol w:w="1987"/>
        <w:gridCol w:w="1769"/>
      </w:tblGrid>
      <w:tr>
        <w:trPr>
          <w:trHeight w:val="4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2"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6"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16"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2,169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1,765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1,316</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36.39%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36.77%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47.12%</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330,774,398.82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261,040,731.41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2"/>
                <w:sz w:val="21"/>
              </w:rPr>
              <w:t>184,611,685.52</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14.15%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14.34%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13.66%</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2"/>
                <w:sz w:val="21"/>
              </w:rPr>
              <w:t>118,996,478.54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106,083,389.97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64,445,735.32</w:t>
            </w:r>
          </w:p>
        </w:tc>
      </w:tr>
    </w:tbl>
    <w:p>
      <w:pPr>
        <w:spacing w:after="0" w:line="240" w:lineRule="auto"/>
        <w:jc w:val="right"/>
        <w:rPr>
          <w:rFonts w:ascii="Arial" w:hAnsi="Arial" w:cs="Arial" w:eastAsia="Arial" w:hint="default"/>
          <w:sz w:val="21"/>
          <w:szCs w:val="21"/>
        </w:rPr>
        <w:sectPr>
          <w:pgSz w:w="11910" w:h="16840"/>
          <w:pgMar w:header="745" w:footer="980" w:top="1060" w:bottom="1160" w:left="980" w:right="980"/>
        </w:sectPr>
      </w:pPr>
    </w:p>
    <w:p>
      <w:pPr>
        <w:spacing w:line="240" w:lineRule="auto" w:before="7"/>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829"/>
        <w:gridCol w:w="1983"/>
        <w:gridCol w:w="1987"/>
        <w:gridCol w:w="1769"/>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资本化研发支出占研发投入的比例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35.98%</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40.64%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34.91%</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31.75%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38.67%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spacing w:val="-1"/>
                <w:sz w:val="21"/>
              </w:rPr>
              <w:t>30.95%</w:t>
            </w:r>
          </w:p>
        </w:tc>
      </w:tr>
    </w:tbl>
    <w:p>
      <w:pPr>
        <w:pStyle w:val="BodyText"/>
        <w:spacing w:line="240" w:lineRule="auto"/>
        <w:ind w:right="0"/>
        <w:jc w:val="left"/>
      </w:pPr>
      <w:r>
        <w:rPr/>
        <w:t>研发投入总额占营业收入的比重较上年发生显著变化的原因</w:t>
      </w:r>
    </w:p>
    <w:p>
      <w:pPr>
        <w:pStyle w:val="BodyText"/>
        <w:spacing w:line="256" w:lineRule="auto" w:before="36"/>
        <w:ind w:right="44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研发投入资本化率大幅变动的原因及其合理性说明</w:t>
      </w:r>
    </w:p>
    <w:p>
      <w:pPr>
        <w:pStyle w:val="BodyText"/>
        <w:spacing w:line="240" w:lineRule="auto" w:before="22"/>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4"/>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、现金流</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93" w:type="dxa"/>
        <w:tblLayout w:type="fixed"/>
        <w:tblCellMar>
          <w:top w:w="0" w:type="dxa"/>
          <w:left w:w="0" w:type="dxa"/>
          <w:bottom w:w="0" w:type="dxa"/>
          <w:right w:w="0" w:type="dxa"/>
        </w:tblCellMar>
        <w:tblLook w:val="01E0"/>
      </w:tblPr>
      <w:tblGrid>
        <w:gridCol w:w="3806"/>
        <w:gridCol w:w="1994"/>
        <w:gridCol w:w="1987"/>
        <w:gridCol w:w="1769"/>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2"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6"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2,791,541,267.95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2,109,409,524.36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32.34%</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2,300,017,964.61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1,872,188,714.67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22.85%</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491,523,303.34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237,220,809.69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107.20%</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2,578,686.53</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317,254.00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712.81%</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697,298,681.01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224,551,818.68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210.53%</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-694,719,994.48</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-224,234,564.68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-209.82%</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746,630,328.38</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36,659,364.99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1,936.67%</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54,520,555.61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41,103,175.06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32.64%</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692,109,772.77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-4,443,810.07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15,674.69%</w:t>
            </w:r>
          </w:p>
        </w:tc>
      </w:tr>
      <w:tr>
        <w:trPr>
          <w:trHeight w:val="40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488,913,081.63</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8,542,434.94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5,623.35%</w:t>
            </w:r>
          </w:p>
        </w:tc>
      </w:tr>
    </w:tbl>
    <w:p>
      <w:pPr>
        <w:pStyle w:val="BodyText"/>
        <w:spacing w:line="240" w:lineRule="auto"/>
        <w:ind w:right="0"/>
        <w:jc w:val="left"/>
      </w:pPr>
      <w:r>
        <w:rPr/>
        <w:t>相关数据同比发生重大变动的主要影响因素说明</w:t>
      </w:r>
    </w:p>
    <w:p>
      <w:pPr>
        <w:pStyle w:val="BodyText"/>
        <w:spacing w:line="240" w:lineRule="auto" w:before="36"/>
        <w:ind w:right="0"/>
        <w:jc w:val="left"/>
      </w:pPr>
      <w:r>
        <w:rPr>
          <w:rFonts w:ascii="Arial" w:hAnsi="Arial" w:cs="Arial" w:eastAsia="Arial" w:hint="default"/>
        </w:rPr>
        <w:t>√</w:t>
      </w:r>
      <w:r>
        <w:rPr/>
        <w:t>适用 </w:t>
      </w:r>
      <w:r>
        <w:rPr>
          <w:rFonts w:ascii="Arial" w:hAnsi="Arial" w:cs="Arial" w:eastAsia="Arial" w:hint="default"/>
        </w:rPr>
        <w:t>□</w:t>
      </w:r>
      <w:r>
        <w:rPr>
          <w:rFonts w:ascii="Arial" w:hAnsi="Arial" w:cs="Arial" w:eastAsia="Arial" w:hint="default"/>
          <w:spacing w:val="51"/>
        </w:rPr>
        <w:t> </w:t>
      </w:r>
      <w:r>
        <w:rPr/>
        <w:t>不适用</w:t>
      </w:r>
    </w:p>
    <w:p>
      <w:pPr>
        <w:pStyle w:val="BodyText"/>
        <w:spacing w:line="240" w:lineRule="auto" w:before="21"/>
        <w:ind w:right="0"/>
        <w:jc w:val="left"/>
      </w:pPr>
      <w:r>
        <w:rPr>
          <w:rFonts w:ascii="Arial" w:hAnsi="Arial" w:cs="Arial" w:eastAsia="Arial" w:hint="default"/>
        </w:rPr>
        <w:t>1</w:t>
      </w:r>
      <w:r>
        <w:rPr/>
        <w:t>、经营活动现金流入小计：增长</w:t>
      </w:r>
      <w:r>
        <w:rPr>
          <w:spacing w:val="-64"/>
        </w:rPr>
        <w:t> </w:t>
      </w:r>
      <w:r>
        <w:rPr>
          <w:rFonts w:ascii="Arial" w:hAnsi="Arial" w:cs="Arial" w:eastAsia="Arial" w:hint="default"/>
        </w:rPr>
        <w:t>32.34%</w:t>
      </w:r>
      <w:r>
        <w:rPr/>
        <w:t>，主要是公司业务增长，销售回款增幅较大；</w:t>
      </w:r>
    </w:p>
    <w:p>
      <w:pPr>
        <w:pStyle w:val="BodyText"/>
        <w:spacing w:line="240" w:lineRule="auto" w:before="19"/>
        <w:ind w:right="0"/>
        <w:jc w:val="left"/>
      </w:pPr>
      <w:r>
        <w:rPr>
          <w:rFonts w:ascii="Arial" w:hAnsi="Arial" w:cs="Arial" w:eastAsia="Arial" w:hint="default"/>
        </w:rPr>
        <w:t>2</w:t>
      </w:r>
      <w:r>
        <w:rPr/>
        <w:t>、投资活动现金流出小计：增长</w:t>
      </w:r>
      <w:r>
        <w:rPr>
          <w:spacing w:val="-64"/>
        </w:rPr>
        <w:t> </w:t>
      </w:r>
      <w:r>
        <w:rPr>
          <w:rFonts w:ascii="Arial" w:hAnsi="Arial" w:cs="Arial" w:eastAsia="Arial" w:hint="default"/>
        </w:rPr>
        <w:t>210.53%</w:t>
      </w:r>
      <w:r>
        <w:rPr/>
        <w:t>，主要是收购子公司支付的现金对价；</w:t>
      </w:r>
    </w:p>
    <w:p>
      <w:pPr>
        <w:pStyle w:val="BodyText"/>
        <w:spacing w:line="312" w:lineRule="exact" w:before="52"/>
        <w:ind w:right="276"/>
        <w:jc w:val="left"/>
      </w:pPr>
      <w:r>
        <w:rPr>
          <w:rFonts w:ascii="Arial" w:hAnsi="Arial" w:cs="Arial" w:eastAsia="Arial" w:hint="default"/>
        </w:rPr>
        <w:t>3</w:t>
      </w:r>
      <w:r>
        <w:rPr/>
        <w:t>、筹资活动现金流入小计：增长</w:t>
      </w:r>
      <w:r>
        <w:rPr>
          <w:spacing w:val="-63"/>
        </w:rPr>
        <w:t> </w:t>
      </w:r>
      <w:r>
        <w:rPr>
          <w:rFonts w:ascii="Arial" w:hAnsi="Arial" w:cs="Arial" w:eastAsia="Arial" w:hint="default"/>
        </w:rPr>
        <w:t>1,936.67%</w:t>
      </w:r>
      <w:r>
        <w:rPr/>
        <w:t>，主要是收购子公司募集的配套资金及限制性 股票认购款；</w:t>
      </w:r>
    </w:p>
    <w:p>
      <w:pPr>
        <w:pStyle w:val="BodyText"/>
        <w:spacing w:line="247" w:lineRule="auto" w:before="10"/>
        <w:ind w:right="369"/>
        <w:jc w:val="left"/>
      </w:pPr>
      <w:r>
        <w:rPr>
          <w:rFonts w:ascii="Arial" w:hAnsi="Arial" w:cs="Arial" w:eastAsia="Arial" w:hint="default"/>
        </w:rPr>
        <w:t>4</w:t>
      </w:r>
      <w:r>
        <w:rPr/>
        <w:t>、筹资活动现金流出小计：增长</w:t>
      </w:r>
      <w:r>
        <w:rPr>
          <w:spacing w:val="-63"/>
        </w:rPr>
        <w:t> </w:t>
      </w:r>
      <w:r>
        <w:rPr>
          <w:rFonts w:ascii="Arial" w:hAnsi="Arial" w:cs="Arial" w:eastAsia="Arial" w:hint="default"/>
        </w:rPr>
        <w:t>32.64%</w:t>
      </w:r>
      <w:r>
        <w:rPr/>
        <w:t>，主要是公司现金分红及被收购子公司支付原股 东股利款； 报告期内公司经营活动产生的现金净流量与本年度净利润存在重大差异的原因说明</w:t>
      </w:r>
    </w:p>
    <w:p>
      <w:pPr>
        <w:spacing w:line="391" w:lineRule="auto" w:before="31"/>
        <w:ind w:left="152" w:right="7614" w:firstLine="0"/>
        <w:jc w:val="left"/>
        <w:rPr>
          <w:rFonts w:ascii="Microsoft JhengHei" w:hAnsi="Microsoft JhengHei" w:cs="Microsoft JhengHei" w:eastAsia="Microsoft JhengHei"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三、非主营业务情况</w:t>
      </w:r>
      <w:r>
        <w:rPr>
          <w:rFonts w:ascii="Microsoft JhengHei" w:hAnsi="Microsoft JhengHei" w:cs="Microsoft JhengHei" w:eastAsia="Microsoft JhengHei" w:hint="default"/>
          <w:sz w:val="24"/>
          <w:szCs w:val="24"/>
        </w:rPr>
      </w:r>
    </w:p>
    <w:p>
      <w:pPr>
        <w:spacing w:after="0" w:line="391" w:lineRule="auto"/>
        <w:jc w:val="left"/>
        <w:rPr>
          <w:rFonts w:ascii="Microsoft JhengHei" w:hAnsi="Microsoft JhengHei" w:cs="Microsoft JhengHei" w:eastAsia="Microsoft JhengHei" w:hint="default"/>
          <w:sz w:val="24"/>
          <w:szCs w:val="24"/>
        </w:rPr>
        <w:sectPr>
          <w:pgSz w:w="11910" w:h="16840"/>
          <w:pgMar w:header="745" w:footer="980" w:top="1060" w:bottom="1160" w:left="980" w:right="980"/>
        </w:sectPr>
      </w:pPr>
    </w:p>
    <w:p>
      <w:pPr>
        <w:pStyle w:val="BodyText"/>
        <w:spacing w:line="240" w:lineRule="auto" w:before="69"/>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21"/>
          <w:szCs w:val="21"/>
        </w:rPr>
        <w:t>单位：</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90" w:space="6839"/>
            <w:col w:w="1121"/>
          </w:cols>
        </w:sectPr>
      </w:pPr>
    </w:p>
    <w:p>
      <w:pPr>
        <w:spacing w:line="240" w:lineRule="auto" w:before="12"/>
        <w:rPr>
          <w:rFonts w:ascii="宋体" w:hAnsi="宋体" w:cs="宋体" w:eastAsia="宋体" w:hint="default"/>
          <w:sz w:val="6"/>
          <w:szCs w:val="6"/>
        </w:rPr>
      </w:pPr>
    </w:p>
    <w:tbl>
      <w:tblPr>
        <w:tblW w:w="0" w:type="auto"/>
        <w:jc w:val="left"/>
        <w:tblInd w:w="193" w:type="dxa"/>
        <w:tblLayout w:type="fixed"/>
        <w:tblCellMar>
          <w:top w:w="0" w:type="dxa"/>
          <w:left w:w="0" w:type="dxa"/>
          <w:bottom w:w="0" w:type="dxa"/>
          <w:right w:w="0" w:type="dxa"/>
        </w:tblCellMar>
        <w:tblLook w:val="01E0"/>
      </w:tblPr>
      <w:tblGrid>
        <w:gridCol w:w="1962"/>
        <w:gridCol w:w="1427"/>
        <w:gridCol w:w="1560"/>
        <w:gridCol w:w="2837"/>
        <w:gridCol w:w="1769"/>
      </w:tblGrid>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3"/>
              <w:jc w:val="right"/>
              <w:rPr>
                <w:rFonts w:ascii="宋体" w:hAnsi="宋体" w:cs="宋体" w:eastAsia="宋体" w:hint="default"/>
                <w:sz w:val="21"/>
                <w:szCs w:val="21"/>
              </w:rPr>
            </w:pPr>
            <w:r>
              <w:rPr>
                <w:rFonts w:ascii="宋体" w:hAnsi="宋体" w:cs="宋体" w:eastAsia="宋体" w:hint="default"/>
                <w:spacing w:val="-1"/>
                <w:sz w:val="21"/>
                <w:szCs w:val="21"/>
              </w:rPr>
              <w:t>占利润总额比例</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形成原因说明</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是否具有可持续性</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4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left="163" w:right="0"/>
              <w:jc w:val="left"/>
              <w:rPr>
                <w:rFonts w:ascii="Arial" w:hAnsi="Arial" w:cs="Arial" w:eastAsia="Arial" w:hint="default"/>
                <w:sz w:val="21"/>
                <w:szCs w:val="21"/>
              </w:rPr>
            </w:pPr>
            <w:r>
              <w:rPr>
                <w:rFonts w:ascii="Arial"/>
                <w:sz w:val="21"/>
              </w:rPr>
              <w:t>1,346,020.16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0.32%</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3"/>
              <w:jc w:val="center"/>
              <w:rPr>
                <w:rFonts w:ascii="宋体" w:hAnsi="宋体" w:cs="宋体" w:eastAsia="宋体" w:hint="default"/>
                <w:sz w:val="21"/>
                <w:szCs w:val="21"/>
              </w:rPr>
            </w:pPr>
            <w:r>
              <w:rPr>
                <w:rFonts w:ascii="宋体" w:hAnsi="宋体" w:cs="宋体" w:eastAsia="宋体" w:hint="default"/>
                <w:sz w:val="21"/>
                <w:szCs w:val="21"/>
              </w:rPr>
              <w:t>依据联营企业本年净利润确认</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spacing w:line="240" w:lineRule="auto" w:before="7"/>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85"/>
        <w:gridCol w:w="1417"/>
        <w:gridCol w:w="1560"/>
        <w:gridCol w:w="2837"/>
        <w:gridCol w:w="1769"/>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17,780,429.06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4.29%</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本期应收项目计提的坏账准备</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8,103,933.36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1.96%</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主要是公益性捐赠支出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、资产构成重大变动情况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316"/>
        <w:gridCol w:w="1709"/>
        <w:gridCol w:w="804"/>
        <w:gridCol w:w="1548"/>
        <w:gridCol w:w="862"/>
        <w:gridCol w:w="914"/>
        <w:gridCol w:w="2417"/>
      </w:tblGrid>
      <w:tr>
        <w:trPr>
          <w:trHeight w:val="385" w:hRule="exact"/>
        </w:trPr>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25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80"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29"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46"/>
              <w:ind w:left="81" w:right="77"/>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产比例</w:t>
            </w:r>
          </w:p>
        </w:tc>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46"/>
              <w:ind w:left="110" w:right="107"/>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产比例</w:t>
            </w:r>
          </w:p>
        </w:tc>
        <w:tc>
          <w:tcPr>
            <w:tcW w:w="9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33"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2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57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0" w:hRule="exact"/>
        </w:trPr>
        <w:tc>
          <w:tcPr>
            <w:tcW w:w="1316" w:type="dxa"/>
            <w:vMerge/>
            <w:tcBorders>
              <w:left w:val="single" w:sz="4" w:space="0" w:color="000000"/>
              <w:bottom w:val="nil" w:sz="6" w:space="0" w:color="auto"/>
              <w:right w:val="single" w:sz="4" w:space="0" w:color="000000"/>
            </w:tcBorders>
            <w:shd w:val="clear" w:color="auto" w:fill="D2D2D2"/>
          </w:tcPr>
          <w:p>
            <w:pPr/>
          </w:p>
        </w:tc>
        <w:tc>
          <w:tcPr>
            <w:tcW w:w="1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04" w:type="dxa"/>
            <w:vMerge/>
            <w:tcBorders>
              <w:left w:val="single" w:sz="4" w:space="0" w:color="000000"/>
              <w:right w:val="single" w:sz="4" w:space="0" w:color="000000"/>
            </w:tcBorders>
            <w:shd w:val="clear" w:color="auto" w:fill="D2D2D2"/>
          </w:tcPr>
          <w:p>
            <w:pPr/>
          </w:p>
        </w:tc>
        <w:tc>
          <w:tcPr>
            <w:tcW w:w="15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2" w:type="dxa"/>
            <w:vMerge/>
            <w:tcBorders>
              <w:left w:val="single" w:sz="4" w:space="0" w:color="000000"/>
              <w:right w:val="single" w:sz="4" w:space="0" w:color="000000"/>
            </w:tcBorders>
            <w:shd w:val="clear" w:color="auto" w:fill="D2D2D2"/>
          </w:tcPr>
          <w:p>
            <w:pPr/>
          </w:p>
        </w:tc>
        <w:tc>
          <w:tcPr>
            <w:tcW w:w="914" w:type="dxa"/>
            <w:vMerge/>
            <w:tcBorders>
              <w:left w:val="single" w:sz="4" w:space="0" w:color="000000"/>
              <w:bottom w:val="nil" w:sz="6" w:space="0" w:color="auto"/>
              <w:right w:val="single" w:sz="4" w:space="0" w:color="000000"/>
            </w:tcBorders>
            <w:shd w:val="clear" w:color="auto" w:fill="D2D2D2"/>
          </w:tcPr>
          <w:p>
            <w:pPr/>
          </w:p>
        </w:tc>
        <w:tc>
          <w:tcPr>
            <w:tcW w:w="241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16" w:type="dxa"/>
            <w:vMerge w:val="restart"/>
            <w:tcBorders>
              <w:top w:val="nil" w:sz="6" w:space="0" w:color="auto"/>
              <w:left w:val="single" w:sz="4" w:space="0" w:color="000000"/>
              <w:right w:val="single" w:sz="4" w:space="0" w:color="000000"/>
            </w:tcBorders>
            <w:shd w:val="clear" w:color="auto" w:fill="D2D2D2"/>
          </w:tcPr>
          <w:p>
            <w:pPr/>
          </w:p>
        </w:tc>
        <w:tc>
          <w:tcPr>
            <w:tcW w:w="1709"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right w:val="single" w:sz="4" w:space="0" w:color="000000"/>
            </w:tcBorders>
            <w:shd w:val="clear" w:color="auto" w:fill="D2D2D2"/>
          </w:tcPr>
          <w:p>
            <w:pPr/>
          </w:p>
        </w:tc>
        <w:tc>
          <w:tcPr>
            <w:tcW w:w="1548"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914" w:type="dxa"/>
            <w:vMerge w:val="restart"/>
            <w:tcBorders>
              <w:top w:val="nil" w:sz="6" w:space="0" w:color="auto"/>
              <w:left w:val="single" w:sz="4" w:space="0" w:color="000000"/>
              <w:right w:val="single" w:sz="4" w:space="0" w:color="000000"/>
            </w:tcBorders>
            <w:shd w:val="clear" w:color="auto" w:fill="D2D2D2"/>
          </w:tcPr>
          <w:p>
            <w:pPr/>
          </w:p>
        </w:tc>
        <w:tc>
          <w:tcPr>
            <w:tcW w:w="241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16" w:type="dxa"/>
            <w:vMerge/>
            <w:tcBorders>
              <w:left w:val="single" w:sz="4" w:space="0" w:color="000000"/>
              <w:bottom w:val="single" w:sz="4" w:space="0" w:color="000000"/>
              <w:right w:val="single" w:sz="4" w:space="0" w:color="000000"/>
            </w:tcBorders>
            <w:shd w:val="clear" w:color="auto" w:fill="D2D2D2"/>
          </w:tcPr>
          <w:p>
            <w:pPr/>
          </w:p>
        </w:tc>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2417"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9"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49" w:right="0"/>
              <w:jc w:val="left"/>
              <w:rPr>
                <w:rFonts w:ascii="Arial" w:hAnsi="Arial" w:cs="Arial" w:eastAsia="Arial" w:hint="default"/>
                <w:sz w:val="21"/>
                <w:szCs w:val="21"/>
              </w:rPr>
            </w:pPr>
            <w:r>
              <w:rPr>
                <w:rFonts w:ascii="Arial"/>
                <w:sz w:val="21"/>
              </w:rPr>
              <w:t>1,297,334,119.79</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60" w:right="0"/>
              <w:jc w:val="left"/>
              <w:rPr>
                <w:rFonts w:ascii="Arial" w:hAnsi="Arial" w:cs="Arial" w:eastAsia="Arial" w:hint="default"/>
                <w:sz w:val="21"/>
                <w:szCs w:val="21"/>
              </w:rPr>
            </w:pPr>
            <w:r>
              <w:rPr>
                <w:rFonts w:ascii="Arial"/>
                <w:sz w:val="21"/>
              </w:rPr>
              <w:t>25.28%</w:t>
            </w: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57" w:right="0"/>
              <w:jc w:val="left"/>
              <w:rPr>
                <w:rFonts w:ascii="Arial" w:hAnsi="Arial" w:cs="Arial" w:eastAsia="Arial" w:hint="default"/>
                <w:sz w:val="21"/>
                <w:szCs w:val="21"/>
              </w:rPr>
            </w:pPr>
            <w:r>
              <w:rPr>
                <w:rFonts w:ascii="Arial"/>
                <w:sz w:val="21"/>
              </w:rPr>
              <w:t>810,395,684.08</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15" w:right="0"/>
              <w:jc w:val="left"/>
              <w:rPr>
                <w:rFonts w:ascii="Arial" w:hAnsi="Arial" w:cs="Arial" w:eastAsia="Arial" w:hint="default"/>
                <w:sz w:val="21"/>
                <w:szCs w:val="21"/>
              </w:rPr>
            </w:pPr>
            <w:r>
              <w:rPr>
                <w:rFonts w:ascii="Arial"/>
                <w:sz w:val="21"/>
              </w:rPr>
              <w:t>28.17%</w:t>
            </w:r>
          </w:p>
        </w:tc>
        <w:tc>
          <w:tcPr>
            <w:tcW w:w="91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18" w:right="0"/>
              <w:jc w:val="left"/>
              <w:rPr>
                <w:rFonts w:ascii="Arial" w:hAnsi="Arial" w:cs="Arial" w:eastAsia="Arial" w:hint="default"/>
                <w:sz w:val="21"/>
                <w:szCs w:val="21"/>
              </w:rPr>
            </w:pPr>
            <w:r>
              <w:rPr>
                <w:rFonts w:ascii="Arial"/>
                <w:sz w:val="21"/>
              </w:rPr>
              <w:t>-2.89%</w:t>
            </w:r>
          </w:p>
        </w:tc>
        <w:tc>
          <w:tcPr>
            <w:tcW w:w="2417" w:type="dxa"/>
            <w:vMerge w:val="restart"/>
            <w:tcBorders>
              <w:top w:val="single" w:sz="4" w:space="0" w:color="000000"/>
              <w:left w:val="single" w:sz="4" w:space="0" w:color="000000"/>
              <w:right w:val="single" w:sz="4" w:space="0" w:color="000000"/>
            </w:tcBorders>
          </w:tcPr>
          <w:p>
            <w:pPr>
              <w:pStyle w:val="TableParagraph"/>
              <w:spacing w:line="273" w:lineRule="auto" w:before="28"/>
              <w:ind w:left="24" w:right="67"/>
              <w:jc w:val="both"/>
              <w:rPr>
                <w:rFonts w:ascii="宋体" w:hAnsi="宋体" w:cs="宋体" w:eastAsia="宋体" w:hint="default"/>
                <w:sz w:val="21"/>
                <w:szCs w:val="21"/>
              </w:rPr>
            </w:pPr>
            <w:r>
              <w:rPr>
                <w:rFonts w:ascii="宋体" w:hAnsi="宋体" w:cs="宋体" w:eastAsia="宋体" w:hint="default"/>
                <w:spacing w:val="-2"/>
                <w:sz w:val="21"/>
                <w:szCs w:val="21"/>
              </w:rPr>
              <w:t>本年销售回款情况较好，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同时并购联奕科技增加了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货币资金</w:t>
            </w:r>
          </w:p>
        </w:tc>
      </w:tr>
      <w:tr>
        <w:trPr>
          <w:trHeight w:val="391" w:hRule="exact"/>
        </w:trPr>
        <w:tc>
          <w:tcPr>
            <w:tcW w:w="1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09" w:type="dxa"/>
            <w:vMerge/>
            <w:tcBorders>
              <w:left w:val="single" w:sz="9" w:space="0" w:color="D2D2D2"/>
              <w:right w:val="single" w:sz="4" w:space="0" w:color="000000"/>
            </w:tcBorders>
          </w:tcPr>
          <w:p>
            <w:pPr/>
          </w:p>
        </w:tc>
        <w:tc>
          <w:tcPr>
            <w:tcW w:w="804"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14" w:type="dxa"/>
            <w:vMerge/>
            <w:tcBorders>
              <w:left w:val="single" w:sz="4" w:space="0" w:color="000000"/>
              <w:right w:val="single" w:sz="4" w:space="0" w:color="000000"/>
            </w:tcBorders>
          </w:tcPr>
          <w:p>
            <w:pPr/>
          </w:p>
        </w:tc>
        <w:tc>
          <w:tcPr>
            <w:tcW w:w="2417" w:type="dxa"/>
            <w:vMerge/>
            <w:tcBorders>
              <w:left w:val="single" w:sz="4" w:space="0" w:color="000000"/>
              <w:right w:val="single" w:sz="4" w:space="0" w:color="000000"/>
            </w:tcBorders>
          </w:tcPr>
          <w:p>
            <w:pPr/>
          </w:p>
        </w:tc>
      </w:tr>
      <w:tr>
        <w:trPr>
          <w:trHeight w:val="317" w:hRule="exact"/>
        </w:trPr>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9" w:type="dxa"/>
            <w:vMerge/>
            <w:tcBorders>
              <w:left w:val="single" w:sz="9" w:space="0" w:color="D2D2D2"/>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548"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914" w:type="dxa"/>
            <w:vMerge/>
            <w:tcBorders>
              <w:left w:val="single" w:sz="4" w:space="0" w:color="000000"/>
              <w:bottom w:val="single" w:sz="4" w:space="0" w:color="000000"/>
              <w:right w:val="single" w:sz="4" w:space="0" w:color="000000"/>
            </w:tcBorders>
          </w:tcPr>
          <w:p>
            <w:pPr/>
          </w:p>
        </w:tc>
        <w:tc>
          <w:tcPr>
            <w:tcW w:w="2417" w:type="dxa"/>
            <w:vMerge/>
            <w:tcBorders>
              <w:left w:val="single" w:sz="4" w:space="0" w:color="000000"/>
              <w:bottom w:val="single" w:sz="4" w:space="0" w:color="000000"/>
              <w:right w:val="single" w:sz="4" w:space="0" w:color="000000"/>
            </w:tcBorders>
          </w:tcPr>
          <w:p>
            <w:pPr/>
          </w:p>
        </w:tc>
      </w:tr>
      <w:tr>
        <w:trPr>
          <w:trHeight w:val="319" w:hRule="exact"/>
        </w:trPr>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9"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10" w:right="0"/>
              <w:jc w:val="left"/>
              <w:rPr>
                <w:rFonts w:ascii="Arial" w:hAnsi="Arial" w:cs="Arial" w:eastAsia="Arial" w:hint="default"/>
                <w:sz w:val="21"/>
                <w:szCs w:val="21"/>
              </w:rPr>
            </w:pPr>
            <w:r>
              <w:rPr>
                <w:rFonts w:ascii="Arial"/>
                <w:sz w:val="21"/>
              </w:rPr>
              <w:t>642,207,932.98</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60" w:right="0"/>
              <w:jc w:val="left"/>
              <w:rPr>
                <w:rFonts w:ascii="Arial" w:hAnsi="Arial" w:cs="Arial" w:eastAsia="Arial" w:hint="default"/>
                <w:sz w:val="21"/>
                <w:szCs w:val="21"/>
              </w:rPr>
            </w:pPr>
            <w:r>
              <w:rPr>
                <w:rFonts w:ascii="Arial"/>
                <w:sz w:val="21"/>
              </w:rPr>
              <w:t>12.52%</w:t>
            </w: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57" w:right="0"/>
              <w:jc w:val="left"/>
              <w:rPr>
                <w:rFonts w:ascii="Arial" w:hAnsi="Arial" w:cs="Arial" w:eastAsia="Arial" w:hint="default"/>
                <w:sz w:val="21"/>
                <w:szCs w:val="21"/>
              </w:rPr>
            </w:pPr>
            <w:r>
              <w:rPr>
                <w:rFonts w:ascii="Arial"/>
                <w:sz w:val="21"/>
              </w:rPr>
              <w:t>441,313,458.81</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15" w:right="0"/>
              <w:jc w:val="left"/>
              <w:rPr>
                <w:rFonts w:ascii="Arial" w:hAnsi="Arial" w:cs="Arial" w:eastAsia="Arial" w:hint="default"/>
                <w:sz w:val="21"/>
                <w:szCs w:val="21"/>
              </w:rPr>
            </w:pPr>
            <w:r>
              <w:rPr>
                <w:rFonts w:ascii="Arial"/>
                <w:sz w:val="21"/>
              </w:rPr>
              <w:t>15.34%</w:t>
            </w:r>
          </w:p>
        </w:tc>
        <w:tc>
          <w:tcPr>
            <w:tcW w:w="9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18" w:right="0"/>
              <w:jc w:val="left"/>
              <w:rPr>
                <w:rFonts w:ascii="Arial" w:hAnsi="Arial" w:cs="Arial" w:eastAsia="Arial" w:hint="default"/>
                <w:sz w:val="21"/>
                <w:szCs w:val="21"/>
              </w:rPr>
            </w:pPr>
            <w:r>
              <w:rPr>
                <w:rFonts w:ascii="Arial"/>
                <w:sz w:val="21"/>
              </w:rPr>
              <w:t>-2.82%</w:t>
            </w:r>
          </w:p>
        </w:tc>
        <w:tc>
          <w:tcPr>
            <w:tcW w:w="2417" w:type="dxa"/>
            <w:vMerge w:val="restart"/>
            <w:tcBorders>
              <w:top w:val="single" w:sz="4" w:space="0" w:color="000000"/>
              <w:left w:val="single" w:sz="4" w:space="0" w:color="000000"/>
              <w:right w:val="single" w:sz="4" w:space="0" w:color="000000"/>
            </w:tcBorders>
          </w:tcPr>
          <w:p>
            <w:pPr>
              <w:pStyle w:val="TableParagraph"/>
              <w:spacing w:line="271" w:lineRule="auto" w:before="30"/>
              <w:ind w:left="24" w:right="67"/>
              <w:jc w:val="both"/>
              <w:rPr>
                <w:rFonts w:ascii="宋体" w:hAnsi="宋体" w:cs="宋体" w:eastAsia="宋体" w:hint="default"/>
                <w:sz w:val="21"/>
                <w:szCs w:val="21"/>
              </w:rPr>
            </w:pPr>
            <w:r>
              <w:rPr>
                <w:rFonts w:ascii="宋体" w:hAnsi="宋体" w:cs="宋体" w:eastAsia="宋体" w:hint="default"/>
                <w:spacing w:val="-2"/>
                <w:sz w:val="21"/>
                <w:szCs w:val="21"/>
              </w:rPr>
              <w:t>主要由于公司业务增长及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并购联奕科技增加了应收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账款</w:t>
            </w:r>
          </w:p>
        </w:tc>
      </w:tr>
      <w:tr>
        <w:trPr>
          <w:trHeight w:val="391" w:hRule="exact"/>
        </w:trPr>
        <w:tc>
          <w:tcPr>
            <w:tcW w:w="1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9" w:type="dxa"/>
            <w:vMerge/>
            <w:tcBorders>
              <w:left w:val="single" w:sz="9" w:space="0" w:color="D2D2D2"/>
              <w:right w:val="single" w:sz="4" w:space="0" w:color="000000"/>
            </w:tcBorders>
          </w:tcPr>
          <w:p>
            <w:pPr/>
          </w:p>
        </w:tc>
        <w:tc>
          <w:tcPr>
            <w:tcW w:w="804"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14" w:type="dxa"/>
            <w:vMerge/>
            <w:tcBorders>
              <w:left w:val="single" w:sz="4" w:space="0" w:color="000000"/>
              <w:right w:val="single" w:sz="4" w:space="0" w:color="000000"/>
            </w:tcBorders>
          </w:tcPr>
          <w:p>
            <w:pPr/>
          </w:p>
        </w:tc>
        <w:tc>
          <w:tcPr>
            <w:tcW w:w="2417" w:type="dxa"/>
            <w:vMerge/>
            <w:tcBorders>
              <w:left w:val="single" w:sz="4" w:space="0" w:color="000000"/>
              <w:right w:val="single" w:sz="4" w:space="0" w:color="000000"/>
            </w:tcBorders>
          </w:tcPr>
          <w:p>
            <w:pPr/>
          </w:p>
        </w:tc>
      </w:tr>
      <w:tr>
        <w:trPr>
          <w:trHeight w:val="317" w:hRule="exact"/>
        </w:trPr>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9" w:type="dxa"/>
            <w:vMerge/>
            <w:tcBorders>
              <w:left w:val="single" w:sz="9" w:space="0" w:color="D2D2D2"/>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548"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914" w:type="dxa"/>
            <w:vMerge/>
            <w:tcBorders>
              <w:left w:val="single" w:sz="4" w:space="0" w:color="000000"/>
              <w:bottom w:val="single" w:sz="4" w:space="0" w:color="000000"/>
              <w:right w:val="single" w:sz="4" w:space="0" w:color="000000"/>
            </w:tcBorders>
          </w:tcPr>
          <w:p>
            <w:pPr/>
          </w:p>
        </w:tc>
        <w:tc>
          <w:tcPr>
            <w:tcW w:w="2417" w:type="dxa"/>
            <w:vMerge/>
            <w:tcBorders>
              <w:left w:val="single" w:sz="4" w:space="0" w:color="000000"/>
              <w:bottom w:val="single" w:sz="4" w:space="0" w:color="000000"/>
              <w:right w:val="single" w:sz="4" w:space="0" w:color="000000"/>
            </w:tcBorders>
          </w:tcPr>
          <w:p>
            <w:pPr/>
          </w:p>
        </w:tc>
      </w:tr>
      <w:tr>
        <w:trPr>
          <w:trHeight w:val="401" w:hRule="exact"/>
        </w:trPr>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0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932,397.50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0.02%</w:t>
            </w:r>
          </w:p>
        </w:tc>
        <w:tc>
          <w:tcPr>
            <w:tcW w:w="154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0.02%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浦东华宇装修尚未完工</w:t>
            </w:r>
          </w:p>
        </w:tc>
      </w:tr>
      <w:tr>
        <w:trPr>
          <w:trHeight w:val="163" w:hRule="exact"/>
        </w:trPr>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9"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25" w:right="0"/>
              <w:jc w:val="left"/>
              <w:rPr>
                <w:rFonts w:ascii="Arial" w:hAnsi="Arial" w:cs="Arial" w:eastAsia="Arial" w:hint="default"/>
                <w:sz w:val="21"/>
                <w:szCs w:val="21"/>
              </w:rPr>
            </w:pPr>
            <w:r>
              <w:rPr>
                <w:rFonts w:ascii="Arial"/>
                <w:sz w:val="21"/>
              </w:rPr>
              <w:t>60,350,000.00</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7" w:right="0"/>
              <w:jc w:val="left"/>
              <w:rPr>
                <w:rFonts w:ascii="Arial" w:hAnsi="Arial" w:cs="Arial" w:eastAsia="Arial" w:hint="default"/>
                <w:sz w:val="21"/>
                <w:szCs w:val="21"/>
              </w:rPr>
            </w:pPr>
            <w:r>
              <w:rPr>
                <w:rFonts w:ascii="Arial"/>
                <w:sz w:val="21"/>
              </w:rPr>
              <w:t>1.18%</w:t>
            </w: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65" w:right="0"/>
              <w:jc w:val="left"/>
              <w:rPr>
                <w:rFonts w:ascii="Arial" w:hAnsi="Arial" w:cs="Arial" w:eastAsia="Arial" w:hint="default"/>
                <w:sz w:val="21"/>
                <w:szCs w:val="21"/>
              </w:rPr>
            </w:pPr>
            <w:r>
              <w:rPr>
                <w:rFonts w:ascii="Arial"/>
                <w:sz w:val="21"/>
              </w:rPr>
              <w:t>510,000.00</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2" w:right="0"/>
              <w:jc w:val="left"/>
              <w:rPr>
                <w:rFonts w:ascii="Arial" w:hAnsi="Arial" w:cs="Arial" w:eastAsia="Arial" w:hint="default"/>
                <w:sz w:val="21"/>
                <w:szCs w:val="21"/>
              </w:rPr>
            </w:pPr>
            <w:r>
              <w:rPr>
                <w:rFonts w:ascii="Arial"/>
                <w:sz w:val="21"/>
              </w:rPr>
              <w:t>0.02%</w:t>
            </w:r>
          </w:p>
        </w:tc>
        <w:tc>
          <w:tcPr>
            <w:tcW w:w="9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8" w:right="0"/>
              <w:jc w:val="left"/>
              <w:rPr>
                <w:rFonts w:ascii="Arial" w:hAnsi="Arial" w:cs="Arial" w:eastAsia="Arial" w:hint="default"/>
                <w:sz w:val="21"/>
                <w:szCs w:val="21"/>
              </w:rPr>
            </w:pPr>
            <w:r>
              <w:rPr>
                <w:rFonts w:ascii="Arial"/>
                <w:sz w:val="21"/>
              </w:rPr>
              <w:t>1.16%</w:t>
            </w:r>
          </w:p>
        </w:tc>
        <w:tc>
          <w:tcPr>
            <w:tcW w:w="2417" w:type="dxa"/>
            <w:vMerge w:val="restart"/>
            <w:tcBorders>
              <w:top w:val="single" w:sz="4" w:space="0" w:color="000000"/>
              <w:left w:val="single" w:sz="4" w:space="0" w:color="000000"/>
              <w:right w:val="single" w:sz="4" w:space="0" w:color="000000"/>
            </w:tcBorders>
          </w:tcPr>
          <w:p>
            <w:pPr>
              <w:pStyle w:val="TableParagraph"/>
              <w:spacing w:line="271" w:lineRule="auto" w:before="30"/>
              <w:ind w:left="24" w:right="67"/>
              <w:jc w:val="left"/>
              <w:rPr>
                <w:rFonts w:ascii="宋体" w:hAnsi="宋体" w:cs="宋体" w:eastAsia="宋体" w:hint="default"/>
                <w:sz w:val="21"/>
                <w:szCs w:val="21"/>
              </w:rPr>
            </w:pPr>
            <w:r>
              <w:rPr>
                <w:rFonts w:ascii="宋体" w:hAnsi="宋体" w:cs="宋体" w:eastAsia="宋体" w:hint="default"/>
                <w:spacing w:val="-2"/>
                <w:sz w:val="21"/>
                <w:szCs w:val="21"/>
              </w:rPr>
              <w:t>主要为联奕科技、华宇金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信取得的银行借款</w:t>
            </w:r>
          </w:p>
        </w:tc>
      </w:tr>
      <w:tr>
        <w:trPr>
          <w:trHeight w:val="391" w:hRule="exact"/>
        </w:trPr>
        <w:tc>
          <w:tcPr>
            <w:tcW w:w="1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09" w:type="dxa"/>
            <w:vMerge/>
            <w:tcBorders>
              <w:left w:val="single" w:sz="9" w:space="0" w:color="D2D2D2"/>
              <w:right w:val="single" w:sz="4" w:space="0" w:color="000000"/>
            </w:tcBorders>
          </w:tcPr>
          <w:p>
            <w:pPr/>
          </w:p>
        </w:tc>
        <w:tc>
          <w:tcPr>
            <w:tcW w:w="804"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914" w:type="dxa"/>
            <w:vMerge/>
            <w:tcBorders>
              <w:left w:val="single" w:sz="4" w:space="0" w:color="000000"/>
              <w:right w:val="single" w:sz="4" w:space="0" w:color="000000"/>
            </w:tcBorders>
          </w:tcPr>
          <w:p>
            <w:pPr/>
          </w:p>
        </w:tc>
        <w:tc>
          <w:tcPr>
            <w:tcW w:w="2417" w:type="dxa"/>
            <w:vMerge/>
            <w:tcBorders>
              <w:left w:val="single" w:sz="4" w:space="0" w:color="000000"/>
              <w:right w:val="single" w:sz="4" w:space="0" w:color="000000"/>
            </w:tcBorders>
          </w:tcPr>
          <w:p>
            <w:pPr/>
          </w:p>
        </w:tc>
      </w:tr>
      <w:tr>
        <w:trPr>
          <w:trHeight w:val="161" w:hRule="exact"/>
        </w:trPr>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9" w:type="dxa"/>
            <w:vMerge/>
            <w:tcBorders>
              <w:left w:val="single" w:sz="9" w:space="0" w:color="D2D2D2"/>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548"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914" w:type="dxa"/>
            <w:vMerge/>
            <w:tcBorders>
              <w:left w:val="single" w:sz="4" w:space="0" w:color="000000"/>
              <w:bottom w:val="single" w:sz="4" w:space="0" w:color="000000"/>
              <w:right w:val="single" w:sz="4" w:space="0" w:color="000000"/>
            </w:tcBorders>
          </w:tcPr>
          <w:p>
            <w:pPr/>
          </w:p>
        </w:tc>
        <w:tc>
          <w:tcPr>
            <w:tcW w:w="2417" w:type="dxa"/>
            <w:vMerge/>
            <w:tcBorders>
              <w:left w:val="single" w:sz="4" w:space="0" w:color="000000"/>
              <w:bottom w:val="single" w:sz="4" w:space="0" w:color="000000"/>
              <w:right w:val="single" w:sz="4" w:space="0" w:color="000000"/>
            </w:tcBorders>
          </w:tcPr>
          <w:p>
            <w:pPr/>
          </w:p>
        </w:tc>
      </w:tr>
      <w:tr>
        <w:trPr>
          <w:trHeight w:val="1025"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z w:val="21"/>
                <w:szCs w:val="21"/>
              </w:rPr>
              <w:t>可供出售金融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34,000,000.00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6"/>
              <w:jc w:val="right"/>
              <w:rPr>
                <w:rFonts w:ascii="Arial" w:hAnsi="Arial" w:cs="Arial" w:eastAsia="Arial" w:hint="default"/>
                <w:sz w:val="21"/>
                <w:szCs w:val="21"/>
              </w:rPr>
            </w:pPr>
            <w:r>
              <w:rPr>
                <w:rFonts w:ascii="Arial"/>
                <w:spacing w:val="-1"/>
                <w:sz w:val="21"/>
              </w:rPr>
              <w:t>0.66%</w:t>
            </w:r>
          </w:p>
        </w:tc>
        <w:tc>
          <w:tcPr>
            <w:tcW w:w="154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spacing w:val="-1"/>
                <w:sz w:val="21"/>
              </w:rPr>
              <w:t>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6"/>
              <w:jc w:val="right"/>
              <w:rPr>
                <w:rFonts w:ascii="Arial" w:hAnsi="Arial" w:cs="Arial" w:eastAsia="Arial" w:hint="default"/>
                <w:sz w:val="21"/>
                <w:szCs w:val="21"/>
              </w:rPr>
            </w:pPr>
            <w:r>
              <w:rPr>
                <w:rFonts w:ascii="Arial"/>
                <w:spacing w:val="-1"/>
                <w:sz w:val="21"/>
              </w:rPr>
              <w:t>0.66%</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7"/>
              <w:jc w:val="both"/>
              <w:rPr>
                <w:rFonts w:ascii="宋体" w:hAnsi="宋体" w:cs="宋体" w:eastAsia="宋体" w:hint="default"/>
                <w:sz w:val="21"/>
                <w:szCs w:val="21"/>
              </w:rPr>
            </w:pPr>
            <w:r>
              <w:rPr>
                <w:rFonts w:ascii="宋体" w:hAnsi="宋体" w:cs="宋体" w:eastAsia="宋体" w:hint="default"/>
                <w:spacing w:val="-2"/>
                <w:sz w:val="21"/>
                <w:szCs w:val="21"/>
              </w:rPr>
              <w:t>投资华宇科创产业投资中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心、中国司法大数据研究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院有限公司</w:t>
            </w:r>
          </w:p>
        </w:tc>
      </w:tr>
      <w:tr>
        <w:trPr>
          <w:trHeight w:val="715"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1,661,066,055.81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32.37%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 w:right="0"/>
              <w:jc w:val="center"/>
              <w:rPr>
                <w:rFonts w:ascii="Arial" w:hAnsi="Arial" w:cs="Arial" w:eastAsia="Arial" w:hint="default"/>
                <w:sz w:val="21"/>
                <w:szCs w:val="21"/>
              </w:rPr>
            </w:pPr>
            <w:r>
              <w:rPr>
                <w:rFonts w:ascii="Arial"/>
                <w:sz w:val="21"/>
              </w:rPr>
              <w:t>361,888,404.67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12.58%</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19.79%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67"/>
              <w:jc w:val="left"/>
              <w:rPr>
                <w:rFonts w:ascii="宋体" w:hAnsi="宋体" w:cs="宋体" w:eastAsia="宋体" w:hint="default"/>
                <w:sz w:val="21"/>
                <w:szCs w:val="21"/>
              </w:rPr>
            </w:pPr>
            <w:r>
              <w:rPr>
                <w:rFonts w:ascii="宋体" w:hAnsi="宋体" w:cs="宋体" w:eastAsia="宋体" w:hint="default"/>
                <w:spacing w:val="-2"/>
                <w:sz w:val="21"/>
                <w:szCs w:val="21"/>
              </w:rPr>
              <w:t>增加的商誉为并购联奕科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技导致</w:t>
            </w:r>
          </w:p>
        </w:tc>
      </w:tr>
      <w:tr>
        <w:trPr>
          <w:trHeight w:val="713"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295,742,890.68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5.76%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 w:right="0"/>
              <w:jc w:val="center"/>
              <w:rPr>
                <w:rFonts w:ascii="Arial" w:hAnsi="Arial" w:cs="Arial" w:eastAsia="Arial" w:hint="default"/>
                <w:sz w:val="21"/>
                <w:szCs w:val="21"/>
              </w:rPr>
            </w:pPr>
            <w:r>
              <w:rPr>
                <w:rFonts w:ascii="Arial"/>
                <w:sz w:val="21"/>
              </w:rPr>
              <w:t>190,356,194.05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6.62%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-0.86%</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7"/>
              <w:jc w:val="left"/>
              <w:rPr>
                <w:rFonts w:ascii="宋体" w:hAnsi="宋体" w:cs="宋体" w:eastAsia="宋体" w:hint="default"/>
                <w:sz w:val="21"/>
                <w:szCs w:val="21"/>
              </w:rPr>
            </w:pPr>
            <w:r>
              <w:rPr>
                <w:rFonts w:ascii="宋体" w:hAnsi="宋体" w:cs="宋体" w:eastAsia="宋体" w:hint="default"/>
                <w:spacing w:val="-2"/>
                <w:sz w:val="21"/>
                <w:szCs w:val="21"/>
              </w:rPr>
              <w:t>主要是公司业务增长和供</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应商提供信用增加</w:t>
            </w:r>
          </w:p>
        </w:tc>
      </w:tr>
      <w:tr>
        <w:trPr>
          <w:trHeight w:val="403"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329,661,688.03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6.42%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8" w:right="0"/>
              <w:jc w:val="center"/>
              <w:rPr>
                <w:rFonts w:ascii="Arial" w:hAnsi="Arial" w:cs="Arial" w:eastAsia="Arial" w:hint="default"/>
                <w:sz w:val="21"/>
                <w:szCs w:val="21"/>
              </w:rPr>
            </w:pPr>
            <w:r>
              <w:rPr>
                <w:rFonts w:ascii="Arial"/>
                <w:sz w:val="21"/>
              </w:rPr>
              <w:t>145,476,057.73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5.06%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1.36%</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本年发行限制性股票导致</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、以公允价值计量的资产和负债</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spacing w:line="422" w:lineRule="auto" w:before="0"/>
        <w:ind w:left="152" w:right="6297"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、截至报告期末的资产权利受限情况</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z w:val="24"/>
          <w:szCs w:val="24"/>
        </w:rPr>
        <w:t>无</w:t>
      </w:r>
    </w:p>
    <w:p>
      <w:pPr>
        <w:spacing w:after="0" w:line="422" w:lineRule="auto"/>
        <w:jc w:val="left"/>
        <w:rPr>
          <w:rFonts w:ascii="宋体" w:hAnsi="宋体" w:cs="宋体" w:eastAsia="宋体" w:hint="default"/>
          <w:sz w:val="24"/>
          <w:szCs w:val="24"/>
        </w:rPr>
        <w:sectPr>
          <w:pgSz w:w="11910" w:h="16840"/>
          <w:pgMar w:header="745" w:footer="980" w:top="1060" w:bottom="1160" w:left="980" w:right="980"/>
        </w:sectPr>
      </w:pPr>
    </w:p>
    <w:p>
      <w:pPr>
        <w:spacing w:line="240" w:lineRule="auto" w:before="9"/>
        <w:rPr>
          <w:rFonts w:ascii="宋体" w:hAnsi="宋体" w:cs="宋体" w:eastAsia="宋体" w:hint="default"/>
          <w:sz w:val="23"/>
          <w:szCs w:val="23"/>
        </w:rPr>
      </w:pPr>
    </w:p>
    <w:p>
      <w:pPr>
        <w:pStyle w:val="Heading2"/>
        <w:spacing w:line="367" w:lineRule="exact"/>
        <w:ind w:right="0"/>
        <w:jc w:val="left"/>
        <w:rPr>
          <w:b w:val="0"/>
          <w:bCs w:val="0"/>
        </w:rPr>
      </w:pPr>
      <w:r>
        <w:rPr/>
        <w:t>五、投资状况分析</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、总体情况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10"/>
        <w:rPr>
          <w:rFonts w:ascii="宋体" w:hAnsi="宋体" w:cs="宋体" w:eastAsia="宋体" w:hint="default"/>
          <w:sz w:val="4"/>
          <w:szCs w:val="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22" w:right="0"/>
              <w:jc w:val="left"/>
              <w:rPr>
                <w:rFonts w:ascii="Arial" w:hAnsi="Arial" w:cs="Arial" w:eastAsia="Arial" w:hint="default"/>
                <w:sz w:val="21"/>
                <w:szCs w:val="21"/>
              </w:rPr>
            </w:pPr>
            <w:r>
              <w:rPr>
                <w:rFonts w:ascii="Arial"/>
                <w:sz w:val="21"/>
              </w:rPr>
              <w:t>1,528,750,000.00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14" w:right="0"/>
              <w:jc w:val="left"/>
              <w:rPr>
                <w:rFonts w:ascii="Arial" w:hAnsi="Arial" w:cs="Arial" w:eastAsia="Arial" w:hint="default"/>
                <w:sz w:val="21"/>
                <w:szCs w:val="21"/>
              </w:rPr>
            </w:pPr>
            <w:r>
              <w:rPr>
                <w:rFonts w:ascii="Arial"/>
                <w:sz w:val="21"/>
              </w:rPr>
              <w:t>26,000,000.00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5,779.81%</w:t>
            </w:r>
          </w:p>
        </w:tc>
      </w:tr>
    </w:tbl>
    <w:p>
      <w:pPr>
        <w:spacing w:after="0" w:line="240" w:lineRule="auto"/>
        <w:jc w:val="right"/>
        <w:rPr>
          <w:rFonts w:ascii="Arial" w:hAnsi="Arial" w:cs="Arial" w:eastAsia="Arial" w:hint="default"/>
          <w:sz w:val="21"/>
          <w:szCs w:val="21"/>
        </w:rPr>
        <w:sectPr>
          <w:pgSz w:w="11910" w:h="16840"/>
          <w:pgMar w:header="745" w:footer="980" w:top="1060" w:bottom="1160" w:left="980" w:right="980"/>
        </w:sectPr>
      </w:pPr>
    </w:p>
    <w:p>
      <w:pPr>
        <w:spacing w:line="240" w:lineRule="auto" w:before="12"/>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spacing w:line="335" w:lineRule="exact" w:before="0"/>
        <w:ind w:left="140"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、报告期内获取的重大的股权投资情况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headerReference w:type="default" r:id="rId11"/>
          <w:footerReference w:type="default" r:id="rId12"/>
          <w:pgSz w:w="16840" w:h="11910" w:orient="landscape"/>
          <w:pgMar w:header="866" w:footer="980" w:top="1060" w:bottom="1160" w:left="1300" w:right="1220"/>
          <w:pgNumType w:start="32"/>
        </w:sectPr>
      </w:pPr>
    </w:p>
    <w:p>
      <w:pPr>
        <w:pStyle w:val="BodyText"/>
        <w:spacing w:line="240" w:lineRule="auto" w:before="26"/>
        <w:ind w:left="140"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60" w:left="1300" w:right="1220"/>
          <w:cols w:num="2" w:equalWidth="0">
            <w:col w:w="1977" w:space="11263"/>
            <w:col w:w="1080"/>
          </w:cols>
        </w:sectPr>
      </w:pPr>
    </w:p>
    <w:p>
      <w:pPr>
        <w:spacing w:line="240" w:lineRule="auto" w:before="4"/>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994"/>
        <w:gridCol w:w="1106"/>
        <w:gridCol w:w="420"/>
        <w:gridCol w:w="1414"/>
        <w:gridCol w:w="745"/>
        <w:gridCol w:w="586"/>
        <w:gridCol w:w="1610"/>
        <w:gridCol w:w="780"/>
        <w:gridCol w:w="994"/>
        <w:gridCol w:w="1133"/>
        <w:gridCol w:w="1135"/>
        <w:gridCol w:w="566"/>
        <w:gridCol w:w="992"/>
        <w:gridCol w:w="1560"/>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0" w:right="45" w:hanging="272"/>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9" w:right="94"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 w:right="10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投资期限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10"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98"/>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131"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60"/>
              <w:jc w:val="left"/>
              <w:rPr>
                <w:rFonts w:ascii="宋体" w:hAnsi="宋体" w:cs="宋体" w:eastAsia="宋体" w:hint="default"/>
                <w:sz w:val="18"/>
                <w:szCs w:val="18"/>
              </w:rPr>
            </w:pPr>
            <w:r>
              <w:rPr>
                <w:rFonts w:ascii="宋体" w:hAnsi="宋体" w:cs="宋体" w:eastAsia="宋体" w:hint="default"/>
                <w:sz w:val="18"/>
                <w:szCs w:val="18"/>
              </w:rPr>
              <w:t>联奕科技有 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173"/>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收购</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1,488,000,000.0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8" w:right="10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76,000,000.0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78,145,477.2</w:t>
            </w:r>
          </w:p>
          <w:p>
            <w:pPr>
              <w:pStyle w:val="TableParagraph"/>
              <w:spacing w:line="240" w:lineRule="auto" w:before="105"/>
              <w:ind w:right="22"/>
              <w:jc w:val="right"/>
              <w:rPr>
                <w:rFonts w:ascii="Arial" w:hAnsi="Arial" w:cs="Arial" w:eastAsia="Arial" w:hint="default"/>
                <w:sz w:val="18"/>
                <w:szCs w:val="18"/>
              </w:rPr>
            </w:pPr>
            <w:r>
              <w:rPr>
                <w:rFonts w:ascii="Arial"/>
                <w:w w:val="99"/>
                <w:sz w:val="18"/>
              </w:rPr>
              <w:t>2</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2017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23</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24" w:right="84"/>
              <w:jc w:val="left"/>
              <w:rPr>
                <w:rFonts w:ascii="Arial" w:hAnsi="Arial" w:cs="Arial" w:eastAsia="Arial" w:hint="default"/>
                <w:sz w:val="18"/>
                <w:szCs w:val="18"/>
              </w:rPr>
            </w:pPr>
            <w:hyperlink r:id="rId13">
              <w:r>
                <w:rPr>
                  <w:rFonts w:ascii="Arial"/>
                  <w:spacing w:val="-1"/>
                  <w:sz w:val="18"/>
                </w:rPr>
                <w:t>www.cninfo.com.c</w:t>
              </w:r>
            </w:hyperlink>
            <w:r>
              <w:rPr>
                <w:rFonts w:ascii="Arial"/>
                <w:sz w:val="18"/>
              </w:rPr>
              <w:t> n</w:t>
            </w:r>
          </w:p>
        </w:tc>
      </w:tr>
      <w:tr>
        <w:trPr>
          <w:trHeight w:val="196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60"/>
              <w:jc w:val="both"/>
              <w:rPr>
                <w:rFonts w:ascii="宋体" w:hAnsi="宋体" w:cs="宋体" w:eastAsia="宋体" w:hint="default"/>
                <w:sz w:val="18"/>
                <w:szCs w:val="18"/>
              </w:rPr>
            </w:pPr>
            <w:r>
              <w:rPr>
                <w:rFonts w:ascii="宋体" w:hAnsi="宋体" w:cs="宋体" w:eastAsia="宋体" w:hint="default"/>
                <w:sz w:val="18"/>
                <w:szCs w:val="18"/>
              </w:rPr>
              <w:t>溯源云（北 京）科技服 务有限公司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73"/>
              <w:jc w:val="both"/>
              <w:rPr>
                <w:rFonts w:ascii="宋体" w:hAnsi="宋体" w:cs="宋体" w:eastAsia="宋体" w:hint="default"/>
                <w:sz w:val="18"/>
                <w:szCs w:val="18"/>
              </w:rPr>
            </w:pPr>
            <w:r>
              <w:rPr>
                <w:rFonts w:ascii="宋体" w:hAnsi="宋体" w:cs="宋体" w:eastAsia="宋体" w:hint="default"/>
                <w:sz w:val="18"/>
                <w:szCs w:val="18"/>
              </w:rPr>
              <w:t>技术开发、 技术咨询、 技术服务、 技术推广； 计算机系统 服务等</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5"/>
              <w:jc w:val="center"/>
              <w:rPr>
                <w:rFonts w:ascii="宋体" w:hAnsi="宋体" w:cs="宋体" w:eastAsia="宋体" w:hint="default"/>
                <w:sz w:val="18"/>
                <w:szCs w:val="18"/>
              </w:rPr>
            </w:pPr>
            <w:r>
              <w:rPr>
                <w:rFonts w:ascii="宋体" w:hAnsi="宋体" w:cs="宋体" w:eastAsia="宋体" w:hint="default"/>
                <w:sz w:val="18"/>
                <w:szCs w:val="18"/>
              </w:rPr>
              <w:t>新设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6,750,000.00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45.00%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8" w:right="10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4"/>
              <w:jc w:val="both"/>
              <w:rPr>
                <w:rFonts w:ascii="宋体" w:hAnsi="宋体" w:cs="宋体" w:eastAsia="宋体" w:hint="default"/>
                <w:sz w:val="18"/>
                <w:szCs w:val="18"/>
              </w:rPr>
            </w:pPr>
            <w:r>
              <w:rPr>
                <w:rFonts w:ascii="宋体" w:hAnsi="宋体" w:cs="宋体" w:eastAsia="宋体" w:hint="default"/>
                <w:sz w:val="18"/>
                <w:szCs w:val="18"/>
              </w:rPr>
              <w:t>中国食品药品企业 质量安全促进会、 食药网（北京）科 技发展有限公司等</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62" w:lineRule="auto"/>
              <w:ind w:left="50" w:right="21" w:firstLine="991"/>
              <w:jc w:val="left"/>
              <w:rPr>
                <w:rFonts w:ascii="Arial" w:hAnsi="Arial" w:cs="Arial" w:eastAsia="Arial" w:hint="default"/>
                <w:sz w:val="18"/>
                <w:szCs w:val="18"/>
              </w:rPr>
            </w:pPr>
            <w:r>
              <w:rPr>
                <w:rFonts w:ascii="Arial"/>
                <w:sz w:val="18"/>
              </w:rPr>
              <w:t>-</w:t>
            </w:r>
            <w:r>
              <w:rPr>
                <w:rFonts w:ascii="Arial"/>
                <w:w w:val="99"/>
                <w:sz w:val="18"/>
              </w:rPr>
              <w:t> </w:t>
            </w:r>
            <w:r>
              <w:rPr>
                <w:rFonts w:ascii="Arial"/>
                <w:sz w:val="18"/>
              </w:rPr>
              <w:t>1,355,693.09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Arial" w:hAnsi="Arial" w:cs="Arial" w:eastAsia="Arial" w:hint="default"/>
                <w:sz w:val="18"/>
                <w:szCs w:val="18"/>
              </w:rPr>
            </w:pPr>
            <w:r>
              <w:rPr>
                <w:rFonts w:ascii="Arial" w:hAnsi="Arial" w:cs="Arial" w:eastAsia="Arial" w:hint="default"/>
                <w:sz w:val="18"/>
                <w:szCs w:val="18"/>
              </w:rPr>
              <w:t>2016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pacing w:val="-14"/>
                <w:sz w:val="18"/>
                <w:szCs w:val="18"/>
              </w:rPr>
              <w:t>11</w:t>
            </w:r>
            <w:r>
              <w:rPr>
                <w:rFonts w:ascii="Arial" w:hAnsi="Arial" w:cs="Arial" w:eastAsia="Arial"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24</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62" w:lineRule="auto"/>
              <w:ind w:left="24" w:right="84"/>
              <w:jc w:val="left"/>
              <w:rPr>
                <w:rFonts w:ascii="Arial" w:hAnsi="Arial" w:cs="Arial" w:eastAsia="Arial" w:hint="default"/>
                <w:sz w:val="18"/>
                <w:szCs w:val="18"/>
              </w:rPr>
            </w:pPr>
            <w:hyperlink r:id="rId13">
              <w:r>
                <w:rPr>
                  <w:rFonts w:ascii="Arial"/>
                  <w:spacing w:val="-1"/>
                  <w:sz w:val="18"/>
                </w:rPr>
                <w:t>www.cninfo.com.c</w:t>
              </w:r>
            </w:hyperlink>
            <w:r>
              <w:rPr>
                <w:rFonts w:ascii="Arial"/>
                <w:sz w:val="18"/>
              </w:rPr>
              <w:t> n</w:t>
            </w:r>
          </w:p>
        </w:tc>
      </w:tr>
      <w:tr>
        <w:trPr>
          <w:trHeight w:val="165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 w:right="60"/>
              <w:jc w:val="both"/>
              <w:rPr>
                <w:rFonts w:ascii="宋体" w:hAnsi="宋体" w:cs="宋体" w:eastAsia="宋体" w:hint="default"/>
                <w:sz w:val="18"/>
                <w:szCs w:val="18"/>
              </w:rPr>
            </w:pPr>
            <w:r>
              <w:rPr>
                <w:rFonts w:ascii="宋体" w:hAnsi="宋体" w:cs="宋体" w:eastAsia="宋体" w:hint="default"/>
                <w:sz w:val="18"/>
                <w:szCs w:val="18"/>
              </w:rPr>
              <w:t>中国司法大 数据研究院 有限公司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73"/>
              <w:jc w:val="both"/>
              <w:rPr>
                <w:rFonts w:ascii="宋体" w:hAnsi="宋体" w:cs="宋体" w:eastAsia="宋体" w:hint="default"/>
                <w:sz w:val="18"/>
                <w:szCs w:val="18"/>
              </w:rPr>
            </w:pPr>
            <w:r>
              <w:rPr>
                <w:rFonts w:ascii="宋体" w:hAnsi="宋体" w:cs="宋体" w:eastAsia="宋体" w:hint="default"/>
                <w:sz w:val="18"/>
                <w:szCs w:val="18"/>
              </w:rPr>
              <w:t>数据处理； 技术开发； 技术转让； 技术咨询； 技术服务等</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新设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5,000,000.00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5.00%</w:t>
            </w:r>
            <w:r>
              <w:rPr>
                <w:rFonts w:ascii="Arial"/>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8" w:right="10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both"/>
              <w:rPr>
                <w:rFonts w:ascii="宋体" w:hAnsi="宋体" w:cs="宋体" w:eastAsia="宋体" w:hint="default"/>
                <w:sz w:val="18"/>
                <w:szCs w:val="18"/>
              </w:rPr>
            </w:pPr>
            <w:r>
              <w:rPr>
                <w:rFonts w:ascii="宋体" w:hAnsi="宋体" w:cs="宋体" w:eastAsia="宋体" w:hint="default"/>
                <w:sz w:val="18"/>
                <w:szCs w:val="18"/>
              </w:rPr>
              <w:t>中国电子科技集团 公司、人民法院信 息技术服务中心、 江苏新视云科技股 份有限公司等</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1" w:right="60"/>
              <w:jc w:val="both"/>
              <w:rPr>
                <w:rFonts w:ascii="宋体" w:hAnsi="宋体" w:cs="宋体" w:eastAsia="宋体" w:hint="default"/>
                <w:sz w:val="18"/>
                <w:szCs w:val="18"/>
              </w:rPr>
            </w:pPr>
            <w:r>
              <w:rPr>
                <w:rFonts w:ascii="宋体" w:hAnsi="宋体" w:cs="宋体" w:eastAsia="宋体" w:hint="default"/>
                <w:sz w:val="18"/>
                <w:szCs w:val="18"/>
              </w:rPr>
              <w:t>北京华宇科 创产业投资 中心（有限 合伙）</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1" w:right="173"/>
              <w:jc w:val="both"/>
              <w:rPr>
                <w:rFonts w:ascii="宋体" w:hAnsi="宋体" w:cs="宋体" w:eastAsia="宋体" w:hint="default"/>
                <w:sz w:val="18"/>
                <w:szCs w:val="18"/>
              </w:rPr>
            </w:pPr>
            <w:r>
              <w:rPr>
                <w:rFonts w:ascii="宋体" w:hAnsi="宋体" w:cs="宋体" w:eastAsia="宋体" w:hint="default"/>
                <w:sz w:val="18"/>
                <w:szCs w:val="18"/>
              </w:rPr>
              <w:t>项目投资； 投资管理； 资产管理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新设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29,000,000.00</w:t>
            </w:r>
          </w:p>
        </w:tc>
        <w:tc>
          <w:tcPr>
            <w:tcW w:w="74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08" w:right="10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北京华宇科创投资 有限公司、珠海云 合汇森投资管理中 </w:t>
            </w:r>
            <w:r>
              <w:rPr>
                <w:rFonts w:ascii="宋体" w:hAnsi="宋体" w:cs="宋体" w:eastAsia="宋体" w:hint="default"/>
                <w:spacing w:val="-11"/>
                <w:sz w:val="18"/>
                <w:szCs w:val="18"/>
              </w:rPr>
              <w:t>心（有限合伙）、北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京云合汇森创业投 资中心（有限合 伙）等</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Arial" w:hAnsi="Arial" w:cs="Arial" w:eastAsia="Arial" w:hint="default"/>
                <w:sz w:val="18"/>
                <w:szCs w:val="18"/>
              </w:rPr>
            </w:pPr>
            <w:r>
              <w:rPr>
                <w:rFonts w:ascii="Arial" w:hAnsi="Arial" w:cs="Arial" w:eastAsia="Arial" w:hint="default"/>
                <w:sz w:val="18"/>
                <w:szCs w:val="18"/>
              </w:rPr>
              <w:t>2017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62" w:lineRule="auto"/>
              <w:ind w:left="24" w:right="84"/>
              <w:jc w:val="left"/>
              <w:rPr>
                <w:rFonts w:ascii="Arial" w:hAnsi="Arial" w:cs="Arial" w:eastAsia="Arial" w:hint="default"/>
                <w:sz w:val="18"/>
                <w:szCs w:val="18"/>
              </w:rPr>
            </w:pPr>
            <w:hyperlink r:id="rId13">
              <w:r>
                <w:rPr>
                  <w:rFonts w:ascii="Arial"/>
                  <w:spacing w:val="-1"/>
                  <w:sz w:val="18"/>
                </w:rPr>
                <w:t>www.cninfo.com.c</w:t>
              </w:r>
            </w:hyperlink>
            <w:r>
              <w:rPr>
                <w:rFonts w:ascii="Arial"/>
                <w:sz w:val="18"/>
              </w:rPr>
              <w:t> n</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Arial" w:hAnsi="Arial" w:cs="Arial" w:eastAsia="Arial" w:hint="default"/>
                <w:sz w:val="18"/>
                <w:szCs w:val="18"/>
              </w:rPr>
            </w:pPr>
            <w:r>
              <w:rPr>
                <w:rFonts w:ascii="Arial"/>
                <w:spacing w:val="-1"/>
                <w:sz w:val="18"/>
              </w:rPr>
              <w:t>1,528,750,000.0</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center"/>
              <w:rPr>
                <w:rFonts w:ascii="Arial" w:hAnsi="Arial" w:cs="Arial" w:eastAsia="Arial" w:hint="default"/>
                <w:sz w:val="18"/>
                <w:szCs w:val="18"/>
              </w:rPr>
            </w:pPr>
            <w:r>
              <w:rPr>
                <w:rFonts w:ascii="Arial"/>
                <w:sz w:val="18"/>
              </w:rPr>
              <w:t>76,000,000.0</w:t>
            </w:r>
          </w:p>
        </w:tc>
        <w:tc>
          <w:tcPr>
            <w:tcW w:w="1135"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112"/>
              <w:ind w:left="50" w:right="0"/>
              <w:jc w:val="left"/>
              <w:rPr>
                <w:rFonts w:ascii="Arial" w:hAnsi="Arial" w:cs="Arial" w:eastAsia="Arial" w:hint="default"/>
                <w:sz w:val="18"/>
                <w:szCs w:val="18"/>
              </w:rPr>
            </w:pPr>
            <w:r>
              <w:rPr>
                <w:rFonts w:ascii="Arial"/>
                <w:sz w:val="18"/>
              </w:rPr>
              <w:t>76,789,784.1</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16" w:right="0"/>
              <w:jc w:val="left"/>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6840" w:h="11910" w:orient="landscape"/>
          <w:pgMar w:top="1060" w:bottom="1160" w:left="1300" w:right="1220"/>
        </w:sectPr>
      </w:pPr>
    </w:p>
    <w:p>
      <w:pPr>
        <w:spacing w:line="240" w:lineRule="auto" w:before="12"/>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994"/>
        <w:gridCol w:w="1106"/>
        <w:gridCol w:w="420"/>
        <w:gridCol w:w="1414"/>
        <w:gridCol w:w="745"/>
        <w:gridCol w:w="586"/>
        <w:gridCol w:w="1610"/>
        <w:gridCol w:w="780"/>
        <w:gridCol w:w="994"/>
        <w:gridCol w:w="1133"/>
        <w:gridCol w:w="1135"/>
        <w:gridCol w:w="566"/>
        <w:gridCol w:w="992"/>
        <w:gridCol w:w="1560"/>
      </w:tblGrid>
      <w:tr>
        <w:trPr>
          <w:trHeight w:val="377" w:hRule="exact"/>
        </w:trPr>
        <w:tc>
          <w:tcPr>
            <w:tcW w:w="994"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42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Arial" w:hAnsi="Arial" w:cs="Arial" w:eastAsia="Arial" w:hint="default"/>
                <w:sz w:val="18"/>
                <w:szCs w:val="18"/>
              </w:rPr>
            </w:pPr>
            <w:r>
              <w:rPr>
                <w:rFonts w:ascii="Arial"/>
                <w:w w:val="99"/>
                <w:sz w:val="18"/>
              </w:rPr>
              <w:t>0</w:t>
            </w:r>
            <w:r>
              <w:rPr>
                <w:rFonts w:ascii="Arial"/>
                <w:sz w:val="18"/>
              </w:rPr>
            </w:r>
          </w:p>
        </w:tc>
        <w:tc>
          <w:tcPr>
            <w:tcW w:w="745"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61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Arial" w:hAnsi="Arial" w:cs="Arial" w:eastAsia="Arial" w:hint="default"/>
                <w:sz w:val="18"/>
                <w:szCs w:val="18"/>
              </w:rPr>
            </w:pPr>
            <w:r>
              <w:rPr>
                <w:rFonts w:ascii="Arial"/>
                <w:w w:val="99"/>
                <w:sz w:val="18"/>
              </w:rPr>
              <w:t>0</w:t>
            </w:r>
            <w:r>
              <w:rPr>
                <w:rFonts w:ascii="Arial"/>
                <w:sz w:val="18"/>
              </w:rPr>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Arial" w:hAnsi="Arial" w:cs="Arial" w:eastAsia="Arial" w:hint="default"/>
                <w:sz w:val="18"/>
                <w:szCs w:val="18"/>
              </w:rPr>
            </w:pPr>
            <w:r>
              <w:rPr>
                <w:rFonts w:ascii="Arial"/>
                <w:w w:val="99"/>
                <w:sz w:val="18"/>
              </w:rPr>
              <w:t>3</w:t>
            </w:r>
            <w:r>
              <w:rPr>
                <w:rFonts w:ascii="Arial"/>
                <w:sz w:val="18"/>
              </w:rPr>
            </w:r>
          </w:p>
        </w:tc>
        <w:tc>
          <w:tcPr>
            <w:tcW w:w="56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15"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335" w:lineRule="exact" w:before="0"/>
        <w:ind w:left="100"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、报告期内正在进行的重大的非股权投资情况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left="100"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6"/>
        <w:rPr>
          <w:rFonts w:ascii="宋体" w:hAnsi="宋体" w:cs="宋体" w:eastAsia="宋体" w:hint="default"/>
          <w:sz w:val="18"/>
          <w:szCs w:val="18"/>
        </w:rPr>
      </w:pPr>
    </w:p>
    <w:p>
      <w:pPr>
        <w:spacing w:before="0"/>
        <w:ind w:left="100"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、以公允价值计量的金融资产</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40" w:lineRule="auto"/>
        <w:ind w:left="100"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4"/>
        <w:rPr>
          <w:rFonts w:ascii="宋体" w:hAnsi="宋体" w:cs="宋体" w:eastAsia="宋体" w:hint="default"/>
          <w:sz w:val="18"/>
          <w:szCs w:val="18"/>
        </w:rPr>
      </w:pPr>
    </w:p>
    <w:p>
      <w:pPr>
        <w:spacing w:before="0"/>
        <w:ind w:left="100"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、募集资金使用情况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left="100"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6"/>
        <w:rPr>
          <w:rFonts w:ascii="宋体" w:hAnsi="宋体" w:cs="宋体" w:eastAsia="宋体" w:hint="default"/>
          <w:sz w:val="18"/>
          <w:szCs w:val="18"/>
        </w:rPr>
      </w:pPr>
    </w:p>
    <w:p>
      <w:pPr>
        <w:spacing w:before="0"/>
        <w:ind w:left="10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）募集资金总体使用情况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6840" w:h="11910" w:orient="landscape"/>
          <w:pgMar w:header="866" w:footer="980" w:top="1060" w:bottom="1160" w:left="1340" w:right="1220"/>
        </w:sectPr>
      </w:pPr>
    </w:p>
    <w:p>
      <w:pPr>
        <w:pStyle w:val="BodyText"/>
        <w:spacing w:line="240" w:lineRule="auto" w:before="26"/>
        <w:ind w:left="100"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2"/>
        <w:ind w:left="10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6840" w:h="11910" w:orient="landscape"/>
          <w:pgMar w:top="1060" w:bottom="1160" w:left="1340" w:right="1220"/>
          <w:cols w:num="2" w:equalWidth="0">
            <w:col w:w="1937" w:space="10972"/>
            <w:col w:w="1371"/>
          </w:cols>
        </w:sectPr>
      </w:pPr>
    </w:p>
    <w:p>
      <w:pPr>
        <w:spacing w:line="240" w:lineRule="auto" w:before="12"/>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850"/>
        <w:gridCol w:w="1277"/>
        <w:gridCol w:w="1135"/>
        <w:gridCol w:w="1275"/>
        <w:gridCol w:w="1274"/>
        <w:gridCol w:w="1560"/>
        <w:gridCol w:w="1419"/>
        <w:gridCol w:w="1558"/>
        <w:gridCol w:w="994"/>
        <w:gridCol w:w="1419"/>
        <w:gridCol w:w="1169"/>
      </w:tblGrid>
      <w:tr>
        <w:trPr>
          <w:trHeight w:val="71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10"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0" w:right="91"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9" w:right="91" w:hanging="89"/>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3" w:hanging="89"/>
              <w:jc w:val="left"/>
              <w:rPr>
                <w:rFonts w:ascii="宋体" w:hAnsi="宋体" w:cs="宋体" w:eastAsia="宋体" w:hint="default"/>
                <w:sz w:val="18"/>
                <w:szCs w:val="18"/>
              </w:rPr>
            </w:pPr>
            <w:r>
              <w:rPr>
                <w:rFonts w:ascii="宋体" w:hAnsi="宋体" w:cs="宋体" w:eastAsia="宋体" w:hint="default"/>
                <w:sz w:val="18"/>
                <w:szCs w:val="18"/>
              </w:rPr>
              <w:t>报告期内变更用途 的募集资金总额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2" w:hanging="92"/>
              <w:jc w:val="left"/>
              <w:rPr>
                <w:rFonts w:ascii="宋体" w:hAnsi="宋体" w:cs="宋体" w:eastAsia="宋体" w:hint="default"/>
                <w:sz w:val="18"/>
                <w:szCs w:val="18"/>
              </w:rPr>
            </w:pPr>
            <w:r>
              <w:rPr>
                <w:rFonts w:ascii="宋体" w:hAnsi="宋体" w:cs="宋体" w:eastAsia="宋体" w:hint="default"/>
                <w:sz w:val="18"/>
                <w:szCs w:val="18"/>
              </w:rPr>
              <w:t>累计变更用途的 募集资金总额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4" w:right="50" w:hanging="89"/>
              <w:jc w:val="left"/>
              <w:rPr>
                <w:rFonts w:ascii="宋体" w:hAnsi="宋体" w:cs="宋体" w:eastAsia="宋体" w:hint="default"/>
                <w:sz w:val="18"/>
                <w:szCs w:val="18"/>
              </w:rPr>
            </w:pPr>
            <w:r>
              <w:rPr>
                <w:rFonts w:ascii="宋体" w:hAnsi="宋体" w:cs="宋体" w:eastAsia="宋体" w:hint="default"/>
                <w:sz w:val="18"/>
                <w:szCs w:val="18"/>
              </w:rPr>
              <w:t>累计变更用途的募 集资金总额比例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尚未使用募 集资金总额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3" w:right="75" w:hanging="92"/>
              <w:jc w:val="left"/>
              <w:rPr>
                <w:rFonts w:ascii="宋体" w:hAnsi="宋体" w:cs="宋体" w:eastAsia="宋体" w:hint="default"/>
                <w:sz w:val="18"/>
                <w:szCs w:val="18"/>
              </w:rPr>
            </w:pPr>
            <w:r>
              <w:rPr>
                <w:rFonts w:ascii="宋体" w:hAnsi="宋体" w:cs="宋体" w:eastAsia="宋体" w:hint="default"/>
                <w:sz w:val="18"/>
                <w:szCs w:val="18"/>
              </w:rPr>
              <w:t>尚未使用募集资 金用途及去向</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8"/>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51,481.18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53,638.72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8,482.80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8,482.80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48,000.00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47,771.72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47,771.72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250.57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11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107,963.98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47,771.72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109,893.24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w w:val="99"/>
                <w:sz w:val="18"/>
              </w:rPr>
              <w:t>0</w:t>
            </w:r>
            <w:r>
              <w:rPr>
                <w:rFonts w:ascii="Arial"/>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9"/>
                <w:sz w:val="18"/>
              </w:rPr>
              <w:t>0</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0.00%</w:t>
            </w:r>
            <w:r>
              <w:rPr>
                <w:rFonts w:ascii="Arial"/>
                <w:sz w:val="18"/>
              </w:rPr>
            </w:r>
          </w:p>
        </w:tc>
        <w:tc>
          <w:tcPr>
            <w:tcW w:w="994"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11"/>
              <w:jc w:val="right"/>
              <w:rPr>
                <w:rFonts w:ascii="Arial" w:hAnsi="Arial" w:cs="Arial" w:eastAsia="Arial" w:hint="default"/>
                <w:sz w:val="18"/>
                <w:szCs w:val="18"/>
              </w:rPr>
            </w:pPr>
            <w:r>
              <w:rPr>
                <w:rFonts w:ascii="Arial"/>
                <w:spacing w:val="-1"/>
                <w:sz w:val="18"/>
              </w:rPr>
              <w:t>250.57</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c>
          <w:tcPr>
            <w:tcW w:w="11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1392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13929"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143" w:firstLine="398"/>
              <w:jc w:val="righ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Arial" w:hAnsi="Arial" w:cs="Arial" w:eastAsia="Arial" w:hint="default"/>
                <w:sz w:val="18"/>
                <w:szCs w:val="18"/>
              </w:rPr>
              <w:t>2017</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日，本公司三次共募集资金</w:t>
            </w:r>
            <w:r>
              <w:rPr>
                <w:rFonts w:ascii="宋体" w:hAnsi="宋体" w:cs="宋体" w:eastAsia="宋体" w:hint="default"/>
                <w:spacing w:val="-47"/>
                <w:sz w:val="18"/>
                <w:szCs w:val="18"/>
              </w:rPr>
              <w:t> </w:t>
            </w:r>
            <w:r>
              <w:rPr>
                <w:rFonts w:ascii="Arial" w:hAnsi="Arial" w:cs="Arial" w:eastAsia="Arial" w:hint="default"/>
                <w:sz w:val="18"/>
                <w:szCs w:val="18"/>
              </w:rPr>
              <w:t>107,963.98</w:t>
            </w:r>
            <w:r>
              <w:rPr>
                <w:rFonts w:ascii="Arial" w:hAnsi="Arial" w:cs="Arial" w:eastAsia="Arial" w:hint="default"/>
                <w:spacing w:val="-6"/>
                <w:sz w:val="18"/>
                <w:szCs w:val="18"/>
              </w:rPr>
              <w:t> </w:t>
            </w:r>
            <w:r>
              <w:rPr>
                <w:rFonts w:ascii="宋体" w:hAnsi="宋体" w:cs="宋体" w:eastAsia="宋体" w:hint="default"/>
                <w:sz w:val="18"/>
                <w:szCs w:val="18"/>
              </w:rPr>
              <w:t>万元，募集资金所产生的利息（扣除银行手续费）</w:t>
            </w:r>
            <w:r>
              <w:rPr>
                <w:rFonts w:ascii="Arial" w:hAnsi="Arial" w:cs="Arial" w:eastAsia="Arial" w:hint="default"/>
                <w:sz w:val="18"/>
                <w:szCs w:val="18"/>
              </w:rPr>
              <w:t>2,179.83</w:t>
            </w:r>
            <w:r>
              <w:rPr>
                <w:rFonts w:ascii="Arial" w:hAnsi="Arial" w:cs="Arial" w:eastAsia="Arial" w:hint="default"/>
                <w:spacing w:val="-7"/>
                <w:sz w:val="18"/>
                <w:szCs w:val="18"/>
              </w:rPr>
              <w:t> </w:t>
            </w:r>
            <w:r>
              <w:rPr>
                <w:rFonts w:ascii="宋体" w:hAnsi="宋体" w:cs="宋体" w:eastAsia="宋体" w:hint="default"/>
                <w:sz w:val="18"/>
                <w:szCs w:val="18"/>
              </w:rPr>
              <w:t>万元，已累计投入募集资金</w:t>
            </w:r>
            <w:r>
              <w:rPr>
                <w:rFonts w:ascii="宋体" w:hAnsi="宋体" w:cs="宋体" w:eastAsia="宋体" w:hint="default"/>
                <w:spacing w:val="-47"/>
                <w:sz w:val="18"/>
                <w:szCs w:val="18"/>
              </w:rPr>
              <w:t> </w:t>
            </w:r>
            <w:r>
              <w:rPr>
                <w:rFonts w:ascii="Arial" w:hAnsi="Arial" w:cs="Arial" w:eastAsia="Arial" w:hint="default"/>
                <w:sz w:val="18"/>
                <w:szCs w:val="18"/>
              </w:rPr>
              <w:t>109,893.24</w:t>
            </w:r>
            <w:r>
              <w:rPr>
                <w:rFonts w:ascii="Arial" w:hAnsi="Arial" w:cs="Arial" w:eastAsia="Arial" w:hint="default"/>
                <w:spacing w:val="-7"/>
                <w:sz w:val="18"/>
                <w:szCs w:val="18"/>
              </w:rPr>
              <w:t> </w:t>
            </w:r>
            <w:r>
              <w:rPr>
                <w:rFonts w:ascii="宋体" w:hAnsi="宋体" w:cs="宋体" w:eastAsia="宋体" w:hint="default"/>
                <w:sz w:val="18"/>
                <w:szCs w:val="18"/>
              </w:rPr>
              <w:t>万元。 </w:t>
            </w:r>
            <w:r>
              <w:rPr>
                <w:rFonts w:ascii="Arial" w:hAnsi="Arial" w:cs="Arial" w:eastAsia="Arial" w:hint="default"/>
                <w:sz w:val="18"/>
                <w:szCs w:val="18"/>
              </w:rPr>
              <w:t>1</w:t>
            </w:r>
            <w:r>
              <w:rPr>
                <w:rFonts w:ascii="宋体" w:hAnsi="宋体" w:cs="宋体" w:eastAsia="宋体" w:hint="default"/>
                <w:sz w:val="18"/>
                <w:szCs w:val="18"/>
              </w:rPr>
              <w:t>、首次公开发行股份并在创业板上市的募集资金：经中国证券监督管理委员会证监许可</w:t>
            </w:r>
            <w:r>
              <w:rPr>
                <w:rFonts w:ascii="Arial" w:hAnsi="Arial" w:cs="Arial" w:eastAsia="Arial" w:hint="default"/>
                <w:sz w:val="18"/>
                <w:szCs w:val="18"/>
              </w:rPr>
              <w:t>[2011]1492</w:t>
            </w:r>
            <w:r>
              <w:rPr>
                <w:rFonts w:ascii="Arial" w:hAnsi="Arial" w:cs="Arial" w:eastAsia="Arial" w:hint="default"/>
                <w:spacing w:val="-25"/>
                <w:sz w:val="18"/>
                <w:szCs w:val="18"/>
              </w:rPr>
              <w:t> </w:t>
            </w:r>
            <w:r>
              <w:rPr>
                <w:rFonts w:ascii="宋体" w:hAnsi="宋体" w:cs="宋体" w:eastAsia="宋体" w:hint="default"/>
                <w:sz w:val="18"/>
                <w:szCs w:val="18"/>
              </w:rPr>
              <w:t>号文核准，公司委托主承销商国信证劵股份有限公司（以下简称</w:t>
            </w:r>
            <w:r>
              <w:rPr>
                <w:rFonts w:ascii="Arial" w:hAnsi="Arial" w:cs="Arial" w:eastAsia="Arial" w:hint="default"/>
                <w:sz w:val="18"/>
                <w:szCs w:val="18"/>
              </w:rPr>
              <w:t>“</w:t>
            </w:r>
            <w:r>
              <w:rPr>
                <w:rFonts w:ascii="宋体" w:hAnsi="宋体" w:cs="宋体" w:eastAsia="宋体" w:hint="default"/>
                <w:sz w:val="18"/>
                <w:szCs w:val="18"/>
              </w:rPr>
              <w:t>国信 </w:t>
            </w:r>
            <w:r>
              <w:rPr>
                <w:rFonts w:ascii="宋体" w:hAnsi="宋体" w:cs="宋体" w:eastAsia="宋体" w:hint="default"/>
                <w:spacing w:val="-1"/>
                <w:sz w:val="18"/>
                <w:szCs w:val="18"/>
              </w:rPr>
              <w:t>证劵</w:t>
            </w:r>
            <w:r>
              <w:rPr>
                <w:rFonts w:ascii="Arial" w:hAnsi="Arial" w:cs="Arial" w:eastAsia="Arial" w:hint="default"/>
                <w:spacing w:val="-1"/>
                <w:sz w:val="18"/>
                <w:szCs w:val="18"/>
              </w:rPr>
              <w:t>”</w:t>
            </w:r>
            <w:r>
              <w:rPr>
                <w:rFonts w:ascii="宋体" w:hAnsi="宋体" w:cs="宋体" w:eastAsia="宋体" w:hint="default"/>
                <w:spacing w:val="-1"/>
                <w:sz w:val="18"/>
                <w:szCs w:val="18"/>
              </w:rPr>
              <w:t>）首次公开发行人民币普通股（</w:t>
            </w:r>
            <w:r>
              <w:rPr>
                <w:rFonts w:ascii="Arial" w:hAnsi="Arial" w:cs="Arial" w:eastAsia="Arial" w:hint="default"/>
                <w:spacing w:val="-1"/>
                <w:sz w:val="18"/>
                <w:szCs w:val="18"/>
              </w:rPr>
              <w:t>A</w:t>
            </w:r>
            <w:r>
              <w:rPr>
                <w:rFonts w:ascii="Arial" w:hAnsi="Arial" w:cs="Arial" w:eastAsia="Arial" w:hint="default"/>
                <w:spacing w:val="-2"/>
                <w:sz w:val="18"/>
                <w:szCs w:val="18"/>
              </w:rPr>
              <w:t> </w:t>
            </w:r>
            <w:r>
              <w:rPr>
                <w:rFonts w:ascii="宋体" w:hAnsi="宋体" w:cs="宋体" w:eastAsia="宋体" w:hint="default"/>
                <w:spacing w:val="-1"/>
                <w:w w:val="99"/>
                <w:sz w:val="18"/>
                <w:szCs w:val="18"/>
              </w:rPr>
              <w:t>股）</w:t>
            </w:r>
            <w:r>
              <w:rPr>
                <w:rFonts w:ascii="Arial" w:hAnsi="Arial" w:cs="Arial" w:eastAsia="Arial" w:hint="default"/>
                <w:spacing w:val="-1"/>
                <w:w w:val="99"/>
                <w:sz w:val="18"/>
                <w:szCs w:val="18"/>
              </w:rPr>
              <w:t>1,850 </w:t>
            </w:r>
            <w:r>
              <w:rPr>
                <w:rFonts w:ascii="宋体" w:hAnsi="宋体" w:cs="宋体" w:eastAsia="宋体" w:hint="default"/>
                <w:spacing w:val="-1"/>
                <w:sz w:val="18"/>
                <w:szCs w:val="18"/>
              </w:rPr>
              <w:t>万股（每股面值</w:t>
            </w:r>
            <w:r>
              <w:rPr>
                <w:rFonts w:ascii="宋体" w:hAnsi="宋体" w:cs="宋体" w:eastAsia="宋体" w:hint="default"/>
                <w:spacing w:val="-41"/>
                <w:sz w:val="18"/>
                <w:szCs w:val="18"/>
              </w:rPr>
              <w:t> </w:t>
            </w:r>
            <w:r>
              <w:rPr>
                <w:rFonts w:ascii="Arial" w:hAnsi="Arial" w:cs="Arial" w:eastAsia="Arial" w:hint="default"/>
                <w:w w:val="99"/>
                <w:sz w:val="18"/>
                <w:szCs w:val="18"/>
              </w:rPr>
              <w:t>1</w:t>
            </w:r>
            <w:r>
              <w:rPr>
                <w:rFonts w:ascii="Arial" w:hAnsi="Arial" w:cs="Arial" w:eastAsia="Arial" w:hint="default"/>
                <w:spacing w:val="-1"/>
                <w:w w:val="99"/>
                <w:sz w:val="18"/>
                <w:szCs w:val="18"/>
              </w:rPr>
              <w:t> </w:t>
            </w:r>
            <w:r>
              <w:rPr>
                <w:rFonts w:ascii="宋体" w:hAnsi="宋体" w:cs="宋体" w:eastAsia="宋体" w:hint="default"/>
                <w:spacing w:val="-10"/>
                <w:sz w:val="18"/>
                <w:szCs w:val="18"/>
              </w:rPr>
              <w:t>元），每股发行价格为</w:t>
            </w:r>
            <w:r>
              <w:rPr>
                <w:rFonts w:ascii="宋体" w:hAnsi="宋体" w:cs="宋体" w:eastAsia="宋体" w:hint="default"/>
                <w:spacing w:val="-42"/>
                <w:sz w:val="18"/>
                <w:szCs w:val="18"/>
              </w:rPr>
              <w:t> </w:t>
            </w:r>
            <w:r>
              <w:rPr>
                <w:rFonts w:ascii="Arial" w:hAnsi="Arial" w:cs="Arial" w:eastAsia="Arial" w:hint="default"/>
                <w:spacing w:val="-1"/>
                <w:w w:val="99"/>
                <w:sz w:val="18"/>
                <w:szCs w:val="18"/>
              </w:rPr>
              <w:t>30.80 </w:t>
            </w:r>
            <w:r>
              <w:rPr>
                <w:rFonts w:ascii="宋体" w:hAnsi="宋体" w:cs="宋体" w:eastAsia="宋体" w:hint="default"/>
                <w:sz w:val="18"/>
                <w:szCs w:val="18"/>
              </w:rPr>
              <w:t>元，截至</w:t>
            </w:r>
            <w:r>
              <w:rPr>
                <w:rFonts w:ascii="宋体" w:hAnsi="宋体" w:cs="宋体" w:eastAsia="宋体" w:hint="default"/>
                <w:spacing w:val="-41"/>
                <w:sz w:val="18"/>
                <w:szCs w:val="18"/>
              </w:rPr>
              <w:t> </w:t>
            </w:r>
            <w:r>
              <w:rPr>
                <w:rFonts w:ascii="Arial" w:hAnsi="Arial" w:cs="Arial" w:eastAsia="Arial" w:hint="default"/>
                <w:spacing w:val="-4"/>
                <w:w w:val="99"/>
                <w:sz w:val="18"/>
                <w:szCs w:val="18"/>
              </w:rPr>
              <w:t>2011</w:t>
            </w:r>
            <w:r>
              <w:rPr>
                <w:rFonts w:ascii="Arial" w:hAnsi="Arial" w:cs="Arial" w:eastAsia="Arial" w:hint="default"/>
                <w:spacing w:val="-1"/>
                <w:w w:val="9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10</w:t>
            </w:r>
            <w:r>
              <w:rPr>
                <w:rFonts w:ascii="Arial" w:hAnsi="Arial" w:cs="Arial" w:eastAsia="Arial" w:hint="default"/>
                <w:spacing w:val="-5"/>
                <w:w w:val="99"/>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w:hAnsi="Arial" w:cs="Arial" w:eastAsia="Arial" w:hint="default"/>
                <w:w w:val="99"/>
                <w:sz w:val="18"/>
                <w:szCs w:val="18"/>
              </w:rPr>
              <w:t>13</w:t>
            </w:r>
            <w:r>
              <w:rPr>
                <w:rFonts w:ascii="Arial" w:hAnsi="Arial" w:cs="Arial" w:eastAsia="Arial" w:hint="default"/>
                <w:spacing w:val="-1"/>
                <w:w w:val="99"/>
                <w:sz w:val="18"/>
                <w:szCs w:val="18"/>
              </w:rPr>
              <w:t> </w:t>
            </w:r>
            <w:r>
              <w:rPr>
                <w:rFonts w:ascii="宋体" w:hAnsi="宋体" w:cs="宋体" w:eastAsia="宋体" w:hint="default"/>
                <w:sz w:val="18"/>
                <w:szCs w:val="18"/>
              </w:rPr>
              <w:t>日，本公司共募集资金</w:t>
            </w:r>
            <w:r>
              <w:rPr>
                <w:rFonts w:ascii="宋体" w:hAnsi="宋体" w:cs="宋体" w:eastAsia="宋体" w:hint="default"/>
                <w:spacing w:val="-45"/>
                <w:sz w:val="18"/>
                <w:szCs w:val="18"/>
              </w:rPr>
              <w:t> </w:t>
            </w:r>
            <w:r>
              <w:rPr>
                <w:rFonts w:ascii="Arial" w:hAnsi="Arial" w:cs="Arial" w:eastAsia="Arial" w:hint="default"/>
                <w:spacing w:val="-1"/>
                <w:w w:val="99"/>
                <w:sz w:val="18"/>
                <w:szCs w:val="18"/>
              </w:rPr>
              <w:t>52,880.00</w:t>
            </w:r>
            <w:r>
              <w:rPr>
                <w:rFonts w:ascii="Arial" w:hAnsi="Arial" w:cs="Arial" w:eastAsia="Arial" w:hint="default"/>
                <w:w w:val="99"/>
                <w:sz w:val="18"/>
                <w:szCs w:val="18"/>
              </w:rPr>
              <w:t> </w:t>
            </w:r>
            <w:r>
              <w:rPr>
                <w:rFonts w:ascii="宋体" w:hAnsi="宋体" w:cs="宋体" w:eastAsia="宋体" w:hint="default"/>
                <w:sz w:val="18"/>
                <w:szCs w:val="18"/>
              </w:rPr>
              <w:t>万元（已扣除券</w:t>
            </w:r>
          </w:p>
        </w:tc>
      </w:tr>
    </w:tbl>
    <w:p>
      <w:pPr>
        <w:spacing w:after="0" w:line="319" w:lineRule="auto"/>
        <w:jc w:val="right"/>
        <w:rPr>
          <w:rFonts w:ascii="宋体" w:hAnsi="宋体" w:cs="宋体" w:eastAsia="宋体" w:hint="default"/>
          <w:sz w:val="18"/>
          <w:szCs w:val="18"/>
        </w:rPr>
        <w:sectPr>
          <w:type w:val="continuous"/>
          <w:pgSz w:w="16840" w:h="11910" w:orient="landscape"/>
          <w:pgMar w:top="1060" w:bottom="1160" w:left="1340" w:right="1220"/>
        </w:sectPr>
      </w:pPr>
    </w:p>
    <w:p>
      <w:pPr>
        <w:spacing w:line="240" w:lineRule="auto" w:before="12"/>
        <w:rPr>
          <w:rFonts w:ascii="宋体" w:hAnsi="宋体" w:cs="宋体" w:eastAsia="宋体" w:hint="default"/>
          <w:sz w:val="2"/>
          <w:szCs w:val="2"/>
        </w:rPr>
      </w:pPr>
    </w:p>
    <w:p>
      <w:pPr>
        <w:spacing w:line="4232" w:lineRule="exact"/>
        <w:ind w:left="104" w:right="0" w:firstLine="0"/>
        <w:rPr>
          <w:rFonts w:ascii="宋体" w:hAnsi="宋体" w:cs="宋体" w:eastAsia="宋体" w:hint="default"/>
          <w:sz w:val="20"/>
          <w:szCs w:val="20"/>
        </w:rPr>
      </w:pPr>
      <w:r>
        <w:rPr>
          <w:rFonts w:ascii="宋体" w:hAnsi="宋体" w:cs="宋体" w:eastAsia="宋体" w:hint="default"/>
          <w:position w:val="-84"/>
          <w:sz w:val="20"/>
          <w:szCs w:val="20"/>
        </w:rPr>
        <w:pict>
          <v:group style="width:701.65pt;height:211.65pt;mso-position-horizontal-relative:char;mso-position-vertical-relative:line" coordorigin="0,0" coordsize="14033,4233">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style="position:absolute;left:74;top:34;width:13920;height:2" coordorigin="74,34" coordsize="13920,2">
              <v:shape style="position:absolute;left:74;top:34;width:13920;height:2" coordorigin="74,34" coordsize="13920,0" path="m74,34l13994,34e" filled="false" stroked="true" strokeweight=".48pt" strokecolor="#000000">
                <v:path arrowok="t"/>
              </v:shape>
            </v:group>
            <v:group style="position:absolute;left:70;top:29;width:2;height:4199" coordorigin="70,29" coordsize="2,4199">
              <v:shape style="position:absolute;left:70;top:29;width:2;height:4199" coordorigin="70,29" coordsize="0,4199" path="m70,29l70,4227e" filled="false" stroked="true" strokeweight=".48pt" strokecolor="#000000">
                <v:path arrowok="t"/>
              </v:shape>
            </v:group>
            <v:group style="position:absolute;left:74;top:4223;width:13920;height:2" coordorigin="74,4223" coordsize="13920,2">
              <v:shape style="position:absolute;left:74;top:4223;width:13920;height:2" coordorigin="74,4223" coordsize="13920,0" path="m74,4223l13994,4223e" filled="false" stroked="true" strokeweight=".47998pt" strokecolor="#000000">
                <v:path arrowok="t"/>
              </v:shape>
            </v:group>
            <v:group style="position:absolute;left:13999;top:29;width:2;height:4199" coordorigin="13999,29" coordsize="2,4199">
              <v:shape style="position:absolute;left:13999;top:29;width:2;height:4199" coordorigin="13999,29" coordsize="0,4199" path="m13999,29l13999,4227e" filled="false" stroked="true" strokeweight=".47998pt" strokecolor="#000000">
                <v:path arrowok="t"/>
              </v:shape>
              <v:shape style="position:absolute;left:70;top:19;width:13930;height:4204" type="#_x0000_t202" filled="false" stroked="false">
                <v:textbox inset="0,0,0,0">
                  <w:txbxContent>
                    <w:p>
                      <w:pPr>
                        <w:spacing w:before="30"/>
                        <w:ind w:left="26" w:right="0" w:firstLine="0"/>
                        <w:jc w:val="left"/>
                        <w:rPr>
                          <w:rFonts w:ascii="宋体" w:hAnsi="宋体" w:cs="宋体" w:eastAsia="宋体" w:hint="default"/>
                          <w:sz w:val="18"/>
                          <w:szCs w:val="18"/>
                        </w:rPr>
                      </w:pPr>
                      <w:r>
                        <w:rPr>
                          <w:rFonts w:ascii="宋体" w:hAnsi="宋体" w:cs="宋体" w:eastAsia="宋体" w:hint="default"/>
                          <w:sz w:val="18"/>
                          <w:szCs w:val="18"/>
                        </w:rPr>
                        <w:t>商费用</w:t>
                      </w:r>
                      <w:r>
                        <w:rPr>
                          <w:rFonts w:ascii="宋体" w:hAnsi="宋体" w:cs="宋体" w:eastAsia="宋体" w:hint="default"/>
                          <w:spacing w:val="-44"/>
                          <w:sz w:val="18"/>
                          <w:szCs w:val="18"/>
                        </w:rPr>
                        <w:t> </w:t>
                      </w:r>
                      <w:r>
                        <w:rPr>
                          <w:rFonts w:ascii="Arial" w:hAnsi="Arial" w:cs="Arial" w:eastAsia="Arial" w:hint="default"/>
                          <w:w w:val="99"/>
                          <w:sz w:val="18"/>
                          <w:szCs w:val="18"/>
                        </w:rPr>
                        <w:t>410</w:t>
                      </w:r>
                      <w:r>
                        <w:rPr>
                          <w:rFonts w:ascii="Arial" w:hAnsi="Arial" w:cs="Arial" w:eastAsia="Arial" w:hint="default"/>
                          <w:spacing w:val="-2"/>
                          <w:w w:val="99"/>
                          <w:sz w:val="18"/>
                          <w:szCs w:val="18"/>
                        </w:rPr>
                        <w:t>0</w:t>
                      </w:r>
                      <w:r>
                        <w:rPr>
                          <w:rFonts w:ascii="Arial" w:hAnsi="Arial" w:cs="Arial" w:eastAsia="Arial" w:hint="default"/>
                          <w:w w:val="100"/>
                          <w:sz w:val="18"/>
                          <w:szCs w:val="18"/>
                        </w:rPr>
                        <w:t>.0</w:t>
                      </w:r>
                      <w:r>
                        <w:rPr>
                          <w:rFonts w:ascii="Arial" w:hAnsi="Arial" w:cs="Arial" w:eastAsia="Arial" w:hint="default"/>
                          <w:w w:val="99"/>
                          <w:sz w:val="18"/>
                          <w:szCs w:val="18"/>
                        </w:rPr>
                        <w:t>0</w:t>
                      </w:r>
                      <w:r>
                        <w:rPr>
                          <w:rFonts w:ascii="Arial" w:hAnsi="Arial" w:cs="Arial" w:eastAsia="Arial" w:hint="default"/>
                          <w:spacing w:val="-4"/>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，扣除</w:t>
                      </w:r>
                      <w:r>
                        <w:rPr>
                          <w:rFonts w:ascii="宋体" w:hAnsi="宋体" w:cs="宋体" w:eastAsia="宋体" w:hint="default"/>
                          <w:spacing w:val="-3"/>
                          <w:sz w:val="18"/>
                          <w:szCs w:val="18"/>
                        </w:rPr>
                        <w:t>发</w:t>
                      </w:r>
                      <w:r>
                        <w:rPr>
                          <w:rFonts w:ascii="宋体" w:hAnsi="宋体" w:cs="宋体" w:eastAsia="宋体" w:hint="default"/>
                          <w:sz w:val="18"/>
                          <w:szCs w:val="18"/>
                        </w:rPr>
                        <w:t>行费用</w:t>
                      </w:r>
                      <w:r>
                        <w:rPr>
                          <w:rFonts w:ascii="宋体" w:hAnsi="宋体" w:cs="宋体" w:eastAsia="宋体" w:hint="default"/>
                          <w:spacing w:val="-45"/>
                          <w:sz w:val="18"/>
                          <w:szCs w:val="18"/>
                        </w:rPr>
                        <w:t> </w:t>
                      </w:r>
                      <w:r>
                        <w:rPr>
                          <w:rFonts w:ascii="Arial" w:hAnsi="Arial" w:cs="Arial" w:eastAsia="Arial" w:hint="default"/>
                          <w:w w:val="99"/>
                          <w:sz w:val="18"/>
                          <w:szCs w:val="18"/>
                        </w:rPr>
                        <w:t>1</w:t>
                      </w:r>
                      <w:r>
                        <w:rPr>
                          <w:rFonts w:ascii="Arial" w:hAnsi="Arial" w:cs="Arial" w:eastAsia="Arial" w:hint="default"/>
                          <w:w w:val="100"/>
                          <w:sz w:val="18"/>
                          <w:szCs w:val="18"/>
                        </w:rPr>
                        <w:t>,3</w:t>
                      </w:r>
                      <w:r>
                        <w:rPr>
                          <w:rFonts w:ascii="Arial" w:hAnsi="Arial" w:cs="Arial" w:eastAsia="Arial" w:hint="default"/>
                          <w:spacing w:val="-2"/>
                          <w:w w:val="99"/>
                          <w:sz w:val="18"/>
                          <w:szCs w:val="18"/>
                        </w:rPr>
                        <w:t>9</w:t>
                      </w:r>
                      <w:r>
                        <w:rPr>
                          <w:rFonts w:ascii="Arial" w:hAnsi="Arial" w:cs="Arial" w:eastAsia="Arial" w:hint="default"/>
                          <w:w w:val="99"/>
                          <w:sz w:val="18"/>
                          <w:szCs w:val="18"/>
                        </w:rPr>
                        <w:t>8</w:t>
                      </w:r>
                      <w:r>
                        <w:rPr>
                          <w:rFonts w:ascii="Arial" w:hAnsi="Arial" w:cs="Arial" w:eastAsia="Arial" w:hint="default"/>
                          <w:w w:val="100"/>
                          <w:sz w:val="18"/>
                          <w:szCs w:val="18"/>
                        </w:rPr>
                        <w:t>.</w:t>
                      </w:r>
                      <w:r>
                        <w:rPr>
                          <w:rFonts w:ascii="Arial" w:hAnsi="Arial" w:cs="Arial" w:eastAsia="Arial" w:hint="default"/>
                          <w:spacing w:val="-2"/>
                          <w:w w:val="100"/>
                          <w:sz w:val="18"/>
                          <w:szCs w:val="18"/>
                        </w:rPr>
                        <w:t>8</w:t>
                      </w:r>
                      <w:r>
                        <w:rPr>
                          <w:rFonts w:ascii="Arial" w:hAnsi="Arial" w:cs="Arial" w:eastAsia="Arial" w:hint="default"/>
                          <w:w w:val="99"/>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万元后，募集资金净额为</w:t>
                      </w:r>
                      <w:r>
                        <w:rPr>
                          <w:rFonts w:ascii="宋体" w:hAnsi="宋体" w:cs="宋体" w:eastAsia="宋体" w:hint="default"/>
                          <w:spacing w:val="-44"/>
                          <w:sz w:val="18"/>
                          <w:szCs w:val="18"/>
                        </w:rPr>
                        <w:t> </w:t>
                      </w:r>
                      <w:r>
                        <w:rPr>
                          <w:rFonts w:ascii="Arial" w:hAnsi="Arial" w:cs="Arial" w:eastAsia="Arial" w:hint="default"/>
                          <w:w w:val="99"/>
                          <w:sz w:val="18"/>
                          <w:szCs w:val="18"/>
                        </w:rPr>
                        <w:t>51</w:t>
                      </w:r>
                      <w:r>
                        <w:rPr>
                          <w:rFonts w:ascii="Arial" w:hAnsi="Arial" w:cs="Arial" w:eastAsia="Arial" w:hint="default"/>
                          <w:w w:val="100"/>
                          <w:sz w:val="18"/>
                          <w:szCs w:val="18"/>
                        </w:rPr>
                        <w:t>,</w:t>
                      </w:r>
                      <w:r>
                        <w:rPr>
                          <w:rFonts w:ascii="Arial" w:hAnsi="Arial" w:cs="Arial" w:eastAsia="Arial" w:hint="default"/>
                          <w:spacing w:val="-2"/>
                          <w:w w:val="100"/>
                          <w:sz w:val="18"/>
                          <w:szCs w:val="18"/>
                        </w:rPr>
                        <w:t>4</w:t>
                      </w:r>
                      <w:r>
                        <w:rPr>
                          <w:rFonts w:ascii="Arial" w:hAnsi="Arial" w:cs="Arial" w:eastAsia="Arial" w:hint="default"/>
                          <w:w w:val="99"/>
                          <w:sz w:val="18"/>
                          <w:szCs w:val="18"/>
                        </w:rPr>
                        <w:t>81</w:t>
                      </w:r>
                      <w:r>
                        <w:rPr>
                          <w:rFonts w:ascii="Arial" w:hAnsi="Arial" w:cs="Arial" w:eastAsia="Arial" w:hint="default"/>
                          <w:w w:val="100"/>
                          <w:sz w:val="18"/>
                          <w:szCs w:val="18"/>
                        </w:rPr>
                        <w:t>.</w:t>
                      </w:r>
                      <w:r>
                        <w:rPr>
                          <w:rFonts w:ascii="Arial" w:hAnsi="Arial" w:cs="Arial" w:eastAsia="Arial" w:hint="default"/>
                          <w:spacing w:val="-2"/>
                          <w:w w:val="100"/>
                          <w:sz w:val="18"/>
                          <w:szCs w:val="18"/>
                        </w:rPr>
                        <w:t>1</w:t>
                      </w:r>
                      <w:r>
                        <w:rPr>
                          <w:rFonts w:ascii="Arial" w:hAnsi="Arial" w:cs="Arial" w:eastAsia="Arial" w:hint="default"/>
                          <w:w w:val="99"/>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z w:val="18"/>
                          <w:szCs w:val="18"/>
                        </w:rPr>
                        <w:t>该募集资金到位情况已经兴华会计师事务所有限责任公司审验，并于</w:t>
                      </w:r>
                      <w:r>
                        <w:rPr>
                          <w:rFonts w:ascii="宋体" w:hAnsi="宋体" w:cs="宋体" w:eastAsia="宋体" w:hint="default"/>
                          <w:spacing w:val="-44"/>
                          <w:sz w:val="18"/>
                          <w:szCs w:val="18"/>
                        </w:rPr>
                        <w:t> </w:t>
                      </w:r>
                      <w:r>
                        <w:rPr>
                          <w:rFonts w:ascii="Arial" w:hAnsi="Arial" w:cs="Arial" w:eastAsia="Arial" w:hint="default"/>
                          <w:w w:val="99"/>
                          <w:sz w:val="18"/>
                          <w:szCs w:val="18"/>
                        </w:rPr>
                        <w:t>20</w:t>
                      </w:r>
                      <w:r>
                        <w:rPr>
                          <w:rFonts w:ascii="Arial" w:hAnsi="Arial" w:cs="Arial" w:eastAsia="Arial" w:hint="default"/>
                          <w:spacing w:val="-14"/>
                          <w:w w:val="99"/>
                          <w:sz w:val="18"/>
                          <w:szCs w:val="18"/>
                        </w:rPr>
                        <w:t>1</w:t>
                      </w:r>
                      <w:r>
                        <w:rPr>
                          <w:rFonts w:ascii="Arial" w:hAnsi="Arial" w:cs="Arial" w:eastAsia="Arial" w:hint="default"/>
                          <w:w w:val="99"/>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99"/>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月</w:t>
                      </w:r>
                    </w:p>
                    <w:p>
                      <w:pPr>
                        <w:spacing w:line="302" w:lineRule="auto" w:before="63"/>
                        <w:ind w:left="26" w:right="107" w:firstLine="0"/>
                        <w:jc w:val="left"/>
                        <w:rPr>
                          <w:rFonts w:ascii="宋体" w:hAnsi="宋体" w:cs="宋体" w:eastAsia="宋体" w:hint="default"/>
                          <w:sz w:val="18"/>
                          <w:szCs w:val="18"/>
                        </w:rPr>
                      </w:pPr>
                      <w:r>
                        <w:rPr>
                          <w:rFonts w:ascii="Arial" w:hAnsi="Arial" w:cs="Arial" w:eastAsia="Arial" w:hint="default"/>
                          <w:w w:val="99"/>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日出具了（</w:t>
                      </w:r>
                      <w:r>
                        <w:rPr>
                          <w:rFonts w:ascii="Arial" w:hAnsi="Arial" w:cs="Arial" w:eastAsia="Arial" w:hint="default"/>
                          <w:w w:val="99"/>
                          <w:sz w:val="18"/>
                          <w:szCs w:val="18"/>
                        </w:rPr>
                        <w:t>20</w:t>
                      </w:r>
                      <w:r>
                        <w:rPr>
                          <w:rFonts w:ascii="Arial" w:hAnsi="Arial" w:cs="Arial" w:eastAsia="Arial" w:hint="default"/>
                          <w:spacing w:val="-14"/>
                          <w:w w:val="99"/>
                          <w:sz w:val="18"/>
                          <w:szCs w:val="18"/>
                        </w:rPr>
                        <w:t>1</w:t>
                      </w:r>
                      <w:r>
                        <w:rPr>
                          <w:rFonts w:ascii="Arial" w:hAnsi="Arial" w:cs="Arial" w:eastAsia="Arial" w:hint="default"/>
                          <w:spacing w:val="1"/>
                          <w:w w:val="99"/>
                          <w:sz w:val="18"/>
                          <w:szCs w:val="18"/>
                        </w:rPr>
                        <w:t>1</w:t>
                      </w:r>
                      <w:r>
                        <w:rPr>
                          <w:rFonts w:ascii="宋体" w:hAnsi="宋体" w:cs="宋体" w:eastAsia="宋体" w:hint="default"/>
                          <w:sz w:val="18"/>
                          <w:szCs w:val="18"/>
                        </w:rPr>
                        <w:t>）京会兴</w:t>
                      </w:r>
                      <w:r>
                        <w:rPr>
                          <w:rFonts w:ascii="宋体" w:hAnsi="宋体" w:cs="宋体" w:eastAsia="宋体" w:hint="default"/>
                          <w:spacing w:val="-3"/>
                          <w:sz w:val="18"/>
                          <w:szCs w:val="18"/>
                        </w:rPr>
                        <w:t>（</w:t>
                      </w:r>
                      <w:r>
                        <w:rPr>
                          <w:rFonts w:ascii="宋体" w:hAnsi="宋体" w:cs="宋体" w:eastAsia="宋体" w:hint="default"/>
                          <w:sz w:val="18"/>
                          <w:szCs w:val="18"/>
                        </w:rPr>
                        <w:t>验）字第</w:t>
                      </w:r>
                      <w:r>
                        <w:rPr>
                          <w:rFonts w:ascii="宋体" w:hAnsi="宋体" w:cs="宋体" w:eastAsia="宋体" w:hint="default"/>
                          <w:spacing w:val="-45"/>
                          <w:sz w:val="18"/>
                          <w:szCs w:val="18"/>
                        </w:rPr>
                        <w:t> </w:t>
                      </w:r>
                      <w:r>
                        <w:rPr>
                          <w:rFonts w:ascii="Arial" w:hAnsi="Arial" w:cs="Arial" w:eastAsia="Arial" w:hint="default"/>
                          <w:w w:val="99"/>
                          <w:sz w:val="18"/>
                          <w:szCs w:val="18"/>
                        </w:rPr>
                        <w:t>7</w:t>
                      </w:r>
                      <w:r>
                        <w:rPr>
                          <w:rFonts w:ascii="Arial" w:hAnsi="Arial" w:cs="Arial" w:eastAsia="Arial" w:hint="default"/>
                          <w:w w:val="99"/>
                          <w:sz w:val="18"/>
                          <w:szCs w:val="18"/>
                        </w:rPr>
                        <w:t>-</w:t>
                      </w:r>
                      <w:r>
                        <w:rPr>
                          <w:rFonts w:ascii="Arial" w:hAnsi="Arial" w:cs="Arial" w:eastAsia="Arial" w:hint="default"/>
                          <w:w w:val="99"/>
                          <w:sz w:val="18"/>
                          <w:szCs w:val="18"/>
                        </w:rPr>
                        <w:t>017</w:t>
                      </w:r>
                      <w:r>
                        <w:rPr>
                          <w:rFonts w:ascii="Arial" w:hAnsi="Arial" w:cs="Arial" w:eastAsia="Arial" w:hint="default"/>
                          <w:sz w:val="18"/>
                          <w:szCs w:val="18"/>
                        </w:rPr>
                        <w:t> </w:t>
                      </w:r>
                      <w:r>
                        <w:rPr>
                          <w:rFonts w:ascii="Arial" w:hAnsi="Arial" w:cs="Arial" w:eastAsia="Arial" w:hint="default"/>
                          <w:spacing w:val="-11"/>
                          <w:sz w:val="18"/>
                          <w:szCs w:val="18"/>
                        </w:rPr>
                        <w:t> </w:t>
                      </w:r>
                      <w:r>
                        <w:rPr>
                          <w:rFonts w:ascii="宋体" w:hAnsi="宋体" w:cs="宋体" w:eastAsia="宋体" w:hint="default"/>
                          <w:sz w:val="18"/>
                          <w:szCs w:val="18"/>
                        </w:rPr>
                        <w:t>号《验资报</w:t>
                      </w:r>
                      <w:r>
                        <w:rPr>
                          <w:rFonts w:ascii="宋体" w:hAnsi="宋体" w:cs="宋体" w:eastAsia="宋体" w:hint="default"/>
                          <w:spacing w:val="-3"/>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Arial" w:hAnsi="Arial" w:cs="Arial" w:eastAsia="Arial" w:hint="default"/>
                          <w:w w:val="99"/>
                          <w:sz w:val="18"/>
                          <w:szCs w:val="18"/>
                        </w:rPr>
                        <w:t>2016</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99"/>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w w:val="99"/>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w:t>
                      </w:r>
                      <w:r>
                        <w:rPr>
                          <w:rFonts w:ascii="宋体" w:hAnsi="宋体" w:cs="宋体" w:eastAsia="宋体" w:hint="default"/>
                          <w:sz w:val="18"/>
                          <w:szCs w:val="18"/>
                        </w:rPr>
                        <w:t>该次募集资金累计投入金额为</w:t>
                      </w:r>
                      <w:r>
                        <w:rPr>
                          <w:rFonts w:ascii="宋体" w:hAnsi="宋体" w:cs="宋体" w:eastAsia="宋体" w:hint="default"/>
                          <w:spacing w:val="-45"/>
                          <w:sz w:val="18"/>
                          <w:szCs w:val="18"/>
                        </w:rPr>
                        <w:t> </w:t>
                      </w:r>
                      <w:r>
                        <w:rPr>
                          <w:rFonts w:ascii="Arial" w:hAnsi="Arial" w:cs="Arial" w:eastAsia="Arial" w:hint="default"/>
                          <w:w w:val="99"/>
                          <w:sz w:val="18"/>
                          <w:szCs w:val="18"/>
                        </w:rPr>
                        <w:t>53</w:t>
                      </w:r>
                      <w:r>
                        <w:rPr>
                          <w:rFonts w:ascii="Arial" w:hAnsi="Arial" w:cs="Arial" w:eastAsia="Arial" w:hint="default"/>
                          <w:w w:val="100"/>
                          <w:sz w:val="18"/>
                          <w:szCs w:val="18"/>
                        </w:rPr>
                        <w:t>,6</w:t>
                      </w:r>
                      <w:r>
                        <w:rPr>
                          <w:rFonts w:ascii="Arial" w:hAnsi="Arial" w:cs="Arial" w:eastAsia="Arial" w:hint="default"/>
                          <w:spacing w:val="-2"/>
                          <w:w w:val="99"/>
                          <w:sz w:val="18"/>
                          <w:szCs w:val="18"/>
                        </w:rPr>
                        <w:t>3</w:t>
                      </w:r>
                      <w:r>
                        <w:rPr>
                          <w:rFonts w:ascii="Arial" w:hAnsi="Arial" w:cs="Arial" w:eastAsia="Arial" w:hint="default"/>
                          <w:w w:val="99"/>
                          <w:sz w:val="18"/>
                          <w:szCs w:val="18"/>
                        </w:rPr>
                        <w:t>8</w:t>
                      </w:r>
                      <w:r>
                        <w:rPr>
                          <w:rFonts w:ascii="Arial" w:hAnsi="Arial" w:cs="Arial" w:eastAsia="Arial" w:hint="default"/>
                          <w:w w:val="100"/>
                          <w:sz w:val="18"/>
                          <w:szCs w:val="18"/>
                        </w:rPr>
                        <w:t>.</w:t>
                      </w:r>
                      <w:r>
                        <w:rPr>
                          <w:rFonts w:ascii="Arial" w:hAnsi="Arial" w:cs="Arial" w:eastAsia="Arial" w:hint="default"/>
                          <w:spacing w:val="-2"/>
                          <w:w w:val="100"/>
                          <w:sz w:val="18"/>
                          <w:szCs w:val="18"/>
                        </w:rPr>
                        <w:t>7</w:t>
                      </w:r>
                      <w:r>
                        <w:rPr>
                          <w:rFonts w:ascii="Arial" w:hAnsi="Arial" w:cs="Arial" w:eastAsia="Arial" w:hint="default"/>
                          <w:w w:val="99"/>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万元，超出募集</w:t>
                      </w:r>
                      <w:r>
                        <w:rPr>
                          <w:rFonts w:ascii="宋体" w:hAnsi="宋体" w:cs="宋体" w:eastAsia="宋体" w:hint="default"/>
                          <w:spacing w:val="-3"/>
                          <w:sz w:val="18"/>
                          <w:szCs w:val="18"/>
                        </w:rPr>
                        <w:t>资</w:t>
                      </w:r>
                      <w:r>
                        <w:rPr>
                          <w:rFonts w:ascii="宋体" w:hAnsi="宋体" w:cs="宋体" w:eastAsia="宋体" w:hint="default"/>
                          <w:sz w:val="18"/>
                          <w:szCs w:val="18"/>
                        </w:rPr>
                        <w:t>金的</w:t>
                      </w:r>
                      <w:r>
                        <w:rPr>
                          <w:rFonts w:ascii="宋体" w:hAnsi="宋体" w:cs="宋体" w:eastAsia="宋体" w:hint="default"/>
                          <w:spacing w:val="-44"/>
                          <w:sz w:val="18"/>
                          <w:szCs w:val="18"/>
                        </w:rPr>
                        <w:t> </w:t>
                      </w:r>
                      <w:r>
                        <w:rPr>
                          <w:rFonts w:ascii="Arial" w:hAnsi="Arial" w:cs="Arial" w:eastAsia="Arial" w:hint="default"/>
                          <w:w w:val="99"/>
                          <w:sz w:val="18"/>
                          <w:szCs w:val="18"/>
                        </w:rPr>
                        <w:t>2</w:t>
                      </w:r>
                      <w:r>
                        <w:rPr>
                          <w:rFonts w:ascii="Arial" w:hAnsi="Arial" w:cs="Arial" w:eastAsia="Arial" w:hint="default"/>
                          <w:w w:val="100"/>
                          <w:sz w:val="18"/>
                          <w:szCs w:val="18"/>
                        </w:rPr>
                        <w:t>,1</w:t>
                      </w:r>
                      <w:r>
                        <w:rPr>
                          <w:rFonts w:ascii="Arial" w:hAnsi="Arial" w:cs="Arial" w:eastAsia="Arial" w:hint="default"/>
                          <w:spacing w:val="-2"/>
                          <w:w w:val="99"/>
                          <w:sz w:val="18"/>
                          <w:szCs w:val="18"/>
                        </w:rPr>
                        <w:t>5</w:t>
                      </w:r>
                      <w:r>
                        <w:rPr>
                          <w:rFonts w:ascii="Arial" w:hAnsi="Arial" w:cs="Arial" w:eastAsia="Arial" w:hint="default"/>
                          <w:w w:val="99"/>
                          <w:sz w:val="18"/>
                          <w:szCs w:val="18"/>
                        </w:rPr>
                        <w:t>7</w:t>
                      </w:r>
                      <w:r>
                        <w:rPr>
                          <w:rFonts w:ascii="Arial" w:hAnsi="Arial" w:cs="Arial" w:eastAsia="Arial" w:hint="default"/>
                          <w:w w:val="100"/>
                          <w:sz w:val="18"/>
                          <w:szCs w:val="18"/>
                        </w:rPr>
                        <w:t>.</w:t>
                      </w:r>
                      <w:r>
                        <w:rPr>
                          <w:rFonts w:ascii="Arial" w:hAnsi="Arial" w:cs="Arial" w:eastAsia="Arial" w:hint="default"/>
                          <w:spacing w:val="-2"/>
                          <w:w w:val="100"/>
                          <w:sz w:val="18"/>
                          <w:szCs w:val="18"/>
                        </w:rPr>
                        <w:t>5</w:t>
                      </w:r>
                      <w:r>
                        <w:rPr>
                          <w:rFonts w:ascii="Arial" w:hAnsi="Arial" w:cs="Arial" w:eastAsia="Arial" w:hint="default"/>
                          <w:w w:val="99"/>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万元为募 集资金所产生的利息（扣除银行手续费</w:t>
                      </w:r>
                      <w:r>
                        <w:rPr>
                          <w:rFonts w:ascii="宋体" w:hAnsi="宋体" w:cs="宋体" w:eastAsia="宋体" w:hint="default"/>
                          <w:spacing w:val="-92"/>
                          <w:sz w:val="18"/>
                          <w:szCs w:val="18"/>
                        </w:rPr>
                        <w:t>）</w:t>
                      </w:r>
                      <w:r>
                        <w:rPr>
                          <w:rFonts w:ascii="宋体" w:hAnsi="宋体" w:cs="宋体" w:eastAsia="宋体" w:hint="default"/>
                          <w:sz w:val="18"/>
                          <w:szCs w:val="18"/>
                        </w:rPr>
                        <w:t>，该次募集资金已</w:t>
                      </w:r>
                      <w:r>
                        <w:rPr>
                          <w:rFonts w:ascii="宋体" w:hAnsi="宋体" w:cs="宋体" w:eastAsia="宋体" w:hint="default"/>
                          <w:spacing w:val="2"/>
                          <w:sz w:val="18"/>
                          <w:szCs w:val="18"/>
                        </w:rPr>
                        <w:t>全</w:t>
                      </w:r>
                      <w:r>
                        <w:rPr>
                          <w:rFonts w:ascii="宋体" w:hAnsi="宋体" w:cs="宋体" w:eastAsia="宋体" w:hint="default"/>
                          <w:sz w:val="18"/>
                          <w:szCs w:val="18"/>
                        </w:rPr>
                        <w:t>部使用完毕。</w:t>
                      </w:r>
                    </w:p>
                    <w:p>
                      <w:pPr>
                        <w:spacing w:line="302" w:lineRule="auto" w:before="68"/>
                        <w:ind w:left="26" w:right="34" w:firstLine="398"/>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、发行股份购买资产并募集配套资金的基本情况经中国证券监督管理委员会证监许可</w:t>
                      </w:r>
                      <w:r>
                        <w:rPr>
                          <w:rFonts w:ascii="Arial" w:hAnsi="Arial" w:cs="Arial" w:eastAsia="Arial" w:hint="default"/>
                          <w:sz w:val="18"/>
                          <w:szCs w:val="18"/>
                        </w:rPr>
                        <w:t>[2015]2231</w:t>
                      </w:r>
                      <w:r>
                        <w:rPr>
                          <w:rFonts w:ascii="Arial" w:hAnsi="Arial" w:cs="Arial" w:eastAsia="Arial" w:hint="default"/>
                          <w:spacing w:val="-4"/>
                          <w:sz w:val="18"/>
                          <w:szCs w:val="18"/>
                        </w:rPr>
                        <w:t> </w:t>
                      </w:r>
                      <w:r>
                        <w:rPr>
                          <w:rFonts w:ascii="宋体" w:hAnsi="宋体" w:cs="宋体" w:eastAsia="宋体" w:hint="default"/>
                          <w:sz w:val="18"/>
                          <w:szCs w:val="18"/>
                        </w:rPr>
                        <w:t>号文核准，公司委托承销商国信证券非公开发行数量为</w:t>
                      </w:r>
                      <w:r>
                        <w:rPr>
                          <w:rFonts w:ascii="宋体" w:hAnsi="宋体" w:cs="宋体" w:eastAsia="宋体" w:hint="default"/>
                          <w:spacing w:val="-45"/>
                          <w:sz w:val="18"/>
                          <w:szCs w:val="18"/>
                        </w:rPr>
                        <w:t> </w:t>
                      </w:r>
                      <w:r>
                        <w:rPr>
                          <w:rFonts w:ascii="Arial" w:hAnsi="Arial" w:cs="Arial" w:eastAsia="Arial" w:hint="default"/>
                          <w:sz w:val="18"/>
                          <w:szCs w:val="18"/>
                        </w:rPr>
                        <w:t>312</w:t>
                      </w:r>
                      <w:r>
                        <w:rPr>
                          <w:rFonts w:ascii="Arial" w:hAnsi="Arial" w:cs="Arial" w:eastAsia="Arial" w:hint="default"/>
                          <w:spacing w:val="-5"/>
                          <w:sz w:val="18"/>
                          <w:szCs w:val="18"/>
                        </w:rPr>
                        <w:t> </w:t>
                      </w:r>
                      <w:r>
                        <w:rPr>
                          <w:rFonts w:ascii="宋体" w:hAnsi="宋体" w:cs="宋体" w:eastAsia="宋体" w:hint="default"/>
                          <w:sz w:val="18"/>
                          <w:szCs w:val="18"/>
                        </w:rPr>
                        <w:t>万股股份， 每股面值</w:t>
                      </w:r>
                      <w:r>
                        <w:rPr>
                          <w:rFonts w:ascii="宋体" w:hAnsi="宋体" w:cs="宋体" w:eastAsia="宋体" w:hint="default"/>
                          <w:spacing w:val="-46"/>
                          <w:sz w:val="18"/>
                          <w:szCs w:val="18"/>
                        </w:rPr>
                        <w:t> </w:t>
                      </w:r>
                      <w:r>
                        <w:rPr>
                          <w:rFonts w:ascii="Arial" w:hAnsi="Arial" w:cs="Arial" w:eastAsia="Arial" w:hint="default"/>
                          <w:sz w:val="18"/>
                          <w:szCs w:val="18"/>
                        </w:rPr>
                        <w:t>1.00</w:t>
                      </w:r>
                      <w:r>
                        <w:rPr>
                          <w:rFonts w:ascii="Arial" w:hAnsi="Arial" w:cs="Arial" w:eastAsia="Arial" w:hint="default"/>
                          <w:spacing w:val="-6"/>
                          <w:sz w:val="18"/>
                          <w:szCs w:val="18"/>
                        </w:rPr>
                        <w:t> </w:t>
                      </w:r>
                      <w:r>
                        <w:rPr>
                          <w:rFonts w:ascii="宋体" w:hAnsi="宋体" w:cs="宋体" w:eastAsia="宋体" w:hint="default"/>
                          <w:sz w:val="18"/>
                          <w:szCs w:val="18"/>
                        </w:rPr>
                        <w:t>元，发行价格每股</w:t>
                      </w:r>
                      <w:r>
                        <w:rPr>
                          <w:rFonts w:ascii="宋体" w:hAnsi="宋体" w:cs="宋体" w:eastAsia="宋体" w:hint="default"/>
                          <w:spacing w:val="-47"/>
                          <w:sz w:val="18"/>
                          <w:szCs w:val="18"/>
                        </w:rPr>
                        <w:t> </w:t>
                      </w:r>
                      <w:r>
                        <w:rPr>
                          <w:rFonts w:ascii="Arial" w:hAnsi="Arial" w:cs="Arial" w:eastAsia="Arial" w:hint="default"/>
                          <w:sz w:val="18"/>
                          <w:szCs w:val="18"/>
                        </w:rPr>
                        <w:t>28.15</w:t>
                      </w:r>
                      <w:r>
                        <w:rPr>
                          <w:rFonts w:ascii="Arial" w:hAnsi="Arial" w:cs="Arial" w:eastAsia="Arial" w:hint="default"/>
                          <w:spacing w:val="-6"/>
                          <w:sz w:val="18"/>
                          <w:szCs w:val="18"/>
                        </w:rPr>
                        <w:t> </w:t>
                      </w:r>
                      <w:r>
                        <w:rPr>
                          <w:rFonts w:ascii="宋体" w:hAnsi="宋体" w:cs="宋体" w:eastAsia="宋体" w:hint="default"/>
                          <w:sz w:val="18"/>
                          <w:szCs w:val="18"/>
                        </w:rPr>
                        <w:t>元，扣除发行费用</w:t>
                      </w:r>
                      <w:r>
                        <w:rPr>
                          <w:rFonts w:ascii="宋体" w:hAnsi="宋体" w:cs="宋体" w:eastAsia="宋体" w:hint="default"/>
                          <w:spacing w:val="-46"/>
                          <w:sz w:val="18"/>
                          <w:szCs w:val="18"/>
                        </w:rPr>
                        <w:t> </w:t>
                      </w:r>
                      <w:r>
                        <w:rPr>
                          <w:rFonts w:ascii="Arial" w:hAnsi="Arial" w:cs="Arial" w:eastAsia="Arial" w:hint="default"/>
                          <w:sz w:val="18"/>
                          <w:szCs w:val="18"/>
                        </w:rPr>
                        <w:t>300</w:t>
                      </w:r>
                      <w:r>
                        <w:rPr>
                          <w:rFonts w:ascii="Arial" w:hAnsi="Arial" w:cs="Arial" w:eastAsia="Arial" w:hint="default"/>
                          <w:spacing w:val="-6"/>
                          <w:sz w:val="18"/>
                          <w:szCs w:val="18"/>
                        </w:rPr>
                        <w:t> </w:t>
                      </w:r>
                      <w:r>
                        <w:rPr>
                          <w:rFonts w:ascii="宋体" w:hAnsi="宋体" w:cs="宋体" w:eastAsia="宋体" w:hint="default"/>
                          <w:sz w:val="18"/>
                          <w:szCs w:val="18"/>
                        </w:rPr>
                        <w:t>万元后的募集资金净额为人民币</w:t>
                      </w:r>
                      <w:r>
                        <w:rPr>
                          <w:rFonts w:ascii="宋体" w:hAnsi="宋体" w:cs="宋体" w:eastAsia="宋体" w:hint="default"/>
                          <w:spacing w:val="-47"/>
                          <w:sz w:val="18"/>
                          <w:szCs w:val="18"/>
                        </w:rPr>
                        <w:t> </w:t>
                      </w:r>
                      <w:r>
                        <w:rPr>
                          <w:rFonts w:ascii="Arial" w:hAnsi="Arial" w:cs="Arial" w:eastAsia="Arial" w:hint="default"/>
                          <w:sz w:val="18"/>
                          <w:szCs w:val="18"/>
                        </w:rPr>
                        <w:t>8,482.80</w:t>
                      </w:r>
                      <w:r>
                        <w:rPr>
                          <w:rFonts w:ascii="Arial" w:hAnsi="Arial" w:cs="Arial" w:eastAsia="Arial" w:hint="default"/>
                          <w:spacing w:val="-5"/>
                          <w:sz w:val="18"/>
                          <w:szCs w:val="18"/>
                        </w:rPr>
                        <w:t> </w:t>
                      </w:r>
                      <w:r>
                        <w:rPr>
                          <w:rFonts w:ascii="宋体" w:hAnsi="宋体" w:cs="宋体" w:eastAsia="宋体" w:hint="default"/>
                          <w:sz w:val="18"/>
                          <w:szCs w:val="18"/>
                        </w:rPr>
                        <w:t>万元。该募集资金到位情况已经中审华寅五洲会计师事务所（特殊普通</w:t>
                      </w:r>
                    </w:p>
                    <w:p>
                      <w:pPr>
                        <w:spacing w:line="302" w:lineRule="auto" w:before="11"/>
                        <w:ind w:left="26" w:right="161" w:firstLine="0"/>
                        <w:jc w:val="left"/>
                        <w:rPr>
                          <w:rFonts w:ascii="宋体" w:hAnsi="宋体" w:cs="宋体" w:eastAsia="宋体" w:hint="default"/>
                          <w:sz w:val="18"/>
                          <w:szCs w:val="18"/>
                        </w:rPr>
                      </w:pPr>
                      <w:r>
                        <w:rPr>
                          <w:rFonts w:ascii="宋体" w:hAnsi="宋体" w:cs="宋体" w:eastAsia="宋体" w:hint="default"/>
                          <w:sz w:val="18"/>
                          <w:szCs w:val="18"/>
                        </w:rPr>
                        <w:t>合伙）审验，并于</w:t>
                      </w:r>
                      <w:r>
                        <w:rPr>
                          <w:rFonts w:ascii="宋体" w:hAnsi="宋体" w:cs="宋体" w:eastAsia="宋体" w:hint="default"/>
                          <w:spacing w:val="-46"/>
                          <w:sz w:val="18"/>
                          <w:szCs w:val="18"/>
                        </w:rPr>
                        <w:t> </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6"/>
                          <w:sz w:val="18"/>
                          <w:szCs w:val="18"/>
                        </w:rPr>
                        <w:t> </w:t>
                      </w:r>
                      <w:r>
                        <w:rPr>
                          <w:rFonts w:ascii="宋体" w:hAnsi="宋体" w:cs="宋体" w:eastAsia="宋体" w:hint="default"/>
                          <w:sz w:val="18"/>
                          <w:szCs w:val="18"/>
                        </w:rPr>
                        <w:t>日出具</w:t>
                      </w:r>
                      <w:r>
                        <w:rPr>
                          <w:rFonts w:ascii="宋体" w:hAnsi="宋体" w:cs="宋体" w:eastAsia="宋体" w:hint="default"/>
                          <w:spacing w:val="-47"/>
                          <w:sz w:val="18"/>
                          <w:szCs w:val="18"/>
                        </w:rPr>
                        <w:t> </w:t>
                      </w:r>
                      <w:r>
                        <w:rPr>
                          <w:rFonts w:ascii="Arial" w:hAnsi="Arial" w:cs="Arial" w:eastAsia="Arial" w:hint="default"/>
                          <w:spacing w:val="-2"/>
                          <w:sz w:val="18"/>
                          <w:szCs w:val="18"/>
                        </w:rPr>
                        <w:t>CHW</w:t>
                      </w:r>
                      <w:r>
                        <w:rPr>
                          <w:rFonts w:ascii="Arial" w:hAnsi="Arial" w:cs="Arial" w:eastAsia="Arial" w:hint="default"/>
                          <w:spacing w:val="1"/>
                          <w:sz w:val="18"/>
                          <w:szCs w:val="18"/>
                        </w:rPr>
                        <w:t> </w:t>
                      </w:r>
                      <w:r>
                        <w:rPr>
                          <w:rFonts w:ascii="宋体" w:hAnsi="宋体" w:cs="宋体" w:eastAsia="宋体" w:hint="default"/>
                          <w:sz w:val="18"/>
                          <w:szCs w:val="18"/>
                        </w:rPr>
                        <w:t>证验字</w:t>
                      </w:r>
                      <w:r>
                        <w:rPr>
                          <w:rFonts w:ascii="Arial" w:hAnsi="Arial" w:cs="Arial" w:eastAsia="Arial" w:hint="default"/>
                          <w:sz w:val="18"/>
                          <w:szCs w:val="18"/>
                        </w:rPr>
                        <w:t>[2015]0074</w:t>
                      </w:r>
                      <w:r>
                        <w:rPr>
                          <w:rFonts w:ascii="Arial" w:hAnsi="Arial" w:cs="Arial" w:eastAsia="Arial" w:hint="default"/>
                          <w:spacing w:val="-5"/>
                          <w:sz w:val="18"/>
                          <w:szCs w:val="18"/>
                        </w:rPr>
                        <w:t> </w:t>
                      </w:r>
                      <w:r>
                        <w:rPr>
                          <w:rFonts w:ascii="宋体" w:hAnsi="宋体" w:cs="宋体" w:eastAsia="宋体" w:hint="default"/>
                          <w:spacing w:val="-10"/>
                          <w:sz w:val="18"/>
                          <w:szCs w:val="18"/>
                        </w:rPr>
                        <w:t>号《验资报告》。截至</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6"/>
                          <w:sz w:val="18"/>
                          <w:szCs w:val="18"/>
                        </w:rPr>
                        <w:t> </w:t>
                      </w:r>
                      <w:r>
                        <w:rPr>
                          <w:rFonts w:ascii="宋体" w:hAnsi="宋体" w:cs="宋体" w:eastAsia="宋体" w:hint="default"/>
                          <w:sz w:val="18"/>
                          <w:szCs w:val="18"/>
                        </w:rPr>
                        <w:t>日，该次募集资金累计投入金额为</w:t>
                      </w:r>
                      <w:r>
                        <w:rPr>
                          <w:rFonts w:ascii="宋体" w:hAnsi="宋体" w:cs="宋体" w:eastAsia="宋体" w:hint="default"/>
                          <w:spacing w:val="-47"/>
                          <w:sz w:val="18"/>
                          <w:szCs w:val="18"/>
                        </w:rPr>
                        <w:t> </w:t>
                      </w:r>
                      <w:r>
                        <w:rPr>
                          <w:rFonts w:ascii="Arial" w:hAnsi="Arial" w:cs="Arial" w:eastAsia="Arial" w:hint="default"/>
                          <w:sz w:val="18"/>
                          <w:szCs w:val="18"/>
                        </w:rPr>
                        <w:t>8,482.80</w:t>
                      </w:r>
                      <w:r>
                        <w:rPr>
                          <w:rFonts w:ascii="Arial" w:hAnsi="Arial" w:cs="Arial" w:eastAsia="Arial" w:hint="default"/>
                          <w:spacing w:val="-5"/>
                          <w:sz w:val="18"/>
                          <w:szCs w:val="18"/>
                        </w:rPr>
                        <w:t> </w:t>
                      </w:r>
                      <w:r>
                        <w:rPr>
                          <w:rFonts w:ascii="宋体" w:hAnsi="宋体" w:cs="宋体" w:eastAsia="宋体" w:hint="default"/>
                          <w:sz w:val="18"/>
                          <w:szCs w:val="18"/>
                        </w:rPr>
                        <w:t>万元，该次募集资已全 部使用完毕。</w:t>
                      </w:r>
                    </w:p>
                    <w:p>
                      <w:pPr>
                        <w:spacing w:line="302" w:lineRule="auto" w:before="70"/>
                        <w:ind w:left="26" w:right="41" w:firstLine="398"/>
                        <w:jc w:val="left"/>
                        <w:rPr>
                          <w:rFonts w:ascii="宋体" w:hAnsi="宋体" w:cs="宋体" w:eastAsia="宋体" w:hint="default"/>
                          <w:sz w:val="18"/>
                          <w:szCs w:val="18"/>
                        </w:rPr>
                      </w:pPr>
                      <w:r>
                        <w:rPr>
                          <w:rFonts w:ascii="Arial" w:hAnsi="Arial" w:cs="Arial" w:eastAsia="Arial" w:hint="default"/>
                          <w:spacing w:val="-2"/>
                          <w:sz w:val="18"/>
                          <w:szCs w:val="18"/>
                        </w:rPr>
                        <w:t>3</w:t>
                      </w:r>
                      <w:r>
                        <w:rPr>
                          <w:rFonts w:ascii="宋体" w:hAnsi="宋体" w:cs="宋体" w:eastAsia="宋体" w:hint="default"/>
                          <w:spacing w:val="-2"/>
                          <w:sz w:val="18"/>
                          <w:szCs w:val="18"/>
                        </w:rPr>
                        <w:t>、经中国证券监督管理委员会《关于核准北京华宇软件股份有限公司向任刚等发行股份购买资产并募集配套资金的批复》（证监许可〔</w:t>
                      </w:r>
                      <w:r>
                        <w:rPr>
                          <w:rFonts w:ascii="Arial" w:hAnsi="Arial" w:cs="Arial" w:eastAsia="Arial" w:hint="default"/>
                          <w:spacing w:val="-2"/>
                          <w:sz w:val="18"/>
                          <w:szCs w:val="18"/>
                        </w:rPr>
                        <w:t>2017</w:t>
                      </w:r>
                      <w:r>
                        <w:rPr>
                          <w:rFonts w:ascii="宋体" w:hAnsi="宋体" w:cs="宋体" w:eastAsia="宋体" w:hint="default"/>
                          <w:spacing w:val="-2"/>
                          <w:sz w:val="18"/>
                          <w:szCs w:val="18"/>
                        </w:rPr>
                        <w:t>〕</w:t>
                      </w:r>
                      <w:r>
                        <w:rPr>
                          <w:rFonts w:ascii="Arial" w:hAnsi="Arial" w:cs="Arial" w:eastAsia="Arial" w:hint="default"/>
                          <w:spacing w:val="-2"/>
                          <w:sz w:val="18"/>
                          <w:szCs w:val="18"/>
                        </w:rPr>
                        <w:t>1395</w:t>
                      </w:r>
                      <w:r>
                        <w:rPr>
                          <w:rFonts w:ascii="Arial" w:hAnsi="Arial" w:cs="Arial" w:eastAsia="Arial" w:hint="default"/>
                          <w:spacing w:val="40"/>
                          <w:sz w:val="18"/>
                          <w:szCs w:val="18"/>
                        </w:rPr>
                        <w:t> </w:t>
                      </w:r>
                      <w:r>
                        <w:rPr>
                          <w:rFonts w:ascii="宋体" w:hAnsi="宋体" w:cs="宋体" w:eastAsia="宋体" w:hint="default"/>
                          <w:spacing w:val="-1"/>
                          <w:sz w:val="18"/>
                          <w:szCs w:val="18"/>
                        </w:rPr>
                        <w:t>号）文件核准，并经深</w:t>
                      </w:r>
                      <w:r>
                        <w:rPr>
                          <w:rFonts w:ascii="宋体" w:hAnsi="宋体" w:cs="宋体" w:eastAsia="宋体" w:hint="default"/>
                          <w:sz w:val="18"/>
                          <w:szCs w:val="18"/>
                        </w:rPr>
                        <w:t> 圳证券交易所同意，公司非公开发行新股募集本次发行股份购买资产的配套资金，确认募集资金不超过</w:t>
                      </w:r>
                      <w:r>
                        <w:rPr>
                          <w:rFonts w:ascii="宋体" w:hAnsi="宋体" w:cs="宋体" w:eastAsia="宋体" w:hint="default"/>
                          <w:spacing w:val="-46"/>
                          <w:sz w:val="18"/>
                          <w:szCs w:val="18"/>
                        </w:rPr>
                        <w:t> </w:t>
                      </w:r>
                      <w:r>
                        <w:rPr>
                          <w:rFonts w:ascii="Arial" w:hAnsi="Arial" w:cs="Arial" w:eastAsia="Arial" w:hint="default"/>
                          <w:sz w:val="18"/>
                          <w:szCs w:val="18"/>
                        </w:rPr>
                        <w:t>49,000.00</w:t>
                      </w:r>
                      <w:r>
                        <w:rPr>
                          <w:rFonts w:ascii="Arial" w:hAnsi="Arial" w:cs="Arial" w:eastAsia="Arial" w:hint="default"/>
                          <w:spacing w:val="-7"/>
                          <w:sz w:val="18"/>
                          <w:szCs w:val="18"/>
                        </w:rPr>
                        <w:t> </w:t>
                      </w:r>
                      <w:r>
                        <w:rPr>
                          <w:rFonts w:ascii="宋体" w:hAnsi="宋体" w:cs="宋体" w:eastAsia="宋体" w:hint="default"/>
                          <w:sz w:val="18"/>
                          <w:szCs w:val="18"/>
                        </w:rPr>
                        <w:t>万元，公司于</w:t>
                      </w:r>
                      <w:r>
                        <w:rPr>
                          <w:rFonts w:ascii="宋体" w:hAnsi="宋体" w:cs="宋体" w:eastAsia="宋体" w:hint="default"/>
                          <w:spacing w:val="-47"/>
                          <w:sz w:val="18"/>
                          <w:szCs w:val="18"/>
                        </w:rPr>
                        <w:t> </w:t>
                      </w:r>
                      <w:r>
                        <w:rPr>
                          <w:rFonts w:ascii="Arial" w:hAnsi="Arial" w:cs="Arial" w:eastAsia="Arial" w:hint="default"/>
                          <w:sz w:val="18"/>
                          <w:szCs w:val="18"/>
                        </w:rPr>
                        <w:t>2017</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月委托主承销商华泰联合证券有限责</w:t>
                      </w:r>
                    </w:p>
                    <w:p>
                      <w:pPr>
                        <w:spacing w:before="11"/>
                        <w:ind w:left="26" w:right="0" w:firstLine="0"/>
                        <w:jc w:val="left"/>
                        <w:rPr>
                          <w:rFonts w:ascii="宋体" w:hAnsi="宋体" w:cs="宋体" w:eastAsia="宋体" w:hint="default"/>
                          <w:sz w:val="18"/>
                          <w:szCs w:val="18"/>
                        </w:rPr>
                      </w:pPr>
                      <w:r>
                        <w:rPr>
                          <w:rFonts w:ascii="宋体" w:hAnsi="宋体" w:cs="宋体" w:eastAsia="宋体" w:hint="default"/>
                          <w:sz w:val="18"/>
                          <w:szCs w:val="18"/>
                        </w:rPr>
                        <w:t>任公司（以下简称</w:t>
                      </w:r>
                      <w:r>
                        <w:rPr>
                          <w:rFonts w:ascii="Arial" w:hAnsi="Arial" w:cs="Arial" w:eastAsia="Arial" w:hint="default"/>
                          <w:sz w:val="18"/>
                          <w:szCs w:val="18"/>
                        </w:rPr>
                        <w:t>''</w:t>
                      </w:r>
                      <w:r>
                        <w:rPr>
                          <w:rFonts w:ascii="宋体" w:hAnsi="宋体" w:cs="宋体" w:eastAsia="宋体" w:hint="default"/>
                          <w:sz w:val="18"/>
                          <w:szCs w:val="18"/>
                        </w:rPr>
                        <w:t>华泰联合证券</w:t>
                      </w:r>
                      <w:r>
                        <w:rPr>
                          <w:rFonts w:ascii="Arial" w:hAnsi="Arial" w:cs="Arial" w:eastAsia="Arial" w:hint="default"/>
                          <w:sz w:val="18"/>
                          <w:szCs w:val="18"/>
                        </w:rPr>
                        <w:t>''</w:t>
                      </w:r>
                      <w:r>
                        <w:rPr>
                          <w:rFonts w:ascii="宋体" w:hAnsi="宋体" w:cs="宋体" w:eastAsia="宋体" w:hint="default"/>
                          <w:sz w:val="18"/>
                          <w:szCs w:val="18"/>
                        </w:rPr>
                        <w:t>）非公开发行数量</w:t>
                      </w:r>
                      <w:r>
                        <w:rPr>
                          <w:rFonts w:ascii="宋体" w:hAnsi="宋体" w:cs="宋体" w:eastAsia="宋体" w:hint="default"/>
                          <w:spacing w:val="-47"/>
                          <w:sz w:val="18"/>
                          <w:szCs w:val="18"/>
                        </w:rPr>
                        <w:t> </w:t>
                      </w:r>
                      <w:r>
                        <w:rPr>
                          <w:rFonts w:ascii="Arial" w:hAnsi="Arial" w:cs="Arial" w:eastAsia="Arial" w:hint="default"/>
                          <w:sz w:val="18"/>
                          <w:szCs w:val="18"/>
                        </w:rPr>
                        <w:t>3,109.00</w:t>
                      </w:r>
                      <w:r>
                        <w:rPr>
                          <w:rFonts w:ascii="Arial" w:hAnsi="Arial" w:cs="Arial" w:eastAsia="Arial" w:hint="default"/>
                          <w:spacing w:val="-7"/>
                          <w:sz w:val="18"/>
                          <w:szCs w:val="18"/>
                        </w:rPr>
                        <w:t> </w:t>
                      </w:r>
                      <w:r>
                        <w:rPr>
                          <w:rFonts w:ascii="宋体" w:hAnsi="宋体" w:cs="宋体" w:eastAsia="宋体" w:hint="default"/>
                          <w:sz w:val="18"/>
                          <w:szCs w:val="18"/>
                        </w:rPr>
                        <w:t>万股股份，每股面值</w:t>
                      </w:r>
                      <w:r>
                        <w:rPr>
                          <w:rFonts w:ascii="宋体" w:hAnsi="宋体" w:cs="宋体" w:eastAsia="宋体" w:hint="default"/>
                          <w:spacing w:val="-48"/>
                          <w:sz w:val="18"/>
                          <w:szCs w:val="18"/>
                        </w:rPr>
                        <w:t> </w:t>
                      </w:r>
                      <w:r>
                        <w:rPr>
                          <w:rFonts w:ascii="Arial" w:hAnsi="Arial" w:cs="Arial" w:eastAsia="Arial" w:hint="default"/>
                          <w:sz w:val="18"/>
                          <w:szCs w:val="18"/>
                        </w:rPr>
                        <w:t>1.00</w:t>
                      </w:r>
                      <w:r>
                        <w:rPr>
                          <w:rFonts w:ascii="Arial" w:hAnsi="Arial" w:cs="Arial" w:eastAsia="Arial" w:hint="default"/>
                          <w:spacing w:val="-7"/>
                          <w:sz w:val="18"/>
                          <w:szCs w:val="18"/>
                        </w:rPr>
                        <w:t> </w:t>
                      </w:r>
                      <w:r>
                        <w:rPr>
                          <w:rFonts w:ascii="宋体" w:hAnsi="宋体" w:cs="宋体" w:eastAsia="宋体" w:hint="default"/>
                          <w:sz w:val="18"/>
                          <w:szCs w:val="18"/>
                        </w:rPr>
                        <w:t>元，发行价格</w:t>
                      </w:r>
                      <w:r>
                        <w:rPr>
                          <w:rFonts w:ascii="宋体" w:hAnsi="宋体" w:cs="宋体" w:eastAsia="宋体" w:hint="default"/>
                          <w:spacing w:val="-48"/>
                          <w:sz w:val="18"/>
                          <w:szCs w:val="18"/>
                        </w:rPr>
                        <w:t> </w:t>
                      </w:r>
                      <w:r>
                        <w:rPr>
                          <w:rFonts w:ascii="Arial" w:hAnsi="Arial" w:cs="Arial" w:eastAsia="Arial" w:hint="default"/>
                          <w:sz w:val="18"/>
                          <w:szCs w:val="18"/>
                        </w:rPr>
                        <w:t>15.76</w:t>
                      </w:r>
                      <w:r>
                        <w:rPr>
                          <w:rFonts w:ascii="Arial" w:hAnsi="Arial" w:cs="Arial" w:eastAsia="Arial" w:hint="default"/>
                          <w:spacing w:val="-7"/>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股，扣除财务顾问费及承销费用</w:t>
                      </w:r>
                      <w:r>
                        <w:rPr>
                          <w:rFonts w:ascii="宋体" w:hAnsi="宋体" w:cs="宋体" w:eastAsia="宋体" w:hint="default"/>
                          <w:spacing w:val="-48"/>
                          <w:sz w:val="18"/>
                          <w:szCs w:val="18"/>
                        </w:rPr>
                        <w:t> </w:t>
                      </w:r>
                      <w:r>
                        <w:rPr>
                          <w:rFonts w:ascii="Arial" w:hAnsi="Arial" w:cs="Arial" w:eastAsia="Arial" w:hint="default"/>
                          <w:sz w:val="18"/>
                          <w:szCs w:val="18"/>
                        </w:rPr>
                        <w:t>1,000.00</w:t>
                      </w:r>
                      <w:r>
                        <w:rPr>
                          <w:rFonts w:ascii="Arial" w:hAnsi="Arial" w:cs="Arial" w:eastAsia="Arial" w:hint="default"/>
                          <w:spacing w:val="-6"/>
                          <w:sz w:val="18"/>
                          <w:szCs w:val="18"/>
                        </w:rPr>
                        <w:t> </w:t>
                      </w:r>
                      <w:r>
                        <w:rPr>
                          <w:rFonts w:ascii="宋体" w:hAnsi="宋体" w:cs="宋体" w:eastAsia="宋体" w:hint="default"/>
                          <w:sz w:val="18"/>
                          <w:szCs w:val="18"/>
                        </w:rPr>
                        <w:t>万元后，实际收到募</w:t>
                      </w:r>
                    </w:p>
                    <w:p>
                      <w:pPr>
                        <w:spacing w:before="63"/>
                        <w:ind w:left="26" w:right="0" w:firstLine="0"/>
                        <w:jc w:val="left"/>
                        <w:rPr>
                          <w:rFonts w:ascii="宋体" w:hAnsi="宋体" w:cs="宋体" w:eastAsia="宋体" w:hint="default"/>
                          <w:sz w:val="18"/>
                          <w:szCs w:val="18"/>
                        </w:rPr>
                      </w:pPr>
                      <w:r>
                        <w:rPr>
                          <w:rFonts w:ascii="宋体" w:hAnsi="宋体" w:cs="宋体" w:eastAsia="宋体" w:hint="default"/>
                          <w:sz w:val="18"/>
                          <w:szCs w:val="18"/>
                        </w:rPr>
                        <w:t>集资金净额为人民币</w:t>
                      </w:r>
                      <w:r>
                        <w:rPr>
                          <w:rFonts w:ascii="宋体" w:hAnsi="宋体" w:cs="宋体" w:eastAsia="宋体" w:hint="default"/>
                          <w:spacing w:val="-46"/>
                          <w:sz w:val="18"/>
                          <w:szCs w:val="18"/>
                        </w:rPr>
                        <w:t> </w:t>
                      </w:r>
                      <w:r>
                        <w:rPr>
                          <w:rFonts w:ascii="Arial" w:hAnsi="Arial" w:cs="Arial" w:eastAsia="Arial" w:hint="default"/>
                          <w:sz w:val="18"/>
                          <w:szCs w:val="18"/>
                        </w:rPr>
                        <w:t>48,000.00</w:t>
                      </w:r>
                      <w:r>
                        <w:rPr>
                          <w:rFonts w:ascii="Arial" w:hAnsi="Arial" w:cs="Arial" w:eastAsia="Arial" w:hint="default"/>
                          <w:spacing w:val="-6"/>
                          <w:sz w:val="18"/>
                          <w:szCs w:val="18"/>
                        </w:rPr>
                        <w:t> </w:t>
                      </w:r>
                      <w:r>
                        <w:rPr>
                          <w:rFonts w:ascii="宋体" w:hAnsi="宋体" w:cs="宋体" w:eastAsia="宋体" w:hint="default"/>
                          <w:sz w:val="18"/>
                          <w:szCs w:val="18"/>
                        </w:rPr>
                        <w:t>万元，该笔资金已由本公司主承销商华泰联合证券于</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9</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18</w:t>
                      </w:r>
                      <w:r>
                        <w:rPr>
                          <w:rFonts w:ascii="Arial" w:hAnsi="Arial" w:cs="Arial" w:eastAsia="Arial" w:hint="default"/>
                          <w:spacing w:val="-6"/>
                          <w:sz w:val="18"/>
                          <w:szCs w:val="18"/>
                        </w:rPr>
                        <w:t> </w:t>
                      </w:r>
                      <w:r>
                        <w:rPr>
                          <w:rFonts w:ascii="宋体" w:hAnsi="宋体" w:cs="宋体" w:eastAsia="宋体" w:hint="default"/>
                          <w:sz w:val="18"/>
                          <w:szCs w:val="18"/>
                        </w:rPr>
                        <w:t>日划转至公司指定的本次募集资金专户。上述募集资金净额已经中审华会</w:t>
                      </w:r>
                    </w:p>
                    <w:p>
                      <w:pPr>
                        <w:spacing w:before="63"/>
                        <w:ind w:left="26" w:right="0" w:firstLine="0"/>
                        <w:jc w:val="left"/>
                        <w:rPr>
                          <w:rFonts w:ascii="宋体" w:hAnsi="宋体" w:cs="宋体" w:eastAsia="宋体" w:hint="default"/>
                          <w:sz w:val="18"/>
                          <w:szCs w:val="18"/>
                        </w:rPr>
                      </w:pPr>
                      <w:r>
                        <w:rPr>
                          <w:rFonts w:ascii="宋体" w:hAnsi="宋体" w:cs="宋体" w:eastAsia="宋体" w:hint="default"/>
                          <w:sz w:val="18"/>
                          <w:szCs w:val="18"/>
                        </w:rPr>
                        <w:t>计师事务所（特殊普通合伙）</w:t>
                      </w:r>
                      <w:r>
                        <w:rPr>
                          <w:rFonts w:ascii="Arial" w:hAnsi="Arial" w:cs="Arial" w:eastAsia="Arial" w:hint="default"/>
                          <w:sz w:val="18"/>
                          <w:szCs w:val="18"/>
                        </w:rPr>
                        <w:t>CAC</w:t>
                      </w:r>
                      <w:r>
                        <w:rPr>
                          <w:rFonts w:ascii="Arial" w:hAnsi="Arial" w:cs="Arial" w:eastAsia="Arial" w:hint="default"/>
                          <w:spacing w:val="35"/>
                          <w:sz w:val="18"/>
                          <w:szCs w:val="18"/>
                        </w:rPr>
                        <w:t> </w:t>
                      </w:r>
                      <w:r>
                        <w:rPr>
                          <w:rFonts w:ascii="宋体" w:hAnsi="宋体" w:cs="宋体" w:eastAsia="宋体" w:hint="default"/>
                          <w:sz w:val="18"/>
                          <w:szCs w:val="18"/>
                        </w:rPr>
                        <w:t>验字</w:t>
                      </w:r>
                      <w:r>
                        <w:rPr>
                          <w:rFonts w:ascii="Arial" w:hAnsi="Arial" w:cs="Arial" w:eastAsia="Arial" w:hint="default"/>
                          <w:sz w:val="18"/>
                          <w:szCs w:val="18"/>
                        </w:rPr>
                        <w:t>[2017]0051</w:t>
                      </w:r>
                      <w:r>
                        <w:rPr>
                          <w:rFonts w:ascii="Arial" w:hAnsi="Arial" w:cs="Arial" w:eastAsia="Arial" w:hint="default"/>
                          <w:spacing w:val="-6"/>
                          <w:sz w:val="18"/>
                          <w:szCs w:val="18"/>
                        </w:rPr>
                        <w:t> </w:t>
                      </w:r>
                      <w:r>
                        <w:rPr>
                          <w:rFonts w:ascii="宋体" w:hAnsi="宋体" w:cs="宋体" w:eastAsia="宋体" w:hint="default"/>
                          <w:sz w:val="18"/>
                          <w:szCs w:val="18"/>
                        </w:rPr>
                        <w:t>号《验资报告》验证。截止</w:t>
                      </w:r>
                      <w:r>
                        <w:rPr>
                          <w:rFonts w:ascii="宋体" w:hAnsi="宋体" w:cs="宋体" w:eastAsia="宋体" w:hint="default"/>
                          <w:spacing w:val="-48"/>
                          <w:sz w:val="18"/>
                          <w:szCs w:val="18"/>
                        </w:rPr>
                        <w:t> </w:t>
                      </w:r>
                      <w:r>
                        <w:rPr>
                          <w:rFonts w:ascii="Arial" w:hAnsi="Arial" w:cs="Arial" w:eastAsia="Arial" w:hint="default"/>
                          <w:sz w:val="18"/>
                          <w:szCs w:val="18"/>
                        </w:rPr>
                        <w:t>2017</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日，该次募集资金累计投入金额为</w:t>
                      </w:r>
                      <w:r>
                        <w:rPr>
                          <w:rFonts w:ascii="宋体" w:hAnsi="宋体" w:cs="宋体" w:eastAsia="宋体" w:hint="default"/>
                          <w:spacing w:val="-48"/>
                          <w:sz w:val="18"/>
                          <w:szCs w:val="18"/>
                        </w:rPr>
                        <w:t> </w:t>
                      </w:r>
                      <w:r>
                        <w:rPr>
                          <w:rFonts w:ascii="Arial" w:hAnsi="Arial" w:cs="Arial" w:eastAsia="Arial" w:hint="default"/>
                          <w:sz w:val="18"/>
                          <w:szCs w:val="18"/>
                        </w:rPr>
                        <w:t>47,771.72</w:t>
                      </w:r>
                      <w:r>
                        <w:rPr>
                          <w:rFonts w:ascii="Arial" w:hAnsi="Arial" w:cs="Arial" w:eastAsia="Arial" w:hint="default"/>
                          <w:spacing w:val="-7"/>
                          <w:sz w:val="18"/>
                          <w:szCs w:val="18"/>
                        </w:rPr>
                        <w:t> </w:t>
                      </w:r>
                      <w:r>
                        <w:rPr>
                          <w:rFonts w:ascii="宋体" w:hAnsi="宋体" w:cs="宋体" w:eastAsia="宋体" w:hint="default"/>
                          <w:sz w:val="18"/>
                          <w:szCs w:val="18"/>
                        </w:rPr>
                        <w:t>万元，该次募集资金余额</w:t>
                      </w:r>
                    </w:p>
                    <w:p>
                      <w:pPr>
                        <w:spacing w:before="63"/>
                        <w:ind w:left="26" w:right="0" w:firstLine="0"/>
                        <w:jc w:val="left"/>
                        <w:rPr>
                          <w:rFonts w:ascii="宋体" w:hAnsi="宋体" w:cs="宋体" w:eastAsia="宋体" w:hint="default"/>
                          <w:sz w:val="18"/>
                          <w:szCs w:val="18"/>
                        </w:rPr>
                      </w:pPr>
                      <w:r>
                        <w:rPr>
                          <w:rFonts w:ascii="Arial" w:hAnsi="Arial" w:cs="Arial" w:eastAsia="Arial" w:hint="default"/>
                          <w:sz w:val="18"/>
                          <w:szCs w:val="18"/>
                        </w:rPr>
                        <w:t>250.57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含财务费用</w:t>
                      </w:r>
                      <w:r>
                        <w:rPr>
                          <w:rFonts w:ascii="Arial" w:hAnsi="Arial" w:cs="Arial" w:eastAsia="Arial" w:hint="default"/>
                          <w:sz w:val="18"/>
                          <w:szCs w:val="18"/>
                        </w:rPr>
                        <w:t>-22.29</w:t>
                      </w:r>
                      <w:r>
                        <w:rPr>
                          <w:rFonts w:ascii="Arial" w:hAnsi="Arial" w:cs="Arial" w:eastAsia="Arial" w:hint="default"/>
                          <w:spacing w:val="-14"/>
                          <w:sz w:val="18"/>
                          <w:szCs w:val="18"/>
                        </w:rPr>
                        <w:t>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84"/>
          <w:sz w:val="20"/>
          <w:szCs w:val="20"/>
        </w:rPr>
      </w:r>
    </w:p>
    <w:p>
      <w:pPr>
        <w:spacing w:line="240" w:lineRule="auto" w:before="11"/>
        <w:rPr>
          <w:rFonts w:ascii="宋体" w:hAnsi="宋体" w:cs="宋体" w:eastAsia="宋体" w:hint="default"/>
          <w:sz w:val="18"/>
          <w:szCs w:val="18"/>
        </w:rPr>
      </w:pPr>
    </w:p>
    <w:p>
      <w:pPr>
        <w:spacing w:line="335" w:lineRule="exact" w:before="0"/>
        <w:ind w:left="140" w:right="1095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）募集资金承诺项目情况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pgSz w:w="16840" w:h="11910" w:orient="landscape"/>
          <w:pgMar w:header="866" w:footer="980" w:top="1060" w:bottom="1160" w:left="1300" w:right="1300"/>
        </w:sectPr>
      </w:pPr>
    </w:p>
    <w:p>
      <w:pPr>
        <w:pStyle w:val="BodyText"/>
        <w:spacing w:line="240" w:lineRule="auto" w:before="26"/>
        <w:ind w:left="140"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4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6840" w:h="11910" w:orient="landscape"/>
          <w:pgMar w:top="1060" w:bottom="1160" w:left="1300" w:right="1300"/>
          <w:cols w:num="2" w:equalWidth="0">
            <w:col w:w="1977" w:space="10932"/>
            <w:col w:w="1331"/>
          </w:cols>
        </w:sectPr>
      </w:pPr>
    </w:p>
    <w:p>
      <w:pPr>
        <w:spacing w:line="240" w:lineRule="auto" w:before="12"/>
        <w:rPr>
          <w:rFonts w:ascii="宋体" w:hAnsi="宋体" w:cs="宋体" w:eastAsia="宋体" w:hint="default"/>
          <w:sz w:val="6"/>
          <w:szCs w:val="6"/>
        </w:rPr>
      </w:pPr>
    </w:p>
    <w:tbl>
      <w:tblPr>
        <w:tblW w:w="0" w:type="auto"/>
        <w:jc w:val="left"/>
        <w:tblInd w:w="168" w:type="dxa"/>
        <w:tblLayout w:type="fixed"/>
        <w:tblCellMar>
          <w:top w:w="0" w:type="dxa"/>
          <w:left w:w="0" w:type="dxa"/>
          <w:bottom w:w="0" w:type="dxa"/>
          <w:right w:w="0" w:type="dxa"/>
        </w:tblCellMar>
        <w:tblLook w:val="01E0"/>
      </w:tblPr>
      <w:tblGrid>
        <w:gridCol w:w="3543"/>
        <w:gridCol w:w="994"/>
        <w:gridCol w:w="994"/>
        <w:gridCol w:w="991"/>
        <w:gridCol w:w="991"/>
        <w:gridCol w:w="994"/>
        <w:gridCol w:w="991"/>
        <w:gridCol w:w="1560"/>
        <w:gridCol w:w="992"/>
        <w:gridCol w:w="852"/>
        <w:gridCol w:w="991"/>
      </w:tblGrid>
      <w:tr>
        <w:trPr>
          <w:trHeight w:val="102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95"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0" w:right="41" w:hanging="60"/>
              <w:jc w:val="both"/>
              <w:rPr>
                <w:rFonts w:ascii="Arial" w:hAnsi="Arial" w:cs="Arial" w:eastAsia="Arial" w:hint="default"/>
                <w:sz w:val="18"/>
                <w:szCs w:val="18"/>
              </w:rPr>
            </w:pPr>
            <w:r>
              <w:rPr>
                <w:rFonts w:ascii="宋体" w:hAnsi="宋体" w:cs="宋体" w:eastAsia="宋体" w:hint="default"/>
                <w:sz w:val="18"/>
                <w:szCs w:val="18"/>
              </w:rPr>
              <w:t>是否已变更 项目</w:t>
            </w:r>
            <w:r>
              <w:rPr>
                <w:rFonts w:ascii="Arial" w:hAnsi="Arial" w:cs="Arial" w:eastAsia="Arial" w:hint="default"/>
                <w:sz w:val="18"/>
                <w:szCs w:val="18"/>
              </w:rPr>
              <w:t>(</w:t>
            </w:r>
            <w:r>
              <w:rPr>
                <w:rFonts w:ascii="宋体" w:hAnsi="宋体" w:cs="宋体" w:eastAsia="宋体" w:hint="default"/>
                <w:sz w:val="18"/>
                <w:szCs w:val="18"/>
              </w:rPr>
              <w:t>含部 分变更</w:t>
            </w:r>
            <w:r>
              <w:rPr>
                <w:rFonts w:ascii="Arial" w:hAnsi="Arial" w:cs="Arial" w:eastAsia="Arial"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 w:right="43"/>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9" w:right="41" w:hanging="161"/>
              <w:jc w:val="left"/>
              <w:rPr>
                <w:rFonts w:ascii="Arial" w:hAnsi="Arial" w:cs="Arial" w:eastAsia="Arial" w:hint="default"/>
                <w:sz w:val="18"/>
                <w:szCs w:val="18"/>
              </w:rPr>
            </w:pPr>
            <w:r>
              <w:rPr>
                <w:rFonts w:ascii="宋体" w:hAnsi="宋体" w:cs="宋体" w:eastAsia="宋体" w:hint="default"/>
                <w:sz w:val="18"/>
                <w:szCs w:val="18"/>
              </w:rPr>
              <w:t>调整后投资 总额</w:t>
            </w:r>
            <w:r>
              <w:rPr>
                <w:rFonts w:ascii="Arial" w:hAnsi="Arial" w:cs="Arial" w:eastAsia="Arial" w:hint="default"/>
                <w:sz w:val="18"/>
                <w:szCs w:val="18"/>
              </w:rPr>
              <w:t>(1)</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4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40" w:right="41"/>
              <w:jc w:val="center"/>
              <w:rPr>
                <w:rFonts w:ascii="Arial" w:hAnsi="Arial" w:cs="Arial" w:eastAsia="Arial" w:hint="default"/>
                <w:sz w:val="18"/>
                <w:szCs w:val="18"/>
              </w:rPr>
            </w:pPr>
            <w:r>
              <w:rPr>
                <w:rFonts w:ascii="宋体" w:hAnsi="宋体" w:cs="宋体" w:eastAsia="宋体" w:hint="default"/>
                <w:sz w:val="18"/>
                <w:szCs w:val="18"/>
              </w:rPr>
              <w:t>截至期末累 计投入金额 </w:t>
            </w:r>
            <w:r>
              <w:rPr>
                <w:rFonts w:ascii="Arial" w:hAnsi="Arial" w:cs="Arial" w:eastAsia="Arial" w:hint="default"/>
                <w:sz w:val="18"/>
                <w:szCs w:val="18"/>
              </w:rPr>
              <w:t>(2)</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41"/>
              <w:jc w:val="center"/>
              <w:rPr>
                <w:rFonts w:ascii="Arial" w:hAnsi="Arial" w:cs="Arial" w:eastAsia="Arial" w:hint="default"/>
                <w:sz w:val="18"/>
                <w:szCs w:val="18"/>
              </w:rPr>
            </w:pPr>
            <w:r>
              <w:rPr>
                <w:rFonts w:ascii="宋体" w:hAnsi="宋体" w:cs="宋体" w:eastAsia="宋体" w:hint="default"/>
                <w:sz w:val="18"/>
                <w:szCs w:val="18"/>
              </w:rPr>
              <w:t>截至期末投 资进度</w:t>
            </w:r>
            <w:r>
              <w:rPr>
                <w:rFonts w:ascii="Arial" w:hAnsi="Arial" w:cs="Arial" w:eastAsia="Arial" w:hint="default"/>
                <w:sz w:val="18"/>
                <w:szCs w:val="18"/>
              </w:rPr>
              <w:t>(3)</w:t>
            </w:r>
          </w:p>
          <w:p>
            <w:pPr>
              <w:pStyle w:val="TableParagraph"/>
              <w:spacing w:line="248" w:lineRule="exact"/>
              <w:ind w:right="0"/>
              <w:jc w:val="center"/>
              <w:rPr>
                <w:rFonts w:ascii="Arial" w:hAnsi="Arial" w:cs="Arial" w:eastAsia="Arial" w:hint="default"/>
                <w:sz w:val="18"/>
                <w:szCs w:val="18"/>
              </w:rPr>
            </w:pPr>
            <w:r>
              <w:rPr>
                <w:rFonts w:ascii="宋体" w:hAnsi="宋体" w:cs="宋体" w:eastAsia="宋体" w:hint="default"/>
                <w:sz w:val="18"/>
                <w:szCs w:val="18"/>
              </w:rPr>
              <w:t>＝</w:t>
            </w:r>
            <w:r>
              <w:rPr>
                <w:rFonts w:ascii="Arial" w:hAnsi="Arial" w:cs="Arial" w:eastAsia="Arial" w:hint="default"/>
                <w:sz w:val="18"/>
                <w:szCs w:val="18"/>
              </w:rPr>
              <w:t>(2)/(1)</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23" w:right="53"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9" w:right="41" w:hanging="92"/>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60"/>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41"/>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3" w:hRule="exact"/>
        </w:trPr>
        <w:tc>
          <w:tcPr>
            <w:tcW w:w="1389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数字法院智能管理系统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5,982.04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5,230.44</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5,230.38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2,492.67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电子检务管理系统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5,583.54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3,488.10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3,488.08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820.47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商业智能分析应用平台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2,485.70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1,329.65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1,329.63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1,384.70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6840" w:h="11910" w:orient="landscape"/>
          <w:pgMar w:top="1060" w:bottom="1160" w:left="1300" w:right="130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543"/>
        <w:gridCol w:w="994"/>
        <w:gridCol w:w="994"/>
        <w:gridCol w:w="991"/>
        <w:gridCol w:w="991"/>
        <w:gridCol w:w="994"/>
        <w:gridCol w:w="991"/>
        <w:gridCol w:w="1560"/>
        <w:gridCol w:w="992"/>
        <w:gridCol w:w="852"/>
        <w:gridCol w:w="991"/>
      </w:tblGrid>
      <w:tr>
        <w:trPr>
          <w:trHeight w:val="730" w:hRule="exact"/>
        </w:trPr>
        <w:tc>
          <w:tcPr>
            <w:tcW w:w="35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华宇政务应用支撑和研发平台</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1" w:right="0"/>
              <w:jc w:val="center"/>
              <w:rPr>
                <w:rFonts w:ascii="Arial" w:hAnsi="Arial" w:cs="Arial" w:eastAsia="Arial" w:hint="default"/>
                <w:sz w:val="18"/>
                <w:szCs w:val="18"/>
              </w:rPr>
            </w:pPr>
            <w:r>
              <w:rPr>
                <w:rFonts w:ascii="Arial"/>
                <w:sz w:val="18"/>
              </w:rPr>
              <w:t>1,973.52</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1,001.14</w:t>
            </w:r>
          </w:p>
        </w:tc>
        <w:tc>
          <w:tcPr>
            <w:tcW w:w="99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1,001.08</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644.62</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信息应用运维管理与服务系统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1" w:right="0"/>
              <w:jc w:val="center"/>
              <w:rPr>
                <w:rFonts w:ascii="Arial" w:hAnsi="Arial" w:cs="Arial" w:eastAsia="Arial" w:hint="default"/>
                <w:sz w:val="18"/>
                <w:szCs w:val="18"/>
              </w:rPr>
            </w:pPr>
            <w:r>
              <w:rPr>
                <w:rFonts w:ascii="Arial"/>
                <w:sz w:val="18"/>
              </w:rPr>
              <w:t>3,452.72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3,450.78</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3,450.78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265.53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1" w:right="118"/>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收购子公司华宇金信（北京）软件有限公</w:t>
            </w:r>
            <w:r>
              <w:rPr>
                <w:rFonts w:ascii="宋体" w:hAnsi="宋体" w:cs="宋体" w:eastAsia="宋体" w:hint="default"/>
                <w:w w:val="100"/>
                <w:sz w:val="18"/>
                <w:szCs w:val="18"/>
              </w:rPr>
              <w:t> </w:t>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Arial" w:hAnsi="Arial" w:cs="Arial" w:eastAsia="Arial" w:hint="default"/>
                <w:sz w:val="18"/>
                <w:szCs w:val="18"/>
              </w:rPr>
              <w:t>49%</w:t>
            </w:r>
            <w:r>
              <w:rPr>
                <w:rFonts w:ascii="宋体" w:hAnsi="宋体" w:cs="宋体" w:eastAsia="宋体" w:hint="default"/>
                <w:sz w:val="18"/>
                <w:szCs w:val="18"/>
              </w:rPr>
              <w:t>股权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1" w:right="0"/>
              <w:jc w:val="center"/>
              <w:rPr>
                <w:rFonts w:ascii="Arial" w:hAnsi="Arial" w:cs="Arial" w:eastAsia="Arial" w:hint="default"/>
                <w:sz w:val="18"/>
                <w:szCs w:val="18"/>
              </w:rPr>
            </w:pPr>
            <w:r>
              <w:rPr>
                <w:rFonts w:ascii="Arial"/>
                <w:sz w:val="18"/>
              </w:rPr>
              <w:t>4,593.75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4,593.75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4,593.75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376.62</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补充流动资金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1" w:right="0"/>
              <w:jc w:val="center"/>
              <w:rPr>
                <w:rFonts w:ascii="Arial" w:hAnsi="Arial" w:cs="Arial" w:eastAsia="Arial" w:hint="default"/>
                <w:sz w:val="18"/>
                <w:szCs w:val="18"/>
              </w:rPr>
            </w:pPr>
            <w:r>
              <w:rPr>
                <w:rFonts w:ascii="Arial"/>
                <w:sz w:val="18"/>
              </w:rPr>
              <w:t>3,889.05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3,889.05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3,889.05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收购联奕科技有限公司</w:t>
            </w:r>
            <w:r>
              <w:rPr>
                <w:rFonts w:ascii="宋体" w:hAnsi="宋体" w:cs="宋体" w:eastAsia="宋体" w:hint="default"/>
                <w:spacing w:val="-49"/>
                <w:sz w:val="18"/>
                <w:szCs w:val="18"/>
              </w:rPr>
              <w:t> </w:t>
            </w:r>
            <w:r>
              <w:rPr>
                <w:rFonts w:ascii="Arial" w:hAnsi="Arial" w:cs="Arial" w:eastAsia="Arial" w:hint="default"/>
                <w:sz w:val="18"/>
                <w:szCs w:val="18"/>
              </w:rPr>
              <w:t>100%</w:t>
            </w:r>
            <w:r>
              <w:rPr>
                <w:rFonts w:ascii="宋体" w:hAnsi="宋体" w:cs="宋体" w:eastAsia="宋体" w:hint="default"/>
                <w:sz w:val="18"/>
                <w:szCs w:val="18"/>
              </w:rPr>
              <w:t>股权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1" w:right="0"/>
              <w:jc w:val="center"/>
              <w:rPr>
                <w:rFonts w:ascii="Arial" w:hAnsi="Arial" w:cs="Arial" w:eastAsia="Arial" w:hint="default"/>
                <w:sz w:val="18"/>
                <w:szCs w:val="18"/>
              </w:rPr>
            </w:pPr>
            <w:r>
              <w:rPr>
                <w:rFonts w:ascii="Arial"/>
                <w:sz w:val="18"/>
              </w:rPr>
              <w:t>48,000.00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48,000.00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47,771.72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47,771.72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99.52%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7,646.46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118" w:right="0"/>
              <w:jc w:val="center"/>
              <w:rPr>
                <w:rFonts w:ascii="Arial" w:hAnsi="Arial" w:cs="Arial" w:eastAsia="Arial" w:hint="default"/>
                <w:sz w:val="18"/>
                <w:szCs w:val="18"/>
              </w:rPr>
            </w:pPr>
            <w:r>
              <w:rPr>
                <w:rFonts w:ascii="Arial"/>
                <w:sz w:val="18"/>
              </w:rPr>
              <w:t>75,960.32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70,982.91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47,771.72</w:t>
            </w:r>
          </w:p>
        </w:tc>
        <w:tc>
          <w:tcPr>
            <w:tcW w:w="9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0"/>
              <w:ind w:right="15"/>
              <w:jc w:val="right"/>
              <w:rPr>
                <w:rFonts w:ascii="Arial" w:hAnsi="Arial" w:cs="Arial" w:eastAsia="Arial" w:hint="default"/>
                <w:sz w:val="18"/>
                <w:szCs w:val="18"/>
              </w:rPr>
            </w:pPr>
            <w:r>
              <w:rPr>
                <w:rFonts w:ascii="Arial"/>
                <w:spacing w:val="-1"/>
                <w:sz w:val="18"/>
              </w:rPr>
              <w:t>70,754.47</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0"/>
              <w:ind w:right="9"/>
              <w:jc w:val="right"/>
              <w:rPr>
                <w:rFonts w:ascii="Arial" w:hAnsi="Arial" w:cs="Arial" w:eastAsia="Arial" w:hint="default"/>
                <w:sz w:val="18"/>
                <w:szCs w:val="18"/>
              </w:rPr>
            </w:pPr>
            <w:r>
              <w:rPr>
                <w:rFonts w:ascii="Arial"/>
                <w:spacing w:val="-1"/>
                <w:sz w:val="18"/>
              </w:rPr>
              <w:t>13,631.07</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2" w:hRule="exact"/>
        </w:trPr>
        <w:tc>
          <w:tcPr>
            <w:tcW w:w="1389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收购华宇金信（北京）软件有限公司</w:t>
            </w:r>
            <w:r>
              <w:rPr>
                <w:rFonts w:ascii="宋体" w:hAnsi="宋体" w:cs="宋体" w:eastAsia="宋体" w:hint="default"/>
                <w:spacing w:val="-45"/>
                <w:sz w:val="18"/>
                <w:szCs w:val="18"/>
              </w:rPr>
              <w:t> </w:t>
            </w:r>
            <w:r>
              <w:rPr>
                <w:rFonts w:ascii="Arial" w:hAnsi="Arial" w:cs="Arial" w:eastAsia="Arial" w:hint="default"/>
                <w:sz w:val="18"/>
                <w:szCs w:val="18"/>
              </w:rPr>
              <w:t>51%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1" w:right="0"/>
              <w:jc w:val="center"/>
              <w:rPr>
                <w:rFonts w:ascii="Arial" w:hAnsi="Arial" w:cs="Arial" w:eastAsia="Arial" w:hint="default"/>
                <w:sz w:val="18"/>
                <w:szCs w:val="18"/>
              </w:rPr>
            </w:pPr>
            <w:r>
              <w:rPr>
                <w:rFonts w:ascii="Arial"/>
                <w:sz w:val="18"/>
              </w:rPr>
              <w:t>1,173.00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1,173.00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1,173.00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建设实施</w:t>
            </w:r>
            <w:r>
              <w:rPr>
                <w:rFonts w:ascii="Arial" w:hAnsi="Arial" w:cs="Arial" w:eastAsia="Arial" w:hint="default"/>
                <w:sz w:val="18"/>
                <w:szCs w:val="18"/>
              </w:rPr>
              <w:t>“</w:t>
            </w:r>
            <w:r>
              <w:rPr>
                <w:rFonts w:ascii="宋体" w:hAnsi="宋体" w:cs="宋体" w:eastAsia="宋体" w:hint="default"/>
                <w:sz w:val="18"/>
                <w:szCs w:val="18"/>
              </w:rPr>
              <w:t>华宇（大连）研发基地项目</w:t>
            </w:r>
            <w:r>
              <w:rPr>
                <w:rFonts w:ascii="Arial" w:hAnsi="Arial" w:cs="Arial" w:eastAsia="Arial"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1" w:right="0"/>
              <w:jc w:val="center"/>
              <w:rPr>
                <w:rFonts w:ascii="Arial" w:hAnsi="Arial" w:cs="Arial" w:eastAsia="Arial" w:hint="default"/>
                <w:sz w:val="18"/>
                <w:szCs w:val="18"/>
              </w:rPr>
            </w:pPr>
            <w:r>
              <w:rPr>
                <w:rFonts w:ascii="Arial"/>
                <w:sz w:val="18"/>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10,153.42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参股深圳市捷视飞通科技股份有限公司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1" w:right="0"/>
              <w:jc w:val="center"/>
              <w:rPr>
                <w:rFonts w:ascii="Arial" w:hAnsi="Arial" w:cs="Arial" w:eastAsia="Arial" w:hint="default"/>
                <w:sz w:val="18"/>
                <w:szCs w:val="18"/>
              </w:rPr>
            </w:pPr>
            <w:r>
              <w:rPr>
                <w:rFonts w:ascii="Arial"/>
                <w:sz w:val="18"/>
              </w:rPr>
              <w:t>3,000.00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3,000.00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3,000.00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收购上海浦东华宇信息技术有限公司</w:t>
            </w:r>
          </w:p>
          <w:p>
            <w:pPr>
              <w:pStyle w:val="TableParagraph"/>
              <w:spacing w:line="240" w:lineRule="auto" w:before="61"/>
              <w:ind w:left="21" w:right="0"/>
              <w:jc w:val="left"/>
              <w:rPr>
                <w:rFonts w:ascii="宋体" w:hAnsi="宋体" w:cs="宋体" w:eastAsia="宋体" w:hint="default"/>
                <w:sz w:val="18"/>
                <w:szCs w:val="18"/>
              </w:rPr>
            </w:pPr>
            <w:r>
              <w:rPr>
                <w:rFonts w:ascii="Arial" w:hAnsi="Arial" w:cs="Arial" w:eastAsia="Arial" w:hint="default"/>
                <w:sz w:val="18"/>
                <w:szCs w:val="18"/>
              </w:rPr>
              <w:t>90.185%</w:t>
            </w:r>
            <w:r>
              <w:rPr>
                <w:rFonts w:ascii="宋体" w:hAnsi="宋体" w:cs="宋体" w:eastAsia="宋体" w:hint="default"/>
                <w:sz w:val="18"/>
                <w:szCs w:val="18"/>
              </w:rPr>
              <w:t>股权</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1" w:right="0"/>
              <w:jc w:val="center"/>
              <w:rPr>
                <w:rFonts w:ascii="Arial" w:hAnsi="Arial" w:cs="Arial" w:eastAsia="Arial" w:hint="default"/>
                <w:sz w:val="18"/>
                <w:szCs w:val="18"/>
              </w:rPr>
            </w:pPr>
            <w:r>
              <w:rPr>
                <w:rFonts w:ascii="Arial"/>
                <w:sz w:val="18"/>
              </w:rPr>
              <w:t>5,500.00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5,500.00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5,500.00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219" w:right="0"/>
              <w:jc w:val="center"/>
              <w:rPr>
                <w:rFonts w:ascii="Arial" w:hAnsi="Arial" w:cs="Arial" w:eastAsia="Arial" w:hint="default"/>
                <w:sz w:val="18"/>
                <w:szCs w:val="18"/>
              </w:rPr>
            </w:pPr>
            <w:r>
              <w:rPr>
                <w:rFonts w:ascii="Arial"/>
                <w:sz w:val="18"/>
              </w:rPr>
              <w:t>3,000.00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3,000.00</w:t>
            </w:r>
          </w:p>
        </w:tc>
        <w:tc>
          <w:tcPr>
            <w:tcW w:w="99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0"/>
              <w:ind w:right="13"/>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3"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8" w:right="0"/>
              <w:jc w:val="center"/>
              <w:rPr>
                <w:rFonts w:ascii="Arial" w:hAnsi="Arial" w:cs="Arial" w:eastAsia="Arial" w:hint="default"/>
                <w:sz w:val="18"/>
                <w:szCs w:val="18"/>
              </w:rPr>
            </w:pPr>
            <w:r>
              <w:rPr>
                <w:rFonts w:ascii="Arial"/>
                <w:sz w:val="18"/>
              </w:rPr>
              <w:t>16,312.35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16,312.35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16,312.35</w:t>
            </w:r>
          </w:p>
        </w:tc>
        <w:tc>
          <w:tcPr>
            <w:tcW w:w="99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r>
        <w:trPr>
          <w:trHeight w:val="40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118" w:right="0"/>
              <w:jc w:val="center"/>
              <w:rPr>
                <w:rFonts w:ascii="Arial" w:hAnsi="Arial" w:cs="Arial" w:eastAsia="Arial" w:hint="default"/>
                <w:sz w:val="18"/>
                <w:szCs w:val="18"/>
              </w:rPr>
            </w:pPr>
            <w:r>
              <w:rPr>
                <w:rFonts w:ascii="Arial"/>
                <w:sz w:val="18"/>
              </w:rPr>
              <w:t>38,985.35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38,985.35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0"/>
              <w:ind w:right="15"/>
              <w:jc w:val="right"/>
              <w:rPr>
                <w:rFonts w:ascii="Arial" w:hAnsi="Arial" w:cs="Arial" w:eastAsia="Arial" w:hint="default"/>
                <w:sz w:val="18"/>
                <w:szCs w:val="18"/>
              </w:rPr>
            </w:pPr>
            <w:r>
              <w:rPr>
                <w:rFonts w:ascii="Arial"/>
                <w:spacing w:val="-1"/>
                <w:sz w:val="18"/>
              </w:rPr>
              <w:t>39,138.77</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13" w:space="0" w:color="D2D2D2"/>
              <w:bottom w:val="single" w:sz="4" w:space="0" w:color="000000"/>
              <w:right w:val="single" w:sz="13" w:space="0" w:color="D2D2D2"/>
            </w:tcBorders>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2" w:right="0"/>
              <w:jc w:val="center"/>
              <w:rPr>
                <w:rFonts w:ascii="Arial" w:hAnsi="Arial" w:cs="Arial" w:eastAsia="Arial" w:hint="default"/>
                <w:sz w:val="18"/>
                <w:szCs w:val="18"/>
              </w:rPr>
            </w:pPr>
            <w:r>
              <w:rPr>
                <w:rFonts w:ascii="Arial"/>
                <w:sz w:val="18"/>
              </w:rPr>
              <w:t>114,945.67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109,968.26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47,771.72</w:t>
            </w:r>
          </w:p>
        </w:tc>
        <w:tc>
          <w:tcPr>
            <w:tcW w:w="9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Arial" w:hAnsi="Arial" w:cs="Arial" w:eastAsia="Arial" w:hint="default"/>
                <w:sz w:val="18"/>
                <w:szCs w:val="18"/>
              </w:rPr>
            </w:pPr>
            <w:r>
              <w:rPr>
                <w:rFonts w:ascii="Arial"/>
                <w:spacing w:val="-1"/>
                <w:sz w:val="18"/>
              </w:rPr>
              <w:t>109,893.24</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Arial" w:hAnsi="Arial" w:cs="Arial" w:eastAsia="Arial" w:hint="default"/>
                <w:sz w:val="18"/>
                <w:szCs w:val="18"/>
              </w:rPr>
            </w:pPr>
            <w:r>
              <w:rPr>
                <w:rFonts w:ascii="Arial"/>
                <w:spacing w:val="-1"/>
                <w:sz w:val="18"/>
              </w:rPr>
              <w:t>13,631.07</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r>
        <w:trPr>
          <w:trHeight w:val="142" w:hRule="exact"/>
        </w:trPr>
        <w:tc>
          <w:tcPr>
            <w:tcW w:w="35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0"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26</w:t>
            </w:r>
            <w:r>
              <w:rPr>
                <w:rFonts w:ascii="Arial" w:hAnsi="Arial" w:cs="Arial" w:eastAsia="Arial" w:hint="default"/>
                <w:spacing w:val="-5"/>
                <w:sz w:val="18"/>
                <w:szCs w:val="18"/>
              </w:rPr>
              <w:t> </w:t>
            </w:r>
            <w:r>
              <w:rPr>
                <w:rFonts w:ascii="宋体" w:hAnsi="宋体" w:cs="宋体" w:eastAsia="宋体" w:hint="default"/>
                <w:sz w:val="18"/>
                <w:szCs w:val="18"/>
              </w:rPr>
              <w:t>日在深圳证券交易所创业板挂牌上市，在此之前公司尚未取得募集资金，由于存在资金缺口，公司在</w:t>
            </w:r>
          </w:p>
          <w:p>
            <w:pPr>
              <w:pStyle w:val="TableParagraph"/>
              <w:spacing w:line="302" w:lineRule="auto" w:before="63"/>
              <w:ind w:left="17" w:right="54"/>
              <w:jc w:val="left"/>
              <w:rPr>
                <w:rFonts w:ascii="宋体" w:hAnsi="宋体" w:cs="宋体" w:eastAsia="宋体" w:hint="default"/>
                <w:sz w:val="18"/>
                <w:szCs w:val="18"/>
              </w:rPr>
            </w:pPr>
            <w:r>
              <w:rPr>
                <w:rFonts w:ascii="Arial" w:hAnsi="Arial" w:cs="Arial" w:eastAsia="Arial" w:hint="default"/>
                <w:sz w:val="18"/>
                <w:szCs w:val="18"/>
              </w:rPr>
              <w:t>2009 </w:t>
            </w:r>
            <w:r>
              <w:rPr>
                <w:rFonts w:ascii="宋体" w:hAnsi="宋体" w:cs="宋体" w:eastAsia="宋体" w:hint="default"/>
                <w:sz w:val="18"/>
                <w:szCs w:val="18"/>
              </w:rPr>
              <w:t>年或 </w:t>
            </w:r>
            <w:r>
              <w:rPr>
                <w:rFonts w:ascii="Arial" w:hAnsi="Arial" w:cs="Arial" w:eastAsia="Arial" w:hint="default"/>
                <w:sz w:val="18"/>
                <w:szCs w:val="18"/>
              </w:rPr>
              <w:t>2010</w:t>
            </w:r>
            <w:r>
              <w:rPr>
                <w:rFonts w:ascii="Arial" w:hAnsi="Arial" w:cs="Arial" w:eastAsia="Arial" w:hint="default"/>
                <w:spacing w:val="-12"/>
                <w:sz w:val="18"/>
                <w:szCs w:val="18"/>
              </w:rPr>
              <w:t> </w:t>
            </w:r>
            <w:r>
              <w:rPr>
                <w:rFonts w:ascii="宋体" w:hAnsi="宋体" w:cs="宋体" w:eastAsia="宋体" w:hint="default"/>
                <w:sz w:val="18"/>
                <w:szCs w:val="18"/>
              </w:rPr>
              <w:t>年起仅以自筹资金的方式对五个募集资金投资项目进行了小规模投入，也取得了部分阶段性成果，但总体来说并 未按照募集资金投资项目原定计划进行实施。近两年业界基于云计算、物联网等技术的应用逐渐成熟，将成为未来一段时期内行业</w:t>
            </w:r>
          </w:p>
        </w:tc>
      </w:tr>
      <w:tr>
        <w:trPr>
          <w:trHeight w:val="703" w:hRule="exact"/>
        </w:trPr>
        <w:tc>
          <w:tcPr>
            <w:tcW w:w="35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10350" w:type="dxa"/>
            <w:gridSpan w:val="10"/>
            <w:vMerge/>
            <w:tcBorders>
              <w:left w:val="single" w:sz="9" w:space="0" w:color="D2D2D2"/>
              <w:right w:val="single" w:sz="4" w:space="0" w:color="000000"/>
            </w:tcBorders>
          </w:tcPr>
          <w:p>
            <w:pPr/>
          </w:p>
        </w:tc>
      </w:tr>
      <w:tr>
        <w:trPr>
          <w:trHeight w:val="142" w:hRule="exact"/>
        </w:trPr>
        <w:tc>
          <w:tcPr>
            <w:tcW w:w="35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0" w:type="dxa"/>
            <w:gridSpan w:val="10"/>
            <w:vMerge/>
            <w:tcBorders>
              <w:left w:val="single" w:sz="9" w:space="0" w:color="D2D2D2"/>
              <w:bottom w:val="single" w:sz="4" w:space="0" w:color="000000"/>
              <w:right w:val="single" w:sz="4" w:space="0" w:color="000000"/>
            </w:tcBorders>
          </w:tcPr>
          <w:p>
            <w:pPr/>
          </w:p>
        </w:tc>
      </w:tr>
    </w:tbl>
    <w:p>
      <w:pPr>
        <w:spacing w:after="0"/>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543"/>
        <w:gridCol w:w="10350"/>
      </w:tblGrid>
      <w:tr>
        <w:trPr>
          <w:trHeight w:val="4866" w:hRule="exact"/>
        </w:trPr>
        <w:tc>
          <w:tcPr>
            <w:tcW w:w="354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350"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234"/>
              <w:jc w:val="left"/>
              <w:rPr>
                <w:rFonts w:ascii="宋体" w:hAnsi="宋体" w:cs="宋体" w:eastAsia="宋体" w:hint="default"/>
                <w:sz w:val="18"/>
                <w:szCs w:val="18"/>
              </w:rPr>
            </w:pPr>
            <w:r>
              <w:rPr>
                <w:rFonts w:ascii="宋体" w:hAnsi="宋体" w:cs="宋体" w:eastAsia="宋体" w:hint="default"/>
                <w:sz w:val="18"/>
                <w:szCs w:val="18"/>
              </w:rPr>
              <w:t>信息化建设的重点和亮点，结合公司主营行业信息化建设的要求和特点，增加对这些技术的应用将带来更大的经济效益和社会效 益。</w:t>
            </w:r>
          </w:p>
          <w:p>
            <w:pPr>
              <w:pStyle w:val="TableParagraph"/>
              <w:spacing w:line="316" w:lineRule="auto" w:before="57"/>
              <w:ind w:left="23" w:right="53" w:firstLine="360"/>
              <w:jc w:val="left"/>
              <w:rPr>
                <w:rFonts w:ascii="宋体" w:hAnsi="宋体" w:cs="宋体" w:eastAsia="宋体" w:hint="default"/>
                <w:sz w:val="18"/>
                <w:szCs w:val="18"/>
              </w:rPr>
            </w:pPr>
            <w:r>
              <w:rPr>
                <w:rFonts w:ascii="宋体" w:hAnsi="宋体" w:cs="宋体" w:eastAsia="宋体" w:hint="default"/>
                <w:sz w:val="18"/>
                <w:szCs w:val="18"/>
              </w:rPr>
              <w:t>因此，华宇软件在对市场情况进行充分分析后，对五个募集资金投资项目的研发计划做了相应的调整，使募集资金投资项目更 具市场性和领先性，符合公司长期发展的需要。截止目前，公司五个募集资金投资项目均已按计划结项。</w:t>
            </w:r>
          </w:p>
          <w:p>
            <w:pPr>
              <w:pStyle w:val="TableParagraph"/>
              <w:spacing w:line="309" w:lineRule="auto" w:before="59"/>
              <w:ind w:left="23" w:right="54" w:firstLine="36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年参股投资捷视飞通，投资金额</w:t>
            </w:r>
            <w:r>
              <w:rPr>
                <w:rFonts w:ascii="宋体" w:hAnsi="宋体" w:cs="宋体" w:eastAsia="宋体" w:hint="default"/>
                <w:spacing w:val="-47"/>
                <w:sz w:val="18"/>
                <w:szCs w:val="18"/>
              </w:rPr>
              <w:t> </w:t>
            </w:r>
            <w:r>
              <w:rPr>
                <w:rFonts w:ascii="Arial" w:hAnsi="Arial" w:cs="Arial" w:eastAsia="Arial" w:hint="default"/>
                <w:sz w:val="18"/>
                <w:szCs w:val="18"/>
              </w:rPr>
              <w:t>3,000</w:t>
            </w:r>
            <w:r>
              <w:rPr>
                <w:rFonts w:ascii="Arial" w:hAnsi="Arial" w:cs="Arial" w:eastAsia="Arial" w:hint="default"/>
                <w:spacing w:val="-6"/>
                <w:sz w:val="18"/>
                <w:szCs w:val="18"/>
              </w:rPr>
              <w:t> </w:t>
            </w:r>
            <w:r>
              <w:rPr>
                <w:rFonts w:ascii="宋体" w:hAnsi="宋体" w:cs="宋体" w:eastAsia="宋体" w:hint="default"/>
                <w:sz w:val="18"/>
                <w:szCs w:val="18"/>
              </w:rPr>
              <w:t>万元。基于长期发展需要，捷视飞通近几年持续加大了研发、销售方面的投 入，导致短期业绩表现不及预期，未能实现公司的业绩承诺。但这些投入为捷视飞通的长期发展奠定了基础，使其品牌影响力、产 品竞争力都得到提高。公司该笔资按最新一期公开报价的权益投资计算的公允价值为</w:t>
            </w:r>
            <w:r>
              <w:rPr>
                <w:rFonts w:ascii="宋体" w:hAnsi="宋体" w:cs="宋体" w:eastAsia="宋体" w:hint="default"/>
                <w:spacing w:val="-46"/>
                <w:sz w:val="18"/>
                <w:szCs w:val="18"/>
              </w:rPr>
              <w:t> </w:t>
            </w:r>
            <w:r>
              <w:rPr>
                <w:rFonts w:ascii="Arial" w:hAnsi="Arial" w:cs="Arial" w:eastAsia="Arial" w:hint="default"/>
                <w:sz w:val="18"/>
                <w:szCs w:val="18"/>
              </w:rPr>
              <w:t>7,200</w:t>
            </w:r>
            <w:r>
              <w:rPr>
                <w:rFonts w:ascii="Arial" w:hAnsi="Arial" w:cs="Arial" w:eastAsia="Arial" w:hint="default"/>
                <w:spacing w:val="-6"/>
                <w:sz w:val="18"/>
                <w:szCs w:val="18"/>
              </w:rPr>
              <w:t> </w:t>
            </w:r>
            <w:r>
              <w:rPr>
                <w:rFonts w:ascii="宋体" w:hAnsi="宋体" w:cs="宋体" w:eastAsia="宋体" w:hint="default"/>
                <w:sz w:val="18"/>
                <w:szCs w:val="18"/>
              </w:rPr>
              <w:t>万元。</w:t>
            </w:r>
          </w:p>
          <w:p>
            <w:pPr>
              <w:pStyle w:val="TableParagraph"/>
              <w:spacing w:line="309" w:lineRule="auto" w:before="46"/>
              <w:ind w:left="23" w:right="36" w:firstLine="360"/>
              <w:jc w:val="left"/>
              <w:rPr>
                <w:rFonts w:ascii="宋体" w:hAnsi="宋体" w:cs="宋体" w:eastAsia="宋体" w:hint="default"/>
                <w:sz w:val="18"/>
                <w:szCs w:val="18"/>
              </w:rPr>
            </w:pPr>
            <w:r>
              <w:rPr>
                <w:rFonts w:ascii="宋体" w:hAnsi="宋体" w:cs="宋体" w:eastAsia="宋体" w:hint="default"/>
                <w:sz w:val="18"/>
                <w:szCs w:val="18"/>
              </w:rPr>
              <w:t>随着近年来国际、社会对食品安全的逐渐重视，其信息化市场逐步释放。华宇金信作为行业领先企业打造和开发了多个成熟的 解决方案与产品并形成了良好的行业口碑和强劲的市场竞争力。据近年来的食品安全与市场监管领域招投标公开信息统计，公司中 标金额在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年的中标统计排名中位列前三。</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年，国家开始筹划机构改革方案，很大程度的影响了整体食品安全监管市 场的信息化需求释放。以北京食药监市场为例，</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年前三季度公开招投标项目总金额同比下降近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。同时，企业追溯市场也 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年面临了国家政策的调整，政府牵头建设的项目也有所减少。这些因素对全行业都造成了严重影响，在此形势下，华宇金</w:t>
            </w:r>
          </w:p>
          <w:p>
            <w:pPr>
              <w:pStyle w:val="TableParagraph"/>
              <w:spacing w:line="309" w:lineRule="auto" w:before="5"/>
              <w:ind w:left="23" w:right="54"/>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年业绩也大幅降低。然而公司在食品安全与市场监管领域的占有率并未下降。随着国家机构调整的完成，国家市场监督管 理总局的成立，市场监管信息化的需求将逐步释放，必然带来新的市场机遇。华宇金信将充分发挥自身的行业优势和资源优势，紧 抓新机遇，扩大市场占有率，努力成为食品安全以及市场监管的领军企业，实现业绩的稳步增长。</w:t>
            </w:r>
          </w:p>
        </w:tc>
      </w:tr>
      <w:tr>
        <w:trPr>
          <w:trHeight w:val="404"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44" w:hRule="exact"/>
        </w:trPr>
        <w:tc>
          <w:tcPr>
            <w:tcW w:w="3543" w:type="dxa"/>
            <w:vMerge/>
            <w:tcBorders>
              <w:left w:val="single" w:sz="4" w:space="0" w:color="000000"/>
              <w:bottom w:val="single" w:sz="4" w:space="0" w:color="000000"/>
              <w:right w:val="single" w:sz="4" w:space="0" w:color="000000"/>
            </w:tcBorders>
            <w:shd w:val="clear" w:color="auto" w:fill="D2D2D2"/>
          </w:tcPr>
          <w:p>
            <w:pP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53" w:firstLine="360"/>
              <w:jc w:val="left"/>
              <w:rPr>
                <w:rFonts w:ascii="宋体" w:hAnsi="宋体" w:cs="宋体" w:eastAsia="宋体" w:hint="default"/>
                <w:sz w:val="18"/>
                <w:szCs w:val="18"/>
              </w:rPr>
            </w:pPr>
            <w:r>
              <w:rPr>
                <w:rFonts w:ascii="宋体" w:hAnsi="宋体" w:cs="宋体" w:eastAsia="宋体" w:hint="default"/>
                <w:sz w:val="18"/>
                <w:szCs w:val="18"/>
              </w:rPr>
              <w:t>根据本公司《招股说明书》披露的情况，公司首次公开发行并上市募集资金拟投向</w:t>
            </w:r>
            <w:r>
              <w:rPr>
                <w:rFonts w:ascii="Arial" w:hAnsi="Arial" w:cs="Arial" w:eastAsia="Arial" w:hint="default"/>
                <w:sz w:val="18"/>
                <w:szCs w:val="18"/>
              </w:rPr>
              <w:t>“</w:t>
            </w:r>
            <w:r>
              <w:rPr>
                <w:rFonts w:ascii="宋体" w:hAnsi="宋体" w:cs="宋体" w:eastAsia="宋体" w:hint="default"/>
                <w:sz w:val="18"/>
                <w:szCs w:val="18"/>
              </w:rPr>
              <w:t>数字法院智能管理系统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电子检务管理系 统</w:t>
            </w:r>
            <w:r>
              <w:rPr>
                <w:rFonts w:ascii="Arial" w:hAnsi="Arial" w:cs="Arial" w:eastAsia="Arial" w:hint="default"/>
                <w:sz w:val="18"/>
                <w:szCs w:val="18"/>
              </w:rPr>
              <w:t>”</w:t>
            </w:r>
            <w:r>
              <w:rPr>
                <w:rFonts w:ascii="宋体" w:hAnsi="宋体" w:cs="宋体" w:eastAsia="宋体" w:hint="default"/>
                <w:sz w:val="18"/>
                <w:szCs w:val="18"/>
              </w:rPr>
              <w:t>等五个项目，投资总额为</w:t>
            </w:r>
            <w:r>
              <w:rPr>
                <w:rFonts w:ascii="宋体" w:hAnsi="宋体" w:cs="宋体" w:eastAsia="宋体" w:hint="default"/>
                <w:spacing w:val="-49"/>
                <w:sz w:val="18"/>
                <w:szCs w:val="18"/>
              </w:rPr>
              <w:t> </w:t>
            </w:r>
            <w:r>
              <w:rPr>
                <w:rFonts w:ascii="Arial" w:hAnsi="Arial" w:cs="Arial" w:eastAsia="Arial" w:hint="default"/>
                <w:sz w:val="18"/>
                <w:szCs w:val="18"/>
              </w:rPr>
              <w:t>19,477.52</w:t>
            </w:r>
            <w:r>
              <w:rPr>
                <w:rFonts w:ascii="Arial" w:hAnsi="Arial" w:cs="Arial" w:eastAsia="Arial" w:hint="default"/>
                <w:spacing w:val="-7"/>
                <w:sz w:val="18"/>
                <w:szCs w:val="18"/>
              </w:rPr>
              <w:t> </w:t>
            </w:r>
            <w:r>
              <w:rPr>
                <w:rFonts w:ascii="宋体" w:hAnsi="宋体" w:cs="宋体" w:eastAsia="宋体" w:hint="default"/>
                <w:sz w:val="18"/>
                <w:szCs w:val="18"/>
              </w:rPr>
              <w:t>万元，本公司实际募集资金净额为</w:t>
            </w:r>
            <w:r>
              <w:rPr>
                <w:rFonts w:ascii="宋体" w:hAnsi="宋体" w:cs="宋体" w:eastAsia="宋体" w:hint="default"/>
                <w:spacing w:val="-49"/>
                <w:sz w:val="18"/>
                <w:szCs w:val="18"/>
              </w:rPr>
              <w:t> </w:t>
            </w:r>
            <w:r>
              <w:rPr>
                <w:rFonts w:ascii="Arial" w:hAnsi="Arial" w:cs="Arial" w:eastAsia="Arial" w:hint="default"/>
                <w:sz w:val="18"/>
                <w:szCs w:val="18"/>
              </w:rPr>
              <w:t>51,481.18</w:t>
            </w:r>
            <w:r>
              <w:rPr>
                <w:rFonts w:ascii="Arial" w:hAnsi="Arial" w:cs="Arial" w:eastAsia="Arial" w:hint="default"/>
                <w:spacing w:val="-8"/>
                <w:sz w:val="18"/>
                <w:szCs w:val="18"/>
              </w:rPr>
              <w:t> </w:t>
            </w:r>
            <w:r>
              <w:rPr>
                <w:rFonts w:ascii="宋体" w:hAnsi="宋体" w:cs="宋体" w:eastAsia="宋体" w:hint="default"/>
                <w:sz w:val="18"/>
                <w:szCs w:val="18"/>
              </w:rPr>
              <w:t>万元，超募资金为</w:t>
            </w:r>
            <w:r>
              <w:rPr>
                <w:rFonts w:ascii="宋体" w:hAnsi="宋体" w:cs="宋体" w:eastAsia="宋体" w:hint="default"/>
                <w:spacing w:val="-48"/>
                <w:sz w:val="18"/>
                <w:szCs w:val="18"/>
              </w:rPr>
              <w:t> </w:t>
            </w:r>
            <w:r>
              <w:rPr>
                <w:rFonts w:ascii="Arial" w:hAnsi="Arial" w:cs="Arial" w:eastAsia="Arial" w:hint="default"/>
                <w:sz w:val="18"/>
                <w:szCs w:val="18"/>
              </w:rPr>
              <w:t>32,003.66</w:t>
            </w:r>
            <w:r>
              <w:rPr>
                <w:rFonts w:ascii="Arial" w:hAnsi="Arial" w:cs="Arial" w:eastAsia="Arial" w:hint="default"/>
                <w:spacing w:val="-8"/>
                <w:sz w:val="18"/>
                <w:szCs w:val="18"/>
              </w:rPr>
              <w:t> </w:t>
            </w:r>
            <w:r>
              <w:rPr>
                <w:rFonts w:ascii="宋体" w:hAnsi="宋体" w:cs="宋体" w:eastAsia="宋体" w:hint="default"/>
                <w:sz w:val="18"/>
                <w:szCs w:val="18"/>
              </w:rPr>
              <w:t>万元。截至</w:t>
            </w:r>
          </w:p>
          <w:p>
            <w:pPr>
              <w:pStyle w:val="TableParagraph"/>
              <w:spacing w:line="240" w:lineRule="auto" w:before="11"/>
              <w:ind w:left="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日，公司超募资金使用情况如下：</w:t>
            </w:r>
          </w:p>
          <w:p>
            <w:pPr>
              <w:pStyle w:val="TableParagraph"/>
              <w:spacing w:line="240" w:lineRule="auto" w:before="104"/>
              <w:ind w:left="383" w:right="0"/>
              <w:jc w:val="left"/>
              <w:rPr>
                <w:rFonts w:ascii="宋体" w:hAnsi="宋体" w:cs="宋体" w:eastAsia="宋体" w:hint="default"/>
                <w:sz w:val="18"/>
                <w:szCs w:val="18"/>
              </w:rPr>
            </w:pPr>
            <w:r>
              <w:rPr>
                <w:rFonts w:ascii="Arial" w:hAnsi="Arial" w:cs="Arial" w:eastAsia="Arial" w:hint="default"/>
                <w:spacing w:val="-3"/>
                <w:sz w:val="18"/>
                <w:szCs w:val="18"/>
              </w:rPr>
              <w:t>1</w:t>
            </w:r>
            <w:r>
              <w:rPr>
                <w:rFonts w:ascii="宋体" w:hAnsi="宋体" w:cs="宋体" w:eastAsia="宋体" w:hint="default"/>
                <w:spacing w:val="-3"/>
                <w:sz w:val="18"/>
                <w:szCs w:val="18"/>
              </w:rPr>
              <w:t>、</w:t>
            </w:r>
            <w:r>
              <w:rPr>
                <w:rFonts w:ascii="Arial" w:hAnsi="Arial" w:cs="Arial" w:eastAsia="Arial" w:hint="default"/>
                <w:spacing w:val="-3"/>
                <w:sz w:val="18"/>
                <w:szCs w:val="18"/>
              </w:rPr>
              <w:t>2011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13</w:t>
            </w:r>
            <w:r>
              <w:rPr>
                <w:rFonts w:ascii="Arial" w:hAnsi="Arial" w:cs="Arial" w:eastAsia="Arial" w:hint="default"/>
                <w:spacing w:val="-4"/>
                <w:sz w:val="18"/>
                <w:szCs w:val="18"/>
              </w:rPr>
              <w:t> </w:t>
            </w:r>
            <w:r>
              <w:rPr>
                <w:rFonts w:ascii="宋体" w:hAnsi="宋体" w:cs="宋体" w:eastAsia="宋体" w:hint="default"/>
                <w:sz w:val="18"/>
                <w:szCs w:val="18"/>
              </w:rPr>
              <w:t>日，公司第四届董事会第十次会议审议通过了《使用部分超募资金偿还银行贷款和永久补充流动资金的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z w:val="18"/>
                <w:szCs w:val="18"/>
              </w:rPr>
              <w:t>，同意使用超募资金</w:t>
            </w:r>
            <w:r>
              <w:rPr>
                <w:rFonts w:ascii="宋体" w:hAnsi="宋体" w:cs="宋体" w:eastAsia="宋体" w:hint="default"/>
                <w:spacing w:val="-44"/>
                <w:sz w:val="18"/>
                <w:szCs w:val="18"/>
              </w:rPr>
              <w:t> </w:t>
            </w:r>
            <w:r>
              <w:rPr>
                <w:rFonts w:ascii="Arial" w:hAnsi="Arial" w:cs="Arial" w:eastAsia="Arial" w:hint="default"/>
                <w:w w:val="99"/>
                <w:sz w:val="18"/>
                <w:szCs w:val="18"/>
              </w:rPr>
              <w:t>3</w:t>
            </w:r>
            <w:r>
              <w:rPr>
                <w:rFonts w:ascii="Arial" w:hAnsi="Arial" w:cs="Arial" w:eastAsia="Arial" w:hint="default"/>
                <w:w w:val="100"/>
                <w:sz w:val="18"/>
                <w:szCs w:val="18"/>
              </w:rPr>
              <w:t>,0</w:t>
            </w:r>
            <w:r>
              <w:rPr>
                <w:rFonts w:ascii="Arial" w:hAnsi="Arial" w:cs="Arial" w:eastAsia="Arial" w:hint="default"/>
                <w:w w:val="99"/>
                <w:sz w:val="18"/>
                <w:szCs w:val="18"/>
              </w:rPr>
              <w:t>00</w:t>
            </w:r>
            <w:r>
              <w:rPr>
                <w:rFonts w:ascii="Arial" w:hAnsi="Arial" w:cs="Arial" w:eastAsia="Arial" w:hint="default"/>
                <w:spacing w:val="-4"/>
                <w:sz w:val="18"/>
                <w:szCs w:val="18"/>
              </w:rPr>
              <w:t> </w:t>
            </w:r>
            <w:r>
              <w:rPr>
                <w:rFonts w:ascii="宋体" w:hAnsi="宋体" w:cs="宋体" w:eastAsia="宋体" w:hint="default"/>
                <w:sz w:val="18"/>
                <w:szCs w:val="18"/>
              </w:rPr>
              <w:t>万元偿还银行贷款及</w:t>
            </w:r>
            <w:r>
              <w:rPr>
                <w:rFonts w:ascii="宋体" w:hAnsi="宋体" w:cs="宋体" w:eastAsia="宋体" w:hint="default"/>
                <w:spacing w:val="-45"/>
                <w:sz w:val="18"/>
                <w:szCs w:val="18"/>
              </w:rPr>
              <w:t> </w:t>
            </w:r>
            <w:r>
              <w:rPr>
                <w:rFonts w:ascii="Arial" w:hAnsi="Arial" w:cs="Arial" w:eastAsia="Arial" w:hint="default"/>
                <w:w w:val="99"/>
                <w:sz w:val="18"/>
                <w:szCs w:val="18"/>
              </w:rPr>
              <w:t>3</w:t>
            </w:r>
            <w:r>
              <w:rPr>
                <w:rFonts w:ascii="Arial" w:hAnsi="Arial" w:cs="Arial" w:eastAsia="Arial" w:hint="default"/>
                <w:spacing w:val="-2"/>
                <w:w w:val="100"/>
                <w:sz w:val="18"/>
                <w:szCs w:val="18"/>
              </w:rPr>
              <w:t>,</w:t>
            </w:r>
            <w:r>
              <w:rPr>
                <w:rFonts w:ascii="Arial" w:hAnsi="Arial" w:cs="Arial" w:eastAsia="Arial" w:hint="default"/>
                <w:w w:val="99"/>
                <w:sz w:val="18"/>
                <w:szCs w:val="18"/>
              </w:rPr>
              <w:t>4</w:t>
            </w:r>
            <w:r>
              <w:rPr>
                <w:rFonts w:ascii="Arial" w:hAnsi="Arial" w:cs="Arial" w:eastAsia="Arial" w:hint="default"/>
                <w:spacing w:val="-2"/>
                <w:w w:val="99"/>
                <w:sz w:val="18"/>
                <w:szCs w:val="18"/>
              </w:rPr>
              <w:t>0</w:t>
            </w:r>
            <w:r>
              <w:rPr>
                <w:rFonts w:ascii="Arial" w:hAnsi="Arial" w:cs="Arial" w:eastAsia="Arial" w:hint="default"/>
                <w:w w:val="99"/>
                <w:sz w:val="18"/>
                <w:szCs w:val="18"/>
              </w:rPr>
              <w:t>0</w:t>
            </w:r>
            <w:r>
              <w:rPr>
                <w:rFonts w:ascii="Arial" w:hAnsi="Arial" w:cs="Arial" w:eastAsia="Arial" w:hint="default"/>
                <w:spacing w:val="-6"/>
                <w:sz w:val="18"/>
                <w:szCs w:val="18"/>
              </w:rPr>
              <w:t> </w:t>
            </w:r>
            <w:r>
              <w:rPr>
                <w:rFonts w:ascii="宋体" w:hAnsi="宋体" w:cs="宋体" w:eastAsia="宋体" w:hint="default"/>
                <w:sz w:val="18"/>
                <w:szCs w:val="18"/>
              </w:rPr>
              <w:t>万元用于永久补充流动资金。</w:t>
            </w:r>
          </w:p>
          <w:p>
            <w:pPr>
              <w:pStyle w:val="TableParagraph"/>
              <w:spacing w:line="240" w:lineRule="auto" w:before="102"/>
              <w:ind w:left="383" w:right="0"/>
              <w:jc w:val="left"/>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5"/>
                <w:sz w:val="18"/>
                <w:szCs w:val="18"/>
              </w:rPr>
              <w:t> </w:t>
            </w:r>
            <w:r>
              <w:rPr>
                <w:rFonts w:ascii="宋体" w:hAnsi="宋体" w:cs="宋体" w:eastAsia="宋体" w:hint="default"/>
                <w:sz w:val="18"/>
                <w:szCs w:val="18"/>
              </w:rPr>
              <w:t>日，公司第四届董事会第十三次会议审议通过了《使用超募资金收购航宇金信（北京）软件有限公司</w:t>
            </w:r>
            <w:r>
              <w:rPr>
                <w:rFonts w:ascii="宋体" w:hAnsi="宋体" w:cs="宋体" w:eastAsia="宋体" w:hint="default"/>
                <w:spacing w:val="-45"/>
                <w:sz w:val="18"/>
                <w:szCs w:val="18"/>
              </w:rPr>
              <w:t> </w:t>
            </w:r>
            <w:r>
              <w:rPr>
                <w:rFonts w:ascii="Arial" w:hAnsi="Arial" w:cs="Arial" w:eastAsia="Arial" w:hint="default"/>
                <w:sz w:val="18"/>
                <w:szCs w:val="18"/>
              </w:rPr>
              <w:t>51%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股权的议案</w:t>
            </w:r>
            <w:r>
              <w:rPr>
                <w:rFonts w:ascii="宋体" w:hAnsi="宋体" w:cs="宋体" w:eastAsia="宋体" w:hint="default"/>
                <w:spacing w:val="-92"/>
                <w:sz w:val="18"/>
                <w:szCs w:val="18"/>
              </w:rPr>
              <w:t>》</w:t>
            </w:r>
            <w:r>
              <w:rPr>
                <w:rFonts w:ascii="宋体" w:hAnsi="宋体" w:cs="宋体" w:eastAsia="宋体" w:hint="default"/>
                <w:sz w:val="18"/>
                <w:szCs w:val="18"/>
              </w:rPr>
              <w:t>，同意使用超募</w:t>
            </w:r>
            <w:r>
              <w:rPr>
                <w:rFonts w:ascii="宋体" w:hAnsi="宋体" w:cs="宋体" w:eastAsia="宋体" w:hint="default"/>
                <w:spacing w:val="2"/>
                <w:sz w:val="18"/>
                <w:szCs w:val="18"/>
              </w:rPr>
              <w:t>资</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Arial" w:hAnsi="Arial" w:cs="Arial" w:eastAsia="Arial" w:hint="default"/>
                <w:w w:val="99"/>
                <w:sz w:val="18"/>
                <w:szCs w:val="18"/>
              </w:rPr>
              <w:t>1</w:t>
            </w:r>
            <w:r>
              <w:rPr>
                <w:rFonts w:ascii="Arial" w:hAnsi="Arial" w:cs="Arial" w:eastAsia="Arial" w:hint="default"/>
                <w:w w:val="100"/>
                <w:sz w:val="18"/>
                <w:szCs w:val="18"/>
              </w:rPr>
              <w:t>,1</w:t>
            </w:r>
            <w:r>
              <w:rPr>
                <w:rFonts w:ascii="Arial" w:hAnsi="Arial" w:cs="Arial" w:eastAsia="Arial" w:hint="default"/>
                <w:spacing w:val="-2"/>
                <w:w w:val="99"/>
                <w:sz w:val="18"/>
                <w:szCs w:val="18"/>
              </w:rPr>
              <w:t>7</w:t>
            </w:r>
            <w:r>
              <w:rPr>
                <w:rFonts w:ascii="Arial" w:hAnsi="Arial" w:cs="Arial" w:eastAsia="Arial" w:hint="default"/>
                <w:w w:val="99"/>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万元向陈京念先生</w:t>
            </w:r>
            <w:r>
              <w:rPr>
                <w:rFonts w:ascii="宋体" w:hAnsi="宋体" w:cs="宋体" w:eastAsia="宋体" w:hint="default"/>
                <w:spacing w:val="-3"/>
                <w:sz w:val="18"/>
                <w:szCs w:val="18"/>
              </w:rPr>
              <w:t>收</w:t>
            </w:r>
            <w:r>
              <w:rPr>
                <w:rFonts w:ascii="宋体" w:hAnsi="宋体" w:cs="宋体" w:eastAsia="宋体" w:hint="default"/>
                <w:sz w:val="18"/>
                <w:szCs w:val="18"/>
              </w:rPr>
              <w:t>购航宇金信</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软件有限公司</w:t>
            </w:r>
            <w:r>
              <w:rPr>
                <w:rFonts w:ascii="宋体" w:hAnsi="宋体" w:cs="宋体" w:eastAsia="宋体" w:hint="default"/>
                <w:spacing w:val="-45"/>
                <w:sz w:val="18"/>
                <w:szCs w:val="18"/>
              </w:rPr>
              <w:t> </w:t>
            </w:r>
            <w:r>
              <w:rPr>
                <w:rFonts w:ascii="Arial" w:hAnsi="Arial" w:cs="Arial" w:eastAsia="Arial" w:hint="default"/>
                <w:w w:val="99"/>
                <w:sz w:val="18"/>
                <w:szCs w:val="18"/>
              </w:rPr>
              <w:t>51%</w:t>
            </w:r>
            <w:r>
              <w:rPr>
                <w:rFonts w:ascii="宋体" w:hAnsi="宋体" w:cs="宋体" w:eastAsia="宋体" w:hint="default"/>
                <w:sz w:val="18"/>
                <w:szCs w:val="18"/>
              </w:rPr>
              <w:t>的股权。</w:t>
            </w:r>
          </w:p>
          <w:p>
            <w:pPr>
              <w:pStyle w:val="TableParagraph"/>
              <w:spacing w:line="240" w:lineRule="auto" w:before="104"/>
              <w:ind w:left="38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6"/>
                <w:sz w:val="18"/>
                <w:szCs w:val="18"/>
              </w:rPr>
              <w:t> </w:t>
            </w:r>
            <w:r>
              <w:rPr>
                <w:rFonts w:ascii="宋体" w:hAnsi="宋体" w:cs="宋体" w:eastAsia="宋体" w:hint="default"/>
                <w:sz w:val="18"/>
                <w:szCs w:val="18"/>
              </w:rPr>
              <w:t>日，公司第四届董事会第二十二次会议审议通过了《关于使用超募资金建设实施</w:t>
            </w:r>
            <w:r>
              <w:rPr>
                <w:rFonts w:ascii="Arial" w:hAnsi="Arial" w:cs="Arial" w:eastAsia="Arial" w:hint="default"/>
                <w:sz w:val="18"/>
                <w:szCs w:val="18"/>
              </w:rPr>
              <w:t>“</w:t>
            </w:r>
            <w:r>
              <w:rPr>
                <w:rFonts w:ascii="宋体" w:hAnsi="宋体" w:cs="宋体" w:eastAsia="宋体" w:hint="default"/>
                <w:sz w:val="18"/>
                <w:szCs w:val="18"/>
              </w:rPr>
              <w:t>华宇（大连）研发基地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Arial" w:hAnsi="Arial" w:cs="Arial" w:eastAsia="Arial" w:hint="default"/>
                <w:sz w:val="18"/>
                <w:szCs w:val="18"/>
              </w:rPr>
              <w: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，同意使用超</w:t>
            </w:r>
            <w:r>
              <w:rPr>
                <w:rFonts w:ascii="宋体" w:hAnsi="宋体" w:cs="宋体" w:eastAsia="宋体" w:hint="default"/>
                <w:spacing w:val="2"/>
                <w:sz w:val="18"/>
                <w:szCs w:val="18"/>
              </w:rPr>
              <w:t>募</w:t>
            </w:r>
            <w:r>
              <w:rPr>
                <w:rFonts w:ascii="宋体" w:hAnsi="宋体" w:cs="宋体" w:eastAsia="宋体" w:hint="default"/>
                <w:sz w:val="18"/>
                <w:szCs w:val="18"/>
              </w:rPr>
              <w:t>资金</w:t>
            </w:r>
            <w:r>
              <w:rPr>
                <w:rFonts w:ascii="宋体" w:hAnsi="宋体" w:cs="宋体" w:eastAsia="宋体" w:hint="default"/>
                <w:spacing w:val="-44"/>
                <w:sz w:val="18"/>
                <w:szCs w:val="18"/>
              </w:rPr>
              <w:t> </w:t>
            </w:r>
            <w:r>
              <w:rPr>
                <w:rFonts w:ascii="Arial" w:hAnsi="Arial" w:cs="Arial" w:eastAsia="Arial" w:hint="default"/>
                <w:w w:val="99"/>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亿元建设实施</w:t>
            </w:r>
            <w:r>
              <w:rPr>
                <w:rFonts w:ascii="Arial" w:hAnsi="Arial" w:cs="Arial" w:eastAsia="Arial" w:hint="default"/>
                <w:sz w:val="18"/>
                <w:szCs w:val="18"/>
              </w:rPr>
              <w:t>“</w:t>
            </w:r>
            <w:r>
              <w:rPr>
                <w:rFonts w:ascii="宋体" w:hAnsi="宋体" w:cs="宋体" w:eastAsia="宋体" w:hint="default"/>
                <w:sz w:val="18"/>
                <w:szCs w:val="18"/>
              </w:rPr>
              <w:t>华宇（</w:t>
            </w:r>
            <w:r>
              <w:rPr>
                <w:rFonts w:ascii="宋体" w:hAnsi="宋体" w:cs="宋体" w:eastAsia="宋体" w:hint="default"/>
                <w:spacing w:val="-3"/>
                <w:sz w:val="18"/>
                <w:szCs w:val="18"/>
              </w:rPr>
              <w:t>大</w:t>
            </w:r>
            <w:r>
              <w:rPr>
                <w:rFonts w:ascii="宋体" w:hAnsi="宋体" w:cs="宋体" w:eastAsia="宋体" w:hint="default"/>
                <w:sz w:val="18"/>
                <w:szCs w:val="18"/>
              </w:rPr>
              <w:t>连）研发基地项目</w:t>
            </w:r>
            <w:r>
              <w:rPr>
                <w:rFonts w:ascii="Arial" w:hAnsi="Arial" w:cs="Arial" w:eastAsia="Arial" w:hint="default"/>
                <w:sz w:val="18"/>
                <w:szCs w:val="18"/>
              </w:rPr>
              <w:t>”</w:t>
            </w:r>
            <w:r>
              <w:rPr>
                <w:rFonts w:ascii="宋体" w:hAnsi="宋体" w:cs="宋体" w:eastAsia="宋体" w:hint="default"/>
                <w:sz w:val="18"/>
                <w:szCs w:val="18"/>
              </w:rPr>
              <w:t>。超募资金</w:t>
            </w:r>
            <w:r>
              <w:rPr>
                <w:rFonts w:ascii="宋体" w:hAnsi="宋体" w:cs="宋体" w:eastAsia="宋体" w:hint="default"/>
                <w:spacing w:val="-45"/>
                <w:sz w:val="18"/>
                <w:szCs w:val="18"/>
              </w:rPr>
              <w:t> </w:t>
            </w:r>
            <w:r>
              <w:rPr>
                <w:rFonts w:ascii="Arial" w:hAnsi="Arial" w:cs="Arial" w:eastAsia="Arial" w:hint="default"/>
                <w:w w:val="99"/>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亿元将分两次以增资方式注入华宇</w:t>
            </w:r>
          </w:p>
          <w:p>
            <w:pPr>
              <w:pStyle w:val="TableParagraph"/>
              <w:spacing w:line="240" w:lineRule="auto" w:before="63"/>
              <w:ind w:left="23" w:right="0"/>
              <w:jc w:val="left"/>
              <w:rPr>
                <w:rFonts w:ascii="Arial" w:hAnsi="Arial" w:cs="Arial" w:eastAsia="Arial" w:hint="default"/>
                <w:sz w:val="18"/>
                <w:szCs w:val="18"/>
              </w:rPr>
            </w:pPr>
            <w:r>
              <w:rPr>
                <w:rFonts w:ascii="宋体" w:hAnsi="宋体" w:cs="宋体" w:eastAsia="宋体" w:hint="default"/>
                <w:sz w:val="18"/>
                <w:szCs w:val="18"/>
              </w:rPr>
              <w:t>（大连）信息服务有限公司，截至目前，首次注资</w:t>
            </w:r>
            <w:r>
              <w:rPr>
                <w:rFonts w:ascii="宋体" w:hAnsi="宋体" w:cs="宋体" w:eastAsia="宋体" w:hint="default"/>
                <w:spacing w:val="-47"/>
                <w:sz w:val="18"/>
                <w:szCs w:val="18"/>
              </w:rPr>
              <w:t> </w:t>
            </w:r>
            <w:r>
              <w:rPr>
                <w:rFonts w:ascii="Arial" w:hAnsi="Arial" w:cs="Arial" w:eastAsia="Arial" w:hint="default"/>
                <w:sz w:val="18"/>
                <w:szCs w:val="18"/>
              </w:rPr>
              <w:t>6,000</w:t>
            </w:r>
            <w:r>
              <w:rPr>
                <w:rFonts w:ascii="Arial" w:hAnsi="Arial" w:cs="Arial" w:eastAsia="Arial" w:hint="default"/>
                <w:spacing w:val="-6"/>
                <w:sz w:val="18"/>
                <w:szCs w:val="18"/>
              </w:rPr>
              <w:t> </w:t>
            </w:r>
            <w:r>
              <w:rPr>
                <w:rFonts w:ascii="宋体" w:hAnsi="宋体" w:cs="宋体" w:eastAsia="宋体" w:hint="default"/>
                <w:sz w:val="18"/>
                <w:szCs w:val="18"/>
              </w:rPr>
              <w:t>万元及第二次注资</w:t>
            </w:r>
            <w:r>
              <w:rPr>
                <w:rFonts w:ascii="宋体" w:hAnsi="宋体" w:cs="宋体" w:eastAsia="宋体" w:hint="default"/>
                <w:spacing w:val="-48"/>
                <w:sz w:val="18"/>
                <w:szCs w:val="18"/>
              </w:rPr>
              <w:t> </w:t>
            </w:r>
            <w:r>
              <w:rPr>
                <w:rFonts w:ascii="Arial" w:hAnsi="Arial" w:cs="Arial" w:eastAsia="Arial" w:hint="default"/>
                <w:sz w:val="18"/>
                <w:szCs w:val="18"/>
              </w:rPr>
              <w:t>4,000</w:t>
            </w:r>
            <w:r>
              <w:rPr>
                <w:rFonts w:ascii="Arial" w:hAnsi="Arial" w:cs="Arial" w:eastAsia="Arial" w:hint="default"/>
                <w:spacing w:val="-7"/>
                <w:sz w:val="18"/>
                <w:szCs w:val="18"/>
              </w:rPr>
              <w:t> </w:t>
            </w:r>
            <w:r>
              <w:rPr>
                <w:rFonts w:ascii="宋体" w:hAnsi="宋体" w:cs="宋体" w:eastAsia="宋体" w:hint="default"/>
                <w:sz w:val="18"/>
                <w:szCs w:val="18"/>
              </w:rPr>
              <w:t>万元均已完成，大连华宇注册资金增至</w:t>
            </w:r>
            <w:r>
              <w:rPr>
                <w:rFonts w:ascii="宋体" w:hAnsi="宋体" w:cs="宋体" w:eastAsia="宋体" w:hint="default"/>
                <w:spacing w:val="-47"/>
                <w:sz w:val="18"/>
                <w:szCs w:val="18"/>
              </w:rPr>
              <w:t> </w:t>
            </w:r>
            <w:r>
              <w:rPr>
                <w:rFonts w:ascii="Arial" w:hAnsi="Arial" w:cs="Arial" w:eastAsia="Arial" w:hint="default"/>
                <w:sz w:val="18"/>
                <w:szCs w:val="18"/>
              </w:rPr>
              <w:t>12,000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543"/>
        <w:gridCol w:w="10350"/>
      </w:tblGrid>
      <w:tr>
        <w:trPr>
          <w:trHeight w:val="7876" w:hRule="exact"/>
        </w:trPr>
        <w:tc>
          <w:tcPr>
            <w:tcW w:w="354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3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383" w:right="0"/>
              <w:jc w:val="left"/>
              <w:rPr>
                <w:rFonts w:ascii="宋体" w:hAnsi="宋体" w:cs="宋体" w:eastAsia="宋体" w:hint="default"/>
                <w:sz w:val="18"/>
                <w:szCs w:val="18"/>
              </w:rPr>
            </w:pPr>
            <w:r>
              <w:rPr>
                <w:rFonts w:ascii="Arial" w:hAnsi="Arial" w:cs="Arial" w:eastAsia="Arial" w:hint="default"/>
                <w:w w:val="99"/>
                <w:sz w:val="18"/>
                <w:szCs w:val="18"/>
              </w:rPr>
              <w:t>4</w:t>
            </w:r>
            <w:r>
              <w:rPr>
                <w:rFonts w:ascii="宋体" w:hAnsi="宋体" w:cs="宋体" w:eastAsia="宋体" w:hint="default"/>
                <w:sz w:val="18"/>
                <w:szCs w:val="18"/>
              </w:rPr>
              <w:t>、</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2"/>
                <w:w w:val="99"/>
                <w:sz w:val="18"/>
                <w:szCs w:val="18"/>
              </w:rPr>
              <w:t>2</w:t>
            </w:r>
            <w:r>
              <w:rPr>
                <w:rFonts w:ascii="Arial" w:hAnsi="Arial" w:cs="Arial" w:eastAsia="Arial" w:hint="default"/>
                <w:w w:val="99"/>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日，公司第四届董事会第二十六次会议审议通过了《使用部分超募资金永久补充流动资金的议案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使用超募资金</w:t>
            </w:r>
            <w:r>
              <w:rPr>
                <w:rFonts w:ascii="宋体" w:hAnsi="宋体" w:cs="宋体" w:eastAsia="宋体" w:hint="default"/>
                <w:spacing w:val="-47"/>
                <w:sz w:val="18"/>
                <w:szCs w:val="18"/>
              </w:rPr>
              <w:t> </w:t>
            </w:r>
            <w:r>
              <w:rPr>
                <w:rFonts w:ascii="Arial" w:hAnsi="Arial" w:cs="Arial" w:eastAsia="Arial" w:hint="default"/>
                <w:sz w:val="18"/>
                <w:szCs w:val="18"/>
              </w:rPr>
              <w:t>6,400</w:t>
            </w:r>
            <w:r>
              <w:rPr>
                <w:rFonts w:ascii="Arial" w:hAnsi="Arial" w:cs="Arial" w:eastAsia="Arial" w:hint="default"/>
                <w:spacing w:val="-7"/>
                <w:sz w:val="18"/>
                <w:szCs w:val="18"/>
              </w:rPr>
              <w:t> </w:t>
            </w:r>
            <w:r>
              <w:rPr>
                <w:rFonts w:ascii="宋体" w:hAnsi="宋体" w:cs="宋体" w:eastAsia="宋体" w:hint="default"/>
                <w:sz w:val="18"/>
                <w:szCs w:val="18"/>
              </w:rPr>
              <w:t>万元用于永久补充流动资金。</w:t>
            </w:r>
          </w:p>
          <w:p>
            <w:pPr>
              <w:pStyle w:val="TableParagraph"/>
              <w:spacing w:line="240" w:lineRule="auto" w:before="102"/>
              <w:ind w:left="383" w:right="0"/>
              <w:jc w:val="left"/>
              <w:rPr>
                <w:rFonts w:ascii="宋体" w:hAnsi="宋体" w:cs="宋体" w:eastAsia="宋体" w:hint="default"/>
                <w:sz w:val="18"/>
                <w:szCs w:val="18"/>
              </w:rPr>
            </w:pPr>
            <w:r>
              <w:rPr>
                <w:rFonts w:ascii="Arial" w:hAnsi="Arial" w:cs="Arial" w:eastAsia="Arial" w:hint="default"/>
                <w:w w:val="99"/>
                <w:sz w:val="18"/>
                <w:szCs w:val="18"/>
              </w:rPr>
              <w:t>5</w:t>
            </w:r>
            <w:r>
              <w:rPr>
                <w:rFonts w:ascii="宋体" w:hAnsi="宋体" w:cs="宋体" w:eastAsia="宋体" w:hint="default"/>
                <w:sz w:val="18"/>
                <w:szCs w:val="18"/>
              </w:rPr>
              <w:t>、</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7</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2"/>
                <w:w w:val="99"/>
                <w:sz w:val="18"/>
                <w:szCs w:val="18"/>
              </w:rPr>
              <w:t>1</w:t>
            </w:r>
            <w:r>
              <w:rPr>
                <w:rFonts w:ascii="Arial" w:hAnsi="Arial" w:cs="Arial" w:eastAsia="Arial" w:hint="default"/>
                <w:w w:val="99"/>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日，公司第四届董事会第二十八次会议审议通过了《使用部分超募资金暂时补充流动资金的议案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使用超募资金</w:t>
            </w:r>
            <w:r>
              <w:rPr>
                <w:rFonts w:ascii="宋体" w:hAnsi="宋体" w:cs="宋体" w:eastAsia="宋体" w:hint="default"/>
                <w:spacing w:val="-46"/>
                <w:sz w:val="18"/>
                <w:szCs w:val="18"/>
              </w:rPr>
              <w:t> </w:t>
            </w:r>
            <w:r>
              <w:rPr>
                <w:rFonts w:ascii="Arial" w:hAnsi="Arial" w:cs="Arial" w:eastAsia="Arial" w:hint="default"/>
                <w:sz w:val="18"/>
                <w:szCs w:val="18"/>
              </w:rPr>
              <w:t>5,000</w:t>
            </w:r>
            <w:r>
              <w:rPr>
                <w:rFonts w:ascii="Arial" w:hAnsi="Arial" w:cs="Arial" w:eastAsia="Arial" w:hint="default"/>
                <w:spacing w:val="-6"/>
                <w:sz w:val="18"/>
                <w:szCs w:val="18"/>
              </w:rPr>
              <w:t> </w:t>
            </w:r>
            <w:r>
              <w:rPr>
                <w:rFonts w:ascii="宋体" w:hAnsi="宋体" w:cs="宋体" w:eastAsia="宋体" w:hint="default"/>
                <w:sz w:val="18"/>
                <w:szCs w:val="18"/>
              </w:rPr>
              <w:t>万元用于暂时补充流动资金。</w:t>
            </w: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25</w:t>
            </w:r>
            <w:r>
              <w:rPr>
                <w:rFonts w:ascii="Arial" w:hAnsi="Arial" w:cs="Arial" w:eastAsia="Arial" w:hint="default"/>
                <w:spacing w:val="-6"/>
                <w:sz w:val="18"/>
                <w:szCs w:val="18"/>
              </w:rPr>
              <w:t> </w:t>
            </w:r>
            <w:r>
              <w:rPr>
                <w:rFonts w:ascii="宋体" w:hAnsi="宋体" w:cs="宋体" w:eastAsia="宋体" w:hint="default"/>
                <w:sz w:val="18"/>
                <w:szCs w:val="18"/>
              </w:rPr>
              <w:t>日，公司已将人民币</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6"/>
                <w:sz w:val="18"/>
                <w:szCs w:val="18"/>
              </w:rPr>
              <w:t> </w:t>
            </w:r>
            <w:r>
              <w:rPr>
                <w:rFonts w:ascii="宋体" w:hAnsi="宋体" w:cs="宋体" w:eastAsia="宋体" w:hint="default"/>
                <w:sz w:val="18"/>
                <w:szCs w:val="18"/>
              </w:rPr>
              <w:t>万元归还至原超募资金存放账户。</w:t>
            </w:r>
          </w:p>
          <w:p>
            <w:pPr>
              <w:pStyle w:val="TableParagraph"/>
              <w:spacing w:line="302" w:lineRule="auto" w:before="63"/>
              <w:ind w:left="23" w:right="53"/>
              <w:jc w:val="left"/>
              <w:rPr>
                <w:rFonts w:ascii="宋体" w:hAnsi="宋体" w:cs="宋体" w:eastAsia="宋体" w:hint="default"/>
                <w:sz w:val="18"/>
                <w:szCs w:val="18"/>
              </w:rPr>
            </w:pPr>
            <w:r>
              <w:rPr>
                <w:rFonts w:ascii="宋体" w:hAnsi="宋体" w:cs="宋体" w:eastAsia="宋体" w:hint="default"/>
                <w:sz w:val="18"/>
                <w:szCs w:val="18"/>
              </w:rPr>
              <w:t>同时，公司将上述募集资金归还情况通知了保荐机构及保荐代表人。至此，公司使用超募资金</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7"/>
                <w:sz w:val="18"/>
                <w:szCs w:val="18"/>
              </w:rPr>
              <w:t> </w:t>
            </w:r>
            <w:r>
              <w:rPr>
                <w:rFonts w:ascii="宋体" w:hAnsi="宋体" w:cs="宋体" w:eastAsia="宋体" w:hint="default"/>
                <w:sz w:val="18"/>
                <w:szCs w:val="18"/>
              </w:rPr>
              <w:t>万元暂时补充流动资金已一次 性归还完毕。</w:t>
            </w:r>
          </w:p>
          <w:p>
            <w:pPr>
              <w:pStyle w:val="TableParagraph"/>
              <w:spacing w:line="240" w:lineRule="auto" w:before="70"/>
              <w:ind w:left="383" w:right="0"/>
              <w:jc w:val="left"/>
              <w:rPr>
                <w:rFonts w:ascii="宋体" w:hAnsi="宋体" w:cs="宋体" w:eastAsia="宋体" w:hint="default"/>
                <w:sz w:val="18"/>
                <w:szCs w:val="18"/>
              </w:rPr>
            </w:pPr>
            <w:r>
              <w:rPr>
                <w:rFonts w:ascii="Arial" w:hAnsi="Arial" w:cs="Arial" w:eastAsia="Arial" w:hint="default"/>
                <w:w w:val="99"/>
                <w:sz w:val="18"/>
                <w:szCs w:val="18"/>
              </w:rPr>
              <w:t>6</w:t>
            </w:r>
            <w:r>
              <w:rPr>
                <w:rFonts w:ascii="宋体" w:hAnsi="宋体" w:cs="宋体" w:eastAsia="宋体" w:hint="default"/>
                <w:sz w:val="18"/>
                <w:szCs w:val="18"/>
              </w:rPr>
              <w:t>、</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3"/>
                <w:sz w:val="18"/>
                <w:szCs w:val="18"/>
              </w:rPr>
              <w:t>第</w:t>
            </w:r>
            <w:r>
              <w:rPr>
                <w:rFonts w:ascii="宋体" w:hAnsi="宋体" w:cs="宋体" w:eastAsia="宋体" w:hint="default"/>
                <w:sz w:val="18"/>
                <w:szCs w:val="18"/>
              </w:rPr>
              <w:t>五届</w:t>
            </w:r>
            <w:r>
              <w:rPr>
                <w:rFonts w:ascii="宋体" w:hAnsi="宋体" w:cs="宋体" w:eastAsia="宋体" w:hint="default"/>
                <w:spacing w:val="-1"/>
                <w:sz w:val="18"/>
                <w:szCs w:val="18"/>
              </w:rPr>
              <w:t>董</w:t>
            </w:r>
            <w:r>
              <w:rPr>
                <w:rFonts w:ascii="宋体" w:hAnsi="宋体" w:cs="宋体" w:eastAsia="宋体" w:hint="default"/>
                <w:sz w:val="18"/>
                <w:szCs w:val="18"/>
              </w:rPr>
              <w:t>事会第六次会议审议通过了《使用部分超募资金暂时补充流动资金的议案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w:t>
            </w:r>
            <w:r>
              <w:rPr>
                <w:rFonts w:ascii="宋体" w:hAnsi="宋体" w:cs="宋体" w:eastAsia="宋体" w:hint="default"/>
                <w:spacing w:val="2"/>
                <w:sz w:val="18"/>
                <w:szCs w:val="18"/>
              </w:rPr>
              <w:t>使</w:t>
            </w:r>
            <w:r>
              <w:rPr>
                <w:rFonts w:ascii="宋体" w:hAnsi="宋体" w:cs="宋体" w:eastAsia="宋体" w:hint="default"/>
                <w:sz w:val="18"/>
                <w:szCs w:val="18"/>
              </w:rPr>
              <w:t>用超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6"/>
                <w:sz w:val="18"/>
                <w:szCs w:val="18"/>
              </w:rPr>
              <w:t> </w:t>
            </w:r>
            <w:r>
              <w:rPr>
                <w:rFonts w:ascii="Arial" w:hAnsi="Arial" w:cs="Arial" w:eastAsia="Arial" w:hint="default"/>
                <w:sz w:val="18"/>
                <w:szCs w:val="18"/>
              </w:rPr>
              <w:t>5,000</w:t>
            </w:r>
            <w:r>
              <w:rPr>
                <w:rFonts w:ascii="Arial" w:hAnsi="Arial" w:cs="Arial" w:eastAsia="Arial" w:hint="default"/>
                <w:spacing w:val="-6"/>
                <w:sz w:val="18"/>
                <w:szCs w:val="18"/>
              </w:rPr>
              <w:t> </w:t>
            </w:r>
            <w:r>
              <w:rPr>
                <w:rFonts w:ascii="宋体" w:hAnsi="宋体" w:cs="宋体" w:eastAsia="宋体" w:hint="default"/>
                <w:sz w:val="18"/>
                <w:szCs w:val="18"/>
              </w:rPr>
              <w:t>万元用于暂时补充流动资金。</w:t>
            </w: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2</w:t>
            </w:r>
            <w:r>
              <w:rPr>
                <w:rFonts w:ascii="Arial" w:hAnsi="Arial" w:cs="Arial" w:eastAsia="Arial" w:hint="default"/>
                <w:spacing w:val="-6"/>
                <w:sz w:val="18"/>
                <w:szCs w:val="18"/>
              </w:rPr>
              <w:t> </w:t>
            </w:r>
            <w:r>
              <w:rPr>
                <w:rFonts w:ascii="宋体" w:hAnsi="宋体" w:cs="宋体" w:eastAsia="宋体" w:hint="default"/>
                <w:sz w:val="18"/>
                <w:szCs w:val="18"/>
              </w:rPr>
              <w:t>日，公司已将人民币</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6"/>
                <w:sz w:val="18"/>
                <w:szCs w:val="18"/>
              </w:rPr>
              <w:t> </w:t>
            </w:r>
            <w:r>
              <w:rPr>
                <w:rFonts w:ascii="宋体" w:hAnsi="宋体" w:cs="宋体" w:eastAsia="宋体" w:hint="default"/>
                <w:sz w:val="18"/>
                <w:szCs w:val="18"/>
              </w:rPr>
              <w:t>万元归还至原超募资金存放账户。同时，公</w:t>
            </w:r>
          </w:p>
          <w:p>
            <w:pPr>
              <w:pStyle w:val="TableParagraph"/>
              <w:spacing w:line="302" w:lineRule="auto" w:before="64"/>
              <w:ind w:left="23" w:right="51"/>
              <w:jc w:val="left"/>
              <w:rPr>
                <w:rFonts w:ascii="宋体" w:hAnsi="宋体" w:cs="宋体" w:eastAsia="宋体" w:hint="default"/>
                <w:sz w:val="18"/>
                <w:szCs w:val="18"/>
              </w:rPr>
            </w:pPr>
            <w:r>
              <w:rPr>
                <w:rFonts w:ascii="宋体" w:hAnsi="宋体" w:cs="宋体" w:eastAsia="宋体" w:hint="default"/>
                <w:sz w:val="18"/>
                <w:szCs w:val="18"/>
              </w:rPr>
              <w:t>司将上述募集资金归还情况通知了保荐机构及保荐代表人。至此，公司使用超募资金</w:t>
            </w:r>
            <w:r>
              <w:rPr>
                <w:rFonts w:ascii="宋体" w:hAnsi="宋体" w:cs="宋体" w:eastAsia="宋体" w:hint="default"/>
                <w:spacing w:val="-45"/>
                <w:sz w:val="18"/>
                <w:szCs w:val="18"/>
              </w:rPr>
              <w:t> </w:t>
            </w:r>
            <w:r>
              <w:rPr>
                <w:rFonts w:ascii="Arial" w:hAnsi="Arial" w:cs="Arial" w:eastAsia="Arial" w:hint="default"/>
                <w:sz w:val="18"/>
                <w:szCs w:val="18"/>
              </w:rPr>
              <w:t>5,000</w:t>
            </w:r>
            <w:r>
              <w:rPr>
                <w:rFonts w:ascii="Arial" w:hAnsi="Arial" w:cs="Arial" w:eastAsia="Arial" w:hint="default"/>
                <w:spacing w:val="-5"/>
                <w:sz w:val="18"/>
                <w:szCs w:val="18"/>
              </w:rPr>
              <w:t> </w:t>
            </w:r>
            <w:r>
              <w:rPr>
                <w:rFonts w:ascii="宋体" w:hAnsi="宋体" w:cs="宋体" w:eastAsia="宋体" w:hint="default"/>
                <w:sz w:val="18"/>
                <w:szCs w:val="18"/>
              </w:rPr>
              <w:t>万元暂时补充流动资金已一次性归还完 毕。</w:t>
            </w:r>
          </w:p>
          <w:p>
            <w:pPr>
              <w:pStyle w:val="TableParagraph"/>
              <w:spacing w:line="240" w:lineRule="auto" w:before="70"/>
              <w:ind w:left="383" w:right="0"/>
              <w:jc w:val="left"/>
              <w:rPr>
                <w:rFonts w:ascii="宋体" w:hAnsi="宋体" w:cs="宋体" w:eastAsia="宋体" w:hint="default"/>
                <w:sz w:val="18"/>
                <w:szCs w:val="18"/>
              </w:rPr>
            </w:pPr>
            <w:r>
              <w:rPr>
                <w:rFonts w:ascii="Arial" w:hAnsi="Arial" w:cs="Arial" w:eastAsia="Arial" w:hint="default"/>
                <w:w w:val="99"/>
                <w:sz w:val="18"/>
                <w:szCs w:val="18"/>
              </w:rPr>
              <w:t>7</w:t>
            </w:r>
            <w:r>
              <w:rPr>
                <w:rFonts w:ascii="宋体" w:hAnsi="宋体" w:cs="宋体" w:eastAsia="宋体" w:hint="default"/>
                <w:sz w:val="18"/>
                <w:szCs w:val="18"/>
              </w:rPr>
              <w:t>、</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2"/>
                <w:w w:val="99"/>
                <w:sz w:val="18"/>
                <w:szCs w:val="18"/>
              </w:rPr>
              <w:t>1</w:t>
            </w:r>
            <w:r>
              <w:rPr>
                <w:rFonts w:ascii="Arial" w:hAnsi="Arial" w:cs="Arial" w:eastAsia="Arial" w:hint="default"/>
                <w:w w:val="99"/>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日，公司第五届董事会第九次会议审议通过了《使用部分超募资金永久补充流动资金</w:t>
            </w:r>
            <w:r>
              <w:rPr>
                <w:rFonts w:ascii="宋体" w:hAnsi="宋体" w:cs="宋体" w:eastAsia="宋体" w:hint="default"/>
                <w:spacing w:val="-92"/>
                <w:sz w:val="18"/>
                <w:szCs w:val="18"/>
              </w:rPr>
              <w:t>》</w:t>
            </w:r>
            <w:r>
              <w:rPr>
                <w:rFonts w:ascii="宋体" w:hAnsi="宋体" w:cs="宋体" w:eastAsia="宋体" w:hint="default"/>
                <w:sz w:val="18"/>
                <w:szCs w:val="18"/>
              </w:rPr>
              <w:t>，同意使用</w:t>
            </w:r>
            <w:r>
              <w:rPr>
                <w:rFonts w:ascii="宋体" w:hAnsi="宋体" w:cs="宋体" w:eastAsia="宋体" w:hint="default"/>
                <w:spacing w:val="2"/>
                <w:sz w:val="18"/>
                <w:szCs w:val="18"/>
              </w:rPr>
              <w:t>超</w:t>
            </w:r>
            <w:r>
              <w:rPr>
                <w:rFonts w:ascii="宋体" w:hAnsi="宋体" w:cs="宋体" w:eastAsia="宋体" w:hint="default"/>
                <w:sz w:val="18"/>
                <w:szCs w:val="18"/>
              </w:rPr>
              <w:t>募资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8"/>
                <w:sz w:val="18"/>
                <w:szCs w:val="18"/>
              </w:rPr>
              <w:t> </w:t>
            </w:r>
            <w:r>
              <w:rPr>
                <w:rFonts w:ascii="Arial" w:hAnsi="Arial" w:cs="Arial" w:eastAsia="Arial" w:hint="default"/>
                <w:sz w:val="18"/>
                <w:szCs w:val="18"/>
              </w:rPr>
              <w:t>3,000</w:t>
            </w:r>
            <w:r>
              <w:rPr>
                <w:rFonts w:ascii="Arial" w:hAnsi="Arial" w:cs="Arial" w:eastAsia="Arial" w:hint="default"/>
                <w:spacing w:val="-6"/>
                <w:sz w:val="18"/>
                <w:szCs w:val="18"/>
              </w:rPr>
              <w:t> </w:t>
            </w:r>
            <w:r>
              <w:rPr>
                <w:rFonts w:ascii="宋体" w:hAnsi="宋体" w:cs="宋体" w:eastAsia="宋体" w:hint="default"/>
                <w:sz w:val="18"/>
                <w:szCs w:val="18"/>
              </w:rPr>
              <w:t>万元用于永久补充流动资金。</w:t>
            </w:r>
          </w:p>
          <w:p>
            <w:pPr>
              <w:pStyle w:val="TableParagraph"/>
              <w:spacing w:line="240" w:lineRule="auto" w:before="102"/>
              <w:ind w:left="383"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w:t>
            </w: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日，公司第五届董事会第十三次会议审议通过了《关于部分募投项目结项并将结余资金转超募资金的议</w:t>
            </w:r>
          </w:p>
          <w:p>
            <w:pPr>
              <w:pStyle w:val="TableParagraph"/>
              <w:spacing w:line="302" w:lineRule="auto" w:before="63"/>
              <w:ind w:left="23" w:right="371"/>
              <w:jc w:val="left"/>
              <w:rPr>
                <w:rFonts w:ascii="宋体" w:hAnsi="宋体" w:cs="宋体" w:eastAsia="宋体" w:hint="default"/>
                <w:sz w:val="18"/>
                <w:szCs w:val="18"/>
              </w:rPr>
            </w:pPr>
            <w:r>
              <w:rPr>
                <w:rFonts w:ascii="宋体" w:hAnsi="宋体" w:cs="宋体" w:eastAsia="宋体" w:hint="default"/>
                <w:spacing w:val="-2"/>
                <w:sz w:val="18"/>
                <w:szCs w:val="18"/>
              </w:rPr>
              <w:t>案》，同意将公司募投项目</w:t>
            </w:r>
            <w:r>
              <w:rPr>
                <w:rFonts w:ascii="Arial" w:hAnsi="Arial" w:cs="Arial" w:eastAsia="Arial" w:hint="default"/>
                <w:spacing w:val="-2"/>
                <w:sz w:val="18"/>
                <w:szCs w:val="18"/>
              </w:rPr>
              <w:t>“</w:t>
            </w:r>
            <w:r>
              <w:rPr>
                <w:rFonts w:ascii="宋体" w:hAnsi="宋体" w:cs="宋体" w:eastAsia="宋体" w:hint="default"/>
                <w:spacing w:val="-2"/>
                <w:sz w:val="18"/>
                <w:szCs w:val="18"/>
              </w:rPr>
              <w:t>商业智能分析应用平台</w:t>
            </w:r>
            <w:r>
              <w:rPr>
                <w:rFonts w:ascii="Arial" w:hAnsi="Arial" w:cs="Arial" w:eastAsia="Arial" w:hint="default"/>
                <w:spacing w:val="-2"/>
                <w:sz w:val="18"/>
                <w:szCs w:val="18"/>
              </w:rPr>
              <w:t>”</w:t>
            </w:r>
            <w:r>
              <w:rPr>
                <w:rFonts w:ascii="宋体" w:hAnsi="宋体" w:cs="宋体" w:eastAsia="宋体" w:hint="default"/>
                <w:spacing w:val="-2"/>
                <w:sz w:val="18"/>
                <w:szCs w:val="18"/>
              </w:rPr>
              <w:t>和</w:t>
            </w:r>
            <w:r>
              <w:rPr>
                <w:rFonts w:ascii="Arial" w:hAnsi="Arial" w:cs="Arial" w:eastAsia="Arial" w:hint="default"/>
                <w:spacing w:val="-2"/>
                <w:sz w:val="18"/>
                <w:szCs w:val="18"/>
              </w:rPr>
              <w:t>“</w:t>
            </w:r>
            <w:r>
              <w:rPr>
                <w:rFonts w:ascii="宋体" w:hAnsi="宋体" w:cs="宋体" w:eastAsia="宋体" w:hint="default"/>
                <w:spacing w:val="-2"/>
                <w:sz w:val="18"/>
                <w:szCs w:val="18"/>
              </w:rPr>
              <w:t>华宇政务应用支撑和研发平台</w:t>
            </w:r>
            <w:r>
              <w:rPr>
                <w:rFonts w:ascii="Arial" w:hAnsi="Arial" w:cs="Arial" w:eastAsia="Arial" w:hint="default"/>
                <w:spacing w:val="-2"/>
                <w:sz w:val="18"/>
                <w:szCs w:val="18"/>
              </w:rPr>
              <w:t>”</w:t>
            </w:r>
            <w:r>
              <w:rPr>
                <w:rFonts w:ascii="宋体" w:hAnsi="宋体" w:cs="宋体" w:eastAsia="宋体" w:hint="default"/>
                <w:spacing w:val="-2"/>
                <w:sz w:val="18"/>
                <w:szCs w:val="18"/>
              </w:rPr>
              <w:t>的结余募集资金</w:t>
            </w:r>
            <w:r>
              <w:rPr>
                <w:rFonts w:ascii="宋体" w:hAnsi="宋体" w:cs="宋体" w:eastAsia="宋体" w:hint="default"/>
                <w:spacing w:val="-42"/>
                <w:sz w:val="18"/>
                <w:szCs w:val="18"/>
              </w:rPr>
              <w:t> </w:t>
            </w:r>
            <w:r>
              <w:rPr>
                <w:rFonts w:ascii="Arial" w:hAnsi="Arial" w:cs="Arial" w:eastAsia="Arial" w:hint="default"/>
                <w:spacing w:val="-1"/>
                <w:w w:val="99"/>
                <w:sz w:val="18"/>
                <w:szCs w:val="18"/>
              </w:rPr>
              <w:t>2,300.32</w:t>
            </w:r>
            <w:r>
              <w:rPr>
                <w:rFonts w:ascii="Arial" w:hAnsi="Arial" w:cs="Arial" w:eastAsia="Arial" w:hint="default"/>
                <w:w w:val="99"/>
                <w:sz w:val="18"/>
                <w:szCs w:val="18"/>
              </w:rPr>
              <w:t> </w:t>
            </w:r>
            <w:r>
              <w:rPr>
                <w:rFonts w:ascii="宋体" w:hAnsi="宋体" w:cs="宋体" w:eastAsia="宋体" w:hint="default"/>
                <w:sz w:val="18"/>
                <w:szCs w:val="18"/>
              </w:rPr>
              <w:t>万元（含利息收 入）转为超募资金管理。</w:t>
            </w:r>
          </w:p>
          <w:p>
            <w:pPr>
              <w:pStyle w:val="TableParagraph"/>
              <w:spacing w:line="240" w:lineRule="auto" w:before="70"/>
              <w:ind w:left="383" w:right="0"/>
              <w:jc w:val="left"/>
              <w:rPr>
                <w:rFonts w:ascii="宋体" w:hAnsi="宋体" w:cs="宋体" w:eastAsia="宋体" w:hint="default"/>
                <w:sz w:val="18"/>
                <w:szCs w:val="18"/>
              </w:rPr>
            </w:pPr>
            <w:r>
              <w:rPr>
                <w:rFonts w:ascii="Arial" w:hAnsi="Arial" w:cs="Arial" w:eastAsia="Arial" w:hint="default"/>
                <w:sz w:val="18"/>
                <w:szCs w:val="18"/>
              </w:rPr>
              <w:t>9</w:t>
            </w:r>
            <w:r>
              <w:rPr>
                <w:rFonts w:ascii="宋体" w:hAnsi="宋体" w:cs="宋体" w:eastAsia="宋体" w:hint="default"/>
                <w:sz w:val="18"/>
                <w:szCs w:val="18"/>
              </w:rPr>
              <w:t>、</w:t>
            </w: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日，公司第五届董事会第十四次会议通过《关于使用超募资金参股深圳市捷视飞通科技有限公司的议</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，同意使用超募资金</w:t>
            </w:r>
            <w:r>
              <w:rPr>
                <w:rFonts w:ascii="宋体" w:hAnsi="宋体" w:cs="宋体" w:eastAsia="宋体" w:hint="default"/>
                <w:spacing w:val="-44"/>
                <w:sz w:val="18"/>
                <w:szCs w:val="18"/>
              </w:rPr>
              <w:t> </w:t>
            </w:r>
            <w:r>
              <w:rPr>
                <w:rFonts w:ascii="Arial" w:hAnsi="Arial" w:cs="Arial" w:eastAsia="Arial" w:hint="default"/>
                <w:w w:val="99"/>
                <w:sz w:val="18"/>
                <w:szCs w:val="18"/>
              </w:rPr>
              <w:t>3</w:t>
            </w:r>
            <w:r>
              <w:rPr>
                <w:rFonts w:ascii="Arial" w:hAnsi="Arial" w:cs="Arial" w:eastAsia="Arial" w:hint="default"/>
                <w:w w:val="100"/>
                <w:sz w:val="18"/>
                <w:szCs w:val="18"/>
              </w:rPr>
              <w:t>,0</w:t>
            </w:r>
            <w:r>
              <w:rPr>
                <w:rFonts w:ascii="Arial" w:hAnsi="Arial" w:cs="Arial" w:eastAsia="Arial" w:hint="default"/>
                <w:w w:val="99"/>
                <w:sz w:val="18"/>
                <w:szCs w:val="18"/>
              </w:rPr>
              <w:t>00</w:t>
            </w:r>
            <w:r>
              <w:rPr>
                <w:rFonts w:ascii="Arial" w:hAnsi="Arial" w:cs="Arial" w:eastAsia="Arial" w:hint="default"/>
                <w:spacing w:val="-6"/>
                <w:sz w:val="18"/>
                <w:szCs w:val="18"/>
              </w:rPr>
              <w:t> </w:t>
            </w:r>
            <w:r>
              <w:rPr>
                <w:rFonts w:ascii="宋体" w:hAnsi="宋体" w:cs="宋体" w:eastAsia="宋体" w:hint="default"/>
                <w:sz w:val="18"/>
                <w:szCs w:val="18"/>
              </w:rPr>
              <w:t>万元以增资的形式投资深圳市捷视飞通科技有限公司。</w:t>
            </w:r>
          </w:p>
          <w:p>
            <w:pPr>
              <w:pStyle w:val="TableParagraph"/>
              <w:spacing w:line="240" w:lineRule="auto" w:before="104"/>
              <w:ind w:left="383" w:right="0"/>
              <w:jc w:val="left"/>
              <w:rPr>
                <w:rFonts w:ascii="宋体" w:hAnsi="宋体" w:cs="宋体" w:eastAsia="宋体" w:hint="default"/>
                <w:sz w:val="18"/>
                <w:szCs w:val="18"/>
              </w:rPr>
            </w:pPr>
            <w:r>
              <w:rPr>
                <w:rFonts w:ascii="Arial" w:hAnsi="Arial" w:cs="Arial" w:eastAsia="Arial" w:hint="default"/>
                <w:sz w:val="18"/>
                <w:szCs w:val="18"/>
              </w:rPr>
              <w:t>10</w:t>
            </w:r>
            <w:r>
              <w:rPr>
                <w:rFonts w:ascii="宋体" w:hAnsi="宋体" w:cs="宋体" w:eastAsia="宋体" w:hint="default"/>
                <w:sz w:val="18"/>
                <w:szCs w:val="18"/>
              </w:rPr>
              <w:t>、</w:t>
            </w: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6"/>
                <w:sz w:val="18"/>
                <w:szCs w:val="18"/>
              </w:rPr>
              <w:t> </w:t>
            </w:r>
            <w:r>
              <w:rPr>
                <w:rFonts w:ascii="宋体" w:hAnsi="宋体" w:cs="宋体" w:eastAsia="宋体" w:hint="default"/>
                <w:sz w:val="18"/>
                <w:szCs w:val="18"/>
              </w:rPr>
              <w:t>日，公司第五届董事会第十四次会议决议审议通过《关于使用部分超募资金支付公司发行股份及支付现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金购买资产现金对价的议案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同意以发行股份及支付现金的方式购买马勤等</w:t>
            </w:r>
            <w:r>
              <w:rPr>
                <w:rFonts w:ascii="宋体" w:hAnsi="宋体" w:cs="宋体" w:eastAsia="宋体" w:hint="default"/>
                <w:spacing w:val="-44"/>
                <w:sz w:val="18"/>
                <w:szCs w:val="18"/>
              </w:rPr>
              <w:t> </w:t>
            </w:r>
            <w:r>
              <w:rPr>
                <w:rFonts w:ascii="Arial" w:hAnsi="Arial" w:cs="Arial" w:eastAsia="Arial" w:hint="default"/>
                <w:spacing w:val="-14"/>
                <w:w w:val="99"/>
                <w:sz w:val="18"/>
                <w:szCs w:val="18"/>
              </w:rPr>
              <w:t>1</w:t>
            </w:r>
            <w:r>
              <w:rPr>
                <w:rFonts w:ascii="Arial" w:hAnsi="Arial" w:cs="Arial" w:eastAsia="Arial" w:hint="default"/>
                <w:w w:val="99"/>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名交易对</w:t>
            </w:r>
            <w:r>
              <w:rPr>
                <w:rFonts w:ascii="宋体" w:hAnsi="宋体" w:cs="宋体" w:eastAsia="宋体" w:hint="default"/>
                <w:spacing w:val="-3"/>
                <w:sz w:val="18"/>
                <w:szCs w:val="18"/>
              </w:rPr>
              <w:t>方</w:t>
            </w:r>
            <w:r>
              <w:rPr>
                <w:rFonts w:ascii="宋体" w:hAnsi="宋体" w:cs="宋体" w:eastAsia="宋体" w:hint="default"/>
                <w:sz w:val="18"/>
                <w:szCs w:val="18"/>
              </w:rPr>
              <w:t>合计持有的上海浦东中软科技发展有限</w:t>
            </w:r>
          </w:p>
          <w:p>
            <w:pPr>
              <w:pStyle w:val="TableParagraph"/>
              <w:spacing w:line="302" w:lineRule="auto" w:before="63"/>
              <w:ind w:left="23" w:right="2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Arial" w:hAnsi="Arial" w:cs="Arial" w:eastAsia="Arial" w:hint="default"/>
                <w:sz w:val="18"/>
                <w:szCs w:val="18"/>
              </w:rPr>
              <w:t>90.185%</w:t>
            </w:r>
            <w:r>
              <w:rPr>
                <w:rFonts w:ascii="宋体" w:hAnsi="宋体" w:cs="宋体" w:eastAsia="宋体" w:hint="default"/>
                <w:sz w:val="18"/>
                <w:szCs w:val="18"/>
              </w:rPr>
              <w:t>股权，交易总额为</w:t>
            </w:r>
            <w:r>
              <w:rPr>
                <w:rFonts w:ascii="宋体" w:hAnsi="宋体" w:cs="宋体" w:eastAsia="宋体" w:hint="default"/>
                <w:spacing w:val="-48"/>
                <w:sz w:val="18"/>
                <w:szCs w:val="18"/>
              </w:rPr>
              <w:t> </w:t>
            </w:r>
            <w:r>
              <w:rPr>
                <w:rFonts w:ascii="Arial" w:hAnsi="Arial" w:cs="Arial" w:eastAsia="Arial" w:hint="default"/>
                <w:sz w:val="18"/>
                <w:szCs w:val="18"/>
              </w:rPr>
              <w:t>13,527.75</w:t>
            </w:r>
            <w:r>
              <w:rPr>
                <w:rFonts w:ascii="Arial" w:hAnsi="Arial" w:cs="Arial" w:eastAsia="Arial" w:hint="default"/>
                <w:spacing w:val="-7"/>
                <w:sz w:val="18"/>
                <w:szCs w:val="18"/>
              </w:rPr>
              <w:t> </w:t>
            </w:r>
            <w:r>
              <w:rPr>
                <w:rFonts w:ascii="宋体" w:hAnsi="宋体" w:cs="宋体" w:eastAsia="宋体" w:hint="default"/>
                <w:sz w:val="18"/>
                <w:szCs w:val="18"/>
              </w:rPr>
              <w:t>万元，其中使用超募资金</w:t>
            </w:r>
            <w:r>
              <w:rPr>
                <w:rFonts w:ascii="宋体" w:hAnsi="宋体" w:cs="宋体" w:eastAsia="宋体" w:hint="default"/>
                <w:spacing w:val="-48"/>
                <w:sz w:val="18"/>
                <w:szCs w:val="18"/>
              </w:rPr>
              <w:t> </w:t>
            </w:r>
            <w:r>
              <w:rPr>
                <w:rFonts w:ascii="Arial" w:hAnsi="Arial" w:cs="Arial" w:eastAsia="Arial" w:hint="default"/>
                <w:sz w:val="18"/>
                <w:szCs w:val="18"/>
              </w:rPr>
              <w:t>5,500</w:t>
            </w:r>
            <w:r>
              <w:rPr>
                <w:rFonts w:ascii="Arial" w:hAnsi="Arial" w:cs="Arial" w:eastAsia="Arial" w:hint="default"/>
                <w:spacing w:val="-7"/>
                <w:sz w:val="18"/>
                <w:szCs w:val="18"/>
              </w:rPr>
              <w:t> </w:t>
            </w:r>
            <w:r>
              <w:rPr>
                <w:rFonts w:ascii="宋体" w:hAnsi="宋体" w:cs="宋体" w:eastAsia="宋体" w:hint="default"/>
                <w:sz w:val="18"/>
                <w:szCs w:val="18"/>
              </w:rPr>
              <w:t>万元支付本次交易的部分现金对价，不足部分由公司以 自有资金支付。</w:t>
            </w:r>
          </w:p>
          <w:p>
            <w:pPr>
              <w:pStyle w:val="TableParagraph"/>
              <w:spacing w:line="302" w:lineRule="auto" w:before="68"/>
              <w:ind w:left="23" w:right="159" w:firstLine="360"/>
              <w:jc w:val="left"/>
              <w:rPr>
                <w:rFonts w:ascii="宋体" w:hAnsi="宋体" w:cs="宋体" w:eastAsia="宋体" w:hint="default"/>
                <w:sz w:val="18"/>
                <w:szCs w:val="18"/>
              </w:rPr>
            </w:pPr>
            <w:r>
              <w:rPr>
                <w:rFonts w:ascii="Arial" w:hAnsi="Arial" w:cs="Arial" w:eastAsia="Arial" w:hint="default"/>
                <w:spacing w:val="-3"/>
                <w:sz w:val="18"/>
                <w:szCs w:val="18"/>
              </w:rPr>
              <w:t>11</w:t>
            </w:r>
            <w:r>
              <w:rPr>
                <w:rFonts w:ascii="宋体" w:hAnsi="宋体" w:cs="宋体" w:eastAsia="宋体" w:hint="default"/>
                <w:spacing w:val="-3"/>
                <w:sz w:val="18"/>
                <w:szCs w:val="18"/>
              </w:rPr>
              <w:t>、</w:t>
            </w:r>
            <w:r>
              <w:rPr>
                <w:rFonts w:ascii="Arial" w:hAnsi="Arial" w:cs="Arial" w:eastAsia="Arial" w:hint="default"/>
                <w:spacing w:val="-3"/>
                <w:sz w:val="18"/>
                <w:szCs w:val="18"/>
              </w:rPr>
              <w:t>2016</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25</w:t>
            </w:r>
            <w:r>
              <w:rPr>
                <w:rFonts w:ascii="Arial" w:hAnsi="Arial" w:cs="Arial" w:eastAsia="Arial" w:hint="default"/>
                <w:spacing w:val="-4"/>
                <w:sz w:val="18"/>
                <w:szCs w:val="18"/>
              </w:rPr>
              <w:t> </w:t>
            </w:r>
            <w:r>
              <w:rPr>
                <w:rFonts w:ascii="宋体" w:hAnsi="宋体" w:cs="宋体" w:eastAsia="宋体" w:hint="default"/>
                <w:sz w:val="18"/>
                <w:szCs w:val="18"/>
              </w:rPr>
              <w:t>日，公司第五届董事会第二十五次会议决议审议通过了《使用</w:t>
            </w:r>
            <w:r>
              <w:rPr>
                <w:rFonts w:ascii="宋体" w:hAnsi="宋体" w:cs="宋体" w:eastAsia="宋体" w:hint="default"/>
                <w:spacing w:val="-45"/>
                <w:sz w:val="18"/>
                <w:szCs w:val="18"/>
              </w:rPr>
              <w:t> </w:t>
            </w:r>
            <w:r>
              <w:rPr>
                <w:rFonts w:ascii="Arial" w:hAnsi="Arial" w:cs="Arial" w:eastAsia="Arial" w:hint="default"/>
                <w:sz w:val="18"/>
                <w:szCs w:val="18"/>
              </w:rPr>
              <w:t>IPO</w:t>
            </w:r>
            <w:r>
              <w:rPr>
                <w:rFonts w:ascii="Arial" w:hAnsi="Arial" w:cs="Arial" w:eastAsia="Arial" w:hint="default"/>
                <w:spacing w:val="-5"/>
                <w:sz w:val="18"/>
                <w:szCs w:val="18"/>
              </w:rPr>
              <w:t> </w:t>
            </w:r>
            <w:r>
              <w:rPr>
                <w:rFonts w:ascii="宋体" w:hAnsi="宋体" w:cs="宋体" w:eastAsia="宋体" w:hint="default"/>
                <w:sz w:val="18"/>
                <w:szCs w:val="18"/>
              </w:rPr>
              <w:t>超募资金项目节余资金永久补充流动 </w:t>
            </w:r>
            <w:r>
              <w:rPr>
                <w:rFonts w:ascii="宋体" w:hAnsi="宋体" w:cs="宋体" w:eastAsia="宋体" w:hint="default"/>
                <w:spacing w:val="-3"/>
                <w:sz w:val="18"/>
                <w:szCs w:val="18"/>
              </w:rPr>
              <w:t>资金的议案》，同意使用超募资金项目节余资金永久补充流动资金。</w:t>
            </w:r>
          </w:p>
          <w:p>
            <w:pPr>
              <w:pStyle w:val="TableParagraph"/>
              <w:spacing w:line="240" w:lineRule="auto" w:before="71"/>
              <w:ind w:left="383" w:right="0"/>
              <w:jc w:val="left"/>
              <w:rPr>
                <w:rFonts w:ascii="宋体" w:hAnsi="宋体" w:cs="宋体" w:eastAsia="宋体" w:hint="default"/>
                <w:sz w:val="18"/>
                <w:szCs w:val="18"/>
              </w:rPr>
            </w:pPr>
            <w:r>
              <w:rPr>
                <w:rFonts w:ascii="宋体" w:hAnsi="宋体" w:cs="宋体" w:eastAsia="宋体" w:hint="default"/>
                <w:sz w:val="18"/>
                <w:szCs w:val="18"/>
              </w:rPr>
              <w:t>截止目前，以上计划已经实施完毕。</w:t>
            </w:r>
          </w:p>
        </w:tc>
      </w:tr>
      <w:tr>
        <w:trPr>
          <w:trHeight w:val="401"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3543" w:type="dxa"/>
            <w:vMerge/>
            <w:tcBorders>
              <w:left w:val="single" w:sz="4" w:space="0" w:color="000000"/>
              <w:right w:val="single" w:sz="4" w:space="0" w:color="000000"/>
            </w:tcBorders>
            <w:shd w:val="clear" w:color="auto" w:fill="D2D2D2"/>
          </w:tcPr>
          <w:p>
            <w:pP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62" w:hRule="exact"/>
        </w:trPr>
        <w:tc>
          <w:tcPr>
            <w:tcW w:w="3543" w:type="dxa"/>
            <w:vMerge/>
            <w:tcBorders>
              <w:left w:val="single" w:sz="4" w:space="0" w:color="000000"/>
              <w:bottom w:val="single" w:sz="4" w:space="0" w:color="000000"/>
              <w:right w:val="single" w:sz="4" w:space="0" w:color="000000"/>
            </w:tcBorders>
            <w:shd w:val="clear" w:color="auto" w:fill="D2D2D2"/>
          </w:tcPr>
          <w:p>
            <w:pP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年第一次临时股东大会审议通过，</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项目变更由公司全资子公司华宇信息实施。该</w:t>
            </w:r>
          </w:p>
        </w:tc>
      </w:tr>
    </w:tbl>
    <w:p>
      <w:pPr>
        <w:spacing w:after="0" w:line="240" w:lineRule="auto"/>
        <w:jc w:val="left"/>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3543"/>
        <w:gridCol w:w="10350"/>
      </w:tblGrid>
      <w:tr>
        <w:trPr>
          <w:trHeight w:val="377" w:hRule="exact"/>
        </w:trPr>
        <w:tc>
          <w:tcPr>
            <w:tcW w:w="354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3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项目拟使用募集资金投资额为</w:t>
            </w:r>
            <w:r>
              <w:rPr>
                <w:rFonts w:ascii="宋体" w:hAnsi="宋体" w:cs="宋体" w:eastAsia="宋体" w:hint="default"/>
                <w:spacing w:val="-47"/>
                <w:sz w:val="18"/>
                <w:szCs w:val="18"/>
              </w:rPr>
              <w:t> </w:t>
            </w:r>
            <w:r>
              <w:rPr>
                <w:rFonts w:ascii="Arial" w:hAnsi="Arial" w:cs="Arial" w:eastAsia="Arial" w:hint="default"/>
                <w:sz w:val="18"/>
                <w:szCs w:val="18"/>
              </w:rPr>
              <w:t>3,452.72</w:t>
            </w:r>
            <w:r>
              <w:rPr>
                <w:rFonts w:ascii="Arial" w:hAnsi="Arial" w:cs="Arial" w:eastAsia="Arial" w:hint="default"/>
                <w:spacing w:val="-6"/>
                <w:sz w:val="18"/>
                <w:szCs w:val="18"/>
              </w:rPr>
              <w:t> </w:t>
            </w:r>
            <w:r>
              <w:rPr>
                <w:rFonts w:ascii="宋体" w:hAnsi="宋体" w:cs="宋体" w:eastAsia="宋体" w:hint="default"/>
                <w:sz w:val="18"/>
                <w:szCs w:val="18"/>
              </w:rPr>
              <w:t>万元，由公司以增资的方式注入华宇信息并全部用于该项目的建设。</w:t>
            </w:r>
          </w:p>
        </w:tc>
      </w:tr>
      <w:tr>
        <w:trPr>
          <w:trHeight w:val="403" w:hRule="exact"/>
        </w:trPr>
        <w:tc>
          <w:tcPr>
            <w:tcW w:w="3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3543" w:type="dxa"/>
            <w:vMerge/>
            <w:tcBorders>
              <w:left w:val="single" w:sz="4" w:space="0" w:color="000000"/>
              <w:bottom w:val="single" w:sz="4" w:space="0" w:color="000000"/>
              <w:right w:val="single" w:sz="4" w:space="0" w:color="000000"/>
            </w:tcBorders>
            <w:shd w:val="clear" w:color="auto" w:fill="D2D2D2"/>
          </w:tcPr>
          <w:p>
            <w:pP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为加快项目建设以满足公司发展需要，在募集资金到位前公司先行以自筹资金支付数字法院智能管理系统项目款项</w:t>
            </w:r>
            <w:r>
              <w:rPr>
                <w:rFonts w:ascii="宋体" w:hAnsi="宋体" w:cs="宋体" w:eastAsia="宋体" w:hint="default"/>
                <w:spacing w:val="-45"/>
                <w:sz w:val="18"/>
                <w:szCs w:val="18"/>
              </w:rPr>
              <w:t> </w:t>
            </w:r>
            <w:r>
              <w:rPr>
                <w:rFonts w:ascii="Arial" w:hAnsi="Arial" w:cs="Arial" w:eastAsia="Arial" w:hint="default"/>
                <w:sz w:val="18"/>
                <w:szCs w:val="18"/>
              </w:rPr>
              <w:t>2647.99</w:t>
            </w:r>
            <w:r>
              <w:rPr>
                <w:rFonts w:ascii="Arial" w:hAnsi="Arial" w:cs="Arial" w:eastAsia="Arial" w:hint="default"/>
                <w:spacing w:val="-6"/>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元、电子检务管理系统项目款项</w:t>
            </w:r>
            <w:r>
              <w:rPr>
                <w:rFonts w:ascii="宋体" w:hAnsi="宋体" w:cs="宋体" w:eastAsia="宋体" w:hint="default"/>
                <w:spacing w:val="-47"/>
                <w:sz w:val="18"/>
                <w:szCs w:val="18"/>
              </w:rPr>
              <w:t> </w:t>
            </w:r>
            <w:r>
              <w:rPr>
                <w:rFonts w:ascii="Arial" w:hAnsi="Arial" w:cs="Arial" w:eastAsia="Arial" w:hint="default"/>
                <w:sz w:val="18"/>
                <w:szCs w:val="18"/>
              </w:rPr>
              <w:t>2320.67</w:t>
            </w:r>
            <w:r>
              <w:rPr>
                <w:rFonts w:ascii="Arial" w:hAnsi="Arial" w:cs="Arial" w:eastAsia="Arial" w:hint="default"/>
                <w:spacing w:val="-7"/>
                <w:sz w:val="18"/>
                <w:szCs w:val="18"/>
              </w:rPr>
              <w:t> </w:t>
            </w:r>
            <w:r>
              <w:rPr>
                <w:rFonts w:ascii="宋体" w:hAnsi="宋体" w:cs="宋体" w:eastAsia="宋体" w:hint="default"/>
                <w:sz w:val="18"/>
                <w:szCs w:val="18"/>
              </w:rPr>
              <w:t>万元、商业智能分析应用平台项目款项</w:t>
            </w:r>
            <w:r>
              <w:rPr>
                <w:rFonts w:ascii="宋体" w:hAnsi="宋体" w:cs="宋体" w:eastAsia="宋体" w:hint="default"/>
                <w:spacing w:val="-48"/>
                <w:sz w:val="18"/>
                <w:szCs w:val="18"/>
              </w:rPr>
              <w:t> </w:t>
            </w:r>
            <w:r>
              <w:rPr>
                <w:rFonts w:ascii="Arial" w:hAnsi="Arial" w:cs="Arial" w:eastAsia="Arial" w:hint="default"/>
                <w:sz w:val="18"/>
                <w:szCs w:val="18"/>
              </w:rPr>
              <w:t>154.71</w:t>
            </w:r>
            <w:r>
              <w:rPr>
                <w:rFonts w:ascii="Arial" w:hAnsi="Arial" w:cs="Arial" w:eastAsia="Arial" w:hint="default"/>
                <w:spacing w:val="-7"/>
                <w:sz w:val="18"/>
                <w:szCs w:val="18"/>
              </w:rPr>
              <w:t> </w:t>
            </w:r>
            <w:r>
              <w:rPr>
                <w:rFonts w:ascii="宋体" w:hAnsi="宋体" w:cs="宋体" w:eastAsia="宋体" w:hint="default"/>
                <w:sz w:val="18"/>
                <w:szCs w:val="18"/>
              </w:rPr>
              <w:t>万元、华宇政务应用支撑和研发平台项目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款项</w:t>
            </w:r>
            <w:r>
              <w:rPr>
                <w:rFonts w:ascii="宋体" w:hAnsi="宋体" w:cs="宋体" w:eastAsia="宋体" w:hint="default"/>
                <w:spacing w:val="-46"/>
                <w:sz w:val="18"/>
                <w:szCs w:val="18"/>
              </w:rPr>
              <w:t> </w:t>
            </w:r>
            <w:r>
              <w:rPr>
                <w:rFonts w:ascii="Arial" w:hAnsi="Arial" w:cs="Arial" w:eastAsia="Arial" w:hint="default"/>
                <w:sz w:val="18"/>
                <w:szCs w:val="18"/>
              </w:rPr>
              <w:t>157.97</w:t>
            </w:r>
            <w:r>
              <w:rPr>
                <w:rFonts w:ascii="Arial" w:hAnsi="Arial" w:cs="Arial" w:eastAsia="Arial" w:hint="default"/>
                <w:spacing w:val="-4"/>
                <w:sz w:val="18"/>
                <w:szCs w:val="18"/>
              </w:rPr>
              <w:t> </w:t>
            </w:r>
            <w:r>
              <w:rPr>
                <w:rFonts w:ascii="宋体" w:hAnsi="宋体" w:cs="宋体" w:eastAsia="宋体" w:hint="default"/>
                <w:spacing w:val="-3"/>
                <w:sz w:val="18"/>
                <w:szCs w:val="18"/>
              </w:rPr>
              <w:t>万元。</w:t>
            </w:r>
            <w:r>
              <w:rPr>
                <w:rFonts w:ascii="Arial" w:hAnsi="Arial" w:cs="Arial" w:eastAsia="Arial" w:hint="default"/>
                <w:spacing w:val="-3"/>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日，公司第四届董事会第十次会议审核通过了《关于用募集资金置换预先已投入募集资金项</w:t>
            </w:r>
          </w:p>
          <w:p>
            <w:pPr>
              <w:pStyle w:val="TableParagraph"/>
              <w:spacing w:line="302" w:lineRule="auto" w:before="63"/>
              <w:ind w:left="23" w:right="121"/>
              <w:jc w:val="left"/>
              <w:rPr>
                <w:rFonts w:ascii="宋体" w:hAnsi="宋体" w:cs="宋体" w:eastAsia="宋体" w:hint="default"/>
                <w:sz w:val="18"/>
                <w:szCs w:val="18"/>
              </w:rPr>
            </w:pPr>
            <w:r>
              <w:rPr>
                <w:rFonts w:ascii="宋体" w:hAnsi="宋体" w:cs="宋体" w:eastAsia="宋体" w:hint="default"/>
                <w:spacing w:val="-5"/>
                <w:sz w:val="18"/>
                <w:szCs w:val="18"/>
              </w:rPr>
              <w:t>目的自筹资金的议案》，同意公司用募集资金</w:t>
            </w:r>
            <w:r>
              <w:rPr>
                <w:rFonts w:ascii="宋体" w:hAnsi="宋体" w:cs="宋体" w:eastAsia="宋体" w:hint="default"/>
                <w:spacing w:val="-26"/>
                <w:sz w:val="18"/>
                <w:szCs w:val="18"/>
              </w:rPr>
              <w:t> </w:t>
            </w:r>
            <w:r>
              <w:rPr>
                <w:rFonts w:ascii="Arial" w:hAnsi="Arial" w:cs="Arial" w:eastAsia="Arial" w:hint="default"/>
                <w:spacing w:val="-1"/>
                <w:w w:val="99"/>
                <w:sz w:val="18"/>
                <w:szCs w:val="18"/>
              </w:rPr>
              <w:t>5281.34</w:t>
            </w:r>
            <w:r>
              <w:rPr>
                <w:rFonts w:ascii="Arial" w:hAnsi="Arial" w:cs="Arial" w:eastAsia="Arial" w:hint="default"/>
                <w:spacing w:val="14"/>
                <w:w w:val="99"/>
                <w:sz w:val="18"/>
                <w:szCs w:val="18"/>
              </w:rPr>
              <w:t> </w:t>
            </w:r>
            <w:r>
              <w:rPr>
                <w:rFonts w:ascii="宋体" w:hAnsi="宋体" w:cs="宋体" w:eastAsia="宋体" w:hint="default"/>
                <w:spacing w:val="-1"/>
                <w:sz w:val="18"/>
                <w:szCs w:val="18"/>
              </w:rPr>
              <w:t>万元置换预先已投入募集资金投资项目的自筹资金。目前，相关资金已完成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置换。</w:t>
            </w:r>
          </w:p>
        </w:tc>
      </w:tr>
      <w:tr>
        <w:trPr>
          <w:trHeight w:val="404"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86" w:hRule="exact"/>
        </w:trPr>
        <w:tc>
          <w:tcPr>
            <w:tcW w:w="3543" w:type="dxa"/>
            <w:vMerge/>
            <w:tcBorders>
              <w:left w:val="single" w:sz="4" w:space="0" w:color="000000"/>
              <w:bottom w:val="single" w:sz="4" w:space="0" w:color="000000"/>
              <w:right w:val="single" w:sz="4" w:space="0" w:color="000000"/>
            </w:tcBorders>
            <w:shd w:val="clear" w:color="auto" w:fill="D2D2D2"/>
          </w:tcPr>
          <w:p>
            <w:pP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6" w:firstLine="360"/>
              <w:jc w:val="left"/>
              <w:rPr>
                <w:rFonts w:ascii="宋体" w:hAnsi="宋体" w:cs="宋体" w:eastAsia="宋体" w:hint="default"/>
                <w:sz w:val="18"/>
                <w:szCs w:val="18"/>
              </w:rPr>
            </w:pPr>
            <w:r>
              <w:rPr>
                <w:rFonts w:ascii="宋体" w:hAnsi="宋体" w:cs="宋体" w:eastAsia="宋体" w:hint="default"/>
                <w:sz w:val="18"/>
                <w:szCs w:val="18"/>
              </w:rPr>
              <w:t>公司募投项目</w:t>
            </w:r>
            <w:r>
              <w:rPr>
                <w:rFonts w:ascii="Arial" w:hAnsi="Arial" w:cs="Arial" w:eastAsia="Arial" w:hint="default"/>
                <w:sz w:val="18"/>
                <w:szCs w:val="18"/>
              </w:rPr>
              <w:t>“</w:t>
            </w:r>
            <w:r>
              <w:rPr>
                <w:rFonts w:ascii="宋体" w:hAnsi="宋体" w:cs="宋体" w:eastAsia="宋体" w:hint="default"/>
                <w:sz w:val="18"/>
                <w:szCs w:val="18"/>
              </w:rPr>
              <w:t>数字法院智能管理系统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电子检务管理系统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商业智能分析应用平台</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华 宇政务应用支撑和研发平台</w:t>
            </w:r>
            <w:r>
              <w:rPr>
                <w:rFonts w:ascii="Arial" w:hAnsi="Arial" w:cs="Arial" w:eastAsia="Arial" w:hint="default"/>
                <w:sz w:val="18"/>
                <w:szCs w:val="18"/>
              </w:rPr>
              <w:t>”</w:t>
            </w:r>
            <w:r>
              <w:rPr>
                <w:rFonts w:ascii="宋体" w:hAnsi="宋体" w:cs="宋体" w:eastAsia="宋体" w:hint="default"/>
                <w:sz w:val="18"/>
                <w:szCs w:val="18"/>
              </w:rPr>
              <w:t>已按照计划时间结项，共使用募集资金</w:t>
            </w:r>
            <w:r>
              <w:rPr>
                <w:rFonts w:ascii="宋体" w:hAnsi="宋体" w:cs="宋体" w:eastAsia="宋体" w:hint="default"/>
                <w:spacing w:val="-46"/>
                <w:sz w:val="18"/>
                <w:szCs w:val="18"/>
              </w:rPr>
              <w:t> </w:t>
            </w:r>
            <w:r>
              <w:rPr>
                <w:rFonts w:ascii="Arial" w:hAnsi="Arial" w:cs="Arial" w:eastAsia="Arial" w:hint="default"/>
                <w:sz w:val="18"/>
                <w:szCs w:val="18"/>
              </w:rPr>
              <w:t>14,499.95</w:t>
            </w:r>
            <w:r>
              <w:rPr>
                <w:rFonts w:ascii="Arial" w:hAnsi="Arial" w:cs="Arial" w:eastAsia="Arial" w:hint="default"/>
                <w:spacing w:val="-6"/>
                <w:sz w:val="18"/>
                <w:szCs w:val="18"/>
              </w:rPr>
              <w:t> </w:t>
            </w:r>
            <w:r>
              <w:rPr>
                <w:rFonts w:ascii="宋体" w:hAnsi="宋体" w:cs="宋体" w:eastAsia="宋体" w:hint="default"/>
                <w:sz w:val="18"/>
                <w:szCs w:val="18"/>
              </w:rPr>
              <w:t>万元，募集资金专户结余资金</w:t>
            </w:r>
            <w:r>
              <w:rPr>
                <w:rFonts w:ascii="宋体" w:hAnsi="宋体" w:cs="宋体" w:eastAsia="宋体" w:hint="default"/>
                <w:spacing w:val="-46"/>
                <w:sz w:val="18"/>
                <w:szCs w:val="18"/>
              </w:rPr>
              <w:t> </w:t>
            </w:r>
            <w:r>
              <w:rPr>
                <w:rFonts w:ascii="Arial" w:hAnsi="Arial" w:cs="Arial" w:eastAsia="Arial" w:hint="default"/>
                <w:sz w:val="18"/>
                <w:szCs w:val="18"/>
              </w:rPr>
              <w:t>5,650.97</w:t>
            </w:r>
            <w:r>
              <w:rPr>
                <w:rFonts w:ascii="Arial" w:hAnsi="Arial" w:cs="Arial" w:eastAsia="Arial" w:hint="default"/>
                <w:spacing w:val="-6"/>
                <w:sz w:val="18"/>
                <w:szCs w:val="18"/>
              </w:rPr>
              <w:t> </w:t>
            </w:r>
            <w:r>
              <w:rPr>
                <w:rFonts w:ascii="宋体" w:hAnsi="宋体" w:cs="宋体" w:eastAsia="宋体" w:hint="default"/>
                <w:sz w:val="18"/>
                <w:szCs w:val="18"/>
              </w:rPr>
              <w:t>万元（含利 </w:t>
            </w:r>
            <w:r>
              <w:rPr>
                <w:rFonts w:ascii="宋体" w:hAnsi="宋体" w:cs="宋体" w:eastAsia="宋体" w:hint="default"/>
                <w:spacing w:val="-2"/>
                <w:sz w:val="18"/>
                <w:szCs w:val="18"/>
              </w:rPr>
              <w:t>息）。上述项目产生结余资金，主要是设备投入、备用金较原计划减少导致。募投项目环境设备投入中，超过</w:t>
            </w:r>
            <w:r>
              <w:rPr>
                <w:rFonts w:ascii="宋体" w:hAnsi="宋体" w:cs="宋体" w:eastAsia="宋体" w:hint="default"/>
                <w:spacing w:val="-39"/>
                <w:sz w:val="18"/>
                <w:szCs w:val="18"/>
              </w:rPr>
              <w:t> </w:t>
            </w:r>
            <w:r>
              <w:rPr>
                <w:rFonts w:ascii="Arial" w:hAnsi="Arial" w:cs="Arial" w:eastAsia="Arial" w:hint="default"/>
                <w:spacing w:val="-1"/>
                <w:w w:val="99"/>
                <w:sz w:val="18"/>
                <w:szCs w:val="18"/>
              </w:rPr>
              <w:t>70%</w:t>
            </w:r>
            <w:r>
              <w:rPr>
                <w:rFonts w:ascii="宋体" w:hAnsi="宋体" w:cs="宋体" w:eastAsia="宋体" w:hint="default"/>
                <w:spacing w:val="-1"/>
                <w:w w:val="99"/>
                <w:sz w:val="18"/>
                <w:szCs w:val="18"/>
              </w:rPr>
              <w:t>的投入为研发支</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撑环境和交付测试环境。公司采用云计算、虚拟化等技术手段节省设备投资；国产设备厂商给予了应用开发商更多支持，减少了设 备环境的投入；上述募投项目在执行过程中没有出现意外、特殊情况，原预算中的预留备用金未予动用。</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29</w:t>
            </w:r>
            <w:r>
              <w:rPr>
                <w:rFonts w:ascii="Arial" w:hAnsi="Arial" w:cs="Arial" w:eastAsia="Arial" w:hint="default"/>
                <w:spacing w:val="-5"/>
                <w:sz w:val="18"/>
                <w:szCs w:val="18"/>
              </w:rPr>
              <w:t> </w:t>
            </w:r>
            <w:r>
              <w:rPr>
                <w:rFonts w:ascii="宋体" w:hAnsi="宋体" w:cs="宋体" w:eastAsia="宋体" w:hint="default"/>
                <w:sz w:val="18"/>
                <w:szCs w:val="18"/>
              </w:rPr>
              <w:t>日，公司 </w:t>
            </w:r>
            <w:r>
              <w:rPr>
                <w:rFonts w:ascii="宋体" w:hAnsi="宋体" w:cs="宋体" w:eastAsia="宋体" w:hint="default"/>
                <w:spacing w:val="-2"/>
                <w:sz w:val="18"/>
                <w:szCs w:val="18"/>
              </w:rPr>
              <w:t>第五届董事会第十一次会议审议通过了《关于部分募投项目结项并使用结余募集资金及利息永久补充流动资金的议案》，同意将公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司募投项目</w:t>
            </w:r>
            <w:r>
              <w:rPr>
                <w:rFonts w:ascii="Arial" w:hAnsi="Arial" w:cs="Arial" w:eastAsia="Arial" w:hint="default"/>
                <w:sz w:val="18"/>
                <w:szCs w:val="18"/>
              </w:rPr>
              <w:t>“</w:t>
            </w:r>
            <w:r>
              <w:rPr>
                <w:rFonts w:ascii="宋体" w:hAnsi="宋体" w:cs="宋体" w:eastAsia="宋体" w:hint="default"/>
                <w:sz w:val="18"/>
                <w:szCs w:val="18"/>
              </w:rPr>
              <w:t>数字法院智能管理系统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电子检务管理系统</w:t>
            </w:r>
            <w:r>
              <w:rPr>
                <w:rFonts w:ascii="Arial" w:hAnsi="Arial" w:cs="Arial" w:eastAsia="Arial" w:hint="default"/>
                <w:sz w:val="18"/>
                <w:szCs w:val="18"/>
              </w:rPr>
              <w:t>”</w:t>
            </w:r>
            <w:r>
              <w:rPr>
                <w:rFonts w:ascii="宋体" w:hAnsi="宋体" w:cs="宋体" w:eastAsia="宋体" w:hint="default"/>
                <w:sz w:val="18"/>
                <w:szCs w:val="18"/>
              </w:rPr>
              <w:t>和</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的结余募集资金（含利息收入） </w:t>
            </w:r>
            <w:r>
              <w:rPr>
                <w:rFonts w:ascii="Arial" w:hAnsi="Arial" w:cs="Arial" w:eastAsia="Arial" w:hint="default"/>
                <w:sz w:val="18"/>
                <w:szCs w:val="18"/>
              </w:rPr>
              <w:t>3,350.65</w:t>
            </w:r>
            <w:r>
              <w:rPr>
                <w:rFonts w:ascii="Arial" w:hAnsi="Arial" w:cs="Arial" w:eastAsia="Arial" w:hint="default"/>
                <w:spacing w:val="-4"/>
                <w:sz w:val="18"/>
                <w:szCs w:val="18"/>
              </w:rPr>
              <w:t> </w:t>
            </w:r>
            <w:r>
              <w:rPr>
                <w:rFonts w:ascii="宋体" w:hAnsi="宋体" w:cs="宋体" w:eastAsia="宋体" w:hint="default"/>
                <w:sz w:val="18"/>
                <w:szCs w:val="18"/>
              </w:rPr>
              <w:t>万元永久补充流动资金，用于公司主营业务相关新产品的研发及新业务的市场拓展。</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日，公司第五届董 </w:t>
            </w:r>
            <w:r>
              <w:rPr>
                <w:rFonts w:ascii="宋体" w:hAnsi="宋体" w:cs="宋体" w:eastAsia="宋体" w:hint="default"/>
                <w:spacing w:val="-2"/>
                <w:sz w:val="18"/>
                <w:szCs w:val="18"/>
              </w:rPr>
              <w:t>事会第十三次会议审议通过了《关于部分募投项目结项并将结余资金转超募资金的议案》，同意将公司募投项目</w:t>
            </w:r>
            <w:r>
              <w:rPr>
                <w:rFonts w:ascii="Arial" w:hAnsi="Arial" w:cs="Arial" w:eastAsia="Arial" w:hint="default"/>
                <w:spacing w:val="-2"/>
                <w:sz w:val="18"/>
                <w:szCs w:val="18"/>
              </w:rPr>
              <w:t>“</w:t>
            </w:r>
            <w:r>
              <w:rPr>
                <w:rFonts w:ascii="宋体" w:hAnsi="宋体" w:cs="宋体" w:eastAsia="宋体" w:hint="default"/>
                <w:spacing w:val="-2"/>
                <w:sz w:val="18"/>
                <w:szCs w:val="18"/>
              </w:rPr>
              <w:t>商业智能分析应用</w:t>
            </w:r>
            <w:r>
              <w:rPr>
                <w:rFonts w:ascii="宋体" w:hAnsi="宋体" w:cs="宋体" w:eastAsia="宋体" w:hint="default"/>
                <w:spacing w:val="-63"/>
                <w:sz w:val="18"/>
                <w:szCs w:val="18"/>
              </w:rPr>
              <w:t> </w:t>
            </w:r>
            <w:r>
              <w:rPr>
                <w:rFonts w:ascii="宋体" w:hAnsi="宋体" w:cs="宋体" w:eastAsia="宋体" w:hint="default"/>
                <w:sz w:val="18"/>
                <w:szCs w:val="18"/>
              </w:rPr>
              <w:t>平台</w:t>
            </w:r>
            <w:r>
              <w:rPr>
                <w:rFonts w:ascii="Arial" w:hAnsi="Arial" w:cs="Arial" w:eastAsia="Arial" w:hint="default"/>
                <w:sz w:val="18"/>
                <w:szCs w:val="18"/>
              </w:rPr>
              <w:t>”</w:t>
            </w:r>
            <w:r>
              <w:rPr>
                <w:rFonts w:ascii="宋体" w:hAnsi="宋体" w:cs="宋体" w:eastAsia="宋体" w:hint="default"/>
                <w:sz w:val="18"/>
                <w:szCs w:val="18"/>
              </w:rPr>
              <w:t>和</w:t>
            </w:r>
            <w:r>
              <w:rPr>
                <w:rFonts w:ascii="Arial" w:hAnsi="Arial" w:cs="Arial" w:eastAsia="Arial" w:hint="default"/>
                <w:sz w:val="18"/>
                <w:szCs w:val="18"/>
              </w:rPr>
              <w:t>“</w:t>
            </w:r>
            <w:r>
              <w:rPr>
                <w:rFonts w:ascii="宋体" w:hAnsi="宋体" w:cs="宋体" w:eastAsia="宋体" w:hint="default"/>
                <w:sz w:val="18"/>
                <w:szCs w:val="18"/>
              </w:rPr>
              <w:t>华宇政务应用支撑和研发平台</w:t>
            </w:r>
            <w:r>
              <w:rPr>
                <w:rFonts w:ascii="Arial" w:hAnsi="Arial" w:cs="Arial" w:eastAsia="Arial" w:hint="default"/>
                <w:sz w:val="18"/>
                <w:szCs w:val="18"/>
              </w:rPr>
              <w:t>”</w:t>
            </w:r>
            <w:r>
              <w:rPr>
                <w:rFonts w:ascii="宋体" w:hAnsi="宋体" w:cs="宋体" w:eastAsia="宋体" w:hint="default"/>
                <w:sz w:val="18"/>
                <w:szCs w:val="18"/>
              </w:rPr>
              <w:t>的结余募集资金</w:t>
            </w:r>
            <w:r>
              <w:rPr>
                <w:rFonts w:ascii="宋体" w:hAnsi="宋体" w:cs="宋体" w:eastAsia="宋体" w:hint="default"/>
                <w:spacing w:val="-45"/>
                <w:sz w:val="18"/>
                <w:szCs w:val="18"/>
              </w:rPr>
              <w:t> </w:t>
            </w:r>
            <w:r>
              <w:rPr>
                <w:rFonts w:ascii="Arial" w:hAnsi="Arial" w:cs="Arial" w:eastAsia="Arial" w:hint="default"/>
                <w:sz w:val="18"/>
                <w:szCs w:val="18"/>
              </w:rPr>
              <w:t>2,300.32</w:t>
            </w:r>
            <w:r>
              <w:rPr>
                <w:rFonts w:ascii="Arial" w:hAnsi="Arial" w:cs="Arial" w:eastAsia="Arial" w:hint="default"/>
                <w:spacing w:val="-5"/>
                <w:sz w:val="18"/>
                <w:szCs w:val="18"/>
              </w:rPr>
              <w:t> </w:t>
            </w:r>
            <w:r>
              <w:rPr>
                <w:rFonts w:ascii="宋体" w:hAnsi="宋体" w:cs="宋体" w:eastAsia="宋体" w:hint="default"/>
                <w:sz w:val="18"/>
                <w:szCs w:val="18"/>
              </w:rPr>
              <w:t>万元（含利息收入）转为超募资金管理。目前，结余资金已全部 处理完毕。</w:t>
            </w:r>
          </w:p>
          <w:p>
            <w:pPr>
              <w:pStyle w:val="TableParagraph"/>
              <w:spacing w:line="302" w:lineRule="auto" w:before="68"/>
              <w:ind w:left="23" w:right="175" w:firstLine="360"/>
              <w:jc w:val="left"/>
              <w:rPr>
                <w:rFonts w:ascii="宋体" w:hAnsi="宋体" w:cs="宋体" w:eastAsia="宋体" w:hint="default"/>
                <w:sz w:val="18"/>
                <w:szCs w:val="18"/>
              </w:rPr>
            </w:pPr>
            <w:r>
              <w:rPr>
                <w:rFonts w:ascii="宋体" w:hAnsi="宋体" w:cs="宋体" w:eastAsia="宋体" w:hint="default"/>
                <w:sz w:val="18"/>
                <w:szCs w:val="18"/>
              </w:rPr>
              <w:t>公司募投项目</w:t>
            </w:r>
            <w:r>
              <w:rPr>
                <w:rFonts w:ascii="Arial" w:hAnsi="Arial" w:cs="Arial" w:eastAsia="Arial" w:hint="default"/>
                <w:sz w:val="18"/>
                <w:szCs w:val="18"/>
              </w:rPr>
              <w:t>“</w:t>
            </w:r>
            <w:r>
              <w:rPr>
                <w:rFonts w:ascii="宋体" w:hAnsi="宋体" w:cs="宋体" w:eastAsia="宋体" w:hint="default"/>
                <w:sz w:val="18"/>
                <w:szCs w:val="18"/>
              </w:rPr>
              <w:t>收购联奕科技有限公司</w:t>
            </w:r>
            <w:r>
              <w:rPr>
                <w:rFonts w:ascii="宋体" w:hAnsi="宋体" w:cs="宋体" w:eastAsia="宋体" w:hint="default"/>
                <w:spacing w:val="-48"/>
                <w:sz w:val="18"/>
                <w:szCs w:val="18"/>
              </w:rPr>
              <w:t> </w:t>
            </w:r>
            <w:r>
              <w:rPr>
                <w:rFonts w:ascii="Arial" w:hAnsi="Arial" w:cs="Arial" w:eastAsia="Arial" w:hint="default"/>
                <w:sz w:val="18"/>
                <w:szCs w:val="18"/>
              </w:rPr>
              <w:t>100%</w:t>
            </w:r>
            <w:r>
              <w:rPr>
                <w:rFonts w:ascii="宋体" w:hAnsi="宋体" w:cs="宋体" w:eastAsia="宋体" w:hint="default"/>
                <w:sz w:val="18"/>
                <w:szCs w:val="18"/>
              </w:rPr>
              <w:t>股权</w:t>
            </w:r>
            <w:r>
              <w:rPr>
                <w:rFonts w:ascii="Arial" w:hAnsi="Arial" w:cs="Arial" w:eastAsia="Arial" w:hint="default"/>
                <w:sz w:val="18"/>
                <w:szCs w:val="18"/>
              </w:rPr>
              <w:t>”</w:t>
            </w:r>
            <w:r>
              <w:rPr>
                <w:rFonts w:ascii="宋体" w:hAnsi="宋体" w:cs="宋体" w:eastAsia="宋体" w:hint="default"/>
                <w:sz w:val="18"/>
                <w:szCs w:val="18"/>
              </w:rPr>
              <w:t>累计投入金额为</w:t>
            </w:r>
            <w:r>
              <w:rPr>
                <w:rFonts w:ascii="宋体" w:hAnsi="宋体" w:cs="宋体" w:eastAsia="宋体" w:hint="default"/>
                <w:spacing w:val="-48"/>
                <w:sz w:val="18"/>
                <w:szCs w:val="18"/>
              </w:rPr>
              <w:t> </w:t>
            </w:r>
            <w:r>
              <w:rPr>
                <w:rFonts w:ascii="Arial" w:hAnsi="Arial" w:cs="Arial" w:eastAsia="Arial" w:hint="default"/>
                <w:sz w:val="18"/>
                <w:szCs w:val="18"/>
              </w:rPr>
              <w:t>47,771.72</w:t>
            </w:r>
            <w:r>
              <w:rPr>
                <w:rFonts w:ascii="Arial" w:hAnsi="Arial" w:cs="Arial" w:eastAsia="Arial" w:hint="default"/>
                <w:spacing w:val="-7"/>
                <w:sz w:val="18"/>
                <w:szCs w:val="18"/>
              </w:rPr>
              <w:t> </w:t>
            </w:r>
            <w:r>
              <w:rPr>
                <w:rFonts w:ascii="宋体" w:hAnsi="宋体" w:cs="宋体" w:eastAsia="宋体" w:hint="default"/>
                <w:sz w:val="18"/>
                <w:szCs w:val="18"/>
              </w:rPr>
              <w:t>万元，该次募集资金余额</w:t>
            </w:r>
            <w:r>
              <w:rPr>
                <w:rFonts w:ascii="宋体" w:hAnsi="宋体" w:cs="宋体" w:eastAsia="宋体" w:hint="default"/>
                <w:spacing w:val="-47"/>
                <w:sz w:val="18"/>
                <w:szCs w:val="18"/>
              </w:rPr>
              <w:t> </w:t>
            </w:r>
            <w:r>
              <w:rPr>
                <w:rFonts w:ascii="Arial" w:hAnsi="Arial" w:cs="Arial" w:eastAsia="Arial" w:hint="default"/>
                <w:sz w:val="18"/>
                <w:szCs w:val="18"/>
              </w:rPr>
              <w:t>250.57</w:t>
            </w:r>
            <w:r>
              <w:rPr>
                <w:rFonts w:ascii="Arial" w:hAnsi="Arial" w:cs="Arial" w:eastAsia="Arial" w:hint="default"/>
                <w:spacing w:val="-7"/>
                <w:sz w:val="18"/>
                <w:szCs w:val="18"/>
              </w:rPr>
              <w:t>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含财务费 用</w:t>
            </w:r>
            <w:r>
              <w:rPr>
                <w:rFonts w:ascii="Arial" w:hAnsi="Arial" w:cs="Arial" w:eastAsia="Arial" w:hint="default"/>
                <w:sz w:val="18"/>
                <w:szCs w:val="18"/>
              </w:rPr>
              <w:t>-22.29</w:t>
            </w:r>
            <w:r>
              <w:rPr>
                <w:rFonts w:ascii="Arial" w:hAnsi="Arial" w:cs="Arial" w:eastAsia="Arial" w:hint="default"/>
                <w:spacing w:val="-9"/>
                <w:sz w:val="18"/>
                <w:szCs w:val="18"/>
              </w:rPr>
              <w:t>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，结余系募集资金支付现金对价和相关中介费用后剩余的金额。</w:t>
            </w:r>
          </w:p>
        </w:tc>
      </w:tr>
      <w:tr>
        <w:trPr>
          <w:trHeight w:val="404"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6"/>
                <w:sz w:val="18"/>
                <w:szCs w:val="18"/>
              </w:rPr>
              <w:t> </w:t>
            </w:r>
            <w:r>
              <w:rPr>
                <w:rFonts w:ascii="宋体" w:hAnsi="宋体" w:cs="宋体" w:eastAsia="宋体" w:hint="default"/>
                <w:sz w:val="18"/>
                <w:szCs w:val="18"/>
              </w:rPr>
              <w:t>日，本公司尚未使用的募集资金</w:t>
            </w:r>
            <w:r>
              <w:rPr>
                <w:rFonts w:ascii="宋体" w:hAnsi="宋体" w:cs="宋体" w:eastAsia="宋体" w:hint="default"/>
                <w:spacing w:val="-47"/>
                <w:sz w:val="18"/>
                <w:szCs w:val="18"/>
              </w:rPr>
              <w:t> </w:t>
            </w:r>
            <w:r>
              <w:rPr>
                <w:rFonts w:ascii="Arial" w:hAnsi="Arial" w:cs="Arial" w:eastAsia="Arial" w:hint="default"/>
                <w:sz w:val="18"/>
                <w:szCs w:val="18"/>
              </w:rPr>
              <w:t>250.57</w:t>
            </w:r>
            <w:r>
              <w:rPr>
                <w:rFonts w:ascii="Arial" w:hAnsi="Arial" w:cs="Arial" w:eastAsia="Arial" w:hint="default"/>
                <w:spacing w:val="-6"/>
                <w:sz w:val="18"/>
                <w:szCs w:val="18"/>
              </w:rPr>
              <w:t> </w:t>
            </w:r>
            <w:r>
              <w:rPr>
                <w:rFonts w:ascii="宋体" w:hAnsi="宋体" w:cs="宋体" w:eastAsia="宋体" w:hint="default"/>
                <w:sz w:val="18"/>
                <w:szCs w:val="18"/>
              </w:rPr>
              <w:t>万元均存放于募集资金专户，拟用于补充公司流动资金。</w:t>
            </w:r>
          </w:p>
        </w:tc>
      </w:tr>
      <w:tr>
        <w:trPr>
          <w:trHeight w:val="7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89"/>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 况</w:t>
            </w:r>
          </w:p>
        </w:tc>
        <w:tc>
          <w:tcPr>
            <w:tcW w:w="10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4" w:firstLine="360"/>
              <w:jc w:val="left"/>
              <w:rPr>
                <w:rFonts w:ascii="宋体" w:hAnsi="宋体" w:cs="宋体" w:eastAsia="宋体" w:hint="default"/>
                <w:sz w:val="18"/>
                <w:szCs w:val="18"/>
              </w:rPr>
            </w:pPr>
            <w:r>
              <w:rPr>
                <w:rFonts w:ascii="宋体" w:hAnsi="宋体" w:cs="宋体" w:eastAsia="宋体" w:hint="default"/>
                <w:sz w:val="18"/>
                <w:szCs w:val="18"/>
              </w:rPr>
              <w:t>本公司不存在募集资金使用的其他情况。本公司已披露的募集资金相关信息及时、真实、准确、完整披露，不存在募集资金管 理违规情况。</w:t>
            </w:r>
          </w:p>
        </w:tc>
      </w:tr>
    </w:tbl>
    <w:p>
      <w:pPr>
        <w:pStyle w:val="BodyText"/>
        <w:spacing w:line="240" w:lineRule="auto"/>
        <w:ind w:left="100" w:right="0"/>
        <w:jc w:val="left"/>
      </w:pPr>
      <w:r>
        <w:rPr/>
        <w:t>注</w:t>
      </w:r>
      <w:r>
        <w:rPr>
          <w:spacing w:val="-120"/>
        </w:rPr>
        <w:t>：</w:t>
      </w:r>
      <w:r>
        <w:rPr>
          <w:spacing w:val="-1"/>
        </w:rPr>
        <w:t>“</w:t>
      </w:r>
      <w:r>
        <w:rPr/>
        <w:t>本报告期实现的效益”的计算口径、计算方法与承诺效益的计算口径、计算方法一致。</w:t>
      </w:r>
    </w:p>
    <w:p>
      <w:pPr>
        <w:spacing w:after="0" w:line="240" w:lineRule="auto"/>
        <w:jc w:val="left"/>
        <w:sectPr>
          <w:pgSz w:w="16840" w:h="11910" w:orient="landscape"/>
          <w:pgMar w:header="866" w:footer="980" w:top="1060" w:bottom="1160" w:left="1340" w:right="1320"/>
        </w:sectPr>
      </w:pPr>
    </w:p>
    <w:p>
      <w:pPr>
        <w:spacing w:line="353" w:lineRule="exact" w:before="0"/>
        <w:ind w:left="140" w:right="10958" w:firstLine="0"/>
        <w:jc w:val="left"/>
        <w:rPr>
          <w:rFonts w:ascii="Microsoft JhengHei" w:hAnsi="Microsoft JhengHei" w:cs="Microsoft JhengHei" w:eastAsia="Microsoft JhengHei" w:hint="default"/>
          <w:sz w:val="21"/>
          <w:szCs w:val="21"/>
        </w:rPr>
      </w:pPr>
      <w:r>
        <w:rPr/>
        <w:pict>
          <v:group style="position:absolute;margin-left:70.559998pt;margin-top:2.252832pt;width:700.9pt;height:.1pt;mso-position-horizontal-relative:page;mso-position-vertical-relative:paragraph;z-index:-886744" coordorigin="1411,45" coordsize="14018,2">
            <v:shape style="position:absolute;left:1411;top:45;width:14018;height:2" coordorigin="1411,45" coordsize="14018,0" path="m1411,45l15429,45e" filled="false" stroked="true" strokeweight=".72pt" strokecolor="#000000">
              <v:path arrowok="t"/>
            </v:shape>
            <w10:wrap type="none"/>
          </v:group>
        </w:pict>
      </w: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）募集资金变更项目情况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6840" w:h="11910" w:orient="landscape"/>
          <w:pgMar w:header="866" w:footer="980" w:top="1060" w:bottom="1160" w:left="1300" w:right="1300"/>
        </w:sectPr>
      </w:pPr>
    </w:p>
    <w:p>
      <w:pPr>
        <w:pStyle w:val="BodyText"/>
        <w:spacing w:line="240" w:lineRule="auto" w:before="26"/>
        <w:ind w:left="140"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4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6840" w:h="11910" w:orient="landscape"/>
          <w:pgMar w:top="1060" w:bottom="1160" w:left="1300" w:right="1300"/>
          <w:cols w:num="2" w:equalWidth="0">
            <w:col w:w="1977" w:space="10932"/>
            <w:col w:w="1331"/>
          </w:cols>
        </w:sectPr>
      </w:pPr>
    </w:p>
    <w:p>
      <w:pPr>
        <w:spacing w:line="240" w:lineRule="auto" w:before="11"/>
        <w:rPr>
          <w:rFonts w:ascii="宋体" w:hAnsi="宋体" w:cs="宋体" w:eastAsia="宋体" w:hint="default"/>
          <w:sz w:val="6"/>
          <w:szCs w:val="6"/>
        </w:rPr>
      </w:pPr>
    </w:p>
    <w:tbl>
      <w:tblPr>
        <w:tblW w:w="0" w:type="auto"/>
        <w:jc w:val="left"/>
        <w:tblInd w:w="168" w:type="dxa"/>
        <w:tblLayout w:type="fixed"/>
        <w:tblCellMar>
          <w:top w:w="0" w:type="dxa"/>
          <w:left w:w="0" w:type="dxa"/>
          <w:bottom w:w="0" w:type="dxa"/>
          <w:right w:w="0" w:type="dxa"/>
        </w:tblCellMar>
        <w:tblLook w:val="01E0"/>
      </w:tblPr>
      <w:tblGrid>
        <w:gridCol w:w="1560"/>
        <w:gridCol w:w="1558"/>
        <w:gridCol w:w="1702"/>
        <w:gridCol w:w="991"/>
        <w:gridCol w:w="1418"/>
        <w:gridCol w:w="994"/>
        <w:gridCol w:w="1558"/>
        <w:gridCol w:w="994"/>
        <w:gridCol w:w="1133"/>
        <w:gridCol w:w="1985"/>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2"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对应的原承诺项目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5" w:right="34" w:hanging="250"/>
              <w:jc w:val="left"/>
              <w:rPr>
                <w:rFonts w:ascii="Arial" w:hAnsi="Arial" w:cs="Arial" w:eastAsia="Arial" w:hint="default"/>
                <w:sz w:val="18"/>
                <w:szCs w:val="18"/>
              </w:rPr>
            </w:pPr>
            <w:r>
              <w:rPr>
                <w:rFonts w:ascii="宋体" w:hAnsi="宋体" w:cs="宋体" w:eastAsia="宋体" w:hint="default"/>
                <w:sz w:val="18"/>
                <w:szCs w:val="18"/>
              </w:rPr>
              <w:t>变更后项目拟投入募 集资金总额</w:t>
            </w:r>
            <w:r>
              <w:rPr>
                <w:rFonts w:ascii="Arial" w:hAnsi="Arial" w:cs="Arial" w:eastAsia="Arial" w:hint="default"/>
                <w:sz w:val="18"/>
                <w:szCs w:val="18"/>
              </w:rPr>
              <w:t>(1)</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0" w:right="38"/>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43" w:right="72" w:hanging="70"/>
              <w:jc w:val="left"/>
              <w:rPr>
                <w:rFonts w:ascii="Arial" w:hAnsi="Arial" w:cs="Arial" w:eastAsia="Arial" w:hint="default"/>
                <w:sz w:val="18"/>
                <w:szCs w:val="18"/>
              </w:rPr>
            </w:pPr>
            <w:r>
              <w:rPr>
                <w:rFonts w:ascii="宋体" w:hAnsi="宋体" w:cs="宋体" w:eastAsia="宋体" w:hint="default"/>
                <w:sz w:val="18"/>
                <w:szCs w:val="18"/>
              </w:rPr>
              <w:t>截至期末实际累 计投入金额</w:t>
            </w:r>
            <w:r>
              <w:rPr>
                <w:rFonts w:ascii="Arial" w:hAnsi="Arial" w:cs="Arial" w:eastAsia="Arial" w:hint="default"/>
                <w:sz w:val="18"/>
                <w:szCs w:val="18"/>
              </w:rPr>
              <w:t>(2)</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0"/>
              <w:ind w:left="40" w:right="41"/>
              <w:jc w:val="center"/>
              <w:rPr>
                <w:rFonts w:ascii="Arial" w:hAnsi="Arial" w:cs="Arial" w:eastAsia="Arial" w:hint="default"/>
                <w:sz w:val="18"/>
                <w:szCs w:val="18"/>
              </w:rPr>
            </w:pPr>
            <w:r>
              <w:rPr>
                <w:rFonts w:ascii="宋体" w:hAnsi="宋体" w:cs="宋体" w:eastAsia="宋体" w:hint="default"/>
                <w:sz w:val="18"/>
                <w:szCs w:val="18"/>
              </w:rPr>
              <w:t>截至期末投 资进度 </w:t>
            </w:r>
            <w:r>
              <w:rPr>
                <w:rFonts w:ascii="Arial" w:hAnsi="Arial" w:cs="Arial" w:eastAsia="Arial" w:hint="default"/>
                <w:sz w:val="18"/>
                <w:szCs w:val="18"/>
              </w:rPr>
              <w:t>(3)=(2)/(1)</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21" w:right="53"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32" w:right="41" w:hanging="92"/>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90" w:right="111"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57" w:right="84" w:hanging="269"/>
              <w:jc w:val="left"/>
              <w:rPr>
                <w:rFonts w:ascii="宋体" w:hAnsi="宋体" w:cs="宋体" w:eastAsia="宋体" w:hint="default"/>
                <w:sz w:val="18"/>
                <w:szCs w:val="18"/>
              </w:rPr>
            </w:pPr>
            <w:r>
              <w:rPr>
                <w:rFonts w:ascii="宋体" w:hAnsi="宋体" w:cs="宋体" w:eastAsia="宋体" w:hint="default"/>
                <w:sz w:val="18"/>
                <w:szCs w:val="18"/>
              </w:rPr>
              <w:t>变更后的项目可行性是 否发生重大变化</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7"/>
              <w:jc w:val="left"/>
              <w:rPr>
                <w:rFonts w:ascii="宋体" w:hAnsi="宋体" w:cs="宋体" w:eastAsia="宋体" w:hint="default"/>
                <w:sz w:val="18"/>
                <w:szCs w:val="18"/>
              </w:rPr>
            </w:pPr>
            <w:r>
              <w:rPr>
                <w:rFonts w:ascii="宋体" w:hAnsi="宋体" w:cs="宋体" w:eastAsia="宋体" w:hint="default"/>
                <w:sz w:val="18"/>
                <w:szCs w:val="18"/>
              </w:rPr>
              <w:t>信息应用运维管理 与服务系统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4"/>
              <w:jc w:val="left"/>
              <w:rPr>
                <w:rFonts w:ascii="宋体" w:hAnsi="宋体" w:cs="宋体" w:eastAsia="宋体" w:hint="default"/>
                <w:sz w:val="18"/>
                <w:szCs w:val="18"/>
              </w:rPr>
            </w:pPr>
            <w:r>
              <w:rPr>
                <w:rFonts w:ascii="宋体" w:hAnsi="宋体" w:cs="宋体" w:eastAsia="宋体" w:hint="default"/>
                <w:sz w:val="18"/>
                <w:szCs w:val="18"/>
              </w:rPr>
              <w:t>信息应用运维管理 与服务系统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3,450.78</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3,450.78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9" w:right="0"/>
              <w:jc w:val="left"/>
              <w:rPr>
                <w:rFonts w:ascii="Arial" w:hAnsi="Arial" w:cs="Arial" w:eastAsia="Arial" w:hint="default"/>
                <w:sz w:val="18"/>
                <w:szCs w:val="18"/>
              </w:rPr>
            </w:pPr>
            <w:r>
              <w:rPr>
                <w:rFonts w:ascii="Arial"/>
                <w:sz w:val="18"/>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Arial" w:hAnsi="Arial" w:cs="Arial" w:eastAsia="Arial"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265.53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6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7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3,450.78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9"/>
                <w:sz w:val="18"/>
              </w:rPr>
              <w:t>0</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3,450.78</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265.53</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502"/>
              <w:jc w:val="right"/>
              <w:rPr>
                <w:rFonts w:ascii="Arial" w:hAnsi="Arial" w:cs="Arial" w:eastAsia="Arial" w:hint="default"/>
                <w:sz w:val="18"/>
                <w:szCs w:val="18"/>
              </w:rPr>
            </w:pPr>
            <w:r>
              <w:rPr>
                <w:rFonts w:ascii="Arial"/>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r>
      <w:tr>
        <w:trPr>
          <w:trHeight w:val="161" w:hRule="exact"/>
        </w:trPr>
        <w:tc>
          <w:tcPr>
            <w:tcW w:w="482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9073" w:type="dxa"/>
            <w:gridSpan w:val="7"/>
            <w:vMerge w:val="restart"/>
            <w:tcBorders>
              <w:top w:val="single" w:sz="4" w:space="0" w:color="000000"/>
              <w:left w:val="single" w:sz="10" w:space="0" w:color="D2D2D2"/>
              <w:right w:val="single" w:sz="4" w:space="0" w:color="000000"/>
            </w:tcBorders>
          </w:tcPr>
          <w:p>
            <w:pPr>
              <w:pStyle w:val="TableParagraph"/>
              <w:spacing w:line="302" w:lineRule="auto" w:before="49"/>
              <w:ind w:left="16" w:right="101" w:firstLine="396"/>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年第一次临时股东大会审议通过，</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项目变更由公司全资子公司华 宇信息实施。</w:t>
            </w:r>
          </w:p>
        </w:tc>
      </w:tr>
      <w:tr>
        <w:trPr>
          <w:trHeight w:val="391" w:hRule="exact"/>
        </w:trPr>
        <w:tc>
          <w:tcPr>
            <w:tcW w:w="4820"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 w:right="0"/>
              <w:jc w:val="left"/>
              <w:rPr>
                <w:rFonts w:ascii="Arial" w:hAnsi="Arial" w:cs="Arial" w:eastAsia="Arial" w:hint="default"/>
                <w:sz w:val="18"/>
                <w:szCs w:val="18"/>
              </w:rPr>
            </w:pPr>
            <w:r>
              <w:rPr>
                <w:rFonts w:ascii="宋体" w:hAnsi="宋体" w:cs="宋体" w:eastAsia="宋体" w:hint="default"/>
                <w:sz w:val="18"/>
                <w:szCs w:val="18"/>
              </w:rPr>
              <w:t>变更原因、决策程序及信息披露情况说明</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9073" w:type="dxa"/>
            <w:gridSpan w:val="7"/>
            <w:vMerge/>
            <w:tcBorders>
              <w:left w:val="single" w:sz="10" w:space="0" w:color="D2D2D2"/>
              <w:right w:val="single" w:sz="4" w:space="0" w:color="000000"/>
            </w:tcBorders>
          </w:tcPr>
          <w:p>
            <w:pPr/>
          </w:p>
        </w:tc>
      </w:tr>
      <w:tr>
        <w:trPr>
          <w:trHeight w:val="161" w:hRule="exact"/>
        </w:trPr>
        <w:tc>
          <w:tcPr>
            <w:tcW w:w="482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9073" w:type="dxa"/>
            <w:gridSpan w:val="7"/>
            <w:vMerge/>
            <w:tcBorders>
              <w:left w:val="single" w:sz="10" w:space="0" w:color="D2D2D2"/>
              <w:bottom w:val="single" w:sz="4" w:space="0" w:color="000000"/>
              <w:right w:val="single" w:sz="4" w:space="0" w:color="000000"/>
            </w:tcBorders>
          </w:tcPr>
          <w:p>
            <w:pPr/>
          </w:p>
        </w:tc>
      </w:tr>
      <w:tr>
        <w:trPr>
          <w:trHeight w:val="403" w:hRule="exact"/>
        </w:trPr>
        <w:tc>
          <w:tcPr>
            <w:tcW w:w="48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Arial" w:hAnsi="Arial" w:cs="Arial" w:eastAsia="Arial" w:hint="default"/>
                <w:sz w:val="18"/>
                <w:szCs w:val="18"/>
              </w:rPr>
            </w:pPr>
            <w:r>
              <w:rPr>
                <w:rFonts w:ascii="宋体" w:hAnsi="宋体" w:cs="宋体" w:eastAsia="宋体" w:hint="default"/>
                <w:sz w:val="18"/>
                <w:szCs w:val="18"/>
              </w:rPr>
              <w:t>未达到计划进度或预计收益的情况和原因</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907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907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367" w:lineRule="exact"/>
        <w:ind w:left="140" w:right="10958"/>
        <w:jc w:val="left"/>
        <w:rPr>
          <w:b w:val="0"/>
          <w:bCs w:val="0"/>
        </w:rPr>
      </w:pPr>
      <w:r>
        <w:rPr/>
        <w:t>六、重大资产和股权出售</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40" w:right="10958"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、出售重大资产情况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54" w:lineRule="auto"/>
        <w:ind w:left="140" w:right="1095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 公司报告期未出售重大资产。</w:t>
      </w:r>
    </w:p>
    <w:p>
      <w:pPr>
        <w:spacing w:line="240" w:lineRule="auto" w:before="10"/>
        <w:rPr>
          <w:rFonts w:ascii="宋体" w:hAnsi="宋体" w:cs="宋体" w:eastAsia="宋体" w:hint="default"/>
          <w:sz w:val="18"/>
          <w:szCs w:val="18"/>
        </w:rPr>
      </w:pPr>
    </w:p>
    <w:p>
      <w:pPr>
        <w:spacing w:before="0"/>
        <w:ind w:left="140" w:right="10958"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、出售重大股权情况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left="140" w:right="1095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after="0" w:line="240" w:lineRule="auto"/>
        <w:jc w:val="left"/>
        <w:sectPr>
          <w:type w:val="continuous"/>
          <w:pgSz w:w="16840" w:h="11910" w:orient="landscape"/>
          <w:pgMar w:top="1060" w:bottom="1160" w:left="1300" w:right="1300"/>
        </w:sectPr>
      </w:pPr>
    </w:p>
    <w:p>
      <w:pPr>
        <w:pStyle w:val="Heading2"/>
        <w:spacing w:line="371" w:lineRule="exact"/>
        <w:ind w:left="140" w:right="10958"/>
        <w:jc w:val="left"/>
        <w:rPr>
          <w:b w:val="0"/>
          <w:bCs w:val="0"/>
        </w:rPr>
      </w:pPr>
      <w:r>
        <w:rPr/>
        <w:pict>
          <v:group style="position:absolute;margin-left:70.559998pt;margin-top:2.252832pt;width:700.9pt;height:.1pt;mso-position-horizontal-relative:page;mso-position-vertical-relative:paragraph;z-index:-886720" coordorigin="1411,45" coordsize="14018,2">
            <v:shape style="position:absolute;left:1411;top:45;width:14018;height:2" coordorigin="1411,45" coordsize="14018,0" path="m1411,45l15429,45e" filled="false" stroked="true" strokeweight=".72pt" strokecolor="#000000">
              <v:path arrowok="t"/>
            </v:shape>
            <w10:wrap type="none"/>
          </v:group>
        </w:pict>
      </w:r>
      <w:r>
        <w:rPr/>
        <w:t>七、主要控股参股公司分析</w:t>
      </w:r>
      <w:r>
        <w:rPr>
          <w:b w:val="0"/>
          <w:bCs w:val="0"/>
        </w:rPr>
      </w:r>
    </w:p>
    <w:p>
      <w:pPr>
        <w:spacing w:line="240" w:lineRule="auto" w:before="1"/>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pgSz w:w="16840" w:h="11910" w:orient="landscape"/>
          <w:pgMar w:header="866" w:footer="980" w:top="1060" w:bottom="1160" w:left="1300" w:right="1300"/>
        </w:sectPr>
      </w:pPr>
    </w:p>
    <w:p>
      <w:pPr>
        <w:pStyle w:val="BodyText"/>
        <w:spacing w:line="240" w:lineRule="auto" w:before="26"/>
        <w:ind w:left="140" w:right="-1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pStyle w:val="BodyText"/>
        <w:spacing w:line="240" w:lineRule="auto" w:before="21"/>
        <w:ind w:left="140" w:right="-16"/>
        <w:jc w:val="left"/>
      </w:pPr>
      <w:r>
        <w:rPr/>
        <w:t>主要子公司及对公司净利润影响达</w:t>
      </w:r>
      <w:r>
        <w:rPr>
          <w:spacing w:val="-64"/>
        </w:rPr>
        <w:t> </w:t>
      </w:r>
      <w:r>
        <w:rPr>
          <w:rFonts w:ascii="Arial" w:hAnsi="Arial" w:cs="Arial" w:eastAsia="Arial" w:hint="default"/>
        </w:rPr>
        <w:t>10%</w:t>
      </w:r>
      <w:r>
        <w:rPr/>
        <w:t>以上的参股公司情况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6840" w:h="11910" w:orient="landscape"/>
          <w:pgMar w:top="1060" w:bottom="1160" w:left="1300" w:right="1300"/>
          <w:cols w:num="2" w:equalWidth="0">
            <w:col w:w="6442" w:space="6679"/>
            <w:col w:w="1119"/>
          </w:cols>
        </w:sectPr>
      </w:pPr>
    </w:p>
    <w:p>
      <w:pPr>
        <w:spacing w:line="240" w:lineRule="auto" w:before="12"/>
        <w:rPr>
          <w:rFonts w:ascii="宋体" w:hAnsi="宋体" w:cs="宋体" w:eastAsia="宋体" w:hint="default"/>
          <w:sz w:val="6"/>
          <w:szCs w:val="6"/>
        </w:rPr>
      </w:pPr>
    </w:p>
    <w:tbl>
      <w:tblPr>
        <w:tblW w:w="0" w:type="auto"/>
        <w:jc w:val="left"/>
        <w:tblInd w:w="168" w:type="dxa"/>
        <w:tblLayout w:type="fixed"/>
        <w:tblCellMar>
          <w:top w:w="0" w:type="dxa"/>
          <w:left w:w="0" w:type="dxa"/>
          <w:bottom w:w="0" w:type="dxa"/>
          <w:right w:w="0" w:type="dxa"/>
        </w:tblCellMar>
        <w:tblLook w:val="01E0"/>
      </w:tblPr>
      <w:tblGrid>
        <w:gridCol w:w="2127"/>
        <w:gridCol w:w="850"/>
        <w:gridCol w:w="2835"/>
        <w:gridCol w:w="710"/>
        <w:gridCol w:w="1558"/>
        <w:gridCol w:w="1418"/>
        <w:gridCol w:w="1560"/>
        <w:gridCol w:w="1417"/>
        <w:gridCol w:w="1418"/>
      </w:tblGrid>
      <w:tr>
        <w:trPr>
          <w:trHeight w:val="71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98"/>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9"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 w:right="113"/>
              <w:jc w:val="left"/>
              <w:rPr>
                <w:rFonts w:ascii="宋体" w:hAnsi="宋体" w:cs="宋体" w:eastAsia="宋体" w:hint="default"/>
                <w:sz w:val="18"/>
                <w:szCs w:val="18"/>
              </w:rPr>
            </w:pPr>
            <w:r>
              <w:rPr>
                <w:rFonts w:ascii="宋体" w:hAnsi="宋体" w:cs="宋体" w:eastAsia="宋体" w:hint="default"/>
                <w:sz w:val="18"/>
                <w:szCs w:val="18"/>
              </w:rPr>
              <w:t>北京华宇信息技术有限公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计算机软硬件、电子产品技术开 发、技术转让、技术咨询、技术服 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1,635,972,174.51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773,748,335.23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1,767,421,999.55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189,568,735.39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160,175,959.63</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53"/>
              <w:jc w:val="righ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软件和信息服务业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8,250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460,960,135.65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266,967,826.08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216,393,349.20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2"/>
                <w:sz w:val="18"/>
              </w:rPr>
              <w:t>84,311,021.85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78,145,477.22</w:t>
            </w:r>
          </w:p>
        </w:tc>
      </w:tr>
      <w:tr>
        <w:trPr>
          <w:trHeight w:val="102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 w:right="113"/>
              <w:jc w:val="left"/>
              <w:rPr>
                <w:rFonts w:ascii="宋体" w:hAnsi="宋体" w:cs="宋体" w:eastAsia="宋体" w:hint="default"/>
                <w:sz w:val="18"/>
                <w:szCs w:val="18"/>
              </w:rPr>
            </w:pPr>
            <w:r>
              <w:rPr>
                <w:rFonts w:ascii="宋体" w:hAnsi="宋体" w:cs="宋体" w:eastAsia="宋体" w:hint="default"/>
                <w:sz w:val="18"/>
                <w:szCs w:val="18"/>
              </w:rPr>
              <w:t>北京万户网络技术有限公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计算机软硬件、电子产品技术开 发、技术转让、技术咨询、技术服 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2,470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165,086,518.83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140,180,221.95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102,990,853.32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43,995,864.64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2"/>
                <w:sz w:val="18"/>
              </w:rPr>
              <w:t>39,711,201.50</w:t>
            </w:r>
          </w:p>
        </w:tc>
      </w:tr>
      <w:tr>
        <w:trPr>
          <w:trHeight w:val="102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13"/>
              <w:jc w:val="left"/>
              <w:rPr>
                <w:rFonts w:ascii="宋体" w:hAnsi="宋体" w:cs="宋体" w:eastAsia="宋体" w:hint="default"/>
                <w:sz w:val="18"/>
                <w:szCs w:val="18"/>
              </w:rPr>
            </w:pPr>
            <w:r>
              <w:rPr>
                <w:rFonts w:ascii="宋体" w:hAnsi="宋体" w:cs="宋体" w:eastAsia="宋体" w:hint="default"/>
                <w:sz w:val="18"/>
                <w:szCs w:val="18"/>
              </w:rPr>
              <w:t>上海浦东华宇信息技术有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计算机软硬件、电子产品技术开 发、技术转让、技术咨询、技术服 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3,000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205,660,934.33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166,708,064.56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179,394,143.83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39,647,347.16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39,005,260.62</w:t>
            </w:r>
          </w:p>
        </w:tc>
      </w:tr>
      <w:tr>
        <w:trPr>
          <w:trHeight w:val="102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 w:right="113"/>
              <w:jc w:val="left"/>
              <w:rPr>
                <w:rFonts w:ascii="宋体" w:hAnsi="宋体" w:cs="宋体" w:eastAsia="宋体" w:hint="default"/>
                <w:sz w:val="18"/>
                <w:szCs w:val="18"/>
              </w:rPr>
            </w:pPr>
            <w:r>
              <w:rPr>
                <w:rFonts w:ascii="宋体" w:hAnsi="宋体" w:cs="宋体" w:eastAsia="宋体" w:hint="default"/>
                <w:sz w:val="18"/>
                <w:szCs w:val="18"/>
              </w:rPr>
              <w:t>北京亿信华辰软件有限责 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计算机软硬件、电子产品技术开 发、技术转让、技术咨询、技术服 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1,250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2"/>
                <w:sz w:val="18"/>
              </w:rPr>
              <w:t>119,148,377.04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102,203,837.03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2"/>
                <w:sz w:val="18"/>
              </w:rPr>
              <w:t>115,045,264.60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18,091,166.08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16,500,382.43</w:t>
            </w:r>
          </w:p>
        </w:tc>
      </w:tr>
      <w:tr>
        <w:trPr>
          <w:trHeight w:val="102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 w:right="113"/>
              <w:jc w:val="left"/>
              <w:rPr>
                <w:rFonts w:ascii="宋体" w:hAnsi="宋体" w:cs="宋体" w:eastAsia="宋体" w:hint="default"/>
                <w:sz w:val="18"/>
                <w:szCs w:val="18"/>
              </w:rPr>
            </w:pPr>
            <w:r>
              <w:rPr>
                <w:rFonts w:ascii="宋体" w:hAnsi="宋体" w:cs="宋体" w:eastAsia="宋体" w:hint="default"/>
                <w:sz w:val="18"/>
                <w:szCs w:val="18"/>
              </w:rPr>
              <w:t>华宇（大连）信息服务有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计算机软硬件、电子产品技术开 发、技术转让、技术咨询、技术服 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192,179,601.32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137,239,871.16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99,324,857.49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7,958,778.30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7,992,758.07</w:t>
            </w:r>
          </w:p>
        </w:tc>
      </w:tr>
      <w:tr>
        <w:trPr>
          <w:trHeight w:val="102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 w:right="113"/>
              <w:jc w:val="left"/>
              <w:rPr>
                <w:rFonts w:ascii="宋体" w:hAnsi="宋体" w:cs="宋体" w:eastAsia="宋体" w:hint="default"/>
                <w:sz w:val="18"/>
                <w:szCs w:val="18"/>
              </w:rPr>
            </w:pPr>
            <w:r>
              <w:rPr>
                <w:rFonts w:ascii="宋体" w:hAnsi="宋体" w:cs="宋体" w:eastAsia="宋体" w:hint="default"/>
                <w:sz w:val="18"/>
                <w:szCs w:val="18"/>
              </w:rPr>
              <w:t>广州华宇信息技术有限公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计算机软硬件、电子产品技术开 发、技术转让、技术咨询、技术服 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2,000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193,020,105.13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156,417,936.45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127,249,099.65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7,758,455.94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7,815,707.24</w:t>
            </w:r>
          </w:p>
        </w:tc>
      </w:tr>
    </w:tbl>
    <w:p>
      <w:pPr>
        <w:spacing w:after="0" w:line="240" w:lineRule="auto"/>
        <w:jc w:val="right"/>
        <w:rPr>
          <w:rFonts w:ascii="Arial" w:hAnsi="Arial" w:cs="Arial" w:eastAsia="Arial" w:hint="default"/>
          <w:sz w:val="18"/>
          <w:szCs w:val="18"/>
        </w:rPr>
        <w:sectPr>
          <w:type w:val="continuous"/>
          <w:pgSz w:w="16840" w:h="11910" w:orient="landscape"/>
          <w:pgMar w:top="1060" w:bottom="1160" w:left="1300" w:right="1300"/>
        </w:sectPr>
      </w:pPr>
    </w:p>
    <w:p>
      <w:pPr>
        <w:spacing w:line="240" w:lineRule="auto" w:before="12"/>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127"/>
        <w:gridCol w:w="850"/>
        <w:gridCol w:w="2835"/>
        <w:gridCol w:w="710"/>
        <w:gridCol w:w="1558"/>
        <w:gridCol w:w="1418"/>
        <w:gridCol w:w="1560"/>
        <w:gridCol w:w="1417"/>
        <w:gridCol w:w="1418"/>
      </w:tblGrid>
      <w:tr>
        <w:trPr>
          <w:trHeight w:val="1042" w:hRule="exact"/>
        </w:trPr>
        <w:tc>
          <w:tcPr>
            <w:tcW w:w="21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113"/>
              <w:jc w:val="left"/>
              <w:rPr>
                <w:rFonts w:ascii="宋体" w:hAnsi="宋体" w:cs="宋体" w:eastAsia="宋体" w:hint="default"/>
                <w:sz w:val="18"/>
                <w:szCs w:val="18"/>
              </w:rPr>
            </w:pPr>
            <w:r>
              <w:rPr>
                <w:rFonts w:ascii="宋体" w:hAnsi="宋体" w:cs="宋体" w:eastAsia="宋体" w:hint="default"/>
                <w:sz w:val="18"/>
                <w:szCs w:val="18"/>
              </w:rPr>
              <w:t>华宇金信（北京）软件有 限公司</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835"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计算机软硬件、电子产品技术开 发、技术转让、技术咨询、技术服 务</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Arial" w:hAnsi="Arial" w:cs="Arial" w:eastAsia="Arial" w:hint="default"/>
                <w:sz w:val="18"/>
                <w:szCs w:val="18"/>
              </w:rPr>
            </w:pPr>
            <w:r>
              <w:rPr>
                <w:rFonts w:ascii="Arial"/>
                <w:sz w:val="18"/>
              </w:rPr>
              <w:t>2,300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226,874,298.91</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2"/>
                <w:sz w:val="18"/>
              </w:rPr>
              <w:t>119,148,920.12</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72,656,601.10</w:t>
            </w: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2,060,993.92</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1,843,702.87</w:t>
            </w:r>
          </w:p>
        </w:tc>
      </w:tr>
      <w:tr>
        <w:trPr>
          <w:trHeight w:val="102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13"/>
              <w:jc w:val="left"/>
              <w:rPr>
                <w:rFonts w:ascii="宋体" w:hAnsi="宋体" w:cs="宋体" w:eastAsia="宋体" w:hint="default"/>
                <w:sz w:val="18"/>
                <w:szCs w:val="18"/>
              </w:rPr>
            </w:pPr>
            <w:r>
              <w:rPr>
                <w:rFonts w:ascii="宋体" w:hAnsi="宋体" w:cs="宋体" w:eastAsia="宋体" w:hint="default"/>
                <w:sz w:val="18"/>
                <w:szCs w:val="18"/>
              </w:rPr>
              <w:t>北京华宇元典信息服务有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计算机软硬件、电子产品技术开 发、技术转让、技术咨询、技术服 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sz w:val="18"/>
              </w:rPr>
              <w:t>4,800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22,039,865.08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19,857,717.86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153,846.15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-14,304,669.03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-10,579,219.39</w:t>
            </w:r>
          </w:p>
        </w:tc>
      </w:tr>
    </w:tbl>
    <w:p>
      <w:pPr>
        <w:pStyle w:val="BodyText"/>
        <w:spacing w:line="240" w:lineRule="auto"/>
        <w:ind w:left="100" w:right="0"/>
        <w:jc w:val="left"/>
      </w:pPr>
      <w:r>
        <w:rPr/>
        <w:t>报告期内取得和处置子公司的情况</w:t>
      </w:r>
    </w:p>
    <w:p>
      <w:pPr>
        <w:pStyle w:val="BodyText"/>
        <w:spacing w:line="240" w:lineRule="auto" w:before="37"/>
        <w:ind w:left="100"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10"/>
        <w:rPr>
          <w:rFonts w:ascii="宋体" w:hAnsi="宋体" w:cs="宋体" w:eastAsia="宋体" w:hint="default"/>
          <w:sz w:val="4"/>
          <w:szCs w:val="4"/>
        </w:rPr>
      </w:pPr>
    </w:p>
    <w:tbl>
      <w:tblPr>
        <w:tblW w:w="0" w:type="auto"/>
        <w:jc w:val="left"/>
        <w:tblInd w:w="128" w:type="dxa"/>
        <w:tblLayout w:type="fixed"/>
        <w:tblCellMar>
          <w:top w:w="0" w:type="dxa"/>
          <w:left w:w="0" w:type="dxa"/>
          <w:bottom w:w="0" w:type="dxa"/>
          <w:right w:w="0" w:type="dxa"/>
        </w:tblCellMar>
        <w:tblLook w:val="01E0"/>
      </w:tblPr>
      <w:tblGrid>
        <w:gridCol w:w="3188"/>
        <w:gridCol w:w="5461"/>
        <w:gridCol w:w="5245"/>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5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报告期内取得和处置子公司方式</w:t>
            </w:r>
          </w:p>
        </w:tc>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50" w:right="0"/>
              <w:jc w:val="left"/>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209"/>
              <w:jc w:val="left"/>
              <w:rPr>
                <w:rFonts w:ascii="宋体" w:hAnsi="宋体" w:cs="宋体" w:eastAsia="宋体" w:hint="default"/>
                <w:sz w:val="21"/>
                <w:szCs w:val="21"/>
              </w:rPr>
            </w:pPr>
            <w:r>
              <w:rPr>
                <w:rFonts w:ascii="宋体" w:hAnsi="宋体" w:cs="宋体" w:eastAsia="宋体" w:hint="default"/>
                <w:spacing w:val="-2"/>
                <w:sz w:val="21"/>
                <w:szCs w:val="21"/>
              </w:rPr>
              <w:t>溯源云（北京）科技服务有限公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-1,355,693.09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联奕科技有限公司</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收购</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78,145,477.22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北京华宇科创投资有限公司</w:t>
            </w:r>
          </w:p>
        </w:tc>
        <w:tc>
          <w:tcPr>
            <w:tcW w:w="5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出售</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z w:val="21"/>
              </w:rPr>
              <w:t>103.33</w:t>
            </w:r>
          </w:p>
        </w:tc>
      </w:tr>
    </w:tbl>
    <w:p>
      <w:pPr>
        <w:spacing w:after="0" w:line="240" w:lineRule="auto"/>
        <w:jc w:val="right"/>
        <w:rPr>
          <w:rFonts w:ascii="Arial" w:hAnsi="Arial" w:cs="Arial" w:eastAsia="Arial" w:hint="default"/>
          <w:sz w:val="21"/>
          <w:szCs w:val="21"/>
        </w:rPr>
        <w:sectPr>
          <w:pgSz w:w="16840" w:h="11910" w:orient="landscape"/>
          <w:pgMar w:header="866" w:footer="980" w:top="1060" w:bottom="1160" w:left="1340" w:right="132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主要控股参股公司情况说明</w:t>
      </w:r>
    </w:p>
    <w:p>
      <w:pPr>
        <w:pStyle w:val="BodyText"/>
        <w:spacing w:line="240" w:lineRule="auto" w:before="195"/>
        <w:ind w:left="633" w:right="0"/>
        <w:jc w:val="left"/>
      </w:pPr>
      <w:r>
        <w:rPr/>
        <w:t>（</w:t>
      </w:r>
      <w:r>
        <w:rPr>
          <w:rFonts w:ascii="Arial" w:hAnsi="Arial" w:cs="Arial" w:eastAsia="Arial" w:hint="default"/>
        </w:rPr>
        <w:t>1</w:t>
      </w:r>
      <w:r>
        <w:rPr/>
        <w:t>）华宇信息</w:t>
      </w:r>
    </w:p>
    <w:p>
      <w:pPr>
        <w:pStyle w:val="BodyText"/>
        <w:spacing w:line="240" w:lineRule="auto" w:before="213"/>
        <w:ind w:left="633" w:right="0"/>
        <w:jc w:val="left"/>
      </w:pPr>
      <w:r>
        <w:rPr/>
        <w:t>华宇信息成立于</w:t>
      </w:r>
      <w:r>
        <w:rPr>
          <w:spacing w:val="-53"/>
        </w:rPr>
        <w:t> </w:t>
      </w:r>
      <w:r>
        <w:rPr>
          <w:rFonts w:ascii="Arial" w:hAnsi="Arial" w:cs="Arial" w:eastAsia="Arial" w:hint="default"/>
        </w:rPr>
        <w:t>2009</w:t>
      </w:r>
      <w:r>
        <w:rPr>
          <w:rFonts w:ascii="Arial" w:hAnsi="Arial" w:cs="Arial" w:eastAsia="Arial" w:hint="default"/>
          <w:spacing w:val="-1"/>
        </w:rPr>
        <w:t> </w:t>
      </w:r>
      <w:r>
        <w:rPr/>
        <w:t>年</w:t>
      </w:r>
      <w:r>
        <w:rPr>
          <w:spacing w:val="-53"/>
        </w:rPr>
        <w:t> </w:t>
      </w:r>
      <w:r>
        <w:rPr>
          <w:rFonts w:ascii="Arial" w:hAnsi="Arial" w:cs="Arial" w:eastAsia="Arial" w:hint="default"/>
        </w:rPr>
        <w:t>9</w:t>
      </w:r>
      <w:r>
        <w:rPr>
          <w:rFonts w:ascii="Arial" w:hAnsi="Arial" w:cs="Arial" w:eastAsia="Arial" w:hint="default"/>
          <w:spacing w:val="1"/>
        </w:rPr>
        <w:t> </w:t>
      </w:r>
      <w:r>
        <w:rPr/>
        <w:t>月</w:t>
      </w:r>
      <w:r>
        <w:rPr>
          <w:spacing w:val="-53"/>
        </w:rPr>
        <w:t> </w:t>
      </w:r>
      <w:r>
        <w:rPr>
          <w:rFonts w:ascii="Arial" w:hAnsi="Arial" w:cs="Arial" w:eastAsia="Arial" w:hint="default"/>
        </w:rPr>
        <w:t>9</w:t>
      </w:r>
      <w:r>
        <w:rPr>
          <w:rFonts w:ascii="Arial" w:hAnsi="Arial" w:cs="Arial" w:eastAsia="Arial" w:hint="default"/>
          <w:spacing w:val="1"/>
        </w:rPr>
        <w:t> </w:t>
      </w:r>
      <w:r>
        <w:rPr/>
        <w:t>日，注册资本</w:t>
      </w:r>
      <w:r>
        <w:rPr>
          <w:spacing w:val="-53"/>
        </w:rPr>
        <w:t> </w:t>
      </w:r>
      <w:r>
        <w:rPr>
          <w:rFonts w:ascii="Arial" w:hAnsi="Arial" w:cs="Arial" w:eastAsia="Arial" w:hint="default"/>
        </w:rPr>
        <w:t>3</w:t>
      </w:r>
      <w:r>
        <w:rPr>
          <w:rFonts w:ascii="Arial" w:hAnsi="Arial" w:cs="Arial" w:eastAsia="Arial" w:hint="default"/>
          <w:spacing w:val="1"/>
        </w:rPr>
        <w:t> </w:t>
      </w:r>
      <w:r>
        <w:rPr/>
        <w:t>亿元，住所为北京市海淀区中关村东路</w:t>
      </w:r>
    </w:p>
    <w:p>
      <w:pPr>
        <w:pStyle w:val="BodyText"/>
        <w:spacing w:line="280" w:lineRule="auto" w:before="60"/>
        <w:ind w:right="144"/>
        <w:jc w:val="left"/>
      </w:pPr>
      <w:r>
        <w:rPr>
          <w:rFonts w:ascii="Arial" w:hAnsi="Arial" w:cs="Arial" w:eastAsia="Arial" w:hint="default"/>
        </w:rPr>
        <w:t>1</w:t>
      </w:r>
      <w:r>
        <w:rPr>
          <w:rFonts w:ascii="Arial" w:hAnsi="Arial" w:cs="Arial" w:eastAsia="Arial" w:hint="default"/>
          <w:spacing w:val="-2"/>
        </w:rPr>
        <w:t> </w:t>
      </w:r>
      <w:r>
        <w:rPr/>
        <w:t>号院</w:t>
      </w:r>
      <w:r>
        <w:rPr>
          <w:spacing w:val="-56"/>
        </w:rPr>
        <w:t> </w:t>
      </w:r>
      <w:r>
        <w:rPr>
          <w:rFonts w:ascii="Arial" w:hAnsi="Arial" w:cs="Arial" w:eastAsia="Arial" w:hint="default"/>
        </w:rPr>
        <w:t>8</w:t>
      </w:r>
      <w:r>
        <w:rPr>
          <w:rFonts w:ascii="Arial" w:hAnsi="Arial" w:cs="Arial" w:eastAsia="Arial" w:hint="default"/>
          <w:spacing w:val="-2"/>
        </w:rPr>
        <w:t> </w:t>
      </w:r>
      <w:r>
        <w:rPr/>
        <w:t>号楼</w:t>
      </w:r>
      <w:r>
        <w:rPr>
          <w:spacing w:val="-56"/>
        </w:rPr>
        <w:t> </w:t>
      </w:r>
      <w:r>
        <w:rPr>
          <w:rFonts w:ascii="Arial" w:hAnsi="Arial" w:cs="Arial" w:eastAsia="Arial" w:hint="default"/>
        </w:rPr>
        <w:t>21</w:t>
      </w:r>
      <w:r>
        <w:rPr>
          <w:rFonts w:ascii="Arial" w:hAnsi="Arial" w:cs="Arial" w:eastAsia="Arial" w:hint="default"/>
          <w:spacing w:val="-2"/>
        </w:rPr>
        <w:t> </w:t>
      </w:r>
      <w:r>
        <w:rPr/>
        <w:t>层</w:t>
      </w:r>
      <w:r>
        <w:rPr>
          <w:spacing w:val="-56"/>
        </w:rPr>
        <w:t> </w:t>
      </w:r>
      <w:r>
        <w:rPr>
          <w:rFonts w:ascii="Arial" w:hAnsi="Arial" w:cs="Arial" w:eastAsia="Arial" w:hint="default"/>
          <w:spacing w:val="-4"/>
        </w:rPr>
        <w:t>C2301</w:t>
      </w:r>
      <w:r>
        <w:rPr>
          <w:spacing w:val="-4"/>
        </w:rPr>
        <w:t>，</w:t>
      </w:r>
      <w:r>
        <w:rPr>
          <w:rFonts w:ascii="Arial" w:hAnsi="Arial" w:cs="Arial" w:eastAsia="Arial" w:hint="default"/>
          <w:spacing w:val="-4"/>
        </w:rPr>
        <w:t>C2302</w:t>
      </w:r>
      <w:r>
        <w:rPr>
          <w:spacing w:val="-4"/>
        </w:rPr>
        <w:t>，经营范围为计算机软硬件、电子产品技术开发、技术转</w:t>
      </w:r>
      <w:r>
        <w:rPr/>
        <w:t> 让、技术咨询、技术服务。公司持有华宇信息</w:t>
      </w:r>
      <w:r>
        <w:rPr>
          <w:spacing w:val="-60"/>
        </w:rPr>
        <w:t> </w:t>
      </w:r>
      <w:r>
        <w:rPr>
          <w:rFonts w:ascii="Arial" w:hAnsi="Arial" w:cs="Arial" w:eastAsia="Arial" w:hint="default"/>
        </w:rPr>
        <w:t>100%</w:t>
      </w:r>
      <w:r>
        <w:rPr/>
        <w:t>股权。</w:t>
      </w:r>
    </w:p>
    <w:p>
      <w:pPr>
        <w:pStyle w:val="BodyText"/>
        <w:spacing w:line="240" w:lineRule="auto" w:before="170"/>
        <w:ind w:left="633" w:right="0"/>
        <w:jc w:val="left"/>
      </w:pPr>
      <w:r>
        <w:rPr>
          <w:spacing w:val="-7"/>
        </w:rPr>
        <w:t>报告期内，华宇信息各项业务开展顺利，整体运营良好。报告期末，总资产 </w:t>
      </w:r>
      <w:r>
        <w:rPr>
          <w:rFonts w:ascii="Arial" w:hAnsi="Arial" w:cs="Arial" w:eastAsia="Arial" w:hint="default"/>
        </w:rPr>
        <w:t>16.36</w:t>
      </w:r>
      <w:r>
        <w:rPr>
          <w:rFonts w:ascii="Arial" w:hAnsi="Arial" w:cs="Arial" w:eastAsia="Arial" w:hint="default"/>
          <w:spacing w:val="-33"/>
        </w:rPr>
        <w:t> </w:t>
      </w:r>
      <w:r>
        <w:rPr/>
        <w:t>亿元，</w:t>
      </w:r>
    </w:p>
    <w:p>
      <w:pPr>
        <w:pStyle w:val="BodyText"/>
        <w:spacing w:line="240" w:lineRule="auto" w:before="57"/>
        <w:ind w:right="0"/>
        <w:jc w:val="both"/>
      </w:pPr>
      <w:r>
        <w:rPr/>
        <w:t>净资产</w:t>
      </w:r>
      <w:r>
        <w:rPr>
          <w:spacing w:val="-62"/>
        </w:rPr>
        <w:t> </w:t>
      </w:r>
      <w:r>
        <w:rPr>
          <w:rFonts w:ascii="Arial" w:hAnsi="Arial" w:cs="Arial" w:eastAsia="Arial" w:hint="default"/>
        </w:rPr>
        <w:t>7.74</w:t>
      </w:r>
      <w:r>
        <w:rPr>
          <w:rFonts w:ascii="Arial" w:hAnsi="Arial" w:cs="Arial" w:eastAsia="Arial" w:hint="default"/>
          <w:spacing w:val="-8"/>
        </w:rPr>
        <w:t> </w:t>
      </w:r>
      <w:r>
        <w:rPr/>
        <w:t>亿元；报告期内，实现净利润</w:t>
      </w:r>
      <w:r>
        <w:rPr>
          <w:spacing w:val="-62"/>
        </w:rPr>
        <w:t> </w:t>
      </w:r>
      <w:r>
        <w:rPr>
          <w:rFonts w:ascii="Arial" w:hAnsi="Arial" w:cs="Arial" w:eastAsia="Arial" w:hint="default"/>
        </w:rPr>
        <w:t>1.60</w:t>
      </w:r>
      <w:r>
        <w:rPr>
          <w:rFonts w:ascii="Arial" w:hAnsi="Arial" w:cs="Arial" w:eastAsia="Arial" w:hint="default"/>
          <w:spacing w:val="-8"/>
        </w:rPr>
        <w:t> </w:t>
      </w:r>
      <w:r>
        <w:rPr/>
        <w:t>亿元。</w:t>
      </w:r>
    </w:p>
    <w:p>
      <w:pPr>
        <w:spacing w:line="240" w:lineRule="auto" w:before="7"/>
        <w:rPr>
          <w:rFonts w:ascii="宋体" w:hAnsi="宋体" w:cs="宋体" w:eastAsia="宋体" w:hint="default"/>
          <w:sz w:val="16"/>
          <w:szCs w:val="16"/>
        </w:rPr>
      </w:pPr>
    </w:p>
    <w:p>
      <w:pPr>
        <w:pStyle w:val="BodyText"/>
        <w:spacing w:line="240" w:lineRule="auto"/>
        <w:ind w:left="633" w:right="0"/>
        <w:jc w:val="left"/>
      </w:pPr>
      <w:r>
        <w:rPr/>
        <w:t>（</w:t>
      </w:r>
      <w:r>
        <w:rPr>
          <w:rFonts w:ascii="Arial" w:hAnsi="Arial" w:cs="Arial" w:eastAsia="Arial" w:hint="default"/>
        </w:rPr>
        <w:t>2</w:t>
      </w:r>
      <w:r>
        <w:rPr/>
        <w:t>）联奕科技</w:t>
      </w:r>
    </w:p>
    <w:p>
      <w:pPr>
        <w:pStyle w:val="BodyText"/>
        <w:spacing w:line="240" w:lineRule="auto" w:before="214"/>
        <w:ind w:left="633" w:right="0"/>
        <w:jc w:val="left"/>
      </w:pPr>
      <w:r>
        <w:rPr/>
        <w:t>联奕科技成立于</w:t>
      </w:r>
      <w:r>
        <w:rPr>
          <w:spacing w:val="-52"/>
        </w:rPr>
        <w:t> </w:t>
      </w:r>
      <w:r>
        <w:rPr>
          <w:rFonts w:ascii="Arial" w:hAnsi="Arial" w:cs="Arial" w:eastAsia="Arial" w:hint="default"/>
        </w:rPr>
        <w:t>2004</w:t>
      </w:r>
      <w:r>
        <w:rPr>
          <w:rFonts w:ascii="Arial" w:hAnsi="Arial" w:cs="Arial" w:eastAsia="Arial" w:hint="default"/>
          <w:spacing w:val="1"/>
        </w:rPr>
        <w:t> </w:t>
      </w:r>
      <w:r>
        <w:rPr/>
        <w:t>年</w:t>
      </w:r>
      <w:r>
        <w:rPr>
          <w:spacing w:val="-52"/>
        </w:rPr>
        <w:t> </w:t>
      </w:r>
      <w:r>
        <w:rPr>
          <w:rFonts w:ascii="Arial" w:hAnsi="Arial" w:cs="Arial" w:eastAsia="Arial" w:hint="default"/>
        </w:rPr>
        <w:t>7</w:t>
      </w:r>
      <w:r>
        <w:rPr>
          <w:rFonts w:ascii="Arial" w:hAnsi="Arial" w:cs="Arial" w:eastAsia="Arial" w:hint="default"/>
          <w:spacing w:val="2"/>
        </w:rPr>
        <w:t> </w:t>
      </w:r>
      <w:r>
        <w:rPr/>
        <w:t>月</w:t>
      </w:r>
      <w:r>
        <w:rPr>
          <w:spacing w:val="-52"/>
        </w:rPr>
        <w:t> </w:t>
      </w:r>
      <w:r>
        <w:rPr>
          <w:rFonts w:ascii="Arial" w:hAnsi="Arial" w:cs="Arial" w:eastAsia="Arial" w:hint="default"/>
        </w:rPr>
        <w:t>5</w:t>
      </w:r>
      <w:r>
        <w:rPr>
          <w:rFonts w:ascii="Arial" w:hAnsi="Arial" w:cs="Arial" w:eastAsia="Arial" w:hint="default"/>
          <w:spacing w:val="2"/>
        </w:rPr>
        <w:t> </w:t>
      </w:r>
      <w:r>
        <w:rPr/>
        <w:t>日，注册资本</w:t>
      </w:r>
      <w:r>
        <w:rPr>
          <w:spacing w:val="-52"/>
        </w:rPr>
        <w:t> </w:t>
      </w:r>
      <w:r>
        <w:rPr>
          <w:rFonts w:ascii="Arial" w:hAnsi="Arial" w:cs="Arial" w:eastAsia="Arial" w:hint="default"/>
        </w:rPr>
        <w:t>8,250</w:t>
      </w:r>
      <w:r>
        <w:rPr>
          <w:rFonts w:ascii="Arial" w:hAnsi="Arial" w:cs="Arial" w:eastAsia="Arial" w:hint="default"/>
          <w:spacing w:val="3"/>
        </w:rPr>
        <w:t> </w:t>
      </w:r>
      <w:r>
        <w:rPr/>
        <w:t>万元，住所为广州市天河区科韵路</w:t>
      </w:r>
    </w:p>
    <w:p>
      <w:pPr>
        <w:pStyle w:val="BodyText"/>
        <w:spacing w:line="290" w:lineRule="auto" w:before="60"/>
        <w:ind w:right="152"/>
        <w:jc w:val="both"/>
      </w:pPr>
      <w:r>
        <w:rPr>
          <w:rFonts w:ascii="Arial" w:hAnsi="Arial" w:cs="Arial" w:eastAsia="Arial" w:hint="default"/>
        </w:rPr>
        <w:t>16</w:t>
      </w:r>
      <w:r>
        <w:rPr>
          <w:rFonts w:ascii="Arial" w:hAnsi="Arial" w:cs="Arial" w:eastAsia="Arial" w:hint="default"/>
          <w:spacing w:val="19"/>
        </w:rPr>
        <w:t> </w:t>
      </w:r>
      <w:r>
        <w:rPr>
          <w:spacing w:val="-8"/>
        </w:rPr>
        <w:t>号，经营范围为软件开发；信息系统集成服务；信息技术咨询服务；数据处理和存储服务；</w:t>
      </w:r>
      <w:r>
        <w:rPr>
          <w:spacing w:val="-117"/>
        </w:rPr>
        <w:t> </w:t>
      </w:r>
      <w:r>
        <w:rPr>
          <w:spacing w:val="-117"/>
        </w:rPr>
      </w:r>
      <w:r>
        <w:rPr/>
        <w:t>软件服务；教育咨询服务；软件测试服务；网络技术的研究、开发；计算机技术开发、技术</w:t>
      </w:r>
      <w:r>
        <w:rPr>
          <w:spacing w:val="-91"/>
        </w:rPr>
        <w:t> </w:t>
      </w:r>
      <w:r>
        <w:rPr>
          <w:spacing w:val="-91"/>
        </w:rPr>
      </w:r>
      <w:r>
        <w:rPr/>
        <w:t>服务等。公司持有联奕科技</w:t>
      </w:r>
      <w:r>
        <w:rPr>
          <w:spacing w:val="-60"/>
        </w:rPr>
        <w:t> </w:t>
      </w:r>
      <w:r>
        <w:rPr>
          <w:rFonts w:ascii="Arial" w:hAnsi="Arial" w:cs="Arial" w:eastAsia="Arial" w:hint="default"/>
        </w:rPr>
        <w:t>100%</w:t>
      </w:r>
      <w:r>
        <w:rPr/>
        <w:t>股权。</w:t>
      </w:r>
    </w:p>
    <w:p>
      <w:pPr>
        <w:pStyle w:val="BodyText"/>
        <w:spacing w:line="300" w:lineRule="auto" w:before="157"/>
        <w:ind w:right="139" w:firstLine="480"/>
        <w:jc w:val="left"/>
      </w:pPr>
      <w:r>
        <w:rPr/>
        <w:t>报告期内，联奕科技充分发挥成功案例和标杆客户的优势，借助品牌势能继续深入开发 全国市场，促进数字校园方案销售持续增长。报告期末，总资产</w:t>
      </w:r>
      <w:r>
        <w:rPr>
          <w:spacing w:val="-44"/>
        </w:rPr>
        <w:t> </w:t>
      </w:r>
      <w:r>
        <w:rPr>
          <w:rFonts w:ascii="Arial" w:hAnsi="Arial" w:cs="Arial" w:eastAsia="Arial" w:hint="default"/>
        </w:rPr>
        <w:t>4.61</w:t>
      </w:r>
      <w:r>
        <w:rPr>
          <w:rFonts w:ascii="Arial" w:hAnsi="Arial" w:cs="Arial" w:eastAsia="Arial" w:hint="default"/>
          <w:spacing w:val="9"/>
        </w:rPr>
        <w:t> </w:t>
      </w:r>
      <w:r>
        <w:rPr/>
        <w:t>亿元，净资产</w:t>
      </w:r>
      <w:r>
        <w:rPr>
          <w:spacing w:val="-45"/>
        </w:rPr>
        <w:t> </w:t>
      </w:r>
      <w:r>
        <w:rPr>
          <w:rFonts w:ascii="Arial" w:hAnsi="Arial" w:cs="Arial" w:eastAsia="Arial" w:hint="default"/>
        </w:rPr>
        <w:t>2.67</w:t>
      </w:r>
      <w:r>
        <w:rPr>
          <w:rFonts w:ascii="Arial" w:hAnsi="Arial" w:cs="Arial" w:eastAsia="Arial" w:hint="default"/>
          <w:spacing w:val="7"/>
        </w:rPr>
        <w:t> </w:t>
      </w:r>
      <w:r>
        <w:rPr/>
        <w:t>亿</w:t>
      </w:r>
    </w:p>
    <w:p>
      <w:pPr>
        <w:pStyle w:val="BodyText"/>
        <w:spacing w:line="322" w:lineRule="exact"/>
        <w:ind w:right="0"/>
        <w:jc w:val="both"/>
      </w:pPr>
      <w:r>
        <w:rPr/>
        <w:t>元；报告期内，纳入合并报表的净利润</w:t>
      </w:r>
      <w:r>
        <w:rPr>
          <w:spacing w:val="-61"/>
        </w:rPr>
        <w:t> </w:t>
      </w:r>
      <w:r>
        <w:rPr>
          <w:rFonts w:ascii="Arial" w:hAnsi="Arial" w:cs="Arial" w:eastAsia="Arial" w:hint="default"/>
        </w:rPr>
        <w:t>7,814.55</w:t>
      </w:r>
      <w:r>
        <w:rPr>
          <w:rFonts w:ascii="Arial" w:hAnsi="Arial" w:cs="Arial" w:eastAsia="Arial" w:hint="default"/>
          <w:spacing w:val="-7"/>
        </w:rPr>
        <w:t> </w:t>
      </w:r>
      <w:r>
        <w:rPr/>
        <w:t>万元。</w:t>
      </w:r>
    </w:p>
    <w:p>
      <w:pPr>
        <w:spacing w:line="240" w:lineRule="auto" w:before="7"/>
        <w:rPr>
          <w:rFonts w:ascii="宋体" w:hAnsi="宋体" w:cs="宋体" w:eastAsia="宋体" w:hint="default"/>
          <w:sz w:val="16"/>
          <w:szCs w:val="16"/>
        </w:rPr>
      </w:pPr>
    </w:p>
    <w:p>
      <w:pPr>
        <w:pStyle w:val="BodyText"/>
        <w:spacing w:line="240" w:lineRule="auto"/>
        <w:ind w:left="633" w:right="0"/>
        <w:jc w:val="left"/>
      </w:pPr>
      <w:r>
        <w:rPr/>
        <w:t>（</w:t>
      </w:r>
      <w:r>
        <w:rPr>
          <w:rFonts w:ascii="Arial" w:hAnsi="Arial" w:cs="Arial" w:eastAsia="Arial" w:hint="default"/>
        </w:rPr>
        <w:t>3</w:t>
      </w:r>
      <w:r>
        <w:rPr/>
        <w:t>）万户网络</w:t>
      </w:r>
    </w:p>
    <w:p>
      <w:pPr>
        <w:pStyle w:val="BodyText"/>
        <w:spacing w:line="240" w:lineRule="auto" w:before="213"/>
        <w:ind w:left="633" w:right="0"/>
        <w:jc w:val="left"/>
      </w:pPr>
      <w:r>
        <w:rPr/>
        <w:t>万户网络成立于</w:t>
      </w:r>
      <w:r>
        <w:rPr>
          <w:spacing w:val="-61"/>
        </w:rPr>
        <w:t> </w:t>
      </w:r>
      <w:r>
        <w:rPr>
          <w:rFonts w:ascii="Arial" w:hAnsi="Arial" w:cs="Arial" w:eastAsia="Arial" w:hint="default"/>
        </w:rPr>
        <w:t>2003</w:t>
      </w:r>
      <w:r>
        <w:rPr>
          <w:rFonts w:ascii="Arial" w:hAnsi="Arial" w:cs="Arial" w:eastAsia="Arial" w:hint="default"/>
          <w:spacing w:val="-8"/>
        </w:rPr>
        <w:t> </w:t>
      </w:r>
      <w:r>
        <w:rPr/>
        <w:t>年</w:t>
      </w:r>
      <w:r>
        <w:rPr>
          <w:spacing w:val="-60"/>
        </w:rPr>
        <w:t> </w:t>
      </w:r>
      <w:r>
        <w:rPr>
          <w:rFonts w:ascii="Arial" w:hAnsi="Arial" w:cs="Arial" w:eastAsia="Arial" w:hint="default"/>
        </w:rPr>
        <w:t>8</w:t>
      </w:r>
      <w:r>
        <w:rPr>
          <w:rFonts w:ascii="Arial" w:hAnsi="Arial" w:cs="Arial" w:eastAsia="Arial" w:hint="default"/>
          <w:spacing w:val="-6"/>
        </w:rPr>
        <w:t> </w:t>
      </w:r>
      <w:r>
        <w:rPr/>
        <w:t>月</w:t>
      </w:r>
      <w:r>
        <w:rPr>
          <w:spacing w:val="-60"/>
        </w:rPr>
        <w:t> </w:t>
      </w:r>
      <w:r>
        <w:rPr>
          <w:rFonts w:ascii="Arial" w:hAnsi="Arial" w:cs="Arial" w:eastAsia="Arial" w:hint="default"/>
        </w:rPr>
        <w:t>12</w:t>
      </w:r>
      <w:r>
        <w:rPr>
          <w:rFonts w:ascii="Arial" w:hAnsi="Arial" w:cs="Arial" w:eastAsia="Arial" w:hint="default"/>
          <w:spacing w:val="-6"/>
        </w:rPr>
        <w:t> </w:t>
      </w:r>
      <w:r>
        <w:rPr>
          <w:spacing w:val="-4"/>
        </w:rPr>
        <w:t>日，注册资金人民币</w:t>
      </w:r>
      <w:r>
        <w:rPr>
          <w:spacing w:val="-60"/>
        </w:rPr>
        <w:t> </w:t>
      </w:r>
      <w:r>
        <w:rPr>
          <w:rFonts w:ascii="Arial" w:hAnsi="Arial" w:cs="Arial" w:eastAsia="Arial" w:hint="default"/>
        </w:rPr>
        <w:t>2,470</w:t>
      </w:r>
      <w:r>
        <w:rPr>
          <w:rFonts w:ascii="Arial" w:hAnsi="Arial" w:cs="Arial" w:eastAsia="Arial" w:hint="default"/>
          <w:spacing w:val="-6"/>
        </w:rPr>
        <w:t> </w:t>
      </w:r>
      <w:r>
        <w:rPr>
          <w:spacing w:val="-3"/>
        </w:rPr>
        <w:t>万元，住所北京市海淀区安</w:t>
      </w:r>
    </w:p>
    <w:p>
      <w:pPr>
        <w:pStyle w:val="BodyText"/>
        <w:spacing w:line="280" w:lineRule="auto" w:before="60"/>
        <w:ind w:right="145"/>
        <w:jc w:val="left"/>
      </w:pPr>
      <w:r>
        <w:rPr/>
        <w:t>宁庄西路</w:t>
      </w:r>
      <w:r>
        <w:rPr>
          <w:spacing w:val="-49"/>
        </w:rPr>
        <w:t> </w:t>
      </w:r>
      <w:r>
        <w:rPr>
          <w:rFonts w:ascii="Arial" w:hAnsi="Arial" w:cs="Arial" w:eastAsia="Arial" w:hint="default"/>
        </w:rPr>
        <w:t>9</w:t>
      </w:r>
      <w:r>
        <w:rPr>
          <w:rFonts w:ascii="Arial" w:hAnsi="Arial" w:cs="Arial" w:eastAsia="Arial" w:hint="default"/>
          <w:spacing w:val="5"/>
        </w:rPr>
        <w:t> </w:t>
      </w:r>
      <w:r>
        <w:rPr/>
        <w:t>号院</w:t>
      </w:r>
      <w:r>
        <w:rPr>
          <w:spacing w:val="-49"/>
        </w:rPr>
        <w:t> </w:t>
      </w:r>
      <w:r>
        <w:rPr>
          <w:rFonts w:ascii="Arial" w:hAnsi="Arial" w:cs="Arial" w:eastAsia="Arial" w:hint="default"/>
        </w:rPr>
        <w:t>29</w:t>
      </w:r>
      <w:r>
        <w:rPr>
          <w:rFonts w:ascii="Arial" w:hAnsi="Arial" w:cs="Arial" w:eastAsia="Arial" w:hint="default"/>
          <w:spacing w:val="5"/>
        </w:rPr>
        <w:t> </w:t>
      </w:r>
      <w:r>
        <w:rPr/>
        <w:t>号楼</w:t>
      </w:r>
      <w:r>
        <w:rPr>
          <w:spacing w:val="-49"/>
        </w:rPr>
        <w:t> </w:t>
      </w:r>
      <w:r>
        <w:rPr>
          <w:rFonts w:ascii="Arial" w:hAnsi="Arial" w:cs="Arial" w:eastAsia="Arial" w:hint="default"/>
        </w:rPr>
        <w:t>907</w:t>
      </w:r>
      <w:r>
        <w:rPr>
          <w:rFonts w:ascii="Arial" w:hAnsi="Arial" w:cs="Arial" w:eastAsia="Arial" w:hint="default"/>
          <w:spacing w:val="5"/>
        </w:rPr>
        <w:t> </w:t>
      </w:r>
      <w:r>
        <w:rPr/>
        <w:t>室，经营范围为技术推广服务；计算机系统服务；公共软件服 务；销售机械设备、五金交电、电子产品。公司持有万户网络</w:t>
      </w:r>
      <w:r>
        <w:rPr>
          <w:spacing w:val="-63"/>
        </w:rPr>
        <w:t> </w:t>
      </w:r>
      <w:r>
        <w:rPr>
          <w:rFonts w:ascii="Arial" w:hAnsi="Arial" w:cs="Arial" w:eastAsia="Arial" w:hint="default"/>
        </w:rPr>
        <w:t>100%</w:t>
      </w:r>
      <w:r>
        <w:rPr/>
        <w:t>的股权。</w:t>
      </w:r>
    </w:p>
    <w:p>
      <w:pPr>
        <w:pStyle w:val="BodyText"/>
        <w:spacing w:line="297" w:lineRule="auto" w:before="170"/>
        <w:ind w:right="0" w:firstLine="480"/>
        <w:jc w:val="left"/>
      </w:pPr>
      <w:r>
        <w:rPr/>
        <w:t>万户网络主要从事协同办公软件的研发、销售及相关技术服务。报告期末，万户网络总 资产</w:t>
      </w:r>
      <w:r>
        <w:rPr>
          <w:spacing w:val="-62"/>
        </w:rPr>
        <w:t> </w:t>
      </w:r>
      <w:r>
        <w:rPr>
          <w:rFonts w:ascii="Arial" w:hAnsi="Arial" w:cs="Arial" w:eastAsia="Arial" w:hint="default"/>
        </w:rPr>
        <w:t>1.65</w:t>
      </w:r>
      <w:r>
        <w:rPr>
          <w:rFonts w:ascii="Arial" w:hAnsi="Arial" w:cs="Arial" w:eastAsia="Arial" w:hint="default"/>
          <w:spacing w:val="-8"/>
        </w:rPr>
        <w:t> </w:t>
      </w:r>
      <w:r>
        <w:rPr/>
        <w:t>亿元，净资产</w:t>
      </w:r>
      <w:r>
        <w:rPr>
          <w:spacing w:val="-62"/>
        </w:rPr>
        <w:t> </w:t>
      </w:r>
      <w:r>
        <w:rPr>
          <w:rFonts w:ascii="Arial" w:hAnsi="Arial" w:cs="Arial" w:eastAsia="Arial" w:hint="default"/>
        </w:rPr>
        <w:t>1.40</w:t>
      </w:r>
      <w:r>
        <w:rPr>
          <w:rFonts w:ascii="Arial" w:hAnsi="Arial" w:cs="Arial" w:eastAsia="Arial" w:hint="default"/>
          <w:spacing w:val="-7"/>
        </w:rPr>
        <w:t> </w:t>
      </w:r>
      <w:r>
        <w:rPr/>
        <w:t>亿元；报告期内，纳入合并报表的净利润</w:t>
      </w:r>
      <w:r>
        <w:rPr>
          <w:spacing w:val="-62"/>
        </w:rPr>
        <w:t> </w:t>
      </w:r>
      <w:r>
        <w:rPr>
          <w:rFonts w:ascii="Arial" w:hAnsi="Arial" w:cs="Arial" w:eastAsia="Arial" w:hint="default"/>
        </w:rPr>
        <w:t>3,971.12</w:t>
      </w:r>
      <w:r>
        <w:rPr>
          <w:rFonts w:ascii="Arial" w:hAnsi="Arial" w:cs="Arial" w:eastAsia="Arial" w:hint="default"/>
          <w:spacing w:val="-7"/>
        </w:rPr>
        <w:t> </w:t>
      </w:r>
      <w:r>
        <w:rPr/>
        <w:t>万元。</w:t>
      </w:r>
    </w:p>
    <w:p>
      <w:pPr>
        <w:pStyle w:val="BodyText"/>
        <w:spacing w:line="240" w:lineRule="auto" w:before="151"/>
        <w:ind w:left="633" w:right="0"/>
        <w:jc w:val="left"/>
      </w:pPr>
      <w:r>
        <w:rPr/>
        <w:t>（</w:t>
      </w:r>
      <w:r>
        <w:rPr>
          <w:rFonts w:ascii="Arial" w:hAnsi="Arial" w:cs="Arial" w:eastAsia="Arial" w:hint="default"/>
        </w:rPr>
        <w:t>4</w:t>
      </w:r>
      <w:r>
        <w:rPr/>
        <w:t>）浦东华宇</w:t>
      </w:r>
    </w:p>
    <w:p>
      <w:pPr>
        <w:pStyle w:val="BodyText"/>
        <w:spacing w:line="290" w:lineRule="auto" w:before="213"/>
        <w:ind w:right="151" w:firstLine="480"/>
        <w:jc w:val="both"/>
      </w:pPr>
      <w:r>
        <w:rPr/>
        <w:t>浦东华宇成立于</w:t>
      </w:r>
      <w:r>
        <w:rPr>
          <w:spacing w:val="-52"/>
        </w:rPr>
        <w:t> </w:t>
      </w:r>
      <w:r>
        <w:rPr>
          <w:rFonts w:ascii="Arial" w:hAnsi="Arial" w:cs="Arial" w:eastAsia="Arial" w:hint="default"/>
        </w:rPr>
        <w:t>2000</w:t>
      </w:r>
      <w:r>
        <w:rPr>
          <w:rFonts w:ascii="Arial" w:hAnsi="Arial" w:cs="Arial" w:eastAsia="Arial" w:hint="default"/>
          <w:spacing w:val="1"/>
        </w:rPr>
        <w:t> </w:t>
      </w:r>
      <w:r>
        <w:rPr/>
        <w:t>年</w:t>
      </w:r>
      <w:r>
        <w:rPr>
          <w:spacing w:val="-52"/>
        </w:rPr>
        <w:t> </w:t>
      </w:r>
      <w:r>
        <w:rPr>
          <w:rFonts w:ascii="Arial" w:hAnsi="Arial" w:cs="Arial" w:eastAsia="Arial" w:hint="default"/>
        </w:rPr>
        <w:t>4</w:t>
      </w:r>
      <w:r>
        <w:rPr>
          <w:rFonts w:ascii="Arial" w:hAnsi="Arial" w:cs="Arial" w:eastAsia="Arial" w:hint="default"/>
          <w:spacing w:val="2"/>
        </w:rPr>
        <w:t> </w:t>
      </w:r>
      <w:r>
        <w:rPr/>
        <w:t>月</w:t>
      </w:r>
      <w:r>
        <w:rPr>
          <w:spacing w:val="-52"/>
        </w:rPr>
        <w:t> </w:t>
      </w:r>
      <w:r>
        <w:rPr>
          <w:rFonts w:ascii="Arial" w:hAnsi="Arial" w:cs="Arial" w:eastAsia="Arial" w:hint="default"/>
        </w:rPr>
        <w:t>3</w:t>
      </w:r>
      <w:r>
        <w:rPr>
          <w:rFonts w:ascii="Arial" w:hAnsi="Arial" w:cs="Arial" w:eastAsia="Arial" w:hint="default"/>
          <w:spacing w:val="2"/>
        </w:rPr>
        <w:t> </w:t>
      </w:r>
      <w:r>
        <w:rPr/>
        <w:t>日，注册资金人民币</w:t>
      </w:r>
      <w:r>
        <w:rPr>
          <w:spacing w:val="-51"/>
        </w:rPr>
        <w:t> </w:t>
      </w:r>
      <w:r>
        <w:rPr>
          <w:rFonts w:ascii="Arial" w:hAnsi="Arial" w:cs="Arial" w:eastAsia="Arial" w:hint="default"/>
        </w:rPr>
        <w:t>3,000</w:t>
      </w:r>
      <w:r>
        <w:rPr>
          <w:rFonts w:ascii="Arial" w:hAnsi="Arial" w:cs="Arial" w:eastAsia="Arial" w:hint="default"/>
          <w:spacing w:val="3"/>
        </w:rPr>
        <w:t> </w:t>
      </w:r>
      <w:r>
        <w:rPr/>
        <w:t>万元，住所为上海市张江高 科技术园郭守敬路</w:t>
      </w:r>
      <w:r>
        <w:rPr>
          <w:spacing w:val="-55"/>
        </w:rPr>
        <w:t> </w:t>
      </w:r>
      <w:r>
        <w:rPr>
          <w:rFonts w:ascii="Arial" w:hAnsi="Arial" w:cs="Arial" w:eastAsia="Arial" w:hint="default"/>
        </w:rPr>
        <w:t>498</w:t>
      </w:r>
      <w:r>
        <w:rPr>
          <w:rFonts w:ascii="Arial" w:hAnsi="Arial" w:cs="Arial" w:eastAsia="Arial" w:hint="default"/>
          <w:spacing w:val="-1"/>
        </w:rPr>
        <w:t> </w:t>
      </w:r>
      <w:r>
        <w:rPr/>
        <w:t>号浦东软件园</w:t>
      </w:r>
      <w:r>
        <w:rPr>
          <w:spacing w:val="-55"/>
        </w:rPr>
        <w:t> </w:t>
      </w:r>
      <w:r>
        <w:rPr>
          <w:rFonts w:ascii="Arial" w:hAnsi="Arial" w:cs="Arial" w:eastAsia="Arial" w:hint="default"/>
        </w:rPr>
        <w:t>1</w:t>
      </w:r>
      <w:r>
        <w:rPr>
          <w:rFonts w:ascii="Arial" w:hAnsi="Arial" w:cs="Arial" w:eastAsia="Arial" w:hint="default"/>
          <w:spacing w:val="-1"/>
        </w:rPr>
        <w:t> </w:t>
      </w:r>
      <w:r>
        <w:rPr/>
        <w:t>橦</w:t>
      </w:r>
      <w:r>
        <w:rPr>
          <w:spacing w:val="-55"/>
        </w:rPr>
        <w:t> </w:t>
      </w:r>
      <w:r>
        <w:rPr>
          <w:rFonts w:ascii="Arial" w:hAnsi="Arial" w:cs="Arial" w:eastAsia="Arial" w:hint="default"/>
        </w:rPr>
        <w:t>1504</w:t>
      </w:r>
      <w:r>
        <w:rPr/>
        <w:t>；</w:t>
      </w:r>
      <w:r>
        <w:rPr>
          <w:rFonts w:ascii="Arial" w:hAnsi="Arial" w:cs="Arial" w:eastAsia="Arial" w:hint="default"/>
        </w:rPr>
        <w:t>1506</w:t>
      </w:r>
      <w:r>
        <w:rPr/>
        <w:t>；</w:t>
      </w:r>
      <w:r>
        <w:rPr>
          <w:rFonts w:ascii="Arial" w:hAnsi="Arial" w:cs="Arial" w:eastAsia="Arial" w:hint="default"/>
        </w:rPr>
        <w:t>1508-1516</w:t>
      </w:r>
      <w:r>
        <w:rPr>
          <w:rFonts w:ascii="Arial" w:hAnsi="Arial" w:cs="Arial" w:eastAsia="Arial" w:hint="default"/>
          <w:spacing w:val="-1"/>
        </w:rPr>
        <w:t> </w:t>
      </w:r>
      <w:r>
        <w:rPr/>
        <w:t>室，经营范围为计算机 软件、硬件开发、系统集成及相关产品的销售，网路工程的安装、调试、维护、楼宇智能化</w:t>
      </w:r>
      <w:r>
        <w:rPr>
          <w:spacing w:val="-91"/>
        </w:rPr>
        <w:t> </w:t>
      </w:r>
      <w:r>
        <w:rPr>
          <w:spacing w:val="-91"/>
        </w:rPr>
      </w:r>
      <w:r>
        <w:rPr/>
        <w:t>系统的设计、施工、维修，网络安全技术咨询和技术服务，信息技术咨询和技术服务。公司</w:t>
      </w:r>
      <w:r>
        <w:rPr>
          <w:spacing w:val="-91"/>
        </w:rPr>
        <w:t> </w:t>
      </w:r>
      <w:r>
        <w:rPr>
          <w:spacing w:val="-91"/>
        </w:rPr>
      </w:r>
      <w:r>
        <w:rPr/>
        <w:t>持有浦东华宇</w:t>
      </w:r>
      <w:r>
        <w:rPr>
          <w:spacing w:val="-64"/>
        </w:rPr>
        <w:t> </w:t>
      </w:r>
      <w:r>
        <w:rPr>
          <w:rFonts w:ascii="Arial" w:hAnsi="Arial" w:cs="Arial" w:eastAsia="Arial" w:hint="default"/>
        </w:rPr>
        <w:t>100%</w:t>
      </w:r>
      <w:r>
        <w:rPr/>
        <w:t>的股权。</w:t>
      </w:r>
    </w:p>
    <w:p>
      <w:pPr>
        <w:pStyle w:val="BodyText"/>
        <w:spacing w:line="297" w:lineRule="auto" w:before="159"/>
        <w:ind w:right="141" w:firstLine="480"/>
        <w:jc w:val="left"/>
      </w:pPr>
      <w:r>
        <w:rPr/>
        <w:t>浦东华宇主要从事法院、非银行金融等业务领域的软件开发、运维服务与系统建设。报 告期末，浦东华宇总资产</w:t>
      </w:r>
      <w:r>
        <w:rPr>
          <w:spacing w:val="-45"/>
        </w:rPr>
        <w:t> </w:t>
      </w:r>
      <w:r>
        <w:rPr>
          <w:rFonts w:ascii="Arial" w:hAnsi="Arial" w:cs="Arial" w:eastAsia="Arial" w:hint="default"/>
        </w:rPr>
        <w:t>2.06</w:t>
      </w:r>
      <w:r>
        <w:rPr>
          <w:rFonts w:ascii="Arial" w:hAnsi="Arial" w:cs="Arial" w:eastAsia="Arial" w:hint="default"/>
          <w:spacing w:val="9"/>
        </w:rPr>
        <w:t> </w:t>
      </w:r>
      <w:r>
        <w:rPr/>
        <w:t>亿元，净资产</w:t>
      </w:r>
      <w:r>
        <w:rPr>
          <w:spacing w:val="-48"/>
        </w:rPr>
        <w:t> </w:t>
      </w:r>
      <w:r>
        <w:rPr>
          <w:rFonts w:ascii="Arial" w:hAnsi="Arial" w:cs="Arial" w:eastAsia="Arial" w:hint="default"/>
        </w:rPr>
        <w:t>1.67</w:t>
      </w:r>
      <w:r>
        <w:rPr>
          <w:rFonts w:ascii="Arial" w:hAnsi="Arial" w:cs="Arial" w:eastAsia="Arial" w:hint="default"/>
          <w:spacing w:val="9"/>
        </w:rPr>
        <w:t> </w:t>
      </w:r>
      <w:r>
        <w:rPr/>
        <w:t>亿元；报告期内，纳入合并报表的净利润</w:t>
      </w:r>
    </w:p>
    <w:p>
      <w:pPr>
        <w:pStyle w:val="BodyText"/>
        <w:spacing w:line="327" w:lineRule="exact"/>
        <w:ind w:right="0"/>
        <w:jc w:val="both"/>
      </w:pPr>
      <w:r>
        <w:rPr>
          <w:rFonts w:ascii="Arial" w:hAnsi="Arial" w:cs="Arial" w:eastAsia="Arial" w:hint="default"/>
        </w:rPr>
        <w:t>3,900.53</w:t>
      </w:r>
      <w:r>
        <w:rPr>
          <w:rFonts w:ascii="Arial" w:hAnsi="Arial" w:cs="Arial" w:eastAsia="Arial" w:hint="default"/>
          <w:spacing w:val="-8"/>
        </w:rPr>
        <w:t> </w:t>
      </w:r>
      <w:r>
        <w:rPr/>
        <w:t>万元。</w:t>
      </w:r>
    </w:p>
    <w:p>
      <w:pPr>
        <w:spacing w:after="0" w:line="327" w:lineRule="exact"/>
        <w:jc w:val="both"/>
        <w:sectPr>
          <w:headerReference w:type="default" r:id="rId14"/>
          <w:footerReference w:type="default" r:id="rId15"/>
          <w:pgSz w:w="11910" w:h="16840"/>
          <w:pgMar w:header="877" w:footer="980" w:top="1100" w:bottom="1160" w:left="980" w:right="980"/>
          <w:pgNumType w:start="42"/>
        </w:sectPr>
      </w:pPr>
    </w:p>
    <w:p>
      <w:pPr>
        <w:spacing w:line="240" w:lineRule="auto" w:before="8"/>
        <w:rPr>
          <w:rFonts w:ascii="宋体" w:hAnsi="宋体" w:cs="宋体" w:eastAsia="宋体" w:hint="default"/>
          <w:sz w:val="22"/>
          <w:szCs w:val="22"/>
        </w:rPr>
      </w:pPr>
    </w:p>
    <w:p>
      <w:pPr>
        <w:pStyle w:val="BodyText"/>
        <w:spacing w:line="240" w:lineRule="auto" w:before="26"/>
        <w:ind w:left="633" w:right="0"/>
        <w:jc w:val="left"/>
      </w:pPr>
      <w:r>
        <w:rPr/>
        <w:t>（</w:t>
      </w:r>
      <w:r>
        <w:rPr>
          <w:rFonts w:ascii="Arial" w:hAnsi="Arial" w:cs="Arial" w:eastAsia="Arial" w:hint="default"/>
        </w:rPr>
        <w:t>5</w:t>
      </w:r>
      <w:r>
        <w:rPr/>
        <w:t>）亿信华辰</w:t>
      </w:r>
    </w:p>
    <w:p>
      <w:pPr>
        <w:pStyle w:val="BodyText"/>
        <w:spacing w:line="312" w:lineRule="exact" w:before="204"/>
        <w:ind w:right="151" w:firstLine="480"/>
        <w:jc w:val="both"/>
      </w:pPr>
      <w:r>
        <w:rPr/>
        <w:t>亿信华辰成立于</w:t>
      </w:r>
      <w:r>
        <w:rPr>
          <w:spacing w:val="-55"/>
        </w:rPr>
        <w:t> </w:t>
      </w:r>
      <w:r>
        <w:rPr>
          <w:rFonts w:ascii="Arial" w:hAnsi="Arial" w:cs="Arial" w:eastAsia="Arial" w:hint="default"/>
        </w:rPr>
        <w:t>2006</w:t>
      </w:r>
      <w:r>
        <w:rPr>
          <w:rFonts w:ascii="Arial" w:hAnsi="Arial" w:cs="Arial" w:eastAsia="Arial" w:hint="default"/>
          <w:spacing w:val="-2"/>
        </w:rPr>
        <w:t> </w:t>
      </w:r>
      <w:r>
        <w:rPr/>
        <w:t>年</w:t>
      </w:r>
      <w:r>
        <w:rPr>
          <w:spacing w:val="-55"/>
        </w:rPr>
        <w:t> </w:t>
      </w:r>
      <w:r>
        <w:rPr>
          <w:rFonts w:ascii="Arial" w:hAnsi="Arial" w:cs="Arial" w:eastAsia="Arial" w:hint="default"/>
        </w:rPr>
        <w:t>10</w:t>
      </w:r>
      <w:r>
        <w:rPr>
          <w:rFonts w:ascii="Arial" w:hAnsi="Arial" w:cs="Arial" w:eastAsia="Arial" w:hint="default"/>
          <w:spacing w:val="-1"/>
        </w:rPr>
        <w:t> </w:t>
      </w:r>
      <w:r>
        <w:rPr/>
        <w:t>月</w:t>
      </w:r>
      <w:r>
        <w:rPr>
          <w:spacing w:val="-55"/>
        </w:rPr>
        <w:t> </w:t>
      </w:r>
      <w:r>
        <w:rPr>
          <w:rFonts w:ascii="Arial" w:hAnsi="Arial" w:cs="Arial" w:eastAsia="Arial" w:hint="default"/>
        </w:rPr>
        <w:t>31</w:t>
      </w:r>
      <w:r>
        <w:rPr>
          <w:rFonts w:ascii="Arial" w:hAnsi="Arial" w:cs="Arial" w:eastAsia="Arial" w:hint="default"/>
          <w:spacing w:val="-1"/>
        </w:rPr>
        <w:t> </w:t>
      </w:r>
      <w:r>
        <w:rPr/>
        <w:t>日，注册资本</w:t>
      </w:r>
      <w:r>
        <w:rPr>
          <w:spacing w:val="-55"/>
        </w:rPr>
        <w:t> </w:t>
      </w:r>
      <w:r>
        <w:rPr>
          <w:rFonts w:ascii="Arial" w:hAnsi="Arial" w:cs="Arial" w:eastAsia="Arial" w:hint="default"/>
        </w:rPr>
        <w:t>1,250</w:t>
      </w:r>
      <w:r>
        <w:rPr>
          <w:rFonts w:ascii="Arial" w:hAnsi="Arial" w:cs="Arial" w:eastAsia="Arial" w:hint="default"/>
          <w:spacing w:val="-1"/>
        </w:rPr>
        <w:t> </w:t>
      </w:r>
      <w:r>
        <w:rPr/>
        <w:t>万元，住所为北京市海淀区西小 口路</w:t>
      </w:r>
      <w:r>
        <w:rPr>
          <w:spacing w:val="-59"/>
        </w:rPr>
        <w:t> </w:t>
      </w:r>
      <w:r>
        <w:rPr>
          <w:rFonts w:ascii="Arial" w:hAnsi="Arial" w:cs="Arial" w:eastAsia="Arial" w:hint="default"/>
        </w:rPr>
        <w:t>66</w:t>
      </w:r>
      <w:r>
        <w:rPr>
          <w:rFonts w:ascii="Arial" w:hAnsi="Arial" w:cs="Arial" w:eastAsia="Arial" w:hint="default"/>
          <w:spacing w:val="-5"/>
        </w:rPr>
        <w:t> </w:t>
      </w:r>
      <w:r>
        <w:rPr/>
        <w:t>号中关村东升科技园</w:t>
      </w:r>
      <w:r>
        <w:rPr>
          <w:spacing w:val="-59"/>
        </w:rPr>
        <w:t> </w:t>
      </w:r>
      <w:r>
        <w:rPr>
          <w:rFonts w:ascii="Arial" w:hAnsi="Arial" w:cs="Arial" w:eastAsia="Arial" w:hint="default"/>
        </w:rPr>
        <w:t>B-2</w:t>
      </w:r>
      <w:r>
        <w:rPr>
          <w:rFonts w:ascii="Arial" w:hAnsi="Arial" w:cs="Arial" w:eastAsia="Arial" w:hint="default"/>
          <w:spacing w:val="-5"/>
        </w:rPr>
        <w:t> </w:t>
      </w:r>
      <w:r>
        <w:rPr/>
        <w:t>号楼</w:t>
      </w:r>
      <w:r>
        <w:rPr>
          <w:spacing w:val="-59"/>
        </w:rPr>
        <w:t> </w:t>
      </w:r>
      <w:r>
        <w:rPr>
          <w:rFonts w:ascii="Arial" w:hAnsi="Arial" w:cs="Arial" w:eastAsia="Arial" w:hint="default"/>
        </w:rPr>
        <w:t>5</w:t>
      </w:r>
      <w:r>
        <w:rPr>
          <w:rFonts w:ascii="Arial" w:hAnsi="Arial" w:cs="Arial" w:eastAsia="Arial" w:hint="default"/>
          <w:spacing w:val="-5"/>
        </w:rPr>
        <w:t> </w:t>
      </w:r>
      <w:r>
        <w:rPr/>
        <w:t>层</w:t>
      </w:r>
      <w:r>
        <w:rPr>
          <w:spacing w:val="-59"/>
        </w:rPr>
        <w:t> </w:t>
      </w:r>
      <w:r>
        <w:rPr>
          <w:rFonts w:ascii="Arial" w:hAnsi="Arial" w:cs="Arial" w:eastAsia="Arial" w:hint="default"/>
        </w:rPr>
        <w:t>A502</w:t>
      </w:r>
      <w:r>
        <w:rPr>
          <w:rFonts w:ascii="Arial" w:hAnsi="Arial" w:cs="Arial" w:eastAsia="Arial" w:hint="default"/>
          <w:spacing w:val="-5"/>
        </w:rPr>
        <w:t> </w:t>
      </w:r>
      <w:r>
        <w:rPr>
          <w:spacing w:val="-6"/>
        </w:rPr>
        <w:t>室，经营范围为计算机软硬件、电子产品技</w:t>
      </w:r>
      <w:r>
        <w:rPr/>
        <w:t> 术开发、技术转让、技术咨询、技术服务。公司持有亿信华辰</w:t>
      </w:r>
      <w:r>
        <w:rPr>
          <w:spacing w:val="-63"/>
        </w:rPr>
        <w:t> </w:t>
      </w:r>
      <w:r>
        <w:rPr>
          <w:rFonts w:ascii="Arial" w:hAnsi="Arial" w:cs="Arial" w:eastAsia="Arial" w:hint="default"/>
        </w:rPr>
        <w:t>80%</w:t>
      </w:r>
      <w:r>
        <w:rPr/>
        <w:t>股权。</w:t>
      </w:r>
    </w:p>
    <w:p>
      <w:pPr>
        <w:pStyle w:val="BodyText"/>
        <w:spacing w:line="290" w:lineRule="auto" w:before="166"/>
        <w:ind w:right="148" w:firstLine="480"/>
        <w:jc w:val="both"/>
      </w:pPr>
      <w:r>
        <w:rPr/>
        <w:t>亿信华辰专注于数据分析技术与平台的研发与服务，以 </w:t>
      </w:r>
      <w:r>
        <w:rPr>
          <w:rFonts w:ascii="Arial" w:hAnsi="Arial" w:cs="Arial" w:eastAsia="Arial" w:hint="default"/>
        </w:rPr>
        <w:t>BI@Report</w:t>
      </w:r>
      <w:r>
        <w:rPr/>
        <w:t>、</w:t>
      </w:r>
      <w:r>
        <w:rPr>
          <w:rFonts w:ascii="Arial" w:hAnsi="Arial" w:cs="Arial" w:eastAsia="Arial" w:hint="default"/>
        </w:rPr>
        <w:t>i@Report</w:t>
      </w:r>
      <w:r>
        <w:rPr>
          <w:rFonts w:ascii="Arial" w:hAnsi="Arial" w:cs="Arial" w:eastAsia="Arial" w:hint="default"/>
          <w:spacing w:val="42"/>
        </w:rPr>
        <w:t> </w:t>
      </w:r>
      <w:r>
        <w:rPr/>
        <w:t>等产品 </w:t>
      </w:r>
      <w:r>
        <w:rPr>
          <w:spacing w:val="-5"/>
        </w:rPr>
        <w:t>为核心构成了一整套完整的数据分析应用综合解决方案，是国内领先的数据仓库、商业智能、</w:t>
      </w:r>
      <w:r>
        <w:rPr>
          <w:spacing w:val="-117"/>
        </w:rPr>
        <w:t> </w:t>
      </w:r>
      <w:r>
        <w:rPr>
          <w:spacing w:val="-117"/>
        </w:rPr>
      </w:r>
      <w:r>
        <w:rPr>
          <w:spacing w:val="-4"/>
        </w:rPr>
        <w:t>报表统计软件产品和咨询服务提供商。报告期末，亿信华辰总资产</w:t>
      </w:r>
      <w:r>
        <w:rPr>
          <w:spacing w:val="-60"/>
        </w:rPr>
        <w:t> </w:t>
      </w:r>
      <w:r>
        <w:rPr>
          <w:rFonts w:ascii="Arial" w:hAnsi="Arial" w:cs="Arial" w:eastAsia="Arial" w:hint="default"/>
        </w:rPr>
        <w:t>1.19</w:t>
      </w:r>
      <w:r>
        <w:rPr>
          <w:rFonts w:ascii="Arial" w:hAnsi="Arial" w:cs="Arial" w:eastAsia="Arial" w:hint="default"/>
          <w:spacing w:val="-7"/>
        </w:rPr>
        <w:t> </w:t>
      </w:r>
      <w:r>
        <w:rPr>
          <w:spacing w:val="-10"/>
        </w:rPr>
        <w:t>亿元，净资产</w:t>
      </w:r>
      <w:r>
        <w:rPr>
          <w:spacing w:val="-63"/>
        </w:rPr>
        <w:t> </w:t>
      </w:r>
      <w:r>
        <w:rPr>
          <w:rFonts w:ascii="Arial" w:hAnsi="Arial" w:cs="Arial" w:eastAsia="Arial" w:hint="default"/>
        </w:rPr>
        <w:t>1.02</w:t>
      </w:r>
      <w:r>
        <w:rPr>
          <w:rFonts w:ascii="Arial" w:hAnsi="Arial" w:cs="Arial" w:eastAsia="Arial" w:hint="default"/>
          <w:spacing w:val="-9"/>
        </w:rPr>
        <w:t> </w:t>
      </w:r>
      <w:r>
        <w:rPr/>
        <w:t>亿</w:t>
      </w:r>
    </w:p>
    <w:p>
      <w:pPr>
        <w:pStyle w:val="BodyText"/>
        <w:spacing w:line="240" w:lineRule="auto" w:before="3"/>
        <w:ind w:right="0"/>
        <w:jc w:val="both"/>
      </w:pPr>
      <w:r>
        <w:rPr/>
        <w:t>元；报告期内，实现净利润</w:t>
      </w:r>
      <w:r>
        <w:rPr>
          <w:spacing w:val="-61"/>
        </w:rPr>
        <w:t> </w:t>
      </w:r>
      <w:r>
        <w:rPr>
          <w:rFonts w:ascii="Arial" w:hAnsi="Arial" w:cs="Arial" w:eastAsia="Arial" w:hint="default"/>
        </w:rPr>
        <w:t>1,650.04</w:t>
      </w:r>
      <w:r>
        <w:rPr>
          <w:rFonts w:ascii="Arial" w:hAnsi="Arial" w:cs="Arial" w:eastAsia="Arial" w:hint="default"/>
          <w:spacing w:val="-7"/>
        </w:rPr>
        <w:t> </w:t>
      </w:r>
      <w:r>
        <w:rPr/>
        <w:t>万元。</w:t>
      </w:r>
    </w:p>
    <w:p>
      <w:pPr>
        <w:pStyle w:val="BodyText"/>
        <w:spacing w:line="240" w:lineRule="auto" w:before="213"/>
        <w:ind w:left="633" w:right="0"/>
        <w:jc w:val="left"/>
      </w:pPr>
      <w:r>
        <w:rPr/>
        <w:t>（</w:t>
      </w:r>
      <w:r>
        <w:rPr>
          <w:rFonts w:ascii="Arial" w:hAnsi="Arial" w:cs="Arial" w:eastAsia="Arial" w:hint="default"/>
        </w:rPr>
        <w:t>6</w:t>
      </w:r>
      <w:r>
        <w:rPr/>
        <w:t>）大连华宇</w:t>
      </w:r>
    </w:p>
    <w:p>
      <w:pPr>
        <w:spacing w:line="240" w:lineRule="auto" w:before="7"/>
        <w:rPr>
          <w:rFonts w:ascii="宋体" w:hAnsi="宋体" w:cs="宋体" w:eastAsia="宋体" w:hint="default"/>
          <w:sz w:val="16"/>
          <w:szCs w:val="16"/>
        </w:rPr>
      </w:pPr>
    </w:p>
    <w:p>
      <w:pPr>
        <w:pStyle w:val="BodyText"/>
        <w:spacing w:line="292" w:lineRule="auto"/>
        <w:ind w:right="149" w:firstLine="480"/>
        <w:jc w:val="both"/>
      </w:pPr>
      <w:r>
        <w:rPr/>
        <w:t>大连华宇成立于</w:t>
      </w:r>
      <w:r>
        <w:rPr>
          <w:spacing w:val="-63"/>
        </w:rPr>
        <w:t> </w:t>
      </w:r>
      <w:r>
        <w:rPr>
          <w:rFonts w:ascii="Arial" w:hAnsi="Arial" w:cs="Arial" w:eastAsia="Arial" w:hint="default"/>
        </w:rPr>
        <w:t>2012</w:t>
      </w:r>
      <w:r>
        <w:rPr>
          <w:rFonts w:ascii="Arial" w:hAnsi="Arial" w:cs="Arial" w:eastAsia="Arial" w:hint="default"/>
          <w:spacing w:val="-11"/>
        </w:rPr>
        <w:t> </w:t>
      </w:r>
      <w:r>
        <w:rPr/>
        <w:t>年</w:t>
      </w:r>
      <w:r>
        <w:rPr>
          <w:spacing w:val="-63"/>
        </w:rPr>
        <w:t> </w:t>
      </w:r>
      <w:r>
        <w:rPr>
          <w:rFonts w:ascii="Arial" w:hAnsi="Arial" w:cs="Arial" w:eastAsia="Arial" w:hint="default"/>
        </w:rPr>
        <w:t>9</w:t>
      </w:r>
      <w:r>
        <w:rPr>
          <w:rFonts w:ascii="Arial" w:hAnsi="Arial" w:cs="Arial" w:eastAsia="Arial" w:hint="default"/>
          <w:spacing w:val="-9"/>
        </w:rPr>
        <w:t> </w:t>
      </w:r>
      <w:r>
        <w:rPr/>
        <w:t>月</w:t>
      </w:r>
      <w:r>
        <w:rPr>
          <w:spacing w:val="-63"/>
        </w:rPr>
        <w:t> </w:t>
      </w:r>
      <w:r>
        <w:rPr>
          <w:rFonts w:ascii="Arial" w:hAnsi="Arial" w:cs="Arial" w:eastAsia="Arial" w:hint="default"/>
        </w:rPr>
        <w:t>19</w:t>
      </w:r>
      <w:r>
        <w:rPr>
          <w:rFonts w:ascii="Arial" w:hAnsi="Arial" w:cs="Arial" w:eastAsia="Arial" w:hint="default"/>
          <w:spacing w:val="-9"/>
        </w:rPr>
        <w:t> </w:t>
      </w:r>
      <w:r>
        <w:rPr>
          <w:spacing w:val="-3"/>
        </w:rPr>
        <w:t>日，注册资金</w:t>
      </w:r>
      <w:r>
        <w:rPr>
          <w:spacing w:val="-63"/>
        </w:rPr>
        <w:t> </w:t>
      </w:r>
      <w:r>
        <w:rPr>
          <w:rFonts w:ascii="Arial" w:hAnsi="Arial" w:cs="Arial" w:eastAsia="Arial" w:hint="default"/>
        </w:rPr>
        <w:t>1.2</w:t>
      </w:r>
      <w:r>
        <w:rPr>
          <w:rFonts w:ascii="Arial" w:hAnsi="Arial" w:cs="Arial" w:eastAsia="Arial" w:hint="default"/>
          <w:spacing w:val="-8"/>
        </w:rPr>
        <w:t> </w:t>
      </w:r>
      <w:r>
        <w:rPr/>
        <w:t>亿元，住所为大连市甘井子区辛寨子</w:t>
      </w:r>
      <w:r>
        <w:rPr>
          <w:w w:val="100"/>
        </w:rPr>
        <w:t> </w:t>
      </w:r>
      <w:r>
        <w:rPr/>
        <w:t>街道砬子山村，经营范围为计算机软硬件、电子产品技术开发、技术转让、技术咨询、技术</w:t>
      </w:r>
      <w:r>
        <w:rPr>
          <w:spacing w:val="-91"/>
        </w:rPr>
        <w:t> </w:t>
      </w:r>
      <w:r>
        <w:rPr>
          <w:spacing w:val="-91"/>
        </w:rPr>
      </w:r>
      <w:r>
        <w:rPr/>
        <w:t>服务，企业管理咨询，数据处理及存储服务，计算机系统集成及综合布线，计算机设备、电</w:t>
      </w:r>
      <w:r>
        <w:rPr>
          <w:spacing w:val="-91"/>
        </w:rPr>
        <w:t> </w:t>
      </w:r>
      <w:r>
        <w:rPr>
          <w:spacing w:val="-91"/>
        </w:rPr>
      </w:r>
      <w:r>
        <w:rPr/>
        <w:t>子产品、通讯设备销售及现场维修。公司持有大连华宇</w:t>
      </w:r>
      <w:r>
        <w:rPr>
          <w:spacing w:val="-63"/>
        </w:rPr>
        <w:t> </w:t>
      </w:r>
      <w:r>
        <w:rPr>
          <w:rFonts w:ascii="Arial" w:hAnsi="Arial" w:cs="Arial" w:eastAsia="Arial" w:hint="default"/>
        </w:rPr>
        <w:t>100%</w:t>
      </w:r>
      <w:r>
        <w:rPr/>
        <w:t>的股权。</w:t>
      </w:r>
    </w:p>
    <w:p>
      <w:pPr>
        <w:pStyle w:val="BodyText"/>
        <w:spacing w:line="297" w:lineRule="auto" w:before="157"/>
        <w:ind w:right="160" w:firstLine="480"/>
        <w:jc w:val="both"/>
      </w:pPr>
      <w:r>
        <w:rPr/>
        <w:t>大连华宇主要从事自有软件产品研发和软件项目开发等业务。报告期末，大连华宇总资 产</w:t>
      </w:r>
      <w:r>
        <w:rPr>
          <w:spacing w:val="-62"/>
        </w:rPr>
        <w:t> </w:t>
      </w:r>
      <w:r>
        <w:rPr>
          <w:rFonts w:ascii="Arial" w:hAnsi="Arial" w:cs="Arial" w:eastAsia="Arial" w:hint="default"/>
        </w:rPr>
        <w:t>1.92</w:t>
      </w:r>
      <w:r>
        <w:rPr>
          <w:rFonts w:ascii="Arial" w:hAnsi="Arial" w:cs="Arial" w:eastAsia="Arial" w:hint="default"/>
          <w:spacing w:val="-8"/>
        </w:rPr>
        <w:t> </w:t>
      </w:r>
      <w:r>
        <w:rPr/>
        <w:t>亿元，净资产</w:t>
      </w:r>
      <w:r>
        <w:rPr>
          <w:spacing w:val="-64"/>
        </w:rPr>
        <w:t> </w:t>
      </w:r>
      <w:r>
        <w:rPr>
          <w:rFonts w:ascii="Arial" w:hAnsi="Arial" w:cs="Arial" w:eastAsia="Arial" w:hint="default"/>
        </w:rPr>
        <w:t>1.37</w:t>
      </w:r>
      <w:r>
        <w:rPr>
          <w:rFonts w:ascii="Arial" w:hAnsi="Arial" w:cs="Arial" w:eastAsia="Arial" w:hint="default"/>
          <w:spacing w:val="-7"/>
        </w:rPr>
        <w:t> </w:t>
      </w:r>
      <w:r>
        <w:rPr/>
        <w:t>亿元；报告期内，实现净利润</w:t>
      </w:r>
      <w:r>
        <w:rPr>
          <w:spacing w:val="-62"/>
        </w:rPr>
        <w:t> </w:t>
      </w:r>
      <w:r>
        <w:rPr>
          <w:rFonts w:ascii="Arial" w:hAnsi="Arial" w:cs="Arial" w:eastAsia="Arial" w:hint="default"/>
        </w:rPr>
        <w:t>799.28</w:t>
      </w:r>
      <w:r>
        <w:rPr>
          <w:rFonts w:ascii="Arial" w:hAnsi="Arial" w:cs="Arial" w:eastAsia="Arial" w:hint="default"/>
          <w:spacing w:val="-7"/>
        </w:rPr>
        <w:t> </w:t>
      </w:r>
      <w:r>
        <w:rPr/>
        <w:t>万元。</w:t>
      </w:r>
    </w:p>
    <w:p>
      <w:pPr>
        <w:pStyle w:val="BodyText"/>
        <w:spacing w:line="240" w:lineRule="auto" w:before="151"/>
        <w:ind w:left="633" w:right="0"/>
        <w:jc w:val="left"/>
      </w:pPr>
      <w:r>
        <w:rPr/>
        <w:t>（</w:t>
      </w:r>
      <w:r>
        <w:rPr>
          <w:rFonts w:ascii="Arial" w:hAnsi="Arial" w:cs="Arial" w:eastAsia="Arial" w:hint="default"/>
        </w:rPr>
        <w:t>7</w:t>
      </w:r>
      <w:r>
        <w:rPr/>
        <w:t>）广州华宇</w:t>
      </w:r>
    </w:p>
    <w:p>
      <w:pPr>
        <w:pStyle w:val="BodyText"/>
        <w:spacing w:line="240" w:lineRule="auto" w:before="213"/>
        <w:ind w:left="633" w:right="0"/>
        <w:jc w:val="left"/>
      </w:pPr>
      <w:r>
        <w:rPr/>
        <w:t>广州华宇成立于</w:t>
      </w:r>
      <w:r>
        <w:rPr>
          <w:spacing w:val="-2"/>
        </w:rPr>
        <w:t> </w:t>
      </w:r>
      <w:r>
        <w:rPr>
          <w:rFonts w:ascii="Arial" w:hAnsi="Arial" w:cs="Arial" w:eastAsia="Arial" w:hint="default"/>
        </w:rPr>
        <w:t>2007</w:t>
      </w:r>
      <w:r>
        <w:rPr>
          <w:rFonts w:ascii="Arial" w:hAnsi="Arial" w:cs="Arial" w:eastAsia="Arial" w:hint="default"/>
          <w:spacing w:val="8"/>
        </w:rPr>
        <w:t> </w:t>
      </w:r>
      <w:r>
        <w:rPr/>
        <w:t>年</w:t>
      </w:r>
      <w:r>
        <w:rPr>
          <w:spacing w:val="-45"/>
        </w:rPr>
        <w:t> </w:t>
      </w:r>
      <w:r>
        <w:rPr>
          <w:rFonts w:ascii="Arial" w:hAnsi="Arial" w:cs="Arial" w:eastAsia="Arial" w:hint="default"/>
        </w:rPr>
        <w:t>9</w:t>
      </w:r>
      <w:r>
        <w:rPr>
          <w:rFonts w:ascii="Arial" w:hAnsi="Arial" w:cs="Arial" w:eastAsia="Arial" w:hint="default"/>
          <w:spacing w:val="10"/>
        </w:rPr>
        <w:t> </w:t>
      </w:r>
      <w:r>
        <w:rPr/>
        <w:t>月</w:t>
      </w:r>
      <w:r>
        <w:rPr>
          <w:spacing w:val="-45"/>
        </w:rPr>
        <w:t> </w:t>
      </w:r>
      <w:r>
        <w:rPr>
          <w:rFonts w:ascii="Arial" w:hAnsi="Arial" w:cs="Arial" w:eastAsia="Arial" w:hint="default"/>
        </w:rPr>
        <w:t>11</w:t>
      </w:r>
      <w:r>
        <w:rPr>
          <w:rFonts w:ascii="Arial" w:hAnsi="Arial" w:cs="Arial" w:eastAsia="Arial" w:hint="default"/>
          <w:spacing w:val="10"/>
        </w:rPr>
        <w:t> </w:t>
      </w:r>
      <w:r>
        <w:rPr/>
        <w:t>日，注册资本</w:t>
      </w:r>
      <w:r>
        <w:rPr>
          <w:spacing w:val="-44"/>
        </w:rPr>
        <w:t> </w:t>
      </w:r>
      <w:r>
        <w:rPr>
          <w:rFonts w:ascii="Arial" w:hAnsi="Arial" w:cs="Arial" w:eastAsia="Arial" w:hint="default"/>
        </w:rPr>
        <w:t>2,000</w:t>
      </w:r>
      <w:r>
        <w:rPr>
          <w:rFonts w:ascii="Arial" w:hAnsi="Arial" w:cs="Arial" w:eastAsia="Arial" w:hint="default"/>
          <w:spacing w:val="10"/>
        </w:rPr>
        <w:t> </w:t>
      </w:r>
      <w:r>
        <w:rPr/>
        <w:t>万元，住所为广州市海珠区阅江</w:t>
      </w:r>
    </w:p>
    <w:p>
      <w:pPr>
        <w:pStyle w:val="BodyText"/>
        <w:spacing w:line="290" w:lineRule="auto" w:before="60"/>
        <w:ind w:right="152"/>
        <w:jc w:val="both"/>
      </w:pPr>
      <w:r>
        <w:rPr/>
        <w:t>中路</w:t>
      </w:r>
      <w:r>
        <w:rPr>
          <w:spacing w:val="-51"/>
        </w:rPr>
        <w:t> </w:t>
      </w:r>
      <w:r>
        <w:rPr>
          <w:rFonts w:ascii="Arial" w:hAnsi="Arial" w:cs="Arial" w:eastAsia="Arial" w:hint="default"/>
        </w:rPr>
        <w:t>688</w:t>
      </w:r>
      <w:r>
        <w:rPr>
          <w:rFonts w:ascii="Arial" w:hAnsi="Arial" w:cs="Arial" w:eastAsia="Arial" w:hint="default"/>
          <w:spacing w:val="52"/>
        </w:rPr>
        <w:t> </w:t>
      </w:r>
      <w:r>
        <w:rPr/>
        <w:t>号保利国际广场北塔</w:t>
      </w:r>
      <w:r>
        <w:rPr>
          <w:spacing w:val="-51"/>
        </w:rPr>
        <w:t> </w:t>
      </w:r>
      <w:r>
        <w:rPr>
          <w:rFonts w:ascii="Arial" w:hAnsi="Arial" w:cs="Arial" w:eastAsia="Arial" w:hint="default"/>
        </w:rPr>
        <w:t>15</w:t>
      </w:r>
      <w:r>
        <w:rPr>
          <w:rFonts w:ascii="Arial" w:hAnsi="Arial" w:cs="Arial" w:eastAsia="Arial" w:hint="default"/>
          <w:spacing w:val="2"/>
        </w:rPr>
        <w:t> </w:t>
      </w:r>
      <w:r>
        <w:rPr/>
        <w:t>层，经营范围为计算机硬件及外围设备、网络技术、应用 电子技术的研究开发、技术咨询、技术服务、技术转让及销售；计算机网络工程及综合布线</w:t>
      </w:r>
      <w:r>
        <w:rPr>
          <w:spacing w:val="-91"/>
        </w:rPr>
        <w:t> </w:t>
      </w:r>
      <w:r>
        <w:rPr>
          <w:spacing w:val="-91"/>
        </w:rPr>
      </w:r>
      <w:r>
        <w:rPr/>
        <w:t>工程服务；企业咨询管理。公司持有广州华宇</w:t>
      </w:r>
      <w:r>
        <w:rPr>
          <w:spacing w:val="-60"/>
        </w:rPr>
        <w:t> </w:t>
      </w:r>
      <w:r>
        <w:rPr>
          <w:rFonts w:ascii="Arial" w:hAnsi="Arial" w:cs="Arial" w:eastAsia="Arial" w:hint="default"/>
        </w:rPr>
        <w:t>100%</w:t>
      </w:r>
      <w:r>
        <w:rPr/>
        <w:t>股权。</w:t>
      </w:r>
    </w:p>
    <w:p>
      <w:pPr>
        <w:pStyle w:val="BodyText"/>
        <w:spacing w:line="300" w:lineRule="auto" w:before="157"/>
        <w:ind w:right="160" w:firstLine="480"/>
        <w:jc w:val="both"/>
      </w:pPr>
      <w:r>
        <w:rPr/>
        <w:t>广州华宇的主营业务是面向华南区域的法律服务软件产品和服务。报告期末，广州华宇 总资产</w:t>
      </w:r>
      <w:r>
        <w:rPr>
          <w:spacing w:val="-62"/>
        </w:rPr>
        <w:t> </w:t>
      </w:r>
      <w:r>
        <w:rPr>
          <w:rFonts w:ascii="Arial" w:hAnsi="Arial" w:cs="Arial" w:eastAsia="Arial" w:hint="default"/>
        </w:rPr>
        <w:t>1.93</w:t>
      </w:r>
      <w:r>
        <w:rPr>
          <w:rFonts w:ascii="Arial" w:hAnsi="Arial" w:cs="Arial" w:eastAsia="Arial" w:hint="default"/>
          <w:spacing w:val="-8"/>
        </w:rPr>
        <w:t> </w:t>
      </w:r>
      <w:r>
        <w:rPr/>
        <w:t>亿元，净资产</w:t>
      </w:r>
      <w:r>
        <w:rPr>
          <w:spacing w:val="-62"/>
        </w:rPr>
        <w:t> </w:t>
      </w:r>
      <w:r>
        <w:rPr>
          <w:rFonts w:ascii="Arial" w:hAnsi="Arial" w:cs="Arial" w:eastAsia="Arial" w:hint="default"/>
        </w:rPr>
        <w:t>1.56</w:t>
      </w:r>
      <w:r>
        <w:rPr>
          <w:rFonts w:ascii="Arial" w:hAnsi="Arial" w:cs="Arial" w:eastAsia="Arial" w:hint="default"/>
          <w:spacing w:val="-8"/>
        </w:rPr>
        <w:t> </w:t>
      </w:r>
      <w:r>
        <w:rPr/>
        <w:t>亿元；报告期内，实现净利润</w:t>
      </w:r>
      <w:r>
        <w:rPr>
          <w:spacing w:val="-62"/>
        </w:rPr>
        <w:t> </w:t>
      </w:r>
      <w:r>
        <w:rPr>
          <w:rFonts w:ascii="Arial" w:hAnsi="Arial" w:cs="Arial" w:eastAsia="Arial" w:hint="default"/>
        </w:rPr>
        <w:t>781.57</w:t>
      </w:r>
      <w:r>
        <w:rPr>
          <w:rFonts w:ascii="Arial" w:hAnsi="Arial" w:cs="Arial" w:eastAsia="Arial" w:hint="default"/>
          <w:spacing w:val="-7"/>
        </w:rPr>
        <w:t> </w:t>
      </w:r>
      <w:r>
        <w:rPr/>
        <w:t>万元。</w:t>
      </w:r>
    </w:p>
    <w:p>
      <w:pPr>
        <w:pStyle w:val="BodyText"/>
        <w:spacing w:line="240" w:lineRule="auto" w:before="146"/>
        <w:ind w:left="633" w:right="0"/>
        <w:jc w:val="left"/>
      </w:pPr>
      <w:r>
        <w:rPr/>
        <w:t>（</w:t>
      </w:r>
      <w:r>
        <w:rPr>
          <w:rFonts w:ascii="Arial" w:hAnsi="Arial" w:cs="Arial" w:eastAsia="Arial" w:hint="default"/>
        </w:rPr>
        <w:t>8</w:t>
      </w:r>
      <w:r>
        <w:rPr/>
        <w:t>）华宇金信</w:t>
      </w:r>
    </w:p>
    <w:p>
      <w:pPr>
        <w:spacing w:line="240" w:lineRule="auto" w:before="7"/>
        <w:rPr>
          <w:rFonts w:ascii="宋体" w:hAnsi="宋体" w:cs="宋体" w:eastAsia="宋体" w:hint="default"/>
          <w:sz w:val="16"/>
          <w:szCs w:val="16"/>
        </w:rPr>
      </w:pPr>
    </w:p>
    <w:p>
      <w:pPr>
        <w:pStyle w:val="BodyText"/>
        <w:spacing w:line="240" w:lineRule="auto"/>
        <w:ind w:left="633" w:right="0"/>
        <w:jc w:val="left"/>
      </w:pPr>
      <w:r>
        <w:rPr/>
        <w:t>华宇金信成立于</w:t>
      </w:r>
      <w:r>
        <w:rPr>
          <w:spacing w:val="-60"/>
        </w:rPr>
        <w:t> </w:t>
      </w:r>
      <w:r>
        <w:rPr>
          <w:rFonts w:ascii="Arial" w:hAnsi="Arial" w:cs="Arial" w:eastAsia="Arial" w:hint="default"/>
        </w:rPr>
        <w:t>2007</w:t>
      </w:r>
      <w:r>
        <w:rPr>
          <w:rFonts w:ascii="Arial" w:hAnsi="Arial" w:cs="Arial" w:eastAsia="Arial" w:hint="default"/>
          <w:spacing w:val="-7"/>
        </w:rPr>
        <w:t> </w:t>
      </w:r>
      <w:r>
        <w:rPr/>
        <w:t>年</w:t>
      </w:r>
      <w:r>
        <w:rPr>
          <w:spacing w:val="-59"/>
        </w:rPr>
        <w:t> </w:t>
      </w:r>
      <w:r>
        <w:rPr>
          <w:rFonts w:ascii="Arial" w:hAnsi="Arial" w:cs="Arial" w:eastAsia="Arial" w:hint="default"/>
        </w:rPr>
        <w:t>1</w:t>
      </w:r>
      <w:r>
        <w:rPr>
          <w:rFonts w:ascii="Arial" w:hAnsi="Arial" w:cs="Arial" w:eastAsia="Arial" w:hint="default"/>
          <w:spacing w:val="-4"/>
        </w:rPr>
        <w:t> </w:t>
      </w:r>
      <w:r>
        <w:rPr/>
        <w:t>月</w:t>
      </w:r>
      <w:r>
        <w:rPr>
          <w:spacing w:val="-59"/>
        </w:rPr>
        <w:t> </w:t>
      </w:r>
      <w:r>
        <w:rPr>
          <w:rFonts w:ascii="Arial" w:hAnsi="Arial" w:cs="Arial" w:eastAsia="Arial" w:hint="default"/>
        </w:rPr>
        <w:t>26</w:t>
      </w:r>
      <w:r>
        <w:rPr>
          <w:rFonts w:ascii="Arial" w:hAnsi="Arial" w:cs="Arial" w:eastAsia="Arial" w:hint="default"/>
          <w:spacing w:val="-4"/>
        </w:rPr>
        <w:t> </w:t>
      </w:r>
      <w:r>
        <w:rPr>
          <w:spacing w:val="-6"/>
        </w:rPr>
        <w:t>日，注册资本</w:t>
      </w:r>
      <w:r>
        <w:rPr>
          <w:spacing w:val="-59"/>
        </w:rPr>
        <w:t> </w:t>
      </w:r>
      <w:r>
        <w:rPr>
          <w:rFonts w:ascii="Arial" w:hAnsi="Arial" w:cs="Arial" w:eastAsia="Arial" w:hint="default"/>
        </w:rPr>
        <w:t>2,300</w:t>
      </w:r>
      <w:r>
        <w:rPr>
          <w:rFonts w:ascii="Arial" w:hAnsi="Arial" w:cs="Arial" w:eastAsia="Arial" w:hint="default"/>
          <w:spacing w:val="-3"/>
        </w:rPr>
        <w:t> </w:t>
      </w:r>
      <w:r>
        <w:rPr>
          <w:spacing w:val="-3"/>
        </w:rPr>
        <w:t>万元，住所为北京市海淀区万泉河</w:t>
      </w:r>
    </w:p>
    <w:p>
      <w:pPr>
        <w:pStyle w:val="BodyText"/>
        <w:spacing w:line="292" w:lineRule="auto" w:before="57"/>
        <w:ind w:right="152"/>
        <w:jc w:val="both"/>
      </w:pPr>
      <w:r>
        <w:rPr/>
        <w:t>路</w:t>
      </w:r>
      <w:r>
        <w:rPr>
          <w:spacing w:val="-56"/>
        </w:rPr>
        <w:t> </w:t>
      </w:r>
      <w:r>
        <w:rPr>
          <w:rFonts w:ascii="Arial" w:hAnsi="Arial" w:cs="Arial" w:eastAsia="Arial" w:hint="default"/>
        </w:rPr>
        <w:t>68</w:t>
      </w:r>
      <w:r>
        <w:rPr>
          <w:rFonts w:ascii="Arial" w:hAnsi="Arial" w:cs="Arial" w:eastAsia="Arial" w:hint="default"/>
          <w:spacing w:val="-2"/>
        </w:rPr>
        <w:t> </w:t>
      </w:r>
      <w:r>
        <w:rPr/>
        <w:t>号</w:t>
      </w:r>
      <w:r>
        <w:rPr>
          <w:spacing w:val="-57"/>
        </w:rPr>
        <w:t> </w:t>
      </w:r>
      <w:r>
        <w:rPr>
          <w:rFonts w:ascii="Arial" w:hAnsi="Arial" w:cs="Arial" w:eastAsia="Arial" w:hint="default"/>
        </w:rPr>
        <w:t>8</w:t>
      </w:r>
      <w:r>
        <w:rPr>
          <w:rFonts w:ascii="Arial" w:hAnsi="Arial" w:cs="Arial" w:eastAsia="Arial" w:hint="default"/>
          <w:spacing w:val="-2"/>
        </w:rPr>
        <w:t> </w:t>
      </w:r>
      <w:r>
        <w:rPr/>
        <w:t>号楼</w:t>
      </w:r>
      <w:r>
        <w:rPr>
          <w:spacing w:val="-57"/>
        </w:rPr>
        <w:t> </w:t>
      </w:r>
      <w:r>
        <w:rPr>
          <w:rFonts w:ascii="Arial" w:hAnsi="Arial" w:cs="Arial" w:eastAsia="Arial" w:hint="default"/>
        </w:rPr>
        <w:t>18</w:t>
      </w:r>
      <w:r>
        <w:rPr>
          <w:rFonts w:ascii="Arial" w:hAnsi="Arial" w:cs="Arial" w:eastAsia="Arial" w:hint="default"/>
          <w:spacing w:val="-2"/>
        </w:rPr>
        <w:t> </w:t>
      </w:r>
      <w:r>
        <w:rPr/>
        <w:t>层</w:t>
      </w:r>
      <w:r>
        <w:rPr>
          <w:spacing w:val="-59"/>
        </w:rPr>
        <w:t> </w:t>
      </w:r>
      <w:r>
        <w:rPr>
          <w:rFonts w:ascii="Arial" w:hAnsi="Arial" w:cs="Arial" w:eastAsia="Arial" w:hint="default"/>
        </w:rPr>
        <w:t>1801</w:t>
      </w:r>
      <w:r>
        <w:rPr>
          <w:rFonts w:ascii="Arial" w:hAnsi="Arial" w:cs="Arial" w:eastAsia="Arial" w:hint="default"/>
          <w:spacing w:val="-2"/>
        </w:rPr>
        <w:t> </w:t>
      </w:r>
      <w:r>
        <w:rPr/>
        <w:t>单元，经营范围为计算机系统服务；计算机维修、数据处理；基 </w:t>
      </w:r>
      <w:r>
        <w:rPr>
          <w:spacing w:val="-5"/>
        </w:rPr>
        <w:t>础软件服务、应用软件服务；技术开发、技术咨询、技术服务、技术推广；销售计算机、软件</w:t>
      </w:r>
      <w:r>
        <w:rPr>
          <w:spacing w:val="-118"/>
        </w:rPr>
        <w:t> </w:t>
      </w:r>
      <w:r>
        <w:rPr>
          <w:spacing w:val="-118"/>
        </w:rPr>
      </w:r>
      <w:r>
        <w:rPr/>
        <w:t>及辅助设备、文化用品、机械设备、通讯设备、五金、交电、建筑材料。公司持有华宇金信</w:t>
      </w:r>
      <w:r>
        <w:rPr>
          <w:spacing w:val="-91"/>
        </w:rPr>
        <w:t> </w:t>
      </w:r>
      <w:r>
        <w:rPr>
          <w:spacing w:val="-91"/>
        </w:rPr>
      </w:r>
      <w:r>
        <w:rPr>
          <w:rFonts w:ascii="Arial" w:hAnsi="Arial" w:cs="Arial" w:eastAsia="Arial" w:hint="default"/>
        </w:rPr>
        <w:t>100%</w:t>
      </w:r>
      <w:r>
        <w:rPr/>
        <w:t>的股权。</w:t>
      </w:r>
    </w:p>
    <w:p>
      <w:pPr>
        <w:pStyle w:val="BodyText"/>
        <w:spacing w:line="297" w:lineRule="auto" w:before="154"/>
        <w:ind w:right="159" w:firstLine="480"/>
        <w:jc w:val="both"/>
      </w:pPr>
      <w:r>
        <w:rPr/>
        <w:t>华宇金信专注于为政府食品安全保障和工商行政管理领域提供大型系统解决方案、系统 开发、系统集成、技术服务等业务，致力于成为食品安全以及市场监管的领军企业。报告期</w:t>
      </w:r>
      <w:r>
        <w:rPr>
          <w:spacing w:val="-91"/>
        </w:rPr>
        <w:t> </w:t>
      </w:r>
      <w:r>
        <w:rPr>
          <w:spacing w:val="-91"/>
        </w:rPr>
      </w:r>
      <w:r>
        <w:rPr/>
        <w:t>末，华宇金信总资产</w:t>
      </w:r>
      <w:r>
        <w:rPr>
          <w:spacing w:val="-62"/>
        </w:rPr>
        <w:t> </w:t>
      </w:r>
      <w:r>
        <w:rPr>
          <w:rFonts w:ascii="Arial" w:hAnsi="Arial" w:cs="Arial" w:eastAsia="Arial" w:hint="default"/>
        </w:rPr>
        <w:t>2.27</w:t>
      </w:r>
      <w:r>
        <w:rPr>
          <w:rFonts w:ascii="Arial" w:hAnsi="Arial" w:cs="Arial" w:eastAsia="Arial" w:hint="default"/>
          <w:spacing w:val="-8"/>
        </w:rPr>
        <w:t> </w:t>
      </w:r>
      <w:r>
        <w:rPr/>
        <w:t>亿元，净资产</w:t>
      </w:r>
      <w:r>
        <w:rPr>
          <w:spacing w:val="-62"/>
        </w:rPr>
        <w:t> </w:t>
      </w:r>
      <w:r>
        <w:rPr>
          <w:rFonts w:ascii="Arial" w:hAnsi="Arial" w:cs="Arial" w:eastAsia="Arial" w:hint="default"/>
        </w:rPr>
        <w:t>1.19</w:t>
      </w:r>
      <w:r>
        <w:rPr>
          <w:rFonts w:ascii="Arial" w:hAnsi="Arial" w:cs="Arial" w:eastAsia="Arial" w:hint="default"/>
          <w:spacing w:val="-9"/>
        </w:rPr>
        <w:t> </w:t>
      </w:r>
      <w:r>
        <w:rPr/>
        <w:t>亿元；报告期内，实现净利润</w:t>
      </w:r>
      <w:r>
        <w:rPr>
          <w:spacing w:val="-62"/>
        </w:rPr>
        <w:t> </w:t>
      </w:r>
      <w:r>
        <w:rPr>
          <w:rFonts w:ascii="Arial" w:hAnsi="Arial" w:cs="Arial" w:eastAsia="Arial" w:hint="default"/>
        </w:rPr>
        <w:t>184.37</w:t>
      </w:r>
      <w:r>
        <w:rPr>
          <w:rFonts w:ascii="Arial" w:hAnsi="Arial" w:cs="Arial" w:eastAsia="Arial" w:hint="default"/>
          <w:spacing w:val="-7"/>
        </w:rPr>
        <w:t> </w:t>
      </w:r>
      <w:r>
        <w:rPr/>
        <w:t>万元。</w:t>
      </w:r>
    </w:p>
    <w:p>
      <w:pPr>
        <w:spacing w:after="0" w:line="297" w:lineRule="auto"/>
        <w:jc w:val="both"/>
        <w:sectPr>
          <w:pgSz w:w="11910" w:h="16840"/>
          <w:pgMar w:header="877" w:footer="980" w:top="1100" w:bottom="1160" w:left="980" w:right="980"/>
        </w:sectPr>
      </w:pPr>
    </w:p>
    <w:p>
      <w:pPr>
        <w:spacing w:line="240" w:lineRule="auto" w:before="8"/>
        <w:rPr>
          <w:rFonts w:ascii="宋体" w:hAnsi="宋体" w:cs="宋体" w:eastAsia="宋体" w:hint="default"/>
          <w:sz w:val="22"/>
          <w:szCs w:val="22"/>
        </w:rPr>
      </w:pPr>
    </w:p>
    <w:p>
      <w:pPr>
        <w:pStyle w:val="BodyText"/>
        <w:spacing w:line="240" w:lineRule="auto" w:before="26"/>
        <w:ind w:left="633" w:right="0"/>
        <w:jc w:val="left"/>
      </w:pPr>
      <w:r>
        <w:rPr/>
        <w:t>（</w:t>
      </w:r>
      <w:r>
        <w:rPr>
          <w:rFonts w:ascii="Arial" w:hAnsi="Arial" w:cs="Arial" w:eastAsia="Arial" w:hint="default"/>
        </w:rPr>
        <w:t>9</w:t>
      </w:r>
      <w:r>
        <w:rPr/>
        <w:t>）华宇元典</w:t>
      </w:r>
    </w:p>
    <w:p>
      <w:pPr>
        <w:pStyle w:val="BodyText"/>
        <w:spacing w:line="240" w:lineRule="auto" w:before="214"/>
        <w:ind w:left="633" w:right="0"/>
        <w:jc w:val="left"/>
      </w:pPr>
      <w:r>
        <w:rPr/>
        <w:t>华宇元典成立于</w:t>
      </w:r>
      <w:r>
        <w:rPr>
          <w:spacing w:val="-61"/>
        </w:rPr>
        <w:t> </w:t>
      </w:r>
      <w:r>
        <w:rPr>
          <w:rFonts w:ascii="Arial" w:hAnsi="Arial" w:cs="Arial" w:eastAsia="Arial" w:hint="default"/>
        </w:rPr>
        <w:t>2016</w:t>
      </w:r>
      <w:r>
        <w:rPr>
          <w:rFonts w:ascii="Arial" w:hAnsi="Arial" w:cs="Arial" w:eastAsia="Arial" w:hint="default"/>
          <w:spacing w:val="-8"/>
        </w:rPr>
        <w:t> </w:t>
      </w:r>
      <w:r>
        <w:rPr/>
        <w:t>年</w:t>
      </w:r>
      <w:r>
        <w:rPr>
          <w:spacing w:val="-60"/>
        </w:rPr>
        <w:t> </w:t>
      </w:r>
      <w:r>
        <w:rPr>
          <w:rFonts w:ascii="Arial" w:hAnsi="Arial" w:cs="Arial" w:eastAsia="Arial" w:hint="default"/>
        </w:rPr>
        <w:t>7</w:t>
      </w:r>
      <w:r>
        <w:rPr>
          <w:rFonts w:ascii="Arial" w:hAnsi="Arial" w:cs="Arial" w:eastAsia="Arial" w:hint="default"/>
          <w:spacing w:val="-6"/>
        </w:rPr>
        <w:t> </w:t>
      </w:r>
      <w:r>
        <w:rPr/>
        <w:t>月</w:t>
      </w:r>
      <w:r>
        <w:rPr>
          <w:spacing w:val="-60"/>
        </w:rPr>
        <w:t> </w:t>
      </w:r>
      <w:r>
        <w:rPr>
          <w:rFonts w:ascii="Arial" w:hAnsi="Arial" w:cs="Arial" w:eastAsia="Arial" w:hint="default"/>
        </w:rPr>
        <w:t>25</w:t>
      </w:r>
      <w:r>
        <w:rPr>
          <w:rFonts w:ascii="Arial" w:hAnsi="Arial" w:cs="Arial" w:eastAsia="Arial" w:hint="default"/>
          <w:spacing w:val="-6"/>
        </w:rPr>
        <w:t> </w:t>
      </w:r>
      <w:r>
        <w:rPr>
          <w:spacing w:val="-4"/>
        </w:rPr>
        <w:t>日，注册资本人民币</w:t>
      </w:r>
      <w:r>
        <w:rPr>
          <w:spacing w:val="-60"/>
        </w:rPr>
        <w:t> </w:t>
      </w:r>
      <w:r>
        <w:rPr>
          <w:rFonts w:ascii="Arial" w:hAnsi="Arial" w:cs="Arial" w:eastAsia="Arial" w:hint="default"/>
        </w:rPr>
        <w:t>4,800</w:t>
      </w:r>
      <w:r>
        <w:rPr>
          <w:rFonts w:ascii="Arial" w:hAnsi="Arial" w:cs="Arial" w:eastAsia="Arial" w:hint="default"/>
          <w:spacing w:val="-6"/>
        </w:rPr>
        <w:t> </w:t>
      </w:r>
      <w:r>
        <w:rPr>
          <w:spacing w:val="-3"/>
        </w:rPr>
        <w:t>万元，北京市海淀区中关村</w:t>
      </w:r>
    </w:p>
    <w:p>
      <w:pPr>
        <w:pStyle w:val="BodyText"/>
        <w:spacing w:line="292" w:lineRule="auto" w:before="60"/>
        <w:ind w:right="152"/>
        <w:jc w:val="both"/>
      </w:pPr>
      <w:r>
        <w:rPr/>
        <w:t>东路</w:t>
      </w:r>
      <w:r>
        <w:rPr>
          <w:spacing w:val="-54"/>
        </w:rPr>
        <w:t> </w:t>
      </w:r>
      <w:r>
        <w:rPr>
          <w:rFonts w:ascii="Arial" w:hAnsi="Arial" w:cs="Arial" w:eastAsia="Arial" w:hint="default"/>
        </w:rPr>
        <w:t>1 </w:t>
      </w:r>
      <w:r>
        <w:rPr/>
        <w:t>号院</w:t>
      </w:r>
      <w:r>
        <w:rPr>
          <w:spacing w:val="-54"/>
        </w:rPr>
        <w:t> </w:t>
      </w:r>
      <w:r>
        <w:rPr>
          <w:rFonts w:ascii="Arial" w:hAnsi="Arial" w:cs="Arial" w:eastAsia="Arial" w:hint="default"/>
        </w:rPr>
        <w:t>8 </w:t>
      </w:r>
      <w:r>
        <w:rPr/>
        <w:t>号楼</w:t>
      </w:r>
      <w:r>
        <w:rPr>
          <w:spacing w:val="-54"/>
        </w:rPr>
        <w:t> </w:t>
      </w:r>
      <w:r>
        <w:rPr>
          <w:rFonts w:ascii="Arial" w:hAnsi="Arial" w:cs="Arial" w:eastAsia="Arial" w:hint="default"/>
        </w:rPr>
        <w:t>21</w:t>
      </w:r>
      <w:r>
        <w:rPr>
          <w:rFonts w:ascii="Arial" w:hAnsi="Arial" w:cs="Arial" w:eastAsia="Arial" w:hint="default"/>
          <w:spacing w:val="2"/>
        </w:rPr>
        <w:t> </w:t>
      </w:r>
      <w:r>
        <w:rPr/>
        <w:t>层</w:t>
      </w:r>
      <w:r>
        <w:rPr>
          <w:spacing w:val="-54"/>
        </w:rPr>
        <w:t> </w:t>
      </w:r>
      <w:r>
        <w:rPr>
          <w:rFonts w:ascii="Arial" w:hAnsi="Arial" w:cs="Arial" w:eastAsia="Arial" w:hint="default"/>
        </w:rPr>
        <w:t>C2303</w:t>
      </w:r>
      <w:r>
        <w:rPr/>
        <w:t>，经营范围为经济贸易咨询；技术开发、技术推广、技术转 </w:t>
      </w:r>
      <w:r>
        <w:rPr>
          <w:spacing w:val="-5"/>
        </w:rPr>
        <w:t>让、技术咨询、技术服务；计算机系统服务；基础软件服务；应用软件服务；软件开发；数据</w:t>
      </w:r>
      <w:r>
        <w:rPr>
          <w:spacing w:val="-118"/>
        </w:rPr>
        <w:t> </w:t>
      </w:r>
      <w:r>
        <w:rPr>
          <w:spacing w:val="-118"/>
        </w:rPr>
      </w:r>
      <w:r>
        <w:rPr/>
        <w:t>处理；销售电子产品、通讯设备、计算机、软件及辅助设备；互联网信息服务等。公司持有</w:t>
      </w:r>
      <w:r>
        <w:rPr>
          <w:spacing w:val="-91"/>
        </w:rPr>
        <w:t> </w:t>
      </w:r>
      <w:r>
        <w:rPr>
          <w:spacing w:val="-91"/>
        </w:rPr>
      </w:r>
      <w:r>
        <w:rPr/>
        <w:t>华宇元典</w:t>
      </w:r>
      <w:r>
        <w:rPr>
          <w:spacing w:val="-65"/>
        </w:rPr>
        <w:t> </w:t>
      </w:r>
      <w:r>
        <w:rPr>
          <w:rFonts w:ascii="Arial" w:hAnsi="Arial" w:cs="Arial" w:eastAsia="Arial" w:hint="default"/>
        </w:rPr>
        <w:t>37.50%</w:t>
      </w:r>
      <w:r>
        <w:rPr/>
        <w:t>的股权。</w:t>
      </w:r>
    </w:p>
    <w:p>
      <w:pPr>
        <w:pStyle w:val="BodyText"/>
        <w:spacing w:line="288" w:lineRule="auto" w:before="157"/>
        <w:ind w:right="151" w:firstLine="480"/>
        <w:jc w:val="both"/>
      </w:pPr>
      <w:r>
        <w:rPr/>
        <w:t>华宇元典专注于法律大数据深度研发，团队由具备丰富实务经验的前法官、检察官、律 师、</w:t>
      </w:r>
      <w:r>
        <w:rPr>
          <w:rFonts w:ascii="Arial" w:hAnsi="Arial" w:cs="Arial" w:eastAsia="Arial" w:hint="default"/>
        </w:rPr>
        <w:t>NLP</w:t>
      </w:r>
      <w:r>
        <w:rPr>
          <w:rFonts w:ascii="Arial" w:hAnsi="Arial" w:cs="Arial" w:eastAsia="Arial" w:hint="default"/>
          <w:spacing w:val="-15"/>
        </w:rPr>
        <w:t> </w:t>
      </w:r>
      <w:r>
        <w:rPr/>
        <w:t>算法工程师与程序员等组成，致力于提供法律实务智能产品，产品服务对象涵盖法 院、检察院、律师、法务等全法律生态圈。报告期末，华宇元典总资产</w:t>
      </w:r>
      <w:r>
        <w:rPr>
          <w:spacing w:val="-82"/>
        </w:rPr>
        <w:t> </w:t>
      </w:r>
      <w:r>
        <w:rPr>
          <w:rFonts w:ascii="Arial" w:hAnsi="Arial" w:cs="Arial" w:eastAsia="Arial" w:hint="default"/>
        </w:rPr>
        <w:t>2,203.99</w:t>
      </w:r>
      <w:r>
        <w:rPr>
          <w:rFonts w:ascii="Arial" w:hAnsi="Arial" w:cs="Arial" w:eastAsia="Arial" w:hint="default"/>
          <w:spacing w:val="-28"/>
        </w:rPr>
        <w:t> </w:t>
      </w:r>
      <w:r>
        <w:rPr>
          <w:spacing w:val="-3"/>
        </w:rPr>
        <w:t>万元，净资</w:t>
      </w:r>
      <w:r>
        <w:rPr/>
        <w:t> 产</w:t>
      </w:r>
      <w:r>
        <w:rPr>
          <w:spacing w:val="-63"/>
        </w:rPr>
        <w:t> </w:t>
      </w:r>
      <w:r>
        <w:rPr>
          <w:rFonts w:ascii="Arial" w:hAnsi="Arial" w:cs="Arial" w:eastAsia="Arial" w:hint="default"/>
        </w:rPr>
        <w:t>1,985.77</w:t>
      </w:r>
      <w:r>
        <w:rPr>
          <w:rFonts w:ascii="Arial" w:hAnsi="Arial" w:cs="Arial" w:eastAsia="Arial" w:hint="default"/>
          <w:spacing w:val="-9"/>
        </w:rPr>
        <w:t> </w:t>
      </w:r>
      <w:r>
        <w:rPr/>
        <w:t>万元；报告期内，实现净利润</w:t>
      </w:r>
      <w:r>
        <w:rPr>
          <w:rFonts w:ascii="Arial" w:hAnsi="Arial" w:cs="Arial" w:eastAsia="Arial" w:hint="default"/>
        </w:rPr>
        <w:t>-1,057.92</w:t>
      </w:r>
      <w:r>
        <w:rPr>
          <w:rFonts w:ascii="Arial" w:hAnsi="Arial" w:cs="Arial" w:eastAsia="Arial" w:hint="default"/>
          <w:spacing w:val="-8"/>
        </w:rPr>
        <w:t> </w:t>
      </w:r>
      <w:r>
        <w:rPr/>
        <w:t>万元。</w:t>
      </w:r>
    </w:p>
    <w:p>
      <w:pPr>
        <w:pStyle w:val="Heading2"/>
        <w:spacing w:line="240" w:lineRule="auto" w:before="191"/>
        <w:ind w:right="0"/>
        <w:jc w:val="both"/>
        <w:rPr>
          <w:b w:val="0"/>
          <w:bCs w:val="0"/>
        </w:rPr>
      </w:pPr>
      <w:r>
        <w:rPr/>
        <w:t>八、公司控制的结构化主体情况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line="388" w:lineRule="auto" w:before="0"/>
        <w:ind w:left="152" w:right="7134" w:firstLine="0"/>
        <w:jc w:val="left"/>
        <w:rPr>
          <w:rFonts w:ascii="Microsoft JhengHei" w:hAnsi="Microsoft JhengHei" w:cs="Microsoft JhengHei" w:eastAsia="Microsoft JhengHei"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九、公司未来发展的展望</w:t>
      </w:r>
      <w:r>
        <w:rPr>
          <w:rFonts w:ascii="Microsoft JhengHei" w:hAnsi="Microsoft JhengHei" w:cs="Microsoft JhengHei" w:eastAsia="Microsoft JhengHei" w:hint="default"/>
          <w:sz w:val="24"/>
          <w:szCs w:val="24"/>
        </w:rPr>
      </w:r>
    </w:p>
    <w:p>
      <w:pPr>
        <w:pStyle w:val="BodyText"/>
        <w:spacing w:line="312" w:lineRule="exact" w:before="103"/>
        <w:ind w:right="148" w:firstLine="480"/>
        <w:jc w:val="both"/>
      </w:pPr>
      <w:r>
        <w:rPr>
          <w:spacing w:val="-2"/>
        </w:rPr>
        <w:t>请见“第四节经营情况分析与讨论”中“一、概述”部分关于市场情况和趋势、</w:t>
      </w:r>
      <w:r>
        <w:rPr>
          <w:rFonts w:ascii="Arial" w:hAnsi="Arial" w:cs="Arial" w:eastAsia="Arial" w:hint="default"/>
          <w:spacing w:val="-2"/>
        </w:rPr>
        <w:t>2018</w:t>
      </w:r>
      <w:r>
        <w:rPr>
          <w:rFonts w:ascii="Arial" w:hAnsi="Arial" w:cs="Arial" w:eastAsia="Arial" w:hint="default"/>
          <w:spacing w:val="-7"/>
        </w:rPr>
        <w:t> </w:t>
      </w:r>
      <w:r>
        <w:rPr/>
        <w:t>年 业务展望的介绍。</w:t>
      </w:r>
    </w:p>
    <w:p>
      <w:pPr>
        <w:pStyle w:val="Heading2"/>
        <w:spacing w:line="240" w:lineRule="auto" w:before="195"/>
        <w:ind w:right="0"/>
        <w:jc w:val="both"/>
        <w:rPr>
          <w:b w:val="0"/>
          <w:bCs w:val="0"/>
        </w:rPr>
      </w:pPr>
      <w:r>
        <w:rPr/>
        <w:t>十、接待调研、沟通、采访等活动登记表</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、报告期内接待调研、沟通、采访等活动登记表</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both"/>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3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177"/>
        <w:gridCol w:w="2177"/>
        <w:gridCol w:w="2177"/>
        <w:gridCol w:w="3039"/>
      </w:tblGrid>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 w:right="0"/>
              <w:jc w:val="center"/>
              <w:rPr>
                <w:rFonts w:ascii="Arial" w:hAnsi="Arial" w:cs="Arial" w:eastAsia="Arial" w:hint="default"/>
                <w:sz w:val="21"/>
                <w:szCs w:val="21"/>
              </w:rPr>
            </w:pPr>
            <w:hyperlink r:id="rId10">
              <w:r>
                <w:rPr>
                  <w:rFonts w:ascii="Arial"/>
                  <w:sz w:val="21"/>
                </w:rPr>
                <w:t>http://www.cninfo.com.cn</w:t>
              </w:r>
            </w:hyperlink>
          </w:p>
        </w:tc>
      </w:tr>
    </w:tbl>
    <w:p>
      <w:pPr>
        <w:spacing w:after="0" w:line="240" w:lineRule="auto"/>
        <w:jc w:val="center"/>
        <w:rPr>
          <w:rFonts w:ascii="Arial" w:hAnsi="Arial" w:cs="Arial" w:eastAsia="Arial" w:hint="default"/>
          <w:sz w:val="21"/>
          <w:szCs w:val="21"/>
        </w:rP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2791"/>
        <w:jc w:val="center"/>
        <w:rPr>
          <w:b w:val="0"/>
          <w:bCs w:val="0"/>
        </w:rPr>
      </w:pPr>
      <w:bookmarkStart w:name="_bookmark3" w:id="4"/>
      <w:bookmarkEnd w:id="4"/>
      <w:r>
        <w:rPr>
          <w:b w:val="0"/>
          <w:bCs w:val="0"/>
        </w:rPr>
      </w:r>
      <w:r>
        <w:rPr/>
        <w:t>第五节 </w:t>
      </w:r>
      <w:r>
        <w:rPr>
          <w:spacing w:val="9"/>
        </w:rPr>
        <w:t> </w:t>
      </w:r>
      <w:r>
        <w:rPr/>
        <w:t>重要事项</w:t>
      </w:r>
      <w:r>
        <w:rPr>
          <w:b w:val="0"/>
          <w:bCs w:val="0"/>
        </w:rPr>
      </w:r>
    </w:p>
    <w:p>
      <w:pPr>
        <w:spacing w:line="580" w:lineRule="atLeast" w:before="237"/>
        <w:ind w:left="152" w:right="161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一、公司普通股利润分配及资本公积金转增股本情况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报告期内普通股利润分配政策，特别是现金分红政策的制定、执行或调整情况</w:t>
      </w:r>
    </w:p>
    <w:p>
      <w:pPr>
        <w:pStyle w:val="BodyText"/>
        <w:spacing w:line="367" w:lineRule="auto" w:before="38"/>
        <w:ind w:left="633" w:right="0"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w:t>
      </w:r>
      <w:r>
        <w:rPr>
          <w:spacing w:val="-6"/>
        </w:rPr>
        <w:t>报告期内，公司严格按照《公司章程》相关利润分配政策和审议程序实施利润分配方案，</w:t>
      </w:r>
    </w:p>
    <w:p>
      <w:pPr>
        <w:pStyle w:val="BodyText"/>
        <w:spacing w:line="264" w:lineRule="exact"/>
        <w:ind w:right="0"/>
        <w:jc w:val="left"/>
      </w:pPr>
      <w:r>
        <w:rPr/>
        <w:t>分红标准和分红比例明确清晰</w:t>
      </w:r>
      <w:r>
        <w:rPr>
          <w:spacing w:val="-101"/>
        </w:rPr>
        <w:t>，</w:t>
      </w:r>
      <w:r>
        <w:rPr/>
        <w:t>相关的决策程序和机制完备</w:t>
      </w:r>
      <w:r>
        <w:rPr>
          <w:spacing w:val="-101"/>
        </w:rPr>
        <w:t>。</w:t>
      </w:r>
      <w:r>
        <w:rPr/>
        <w:t>公司利润分配</w:t>
      </w:r>
      <w:r>
        <w:rPr>
          <w:spacing w:val="1"/>
        </w:rPr>
        <w:t>方</w:t>
      </w:r>
      <w:r>
        <w:rPr/>
        <w:t>案经由董事会、</w:t>
      </w:r>
    </w:p>
    <w:p>
      <w:pPr>
        <w:pStyle w:val="BodyText"/>
        <w:spacing w:line="297" w:lineRule="auto" w:before="77"/>
        <w:ind w:right="0"/>
        <w:jc w:val="left"/>
      </w:pPr>
      <w:r>
        <w:rPr/>
        <w:t>监事会审议过后提交股东大会审议，并由独立董事发表独立意见，审议通过后在规定时间内</w:t>
      </w:r>
      <w:r>
        <w:rPr>
          <w:spacing w:val="-91"/>
        </w:rPr>
        <w:t> </w:t>
      </w:r>
      <w:r>
        <w:rPr>
          <w:spacing w:val="-91"/>
        </w:rPr>
      </w:r>
      <w:r>
        <w:rPr/>
        <w:t>进行实施，切实保证了全体股东的利益。</w:t>
      </w:r>
    </w:p>
    <w:p>
      <w:pPr>
        <w:pStyle w:val="BodyText"/>
        <w:spacing w:line="240" w:lineRule="auto" w:before="175"/>
        <w:ind w:left="633" w:right="0"/>
        <w:jc w:val="left"/>
      </w:pPr>
      <w:r>
        <w:rPr/>
        <w:t>经公司</w:t>
      </w:r>
      <w:r>
        <w:rPr>
          <w:spacing w:val="-47"/>
        </w:rPr>
        <w:t> </w:t>
      </w:r>
      <w:r>
        <w:rPr>
          <w:rFonts w:ascii="Arial" w:hAnsi="Arial" w:cs="Arial" w:eastAsia="Arial" w:hint="default"/>
        </w:rPr>
        <w:t>2017</w:t>
      </w:r>
      <w:r>
        <w:rPr>
          <w:rFonts w:ascii="Arial" w:hAnsi="Arial" w:cs="Arial" w:eastAsia="Arial" w:hint="default"/>
          <w:spacing w:val="7"/>
        </w:rPr>
        <w:t> </w:t>
      </w:r>
      <w:r>
        <w:rPr/>
        <w:t>年</w:t>
      </w:r>
      <w:r>
        <w:rPr>
          <w:spacing w:val="-47"/>
        </w:rPr>
        <w:t> </w:t>
      </w:r>
      <w:r>
        <w:rPr>
          <w:rFonts w:ascii="Arial" w:hAnsi="Arial" w:cs="Arial" w:eastAsia="Arial" w:hint="default"/>
        </w:rPr>
        <w:t>4</w:t>
      </w:r>
      <w:r>
        <w:rPr>
          <w:rFonts w:ascii="Arial" w:hAnsi="Arial" w:cs="Arial" w:eastAsia="Arial" w:hint="default"/>
          <w:spacing w:val="7"/>
        </w:rPr>
        <w:t> </w:t>
      </w:r>
      <w:r>
        <w:rPr/>
        <w:t>月</w:t>
      </w:r>
      <w:r>
        <w:rPr>
          <w:spacing w:val="-47"/>
        </w:rPr>
        <w:t> </w:t>
      </w:r>
      <w:r>
        <w:rPr>
          <w:rFonts w:ascii="Arial" w:hAnsi="Arial" w:cs="Arial" w:eastAsia="Arial" w:hint="default"/>
        </w:rPr>
        <w:t>10</w:t>
      </w:r>
      <w:r>
        <w:rPr>
          <w:rFonts w:ascii="Arial" w:hAnsi="Arial" w:cs="Arial" w:eastAsia="Arial" w:hint="default"/>
          <w:spacing w:val="8"/>
        </w:rPr>
        <w:t> </w:t>
      </w:r>
      <w:r>
        <w:rPr/>
        <w:t>日召开的</w:t>
      </w:r>
      <w:r>
        <w:rPr>
          <w:spacing w:val="-47"/>
        </w:rPr>
        <w:t> </w:t>
      </w:r>
      <w:r>
        <w:rPr>
          <w:rFonts w:ascii="Arial" w:hAnsi="Arial" w:cs="Arial" w:eastAsia="Arial" w:hint="default"/>
        </w:rPr>
        <w:t>2016</w:t>
      </w:r>
      <w:r>
        <w:rPr>
          <w:rFonts w:ascii="Arial" w:hAnsi="Arial" w:cs="Arial" w:eastAsia="Arial" w:hint="default"/>
          <w:spacing w:val="7"/>
        </w:rPr>
        <w:t> </w:t>
      </w:r>
      <w:r>
        <w:rPr/>
        <w:t>年度股东大会审议通过公司《</w:t>
      </w:r>
      <w:r>
        <w:rPr>
          <w:rFonts w:ascii="Arial" w:hAnsi="Arial" w:cs="Arial" w:eastAsia="Arial" w:hint="default"/>
        </w:rPr>
        <w:t>2016</w:t>
      </w:r>
      <w:r>
        <w:rPr>
          <w:rFonts w:ascii="Arial" w:hAnsi="Arial" w:cs="Arial" w:eastAsia="Arial" w:hint="default"/>
          <w:spacing w:val="8"/>
        </w:rPr>
        <w:t> </w:t>
      </w:r>
      <w:r>
        <w:rPr/>
        <w:t>年度利润分</w:t>
      </w:r>
    </w:p>
    <w:p>
      <w:pPr>
        <w:pStyle w:val="BodyText"/>
        <w:spacing w:line="240" w:lineRule="auto" w:before="57"/>
        <w:ind w:right="0"/>
        <w:jc w:val="left"/>
      </w:pPr>
      <w:r>
        <w:rPr>
          <w:spacing w:val="-14"/>
        </w:rPr>
        <w:t>配方案》：以截止</w:t>
      </w:r>
      <w:r>
        <w:rPr>
          <w:spacing w:val="-62"/>
        </w:rPr>
        <w:t> </w:t>
      </w:r>
      <w:r>
        <w:rPr>
          <w:rFonts w:ascii="Arial" w:hAnsi="Arial" w:cs="Arial" w:eastAsia="Arial" w:hint="default"/>
        </w:rPr>
        <w:t>2016</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日公司总股本</w:t>
      </w:r>
      <w:r>
        <w:rPr>
          <w:spacing w:val="-62"/>
        </w:rPr>
        <w:t> </w:t>
      </w:r>
      <w:r>
        <w:rPr>
          <w:rFonts w:ascii="Arial" w:hAnsi="Arial" w:cs="Arial" w:eastAsia="Arial" w:hint="default"/>
        </w:rPr>
        <w:t>644,482,388</w:t>
      </w:r>
      <w:r>
        <w:rPr>
          <w:rFonts w:ascii="Arial" w:hAnsi="Arial" w:cs="Arial" w:eastAsia="Arial" w:hint="default"/>
          <w:spacing w:val="-6"/>
        </w:rPr>
        <w:t> </w:t>
      </w:r>
      <w:r>
        <w:rPr/>
        <w:t>股为基数向全体股东每</w:t>
      </w:r>
      <w:r>
        <w:rPr>
          <w:spacing w:val="-62"/>
        </w:rPr>
        <w:t> </w:t>
      </w:r>
      <w:r>
        <w:rPr>
          <w:rFonts w:ascii="Arial" w:hAnsi="Arial" w:cs="Arial" w:eastAsia="Arial" w:hint="default"/>
        </w:rPr>
        <w:t>10</w:t>
      </w:r>
      <w:r>
        <w:rPr>
          <w:rFonts w:ascii="Arial" w:hAnsi="Arial" w:cs="Arial" w:eastAsia="Arial" w:hint="default"/>
          <w:spacing w:val="-11"/>
        </w:rPr>
        <w:t> </w:t>
      </w:r>
      <w:r>
        <w:rPr/>
        <w:t>股</w:t>
      </w:r>
    </w:p>
    <w:p>
      <w:pPr>
        <w:pStyle w:val="BodyText"/>
        <w:spacing w:line="240" w:lineRule="auto" w:before="60"/>
        <w:ind w:right="0"/>
        <w:jc w:val="left"/>
      </w:pPr>
      <w:r>
        <w:rPr/>
        <w:t>派发现金股利</w:t>
      </w:r>
      <w:r>
        <w:rPr>
          <w:spacing w:val="-52"/>
        </w:rPr>
        <w:t> </w:t>
      </w:r>
      <w:r>
        <w:rPr>
          <w:rFonts w:ascii="Arial" w:hAnsi="Arial" w:cs="Arial" w:eastAsia="Arial" w:hint="default"/>
        </w:rPr>
        <w:t>0.5</w:t>
      </w:r>
      <w:r>
        <w:rPr>
          <w:rFonts w:ascii="Arial" w:hAnsi="Arial" w:cs="Arial" w:eastAsia="Arial" w:hint="default"/>
          <w:spacing w:val="4"/>
        </w:rPr>
        <w:t> </w:t>
      </w:r>
      <w:r>
        <w:rPr>
          <w:spacing w:val="-6"/>
        </w:rPr>
        <w:t>元人民币（含税）。由于公司完成限制性股票登记和股权激励行权的原因，</w:t>
      </w:r>
    </w:p>
    <w:p>
      <w:pPr>
        <w:pStyle w:val="BodyText"/>
        <w:spacing w:line="240" w:lineRule="auto" w:before="57"/>
        <w:ind w:right="0"/>
        <w:jc w:val="left"/>
      </w:pPr>
      <w:r>
        <w:rPr/>
        <w:t>截至</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5</w:t>
      </w:r>
      <w:r>
        <w:rPr>
          <w:rFonts w:ascii="Arial" w:hAnsi="Arial" w:cs="Arial" w:eastAsia="Arial" w:hint="default"/>
          <w:spacing w:val="-7"/>
        </w:rPr>
        <w:t> </w:t>
      </w:r>
      <w:r>
        <w:rPr/>
        <w:t>月</w:t>
      </w:r>
      <w:r>
        <w:rPr>
          <w:spacing w:val="-61"/>
        </w:rPr>
        <w:t> </w:t>
      </w:r>
      <w:r>
        <w:rPr>
          <w:rFonts w:ascii="Arial" w:hAnsi="Arial" w:cs="Arial" w:eastAsia="Arial" w:hint="default"/>
        </w:rPr>
        <w:t>19</w:t>
      </w:r>
      <w:r>
        <w:rPr>
          <w:rFonts w:ascii="Arial" w:hAnsi="Arial" w:cs="Arial" w:eastAsia="Arial" w:hint="default"/>
          <w:spacing w:val="-10"/>
        </w:rPr>
        <w:t> </w:t>
      </w:r>
      <w:r>
        <w:rPr>
          <w:spacing w:val="-8"/>
        </w:rPr>
        <w:t>日，公司总股本由</w:t>
      </w:r>
      <w:r>
        <w:rPr>
          <w:spacing w:val="-61"/>
        </w:rPr>
        <w:t> </w:t>
      </w:r>
      <w:r>
        <w:rPr>
          <w:rFonts w:ascii="Arial" w:hAnsi="Arial" w:cs="Arial" w:eastAsia="Arial" w:hint="default"/>
        </w:rPr>
        <w:t>2016</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日的</w:t>
      </w:r>
      <w:r>
        <w:rPr>
          <w:spacing w:val="-61"/>
        </w:rPr>
        <w:t> </w:t>
      </w:r>
      <w:r>
        <w:rPr>
          <w:rFonts w:ascii="Arial" w:hAnsi="Arial" w:cs="Arial" w:eastAsia="Arial" w:hint="default"/>
        </w:rPr>
        <w:t>644,482,388</w:t>
      </w:r>
      <w:r>
        <w:rPr>
          <w:rFonts w:ascii="Arial" w:hAnsi="Arial" w:cs="Arial" w:eastAsia="Arial" w:hint="default"/>
          <w:spacing w:val="-6"/>
        </w:rPr>
        <w:t> </w:t>
      </w:r>
      <w:r>
        <w:rPr/>
        <w:t>股增加至目前的</w:t>
      </w:r>
    </w:p>
    <w:p>
      <w:pPr>
        <w:pStyle w:val="BodyText"/>
        <w:spacing w:line="240" w:lineRule="auto" w:before="60"/>
        <w:ind w:right="0"/>
        <w:jc w:val="left"/>
      </w:pPr>
      <w:r>
        <w:rPr>
          <w:rFonts w:ascii="Arial" w:hAnsi="Arial" w:cs="Arial" w:eastAsia="Arial" w:hint="default"/>
        </w:rPr>
        <w:t>667,796,058</w:t>
      </w:r>
      <w:r>
        <w:rPr>
          <w:rFonts w:ascii="Arial" w:hAnsi="Arial" w:cs="Arial" w:eastAsia="Arial" w:hint="default"/>
          <w:spacing w:val="17"/>
        </w:rPr>
        <w:t> </w:t>
      </w:r>
      <w:r>
        <w:rPr>
          <w:spacing w:val="-3"/>
        </w:rPr>
        <w:t>股。按照</w:t>
      </w:r>
      <w:r>
        <w:rPr>
          <w:rFonts w:ascii="Arial" w:hAnsi="Arial" w:cs="Arial" w:eastAsia="Arial" w:hint="default"/>
          <w:spacing w:val="-3"/>
        </w:rPr>
        <w:t>“</w:t>
      </w:r>
      <w:r>
        <w:rPr>
          <w:spacing w:val="-3"/>
        </w:rPr>
        <w:t>现金分红总额、送红股总额、转增股本总额固定不变</w:t>
      </w:r>
      <w:r>
        <w:rPr>
          <w:rFonts w:ascii="Arial" w:hAnsi="Arial" w:cs="Arial" w:eastAsia="Arial" w:hint="default"/>
          <w:spacing w:val="-3"/>
        </w:rPr>
        <w:t>”</w:t>
      </w:r>
      <w:r>
        <w:rPr>
          <w:spacing w:val="-3"/>
        </w:rPr>
        <w:t>的原则，公司按</w:t>
      </w:r>
    </w:p>
    <w:p>
      <w:pPr>
        <w:pStyle w:val="BodyText"/>
        <w:spacing w:line="240" w:lineRule="auto" w:before="57"/>
        <w:ind w:right="0"/>
        <w:jc w:val="left"/>
        <w:rPr>
          <w:rFonts w:ascii="Arial" w:hAnsi="Arial" w:cs="Arial" w:eastAsia="Arial" w:hint="default"/>
        </w:rPr>
      </w:pP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7</w:t>
      </w:r>
      <w:r>
        <w:rPr>
          <w:rFonts w:ascii="Arial" w:hAnsi="Arial" w:cs="Arial" w:eastAsia="Arial" w:hint="default"/>
          <w:spacing w:val="-5"/>
        </w:rPr>
        <w:t> </w:t>
      </w:r>
      <w:r>
        <w:rPr/>
        <w:t>年</w:t>
      </w:r>
      <w:r>
        <w:rPr>
          <w:spacing w:val="-63"/>
        </w:rPr>
        <w:t> </w:t>
      </w:r>
      <w:r>
        <w:rPr>
          <w:rFonts w:ascii="Arial" w:hAnsi="Arial" w:cs="Arial" w:eastAsia="Arial" w:hint="default"/>
          <w:w w:val="99"/>
        </w:rPr>
        <w:t>5</w:t>
      </w:r>
      <w:r>
        <w:rPr>
          <w:rFonts w:ascii="Arial" w:hAnsi="Arial" w:cs="Arial" w:eastAsia="Arial" w:hint="default"/>
          <w:spacing w:val="-6"/>
        </w:rPr>
        <w:t> </w:t>
      </w:r>
      <w:r>
        <w:rPr/>
        <w:t>月</w:t>
      </w:r>
      <w:r>
        <w:rPr>
          <w:spacing w:val="-60"/>
        </w:rPr>
        <w:t> </w:t>
      </w:r>
      <w:r>
        <w:rPr>
          <w:rFonts w:ascii="Arial" w:hAnsi="Arial" w:cs="Arial" w:eastAsia="Arial" w:hint="default"/>
          <w:spacing w:val="-2"/>
          <w:w w:val="99"/>
        </w:rPr>
        <w:t>1</w:t>
      </w:r>
      <w:r>
        <w:rPr>
          <w:rFonts w:ascii="Arial" w:hAnsi="Arial" w:cs="Arial" w:eastAsia="Arial" w:hint="default"/>
          <w:w w:val="99"/>
        </w:rPr>
        <w:t>9</w:t>
      </w:r>
      <w:r>
        <w:rPr>
          <w:rFonts w:ascii="Arial" w:hAnsi="Arial" w:cs="Arial" w:eastAsia="Arial" w:hint="default"/>
          <w:spacing w:val="-6"/>
        </w:rPr>
        <w:t> </w:t>
      </w:r>
      <w:r>
        <w:rPr/>
        <w:t>日股</w:t>
      </w:r>
      <w:r>
        <w:rPr>
          <w:spacing w:val="-3"/>
        </w:rPr>
        <w:t>本</w:t>
      </w:r>
      <w:r>
        <w:rPr/>
        <w:t>计算的</w:t>
      </w:r>
      <w:r>
        <w:rPr>
          <w:spacing w:val="-60"/>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6</w:t>
      </w:r>
      <w:r>
        <w:rPr>
          <w:rFonts w:ascii="Arial" w:hAnsi="Arial" w:cs="Arial" w:eastAsia="Arial" w:hint="default"/>
          <w:spacing w:val="-6"/>
        </w:rPr>
        <w:t> </w:t>
      </w:r>
      <w:r>
        <w:rPr/>
        <w:t>年年度</w:t>
      </w:r>
      <w:r>
        <w:rPr>
          <w:spacing w:val="-3"/>
        </w:rPr>
        <w:t>权</w:t>
      </w:r>
      <w:r>
        <w:rPr/>
        <w:t>益分派方案为</w:t>
      </w:r>
      <w:r>
        <w:rPr>
          <w:spacing w:val="-120"/>
        </w:rPr>
        <w:t>：</w:t>
      </w:r>
      <w:r>
        <w:rPr/>
        <w:t>以公司现有总股本</w:t>
      </w:r>
      <w:r>
        <w:rPr>
          <w:spacing w:val="-59"/>
        </w:rPr>
        <w:t> </w:t>
      </w:r>
      <w:r>
        <w:rPr>
          <w:rFonts w:ascii="Arial" w:hAnsi="Arial" w:cs="Arial" w:eastAsia="Arial" w:hint="default"/>
          <w:w w:val="99"/>
        </w:rPr>
        <w:t>66</w:t>
      </w:r>
      <w:r>
        <w:rPr>
          <w:rFonts w:ascii="Arial" w:hAnsi="Arial" w:cs="Arial" w:eastAsia="Arial" w:hint="default"/>
          <w:spacing w:val="-2"/>
          <w:w w:val="99"/>
        </w:rPr>
        <w:t>7</w:t>
      </w:r>
      <w:r>
        <w:rPr>
          <w:rFonts w:ascii="Arial" w:hAnsi="Arial" w:cs="Arial" w:eastAsia="Arial" w:hint="default"/>
          <w:w w:val="100"/>
        </w:rPr>
        <w:t>,</w:t>
      </w:r>
      <w:r>
        <w:rPr>
          <w:rFonts w:ascii="Arial" w:hAnsi="Arial" w:cs="Arial" w:eastAsia="Arial" w:hint="default"/>
          <w:spacing w:val="1"/>
          <w:w w:val="100"/>
        </w:rPr>
        <w:t>7</w:t>
      </w:r>
      <w:r>
        <w:rPr>
          <w:rFonts w:ascii="Arial" w:hAnsi="Arial" w:cs="Arial" w:eastAsia="Arial" w:hint="default"/>
          <w:spacing w:val="-2"/>
          <w:w w:val="99"/>
        </w:rPr>
        <w:t>9</w:t>
      </w:r>
      <w:r>
        <w:rPr>
          <w:rFonts w:ascii="Arial" w:hAnsi="Arial" w:cs="Arial" w:eastAsia="Arial" w:hint="default"/>
          <w:w w:val="99"/>
        </w:rPr>
        <w:t>6</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58</w:t>
      </w:r>
      <w:r>
        <w:rPr>
          <w:rFonts w:ascii="Arial" w:hAnsi="Arial" w:cs="Arial" w:eastAsia="Arial" w:hint="default"/>
        </w:rPr>
      </w:r>
    </w:p>
    <w:p>
      <w:pPr>
        <w:pStyle w:val="BodyText"/>
        <w:spacing w:line="240" w:lineRule="auto" w:before="60"/>
        <w:ind w:right="0"/>
        <w:jc w:val="left"/>
      </w:pPr>
      <w:r>
        <w:rPr>
          <w:spacing w:val="-4"/>
        </w:rPr>
        <w:t>股，向全体股东每</w:t>
      </w:r>
      <w:r>
        <w:rPr>
          <w:spacing w:val="-60"/>
        </w:rPr>
        <w:t> </w:t>
      </w:r>
      <w:r>
        <w:rPr>
          <w:rFonts w:ascii="Arial" w:hAnsi="Arial" w:cs="Arial" w:eastAsia="Arial" w:hint="default"/>
        </w:rPr>
        <w:t>10</w:t>
      </w:r>
      <w:r>
        <w:rPr>
          <w:rFonts w:ascii="Arial" w:hAnsi="Arial" w:cs="Arial" w:eastAsia="Arial" w:hint="default"/>
          <w:spacing w:val="-9"/>
        </w:rPr>
        <w:t> </w:t>
      </w:r>
      <w:r>
        <w:rPr/>
        <w:t>股派</w:t>
      </w:r>
      <w:r>
        <w:rPr>
          <w:spacing w:val="-60"/>
        </w:rPr>
        <w:t> </w:t>
      </w:r>
      <w:r>
        <w:rPr>
          <w:rFonts w:ascii="Arial" w:hAnsi="Arial" w:cs="Arial" w:eastAsia="Arial" w:hint="default"/>
        </w:rPr>
        <w:t>0.482544</w:t>
      </w:r>
      <w:r>
        <w:rPr>
          <w:rFonts w:ascii="Arial" w:hAnsi="Arial" w:cs="Arial" w:eastAsia="Arial" w:hint="default"/>
          <w:spacing w:val="-5"/>
        </w:rPr>
        <w:t> </w:t>
      </w:r>
      <w:r>
        <w:rPr>
          <w:spacing w:val="-8"/>
        </w:rPr>
        <w:t>元人民币现金（含税）。公司于</w:t>
      </w:r>
      <w:r>
        <w:rPr>
          <w:spacing w:val="-60"/>
        </w:rPr>
        <w:t> </w:t>
      </w:r>
      <w:r>
        <w:rPr>
          <w:rFonts w:ascii="Arial" w:hAnsi="Arial" w:cs="Arial" w:eastAsia="Arial" w:hint="default"/>
        </w:rPr>
        <w:t>2017</w:t>
      </w:r>
      <w:r>
        <w:rPr>
          <w:rFonts w:ascii="Arial" w:hAnsi="Arial" w:cs="Arial" w:eastAsia="Arial" w:hint="default"/>
          <w:spacing w:val="-6"/>
        </w:rPr>
        <w:t> </w:t>
      </w:r>
      <w:r>
        <w:rPr/>
        <w:t>年</w:t>
      </w:r>
      <w:r>
        <w:rPr>
          <w:spacing w:val="-60"/>
        </w:rPr>
        <w:t> </w:t>
      </w:r>
      <w:r>
        <w:rPr>
          <w:rFonts w:ascii="Arial" w:hAnsi="Arial" w:cs="Arial" w:eastAsia="Arial" w:hint="default"/>
        </w:rPr>
        <w:t>5</w:t>
      </w:r>
      <w:r>
        <w:rPr>
          <w:rFonts w:ascii="Arial" w:hAnsi="Arial" w:cs="Arial" w:eastAsia="Arial" w:hint="default"/>
          <w:spacing w:val="-6"/>
        </w:rPr>
        <w:t> </w:t>
      </w:r>
      <w:r>
        <w:rPr/>
        <w:t>月</w:t>
      </w:r>
      <w:r>
        <w:rPr>
          <w:spacing w:val="-60"/>
        </w:rPr>
        <w:t> </w:t>
      </w:r>
      <w:r>
        <w:rPr>
          <w:rFonts w:ascii="Arial" w:hAnsi="Arial" w:cs="Arial" w:eastAsia="Arial" w:hint="default"/>
        </w:rPr>
        <w:t>19</w:t>
      </w:r>
      <w:r>
        <w:rPr>
          <w:rFonts w:ascii="Arial" w:hAnsi="Arial" w:cs="Arial" w:eastAsia="Arial" w:hint="default"/>
          <w:spacing w:val="-6"/>
        </w:rPr>
        <w:t> </w:t>
      </w:r>
      <w:r>
        <w:rPr/>
        <w:t>日发出</w:t>
      </w:r>
    </w:p>
    <w:p>
      <w:pPr>
        <w:pStyle w:val="BodyText"/>
        <w:spacing w:line="283" w:lineRule="auto" w:before="57"/>
        <w:ind w:right="145"/>
        <w:jc w:val="left"/>
      </w:pPr>
      <w:r>
        <w:rPr/>
        <w:t>《</w:t>
      </w:r>
      <w:r>
        <w:rPr>
          <w:rFonts w:ascii="Arial" w:hAnsi="Arial" w:cs="Arial" w:eastAsia="Arial" w:hint="default"/>
        </w:rPr>
        <w:t>2016</w:t>
      </w:r>
      <w:r>
        <w:rPr>
          <w:rFonts w:ascii="Arial" w:hAnsi="Arial" w:cs="Arial" w:eastAsia="Arial" w:hint="default"/>
          <w:spacing w:val="-6"/>
        </w:rPr>
        <w:t> </w:t>
      </w:r>
      <w:r>
        <w:rPr>
          <w:spacing w:val="-3"/>
        </w:rPr>
        <w:t>年年度权益分派实施公告》，本次权益分派股权登记日为：</w:t>
      </w:r>
      <w:r>
        <w:rPr>
          <w:rFonts w:ascii="Arial" w:hAnsi="Arial" w:cs="Arial" w:eastAsia="Arial" w:hint="default"/>
          <w:spacing w:val="-3"/>
        </w:rPr>
        <w:t>2017</w:t>
      </w:r>
      <w:r>
        <w:rPr>
          <w:rFonts w:ascii="Arial" w:hAnsi="Arial" w:cs="Arial" w:eastAsia="Arial" w:hint="default"/>
          <w:spacing w:val="-6"/>
        </w:rPr>
        <w:t> </w:t>
      </w:r>
      <w:r>
        <w:rPr/>
        <w:t>年</w:t>
      </w:r>
      <w:r>
        <w:rPr>
          <w:spacing w:val="-60"/>
        </w:rPr>
        <w:t> </w:t>
      </w:r>
      <w:r>
        <w:rPr>
          <w:rFonts w:ascii="Arial" w:hAnsi="Arial" w:cs="Arial" w:eastAsia="Arial" w:hint="default"/>
        </w:rPr>
        <w:t>5</w:t>
      </w:r>
      <w:r>
        <w:rPr>
          <w:rFonts w:ascii="Arial" w:hAnsi="Arial" w:cs="Arial" w:eastAsia="Arial" w:hint="default"/>
          <w:spacing w:val="-6"/>
        </w:rPr>
        <w:t> </w:t>
      </w:r>
      <w:r>
        <w:rPr/>
        <w:t>月</w:t>
      </w:r>
      <w:r>
        <w:rPr>
          <w:spacing w:val="-60"/>
        </w:rPr>
        <w:t> </w:t>
      </w:r>
      <w:r>
        <w:rPr>
          <w:rFonts w:ascii="Arial" w:hAnsi="Arial" w:cs="Arial" w:eastAsia="Arial" w:hint="default"/>
        </w:rPr>
        <w:t>25</w:t>
      </w:r>
      <w:r>
        <w:rPr>
          <w:rFonts w:ascii="Arial" w:hAnsi="Arial" w:cs="Arial" w:eastAsia="Arial" w:hint="default"/>
          <w:spacing w:val="-6"/>
        </w:rPr>
        <w:t> </w:t>
      </w:r>
      <w:r>
        <w:rPr>
          <w:spacing w:val="-8"/>
        </w:rPr>
        <w:t>日，除权</w:t>
      </w:r>
      <w:r>
        <w:rPr/>
        <w:t> 除息日为：</w:t>
      </w:r>
      <w:r>
        <w:rPr>
          <w:rFonts w:ascii="Arial" w:hAnsi="Arial" w:cs="Arial" w:eastAsia="Arial" w:hint="default"/>
        </w:rPr>
        <w:t>2017</w:t>
      </w:r>
      <w:r>
        <w:rPr>
          <w:rFonts w:ascii="Arial" w:hAnsi="Arial" w:cs="Arial" w:eastAsia="Arial" w:hint="default"/>
          <w:spacing w:val="-7"/>
        </w:rPr>
        <w:t> </w:t>
      </w:r>
      <w:r>
        <w:rPr/>
        <w:t>年</w:t>
      </w:r>
      <w:r>
        <w:rPr>
          <w:spacing w:val="-64"/>
        </w:rPr>
        <w:t> </w:t>
      </w:r>
      <w:r>
        <w:rPr>
          <w:rFonts w:ascii="Arial" w:hAnsi="Arial" w:cs="Arial" w:eastAsia="Arial" w:hint="default"/>
        </w:rPr>
        <w:t>5</w:t>
      </w:r>
      <w:r>
        <w:rPr>
          <w:rFonts w:ascii="Arial" w:hAnsi="Arial" w:cs="Arial" w:eastAsia="Arial" w:hint="default"/>
          <w:spacing w:val="-10"/>
        </w:rPr>
        <w:t> </w:t>
      </w:r>
      <w:r>
        <w:rPr/>
        <w:t>月</w:t>
      </w:r>
      <w:r>
        <w:rPr>
          <w:spacing w:val="-61"/>
        </w:rPr>
        <w:t> </w:t>
      </w:r>
      <w:r>
        <w:rPr>
          <w:rFonts w:ascii="Arial" w:hAnsi="Arial" w:cs="Arial" w:eastAsia="Arial" w:hint="default"/>
        </w:rPr>
        <w:t>26</w:t>
      </w:r>
      <w:r>
        <w:rPr>
          <w:rFonts w:ascii="Arial" w:hAnsi="Arial" w:cs="Arial" w:eastAsia="Arial" w:hint="default"/>
          <w:spacing w:val="-7"/>
        </w:rPr>
        <w:t> </w:t>
      </w:r>
      <w:r>
        <w:rPr/>
        <w:t>日。</w:t>
      </w:r>
    </w:p>
    <w:p>
      <w:pPr>
        <w:spacing w:line="240" w:lineRule="auto" w:before="8"/>
        <w:rPr>
          <w:rFonts w:ascii="宋体" w:hAnsi="宋体" w:cs="宋体" w:eastAsia="宋体"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4761"/>
        <w:gridCol w:w="4795"/>
      </w:tblGrid>
      <w:tr>
        <w:trPr>
          <w:trHeight w:val="398"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3"/>
              <w:ind w:right="1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2"/>
              <w:jc w:val="left"/>
              <w:rPr>
                <w:rFonts w:ascii="宋体" w:hAnsi="宋体" w:cs="宋体" w:eastAsia="宋体" w:hint="default"/>
                <w:sz w:val="21"/>
                <w:szCs w:val="21"/>
              </w:rPr>
            </w:pPr>
            <w:r>
              <w:rPr>
                <w:rFonts w:ascii="宋体" w:hAnsi="宋体" w:cs="宋体" w:eastAsia="宋体" w:hint="default"/>
                <w:spacing w:val="-2"/>
                <w:sz w:val="21"/>
                <w:szCs w:val="21"/>
              </w:rPr>
              <w:t>中小股东是否有充分表达意见和诉求的机会，其合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法权益是否得到了充分保护：</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2"/>
              <w:jc w:val="left"/>
              <w:rPr>
                <w:rFonts w:ascii="宋体" w:hAnsi="宋体" w:cs="宋体" w:eastAsia="宋体" w:hint="default"/>
                <w:sz w:val="21"/>
                <w:szCs w:val="21"/>
              </w:rPr>
            </w:pPr>
            <w:r>
              <w:rPr>
                <w:rFonts w:ascii="宋体" w:hAnsi="宋体" w:cs="宋体" w:eastAsia="宋体" w:hint="default"/>
                <w:spacing w:val="-2"/>
                <w:sz w:val="21"/>
                <w:szCs w:val="21"/>
              </w:rPr>
              <w:t>现金分红政策进行调整或变更的，条件及程序是否</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合规、透明：</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312" w:lineRule="exact" w:before="31"/>
        <w:ind w:right="174"/>
        <w:jc w:val="left"/>
      </w:pPr>
      <w:r>
        <w:rPr/>
        <w:t>公司报告期利润分配预案及资本公积金转增股本预案与公司章程和分红管理办法等的相关规 定一致</w:t>
      </w:r>
    </w:p>
    <w:p>
      <w:pPr>
        <w:pStyle w:val="BodyText"/>
        <w:spacing w:line="312" w:lineRule="auto" w:before="7"/>
        <w:ind w:left="633" w:right="653" w:hanging="481"/>
        <w:jc w:val="left"/>
      </w:pPr>
      <w:r>
        <w:rPr>
          <w:rFonts w:ascii="Arial" w:hAnsi="Arial" w:cs="Arial" w:eastAsia="Arial" w:hint="default"/>
        </w:rPr>
        <w:t>√ </w:t>
      </w:r>
      <w:r>
        <w:rPr/>
        <w:t>是 </w:t>
      </w:r>
      <w:r>
        <w:rPr>
          <w:rFonts w:ascii="Arial" w:hAnsi="Arial" w:cs="Arial" w:eastAsia="Arial" w:hint="default"/>
        </w:rPr>
        <w:t>□ </w:t>
      </w:r>
      <w:r>
        <w:rPr/>
        <w:t>否 </w:t>
      </w:r>
      <w:r>
        <w:rPr>
          <w:rFonts w:ascii="Arial" w:hAnsi="Arial" w:cs="Arial" w:eastAsia="Arial" w:hint="default"/>
        </w:rPr>
        <w:t>□</w:t>
      </w:r>
      <w:r>
        <w:rPr>
          <w:rFonts w:ascii="Arial" w:hAnsi="Arial" w:cs="Arial" w:eastAsia="Arial" w:hint="default"/>
          <w:spacing w:val="23"/>
        </w:rPr>
        <w:t> </w:t>
      </w:r>
      <w:r>
        <w:rPr/>
        <w:t>不适用 公司报告期利润分配预案及资本公积金转增股本预案符合公司章程等的相关规定。</w:t>
      </w:r>
    </w:p>
    <w:p>
      <w:pPr>
        <w:pStyle w:val="BodyText"/>
        <w:spacing w:line="281" w:lineRule="exact"/>
        <w:ind w:right="0"/>
        <w:jc w:val="left"/>
      </w:pPr>
      <w:r>
        <w:rPr/>
        <w:t>本年度利润分配及资本公积金转增股本预案</w:t>
      </w:r>
    </w:p>
    <w:p>
      <w:pPr>
        <w:spacing w:after="0" w:line="281" w:lineRule="exact"/>
        <w:jc w:val="left"/>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93" w:type="dxa"/>
        <w:tblLayout w:type="fixed"/>
        <w:tblCellMar>
          <w:top w:w="0" w:type="dxa"/>
          <w:left w:w="0" w:type="dxa"/>
          <w:bottom w:w="0" w:type="dxa"/>
          <w:right w:w="0" w:type="dxa"/>
        </w:tblCellMar>
        <w:tblLook w:val="01E0"/>
      </w:tblPr>
      <w:tblGrid>
        <w:gridCol w:w="3695"/>
        <w:gridCol w:w="5862"/>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股送红股数（股）</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w w:val="100"/>
                <w:sz w:val="21"/>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Arial" w:hAnsi="Arial" w:cs="Arial" w:eastAsia="Arial" w:hint="default"/>
                <w:w w:val="100"/>
                <w:sz w:val="21"/>
                <w:szCs w:val="21"/>
              </w:rPr>
              <w:t>10</w:t>
            </w:r>
            <w:r>
              <w:rPr>
                <w:rFonts w:ascii="Arial" w:hAnsi="Arial" w:cs="Arial" w:eastAsia="Arial" w:hint="default"/>
                <w:spacing w:val="-8"/>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spacing w:val="-1"/>
                <w:sz w:val="21"/>
              </w:rPr>
              <w:t>0.50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股转增数（股）</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w w:val="100"/>
                <w:sz w:val="21"/>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spacing w:val="-1"/>
                <w:sz w:val="21"/>
              </w:rPr>
              <w:t>760,681,176</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spacing w:val="-1"/>
                <w:sz w:val="21"/>
              </w:rPr>
              <w:t>38,034,058.80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spacing w:val="-1"/>
                <w:sz w:val="21"/>
              </w:rPr>
              <w:t>146,381,804.97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100.00%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714"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2" w:right="74" w:firstLine="420"/>
              <w:jc w:val="left"/>
              <w:rPr>
                <w:rFonts w:ascii="宋体" w:hAnsi="宋体" w:cs="宋体" w:eastAsia="宋体" w:hint="default"/>
                <w:sz w:val="21"/>
                <w:szCs w:val="21"/>
              </w:rPr>
            </w:pPr>
            <w:r>
              <w:rPr>
                <w:rFonts w:ascii="宋体" w:hAnsi="宋体" w:cs="宋体" w:eastAsia="宋体" w:hint="default"/>
                <w:spacing w:val="-2"/>
                <w:sz w:val="21"/>
                <w:szCs w:val="21"/>
              </w:rPr>
              <w:t>公司发展阶段属成长期且有重大资金支出安排的，进行利润分配时，现金分红在本次利润分配中所</w:t>
            </w:r>
            <w:r>
              <w:rPr>
                <w:rFonts w:ascii="宋体" w:hAnsi="宋体" w:cs="宋体" w:eastAsia="宋体" w:hint="default"/>
                <w:w w:val="100"/>
                <w:sz w:val="21"/>
                <w:szCs w:val="21"/>
              </w:rPr>
              <w:t> </w:t>
            </w:r>
            <w:r>
              <w:rPr>
                <w:rFonts w:ascii="宋体" w:hAnsi="宋体" w:cs="宋体" w:eastAsia="宋体" w:hint="default"/>
                <w:sz w:val="21"/>
                <w:szCs w:val="21"/>
              </w:rPr>
              <w:t>占比例最低应达到</w:t>
            </w:r>
            <w:r>
              <w:rPr>
                <w:rFonts w:ascii="宋体" w:hAnsi="宋体" w:cs="宋体" w:eastAsia="宋体" w:hint="default"/>
                <w:spacing w:val="-53"/>
                <w:sz w:val="21"/>
                <w:szCs w:val="21"/>
              </w:rPr>
              <w:t> </w:t>
            </w:r>
            <w:r>
              <w:rPr>
                <w:rFonts w:ascii="Arial" w:hAnsi="Arial" w:cs="Arial" w:eastAsia="Arial" w:hint="default"/>
                <w:sz w:val="21"/>
                <w:szCs w:val="21"/>
              </w:rPr>
              <w:t>20</w:t>
            </w:r>
            <w:r>
              <w:rPr>
                <w:rFonts w:ascii="宋体" w:hAnsi="宋体" w:cs="宋体" w:eastAsia="宋体" w:hint="default"/>
                <w:sz w:val="21"/>
                <w:szCs w:val="21"/>
              </w:rPr>
              <w:t>％</w:t>
            </w:r>
          </w:p>
        </w:tc>
      </w:tr>
      <w:tr>
        <w:trPr>
          <w:trHeight w:val="403"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715"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0" w:right="0"/>
              <w:jc w:val="left"/>
              <w:rPr>
                <w:rFonts w:ascii="宋体" w:hAnsi="宋体" w:cs="宋体" w:eastAsia="宋体" w:hint="default"/>
                <w:sz w:val="21"/>
                <w:szCs w:val="21"/>
              </w:rPr>
            </w:pPr>
            <w:r>
              <w:rPr>
                <w:rFonts w:ascii="宋体" w:hAnsi="宋体" w:cs="宋体" w:eastAsia="宋体" w:hint="default"/>
                <w:sz w:val="21"/>
                <w:szCs w:val="21"/>
              </w:rPr>
              <w:t>以截止</w:t>
            </w:r>
            <w:r>
              <w:rPr>
                <w:rFonts w:ascii="宋体" w:hAnsi="宋体" w:cs="宋体" w:eastAsia="宋体" w:hint="default"/>
                <w:spacing w:val="-53"/>
                <w:sz w:val="21"/>
                <w:szCs w:val="21"/>
              </w:rPr>
              <w:t> </w:t>
            </w:r>
            <w:r>
              <w:rPr>
                <w:rFonts w:ascii="Arial" w:hAnsi="Arial" w:cs="Arial" w:eastAsia="Arial" w:hint="default"/>
                <w:sz w:val="21"/>
                <w:szCs w:val="21"/>
              </w:rPr>
              <w:t>2017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日公司总股本</w:t>
            </w:r>
            <w:r>
              <w:rPr>
                <w:rFonts w:ascii="宋体" w:hAnsi="宋体" w:cs="宋体" w:eastAsia="宋体" w:hint="default"/>
                <w:spacing w:val="-53"/>
                <w:sz w:val="21"/>
                <w:szCs w:val="21"/>
              </w:rPr>
              <w:t> </w:t>
            </w:r>
            <w:r>
              <w:rPr>
                <w:rFonts w:ascii="Arial" w:hAnsi="Arial" w:cs="Arial" w:eastAsia="Arial" w:hint="default"/>
                <w:sz w:val="21"/>
                <w:szCs w:val="21"/>
              </w:rPr>
              <w:t>760,681,176</w:t>
            </w:r>
            <w:r>
              <w:rPr>
                <w:rFonts w:ascii="Arial" w:hAnsi="Arial" w:cs="Arial" w:eastAsia="Arial" w:hint="default"/>
                <w:spacing w:val="-8"/>
                <w:sz w:val="21"/>
                <w:szCs w:val="21"/>
              </w:rPr>
              <w:t> </w:t>
            </w:r>
            <w:r>
              <w:rPr>
                <w:rFonts w:ascii="宋体" w:hAnsi="宋体" w:cs="宋体" w:eastAsia="宋体" w:hint="default"/>
                <w:sz w:val="21"/>
                <w:szCs w:val="21"/>
              </w:rPr>
              <w:t>股为基数，向全体股东按每</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股派发现金股</w:t>
            </w:r>
          </w:p>
          <w:p>
            <w:pPr>
              <w:pStyle w:val="TableParagraph"/>
              <w:spacing w:line="240" w:lineRule="auto" w:before="22"/>
              <w:ind w:left="12"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51"/>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元人民币（含税）</w:t>
            </w:r>
          </w:p>
        </w:tc>
      </w:tr>
    </w:tbl>
    <w:p>
      <w:pPr>
        <w:pStyle w:val="BodyText"/>
        <w:spacing w:line="320" w:lineRule="exact"/>
        <w:ind w:right="0"/>
        <w:jc w:val="left"/>
      </w:pPr>
      <w:r>
        <w:rPr/>
        <w:t>公司近</w:t>
      </w:r>
      <w:r>
        <w:rPr>
          <w:spacing w:val="-60"/>
        </w:rPr>
        <w:t> </w:t>
      </w:r>
      <w:r>
        <w:rPr>
          <w:rFonts w:ascii="Arial" w:hAnsi="Arial" w:cs="Arial" w:eastAsia="Arial" w:hint="default"/>
          <w:w w:val="99"/>
        </w:rPr>
        <w:t>3</w:t>
      </w:r>
      <w:r>
        <w:rPr>
          <w:rFonts w:ascii="Arial" w:hAnsi="Arial" w:cs="Arial" w:eastAsia="Arial" w:hint="default"/>
          <w:spacing w:val="-6"/>
        </w:rPr>
        <w:t> </w:t>
      </w:r>
      <w:r>
        <w:rPr/>
        <w:t>年（包括本报告期）的普通股股利分配方案（预案</w:t>
      </w:r>
      <w:r>
        <w:rPr>
          <w:spacing w:val="-120"/>
        </w:rPr>
        <w:t>）</w:t>
      </w:r>
      <w:r>
        <w:rPr/>
        <w:t>、资本公积金转增股本方案</w:t>
      </w:r>
    </w:p>
    <w:p>
      <w:pPr>
        <w:pStyle w:val="BodyText"/>
        <w:spacing w:line="303" w:lineRule="exact"/>
        <w:ind w:right="0"/>
        <w:jc w:val="left"/>
      </w:pPr>
      <w:r>
        <w:rPr/>
        <w:t>（预案）情况</w:t>
      </w:r>
    </w:p>
    <w:p>
      <w:pPr>
        <w:pStyle w:val="BodyText"/>
        <w:spacing w:line="240" w:lineRule="auto" w:before="194"/>
        <w:ind w:left="633" w:right="0"/>
        <w:jc w:val="left"/>
      </w:pPr>
      <w:r>
        <w:rPr/>
        <w:t>（</w:t>
      </w:r>
      <w:r>
        <w:rPr>
          <w:rFonts w:ascii="Arial" w:hAnsi="Arial" w:cs="Arial" w:eastAsia="Arial" w:hint="default"/>
        </w:rPr>
        <w:t>1</w:t>
      </w:r>
      <w:r>
        <w:rPr/>
        <w:t>）</w:t>
      </w:r>
      <w:r>
        <w:rPr>
          <w:rFonts w:ascii="Arial" w:hAnsi="Arial" w:cs="Arial" w:eastAsia="Arial" w:hint="default"/>
        </w:rPr>
        <w:t>2016</w:t>
      </w:r>
      <w:r>
        <w:rPr>
          <w:rFonts w:ascii="Arial" w:hAnsi="Arial" w:cs="Arial" w:eastAsia="Arial" w:hint="default"/>
          <w:spacing w:val="-8"/>
        </w:rPr>
        <w:t> </w:t>
      </w:r>
      <w:r>
        <w:rPr/>
        <w:t>年</w:t>
      </w:r>
      <w:r>
        <w:rPr>
          <w:spacing w:val="-62"/>
        </w:rPr>
        <w:t> </w:t>
      </w:r>
      <w:r>
        <w:rPr>
          <w:rFonts w:ascii="Arial" w:hAnsi="Arial" w:cs="Arial" w:eastAsia="Arial" w:hint="default"/>
        </w:rPr>
        <w:t>3</w:t>
      </w:r>
      <w:r>
        <w:rPr>
          <w:rFonts w:ascii="Arial" w:hAnsi="Arial" w:cs="Arial" w:eastAsia="Arial" w:hint="default"/>
          <w:spacing w:val="-8"/>
        </w:rPr>
        <w:t> </w:t>
      </w:r>
      <w:r>
        <w:rPr/>
        <w:t>月</w:t>
      </w:r>
      <w:r>
        <w:rPr>
          <w:spacing w:val="-64"/>
        </w:rPr>
        <w:t> </w:t>
      </w:r>
      <w:r>
        <w:rPr>
          <w:rFonts w:ascii="Arial" w:hAnsi="Arial" w:cs="Arial" w:eastAsia="Arial" w:hint="default"/>
        </w:rPr>
        <w:t>15</w:t>
      </w:r>
      <w:r>
        <w:rPr>
          <w:rFonts w:ascii="Arial" w:hAnsi="Arial" w:cs="Arial" w:eastAsia="Arial" w:hint="default"/>
          <w:spacing w:val="-10"/>
        </w:rPr>
        <w:t> </w:t>
      </w:r>
      <w:r>
        <w:rPr/>
        <w:t>日，公司</w:t>
      </w:r>
      <w:r>
        <w:rPr>
          <w:spacing w:val="-62"/>
        </w:rPr>
        <w:t> </w:t>
      </w:r>
      <w:r>
        <w:rPr>
          <w:rFonts w:ascii="Arial" w:hAnsi="Arial" w:cs="Arial" w:eastAsia="Arial" w:hint="default"/>
        </w:rPr>
        <w:t>2015</w:t>
      </w:r>
      <w:r>
        <w:rPr>
          <w:rFonts w:ascii="Arial" w:hAnsi="Arial" w:cs="Arial" w:eastAsia="Arial" w:hint="default"/>
          <w:spacing w:val="-8"/>
        </w:rPr>
        <w:t> </w:t>
      </w:r>
      <w:r>
        <w:rPr/>
        <w:t>年年度股东大会审议通过《</w:t>
      </w:r>
      <w:r>
        <w:rPr>
          <w:rFonts w:ascii="Arial" w:hAnsi="Arial" w:cs="Arial" w:eastAsia="Arial" w:hint="default"/>
        </w:rPr>
        <w:t>2015</w:t>
      </w:r>
      <w:r>
        <w:rPr>
          <w:rFonts w:ascii="Arial" w:hAnsi="Arial" w:cs="Arial" w:eastAsia="Arial" w:hint="default"/>
          <w:spacing w:val="-8"/>
        </w:rPr>
        <w:t> </w:t>
      </w:r>
      <w:r>
        <w:rPr/>
        <w:t>年度利润分配方</w:t>
      </w:r>
    </w:p>
    <w:p>
      <w:pPr>
        <w:pStyle w:val="BodyText"/>
        <w:spacing w:line="240" w:lineRule="auto" w:before="60"/>
        <w:ind w:right="0"/>
        <w:jc w:val="left"/>
      </w:pPr>
      <w:r>
        <w:rPr/>
        <w:t>案》，拟以截止</w:t>
      </w:r>
      <w:r>
        <w:rPr>
          <w:spacing w:val="-62"/>
        </w:rPr>
        <w:t> </w:t>
      </w:r>
      <w:r>
        <w:rPr>
          <w:rFonts w:ascii="Arial" w:hAnsi="Arial" w:cs="Arial" w:eastAsia="Arial" w:hint="default"/>
        </w:rPr>
        <w:t>2015</w:t>
      </w:r>
      <w:r>
        <w:rPr>
          <w:rFonts w:ascii="Arial" w:hAnsi="Arial" w:cs="Arial" w:eastAsia="Arial" w:hint="default"/>
          <w:spacing w:val="-11"/>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日公司总股本</w:t>
      </w:r>
      <w:r>
        <w:rPr>
          <w:spacing w:val="-62"/>
        </w:rPr>
        <w:t> </w:t>
      </w:r>
      <w:r>
        <w:rPr>
          <w:rFonts w:ascii="Arial" w:hAnsi="Arial" w:cs="Arial" w:eastAsia="Arial" w:hint="default"/>
        </w:rPr>
        <w:t>320,680,060</w:t>
      </w:r>
      <w:r>
        <w:rPr>
          <w:rFonts w:ascii="Arial" w:hAnsi="Arial" w:cs="Arial" w:eastAsia="Arial" w:hint="default"/>
          <w:spacing w:val="-6"/>
        </w:rPr>
        <w:t> </w:t>
      </w:r>
      <w:r>
        <w:rPr/>
        <w:t>股为基数，向全体股东按每</w:t>
      </w:r>
    </w:p>
    <w:p>
      <w:pPr>
        <w:pStyle w:val="BodyText"/>
        <w:spacing w:line="240" w:lineRule="auto" w:before="57"/>
        <w:ind w:right="0"/>
        <w:jc w:val="left"/>
        <w:rPr>
          <w:rFonts w:ascii="Arial" w:hAnsi="Arial" w:cs="Arial" w:eastAsia="Arial" w:hint="default"/>
        </w:rPr>
      </w:pPr>
      <w:r>
        <w:rPr>
          <w:rFonts w:ascii="Arial" w:hAnsi="Arial" w:cs="Arial" w:eastAsia="Arial" w:hint="default"/>
        </w:rPr>
        <w:t>10</w:t>
      </w:r>
      <w:r>
        <w:rPr>
          <w:rFonts w:ascii="Arial" w:hAnsi="Arial" w:cs="Arial" w:eastAsia="Arial" w:hint="default"/>
          <w:spacing w:val="-7"/>
        </w:rPr>
        <w:t> </w:t>
      </w:r>
      <w:r>
        <w:rPr/>
        <w:t>股派发现金股利</w:t>
      </w:r>
      <w:r>
        <w:rPr>
          <w:spacing w:val="-62"/>
        </w:rPr>
        <w:t> </w:t>
      </w:r>
      <w:r>
        <w:rPr>
          <w:rFonts w:ascii="Arial" w:hAnsi="Arial" w:cs="Arial" w:eastAsia="Arial" w:hint="default"/>
        </w:rPr>
        <w:t>1</w:t>
      </w:r>
      <w:r>
        <w:rPr>
          <w:rFonts w:ascii="Arial" w:hAnsi="Arial" w:cs="Arial" w:eastAsia="Arial" w:hint="default"/>
          <w:spacing w:val="-10"/>
        </w:rPr>
        <w:t> </w:t>
      </w:r>
      <w:r>
        <w:rPr/>
        <w:t>元人民币（含税），同时以资本公积金向全体股东每</w:t>
      </w:r>
      <w:r>
        <w:rPr>
          <w:spacing w:val="-60"/>
        </w:rPr>
        <w:t> </w:t>
      </w:r>
      <w:r>
        <w:rPr>
          <w:rFonts w:ascii="Arial" w:hAnsi="Arial" w:cs="Arial" w:eastAsia="Arial" w:hint="default"/>
        </w:rPr>
        <w:t>10</w:t>
      </w:r>
      <w:r>
        <w:rPr>
          <w:rFonts w:ascii="Arial" w:hAnsi="Arial" w:cs="Arial" w:eastAsia="Arial" w:hint="default"/>
          <w:spacing w:val="-7"/>
        </w:rPr>
        <w:t> </w:t>
      </w:r>
      <w:r>
        <w:rPr/>
        <w:t>股转增</w:t>
      </w:r>
      <w:r>
        <w:rPr>
          <w:spacing w:val="-61"/>
        </w:rPr>
        <w:t> </w:t>
      </w:r>
      <w:r>
        <w:rPr>
          <w:rFonts w:ascii="Arial" w:hAnsi="Arial" w:cs="Arial" w:eastAsia="Arial" w:hint="default"/>
        </w:rPr>
        <w:t>10</w:t>
      </w:r>
    </w:p>
    <w:p>
      <w:pPr>
        <w:pStyle w:val="BodyText"/>
        <w:spacing w:line="240" w:lineRule="auto" w:before="60"/>
        <w:ind w:right="0"/>
        <w:jc w:val="left"/>
      </w:pPr>
      <w:r>
        <w:rPr/>
        <w:t>股。</w:t>
      </w:r>
    </w:p>
    <w:p>
      <w:pPr>
        <w:spacing w:line="240" w:lineRule="auto" w:before="9"/>
        <w:rPr>
          <w:rFonts w:ascii="宋体" w:hAnsi="宋体" w:cs="宋体" w:eastAsia="宋体" w:hint="default"/>
          <w:sz w:val="17"/>
          <w:szCs w:val="17"/>
        </w:rPr>
      </w:pPr>
    </w:p>
    <w:p>
      <w:pPr>
        <w:pStyle w:val="BodyText"/>
        <w:spacing w:line="240" w:lineRule="auto"/>
        <w:ind w:left="633" w:right="0"/>
        <w:jc w:val="left"/>
      </w:pPr>
      <w:r>
        <w:rPr/>
        <w:t>（</w:t>
      </w:r>
      <w:r>
        <w:rPr>
          <w:rFonts w:ascii="Arial" w:hAnsi="Arial" w:cs="Arial" w:eastAsia="Arial" w:hint="default"/>
        </w:rPr>
        <w:t>2</w:t>
      </w:r>
      <w:r>
        <w:rPr/>
        <w:t>）</w:t>
      </w: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spacing w:val="-64"/>
        </w:rPr>
        <w:t> </w:t>
      </w:r>
      <w:r>
        <w:rPr>
          <w:rFonts w:ascii="Arial" w:hAnsi="Arial" w:cs="Arial" w:eastAsia="Arial" w:hint="default"/>
        </w:rPr>
        <w:t>10</w:t>
      </w:r>
      <w:r>
        <w:rPr>
          <w:rFonts w:ascii="Arial" w:hAnsi="Arial" w:cs="Arial" w:eastAsia="Arial" w:hint="default"/>
          <w:spacing w:val="-10"/>
        </w:rPr>
        <w:t> </w:t>
      </w:r>
      <w:r>
        <w:rPr/>
        <w:t>日，公司</w:t>
      </w:r>
      <w:r>
        <w:rPr>
          <w:spacing w:val="-62"/>
        </w:rPr>
        <w:t> </w:t>
      </w:r>
      <w:r>
        <w:rPr>
          <w:rFonts w:ascii="Arial" w:hAnsi="Arial" w:cs="Arial" w:eastAsia="Arial" w:hint="default"/>
        </w:rPr>
        <w:t>2016</w:t>
      </w:r>
      <w:r>
        <w:rPr>
          <w:rFonts w:ascii="Arial" w:hAnsi="Arial" w:cs="Arial" w:eastAsia="Arial" w:hint="default"/>
          <w:spacing w:val="-8"/>
        </w:rPr>
        <w:t> </w:t>
      </w:r>
      <w:r>
        <w:rPr/>
        <w:t>年年度股东大会审议通过《</w:t>
      </w:r>
      <w:r>
        <w:rPr>
          <w:rFonts w:ascii="Arial" w:hAnsi="Arial" w:cs="Arial" w:eastAsia="Arial" w:hint="default"/>
        </w:rPr>
        <w:t>2016</w:t>
      </w:r>
      <w:r>
        <w:rPr>
          <w:rFonts w:ascii="Arial" w:hAnsi="Arial" w:cs="Arial" w:eastAsia="Arial" w:hint="default"/>
          <w:spacing w:val="-8"/>
        </w:rPr>
        <w:t> </w:t>
      </w:r>
      <w:r>
        <w:rPr/>
        <w:t>年度利润分配方</w:t>
      </w:r>
    </w:p>
    <w:p>
      <w:pPr>
        <w:pStyle w:val="BodyText"/>
        <w:spacing w:line="240" w:lineRule="auto" w:before="60"/>
        <w:ind w:right="0"/>
        <w:jc w:val="left"/>
      </w:pPr>
      <w:r>
        <w:rPr/>
        <w:t>案》，拟以截止</w:t>
      </w:r>
      <w:r>
        <w:rPr>
          <w:spacing w:val="-62"/>
        </w:rPr>
        <w:t> </w:t>
      </w:r>
      <w:r>
        <w:rPr>
          <w:rFonts w:ascii="Arial" w:hAnsi="Arial" w:cs="Arial" w:eastAsia="Arial" w:hint="default"/>
        </w:rPr>
        <w:t>2016</w:t>
      </w:r>
      <w:r>
        <w:rPr>
          <w:rFonts w:ascii="Arial" w:hAnsi="Arial" w:cs="Arial" w:eastAsia="Arial" w:hint="default"/>
          <w:spacing w:val="-11"/>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日公司总股本</w:t>
      </w:r>
      <w:r>
        <w:rPr>
          <w:spacing w:val="-62"/>
        </w:rPr>
        <w:t> </w:t>
      </w:r>
      <w:r>
        <w:rPr>
          <w:rFonts w:ascii="Arial" w:hAnsi="Arial" w:cs="Arial" w:eastAsia="Arial" w:hint="default"/>
        </w:rPr>
        <w:t>644,482,388</w:t>
      </w:r>
      <w:r>
        <w:rPr>
          <w:rFonts w:ascii="Arial" w:hAnsi="Arial" w:cs="Arial" w:eastAsia="Arial" w:hint="default"/>
          <w:spacing w:val="-6"/>
        </w:rPr>
        <w:t> </w:t>
      </w:r>
      <w:r>
        <w:rPr/>
        <w:t>股为基数，向全体股东按每</w:t>
      </w:r>
    </w:p>
    <w:p>
      <w:pPr>
        <w:pStyle w:val="BodyText"/>
        <w:spacing w:line="240" w:lineRule="auto" w:before="57"/>
        <w:ind w:right="0"/>
        <w:jc w:val="left"/>
      </w:pPr>
      <w:r>
        <w:rPr>
          <w:rFonts w:ascii="Arial" w:hAnsi="Arial" w:cs="Arial" w:eastAsia="Arial" w:hint="default"/>
        </w:rPr>
        <w:t>10</w:t>
      </w:r>
      <w:r>
        <w:rPr>
          <w:rFonts w:ascii="Arial" w:hAnsi="Arial" w:cs="Arial" w:eastAsia="Arial" w:hint="default"/>
          <w:spacing w:val="-7"/>
        </w:rPr>
        <w:t> </w:t>
      </w:r>
      <w:r>
        <w:rPr/>
        <w:t>股派发现金股利</w:t>
      </w:r>
      <w:r>
        <w:rPr>
          <w:spacing w:val="-62"/>
        </w:rPr>
        <w:t> </w:t>
      </w:r>
      <w:r>
        <w:rPr>
          <w:rFonts w:ascii="Arial" w:hAnsi="Arial" w:cs="Arial" w:eastAsia="Arial" w:hint="default"/>
        </w:rPr>
        <w:t>0.5</w:t>
      </w:r>
      <w:r>
        <w:rPr>
          <w:rFonts w:ascii="Arial" w:hAnsi="Arial" w:cs="Arial" w:eastAsia="Arial" w:hint="default"/>
          <w:spacing w:val="-7"/>
        </w:rPr>
        <w:t> </w:t>
      </w:r>
      <w:r>
        <w:rPr/>
        <w:t>元人民币（含税）。</w:t>
      </w:r>
    </w:p>
    <w:p>
      <w:pPr>
        <w:spacing w:line="240" w:lineRule="auto" w:before="7"/>
        <w:rPr>
          <w:rFonts w:ascii="宋体" w:hAnsi="宋体" w:cs="宋体" w:eastAsia="宋体" w:hint="default"/>
          <w:sz w:val="16"/>
          <w:szCs w:val="16"/>
        </w:rPr>
      </w:pPr>
    </w:p>
    <w:p>
      <w:pPr>
        <w:pStyle w:val="BodyText"/>
        <w:spacing w:line="280" w:lineRule="auto"/>
        <w:ind w:right="186" w:firstLine="480"/>
        <w:jc w:val="left"/>
      </w:pPr>
      <w:r>
        <w:rPr/>
        <w:t>（</w:t>
      </w:r>
      <w:r>
        <w:rPr>
          <w:rFonts w:ascii="Arial" w:hAnsi="Arial" w:cs="Arial" w:eastAsia="Arial" w:hint="default"/>
        </w:rPr>
        <w:t>3</w:t>
      </w:r>
      <w:r>
        <w:rPr/>
        <w:t>）</w:t>
      </w:r>
      <w:r>
        <w:rPr>
          <w:rFonts w:ascii="Arial" w:hAnsi="Arial" w:cs="Arial" w:eastAsia="Arial" w:hint="default"/>
        </w:rPr>
        <w:t>2018</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spacing w:val="-64"/>
        </w:rPr>
        <w:t> </w:t>
      </w:r>
      <w:r>
        <w:rPr>
          <w:rFonts w:ascii="Arial" w:hAnsi="Arial" w:cs="Arial" w:eastAsia="Arial" w:hint="default"/>
        </w:rPr>
        <w:t>8</w:t>
      </w:r>
      <w:r>
        <w:rPr>
          <w:rFonts w:ascii="Arial" w:hAnsi="Arial" w:cs="Arial" w:eastAsia="Arial" w:hint="default"/>
          <w:spacing w:val="-7"/>
        </w:rPr>
        <w:t> </w:t>
      </w:r>
      <w:r>
        <w:rPr/>
        <w:t>日，公司第六届董事会第二十七次会议审议通过《</w:t>
      </w:r>
      <w:r>
        <w:rPr>
          <w:rFonts w:ascii="Arial" w:hAnsi="Arial" w:cs="Arial" w:eastAsia="Arial" w:hint="default"/>
        </w:rPr>
        <w:t>2017</w:t>
      </w:r>
      <w:r>
        <w:rPr>
          <w:rFonts w:ascii="Arial" w:hAnsi="Arial" w:cs="Arial" w:eastAsia="Arial" w:hint="default"/>
          <w:spacing w:val="-6"/>
        </w:rPr>
        <w:t> </w:t>
      </w:r>
      <w:r>
        <w:rPr/>
        <w:t>年度利润 分配方案》，拟以截止</w:t>
      </w:r>
      <w:r>
        <w:rPr>
          <w:spacing w:val="-62"/>
        </w:rPr>
        <w:t> </w:t>
      </w:r>
      <w:r>
        <w:rPr>
          <w:rFonts w:ascii="Arial" w:hAnsi="Arial" w:cs="Arial" w:eastAsia="Arial" w:hint="default"/>
        </w:rPr>
        <w:t>2017</w:t>
      </w:r>
      <w:r>
        <w:rPr>
          <w:rFonts w:ascii="Arial" w:hAnsi="Arial" w:cs="Arial" w:eastAsia="Arial" w:hint="default"/>
          <w:spacing w:val="-7"/>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5"/>
        </w:rPr>
        <w:t> </w:t>
      </w:r>
      <w:r>
        <w:rPr>
          <w:rFonts w:ascii="Arial" w:hAnsi="Arial" w:cs="Arial" w:eastAsia="Arial" w:hint="default"/>
        </w:rPr>
        <w:t>31</w:t>
      </w:r>
      <w:r>
        <w:rPr>
          <w:rFonts w:ascii="Arial" w:hAnsi="Arial" w:cs="Arial" w:eastAsia="Arial" w:hint="default"/>
          <w:spacing w:val="-8"/>
        </w:rPr>
        <w:t> </w:t>
      </w:r>
      <w:r>
        <w:rPr/>
        <w:t>日公司总股本</w:t>
      </w:r>
      <w:r>
        <w:rPr>
          <w:spacing w:val="-62"/>
        </w:rPr>
        <w:t> </w:t>
      </w:r>
      <w:r>
        <w:rPr>
          <w:rFonts w:ascii="Arial" w:hAnsi="Arial" w:cs="Arial" w:eastAsia="Arial" w:hint="default"/>
        </w:rPr>
        <w:t>760,681,176</w:t>
      </w:r>
      <w:r>
        <w:rPr>
          <w:rFonts w:ascii="Arial" w:hAnsi="Arial" w:cs="Arial" w:eastAsia="Arial" w:hint="default"/>
          <w:spacing w:val="-7"/>
        </w:rPr>
        <w:t> </w:t>
      </w:r>
      <w:r>
        <w:rPr/>
        <w:t>股为基数，向全体股东</w:t>
      </w:r>
    </w:p>
    <w:p>
      <w:pPr>
        <w:pStyle w:val="BodyText"/>
        <w:spacing w:line="240" w:lineRule="auto" w:before="14"/>
        <w:ind w:right="0"/>
        <w:jc w:val="left"/>
      </w:pPr>
      <w:r>
        <w:rPr/>
        <w:t>按每</w:t>
      </w:r>
      <w:r>
        <w:rPr>
          <w:spacing w:val="-62"/>
        </w:rPr>
        <w:t> </w:t>
      </w:r>
      <w:r>
        <w:rPr>
          <w:rFonts w:ascii="Arial" w:hAnsi="Arial" w:cs="Arial" w:eastAsia="Arial" w:hint="default"/>
        </w:rPr>
        <w:t>10</w:t>
      </w:r>
      <w:r>
        <w:rPr>
          <w:rFonts w:ascii="Arial" w:hAnsi="Arial" w:cs="Arial" w:eastAsia="Arial" w:hint="default"/>
          <w:spacing w:val="-8"/>
        </w:rPr>
        <w:t> </w:t>
      </w:r>
      <w:r>
        <w:rPr/>
        <w:t>股派发现金股利</w:t>
      </w:r>
      <w:r>
        <w:rPr>
          <w:spacing w:val="-62"/>
        </w:rPr>
        <w:t> </w:t>
      </w:r>
      <w:r>
        <w:rPr>
          <w:rFonts w:ascii="Arial" w:hAnsi="Arial" w:cs="Arial" w:eastAsia="Arial" w:hint="default"/>
        </w:rPr>
        <w:t>0.5</w:t>
      </w:r>
      <w:r>
        <w:rPr>
          <w:rFonts w:ascii="Arial" w:hAnsi="Arial" w:cs="Arial" w:eastAsia="Arial" w:hint="default"/>
          <w:spacing w:val="-7"/>
        </w:rPr>
        <w:t> </w:t>
      </w:r>
      <w:r>
        <w:rPr/>
        <w:t>元人民币（含税）。</w:t>
      </w: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7" w:footer="980" w:top="1100" w:bottom="1160" w:left="980" w:right="980"/>
        </w:sectPr>
      </w:pPr>
    </w:p>
    <w:p>
      <w:pPr>
        <w:pStyle w:val="BodyText"/>
        <w:spacing w:line="240" w:lineRule="auto" w:before="26"/>
        <w:ind w:right="-20"/>
        <w:jc w:val="left"/>
      </w:pPr>
      <w:r>
        <w:rPr/>
        <w:t>公司近三年（包括本报告期）普通股现金分红情况表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980"/>
          <w:cols w:num="2" w:equalWidth="0">
            <w:col w:w="5673" w:space="3127"/>
            <w:col w:w="1150"/>
          </w:cols>
        </w:sectPr>
      </w:pP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57" w:right="50"/>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57" w:right="50" w:hanging="1"/>
              <w:jc w:val="center"/>
              <w:rPr>
                <w:rFonts w:ascii="宋体" w:hAnsi="宋体" w:cs="宋体" w:eastAsia="宋体" w:hint="default"/>
                <w:sz w:val="21"/>
                <w:szCs w:val="21"/>
              </w:rPr>
            </w:pPr>
            <w:r>
              <w:rPr>
                <w:rFonts w:ascii="宋体" w:hAnsi="宋体" w:cs="宋体" w:eastAsia="宋体" w:hint="default"/>
                <w:spacing w:val="-1"/>
                <w:sz w:val="21"/>
                <w:szCs w:val="21"/>
              </w:rPr>
              <w:t>占合并报表中归</w:t>
            </w:r>
            <w:r>
              <w:rPr>
                <w:rFonts w:ascii="宋体" w:hAnsi="宋体" w:cs="宋体" w:eastAsia="宋体" w:hint="default"/>
                <w:w w:val="100"/>
                <w:sz w:val="21"/>
                <w:szCs w:val="21"/>
              </w:rPr>
              <w:t> </w:t>
            </w:r>
            <w:r>
              <w:rPr>
                <w:rFonts w:ascii="宋体" w:hAnsi="宋体" w:cs="宋体" w:eastAsia="宋体" w:hint="default"/>
                <w:spacing w:val="-1"/>
                <w:sz w:val="21"/>
                <w:szCs w:val="21"/>
              </w:rPr>
              <w:t>属于上市公司普</w:t>
            </w:r>
            <w:r>
              <w:rPr>
                <w:rFonts w:ascii="宋体" w:hAnsi="宋体" w:cs="宋体" w:eastAsia="宋体" w:hint="default"/>
                <w:w w:val="100"/>
                <w:sz w:val="21"/>
                <w:szCs w:val="21"/>
              </w:rPr>
              <w:t> </w:t>
            </w:r>
            <w:r>
              <w:rPr>
                <w:rFonts w:ascii="宋体" w:hAnsi="宋体" w:cs="宋体" w:eastAsia="宋体" w:hint="default"/>
                <w:spacing w:val="-1"/>
                <w:sz w:val="21"/>
                <w:szCs w:val="21"/>
              </w:rPr>
              <w:t>通股股东的净利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66" w:right="50" w:hanging="209"/>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分红的金额</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69" w:right="50" w:hanging="209"/>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5"/>
              <w:ind w:left="1"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7"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74"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7"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7"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38,034,058.80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381,166,148.13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9.98%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2"/>
                <w:sz w:val="21"/>
              </w:rPr>
              <w:t>32,224,119.40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271,694,183.15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4"/>
                <w:sz w:val="21"/>
              </w:rPr>
              <w:t>11.86%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32,068,006.00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208,457,095.29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ind w:right="0"/>
        <w:jc w:val="left"/>
      </w:pPr>
      <w:r>
        <w:rPr/>
        <w:t>公司报告期内盈利且母公司可供普通股股东分配利润为正但未提出普通股现金红利分配预案</w:t>
      </w:r>
    </w:p>
    <w:p>
      <w:pPr>
        <w:spacing w:after="0" w:line="240" w:lineRule="auto"/>
        <w:jc w:val="left"/>
        <w:sectPr>
          <w:type w:val="continuous"/>
          <w:pgSz w:w="11910" w:h="16840"/>
          <w:pgMar w:top="1060" w:bottom="1160" w:left="980" w:right="980"/>
        </w:sectPr>
      </w:pPr>
    </w:p>
    <w:p>
      <w:pPr>
        <w:spacing w:line="240" w:lineRule="auto" w:before="7"/>
        <w:rPr>
          <w:rFonts w:ascii="宋体" w:hAnsi="宋体" w:cs="宋体" w:eastAsia="宋体" w:hint="default"/>
          <w:sz w:val="19"/>
          <w:szCs w:val="19"/>
        </w:rPr>
      </w:pPr>
    </w:p>
    <w:p>
      <w:pPr>
        <w:pStyle w:val="BodyText"/>
        <w:spacing w:line="240" w:lineRule="auto" w:before="26"/>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77" w:footer="980" w:top="1100" w:bottom="1160" w:left="980" w:right="980"/>
        </w:sectPr>
      </w:pPr>
    </w:p>
    <w:p>
      <w:pPr>
        <w:pStyle w:val="Heading2"/>
        <w:spacing w:line="371" w:lineRule="exact"/>
        <w:ind w:left="140" w:right="10958"/>
        <w:jc w:val="left"/>
        <w:rPr>
          <w:b w:val="0"/>
          <w:bCs w:val="0"/>
        </w:rPr>
      </w:pPr>
      <w:r>
        <w:rPr/>
        <w:pict>
          <v:group style="position:absolute;margin-left:70.559998pt;margin-top:2.252832pt;width:700.9pt;height:.1pt;mso-position-horizontal-relative:page;mso-position-vertical-relative:paragraph;z-index:-886696" coordorigin="1411,45" coordsize="14018,2">
            <v:shape style="position:absolute;left:1411;top:45;width:14018;height:2" coordorigin="1411,45" coordsize="14018,0" path="m1411,45l15429,45e" filled="false" stroked="true" strokeweight=".72pt" strokecolor="#000000">
              <v:path arrowok="t"/>
            </v:shape>
            <w10:wrap type="none"/>
          </v:group>
        </w:pict>
      </w:r>
      <w:r>
        <w:rPr/>
        <w:t>二、承诺事项履行情况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40"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、公司实际控制人、股东、关联方、收购人以及公司等承诺相关方在报告期内履行完毕及截至报告期末尚未履行完毕的承诺事项</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left="140" w:right="1095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7"/>
        <w:rPr>
          <w:rFonts w:ascii="宋体" w:hAnsi="宋体" w:cs="宋体" w:eastAsia="宋体" w:hint="default"/>
          <w:sz w:val="4"/>
          <w:szCs w:val="4"/>
        </w:rPr>
      </w:pPr>
    </w:p>
    <w:tbl>
      <w:tblPr>
        <w:tblW w:w="0" w:type="auto"/>
        <w:jc w:val="left"/>
        <w:tblInd w:w="168" w:type="dxa"/>
        <w:tblLayout w:type="fixed"/>
        <w:tblCellMar>
          <w:top w:w="0" w:type="dxa"/>
          <w:left w:w="0" w:type="dxa"/>
          <w:bottom w:w="0" w:type="dxa"/>
          <w:right w:w="0" w:type="dxa"/>
        </w:tblCellMar>
        <w:tblLook w:val="01E0"/>
      </w:tblPr>
      <w:tblGrid>
        <w:gridCol w:w="2835"/>
        <w:gridCol w:w="1419"/>
        <w:gridCol w:w="1277"/>
        <w:gridCol w:w="4817"/>
        <w:gridCol w:w="852"/>
        <w:gridCol w:w="850"/>
        <w:gridCol w:w="1843"/>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41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6" w:right="123"/>
              <w:jc w:val="left"/>
              <w:rPr>
                <w:rFonts w:ascii="宋体" w:hAnsi="宋体" w:cs="宋体" w:eastAsia="宋体" w:hint="default"/>
                <w:sz w:val="18"/>
                <w:szCs w:val="18"/>
              </w:rPr>
            </w:pPr>
            <w:r>
              <w:rPr>
                <w:rFonts w:ascii="宋体" w:hAnsi="宋体" w:cs="宋体" w:eastAsia="宋体" w:hint="default"/>
                <w:sz w:val="18"/>
                <w:szCs w:val="18"/>
              </w:rPr>
              <w:t>马勤、折哲民、 诸越海、黄承 芬、杨金萍、王 德胜、郑凯、严 峰、侯玉成、忻 孝委、胡鸿轲</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4817" w:type="dxa"/>
            <w:vMerge w:val="restart"/>
            <w:tcBorders>
              <w:top w:val="single" w:sz="4" w:space="0" w:color="000000"/>
              <w:left w:val="single" w:sz="4" w:space="0" w:color="000000"/>
              <w:right w:val="single" w:sz="4" w:space="0" w:color="000000"/>
            </w:tcBorders>
          </w:tcPr>
          <w:p>
            <w:pPr>
              <w:pStyle w:val="TableParagraph"/>
              <w:spacing w:line="316" w:lineRule="auto" w:before="49"/>
              <w:ind w:left="21" w:right="105"/>
              <w:jc w:val="left"/>
              <w:rPr>
                <w:rFonts w:ascii="宋体" w:hAnsi="宋体" w:cs="宋体" w:eastAsia="宋体" w:hint="default"/>
                <w:sz w:val="18"/>
                <w:szCs w:val="18"/>
              </w:rPr>
            </w:pPr>
            <w:r>
              <w:rPr>
                <w:rFonts w:ascii="宋体" w:hAnsi="宋体" w:cs="宋体" w:eastAsia="宋体" w:hint="default"/>
                <w:sz w:val="18"/>
                <w:szCs w:val="18"/>
              </w:rPr>
              <w:t>为了避免与华宇软件及标的资产之间产生同业竞争，维护华 宇软件及其股东的合法权益，保证华宇软件及标的资产的长 期稳定发展，马勤、折哲民、诸越海、严峰、黄承芬、侯玉 成、郑凯、王德胜、胡鸿轲、杨金萍、忻孝委共 </w:t>
            </w:r>
            <w:r>
              <w:rPr>
                <w:rFonts w:ascii="Arial" w:hAnsi="Arial" w:cs="Arial" w:eastAsia="Arial" w:hint="default"/>
                <w:spacing w:val="-7"/>
                <w:sz w:val="18"/>
                <w:szCs w:val="18"/>
              </w:rPr>
              <w:t>11</w:t>
            </w:r>
            <w:r>
              <w:rPr>
                <w:rFonts w:ascii="Arial" w:hAnsi="Arial" w:cs="Arial" w:eastAsia="Arial" w:hint="default"/>
                <w:spacing w:val="-3"/>
                <w:sz w:val="18"/>
                <w:szCs w:val="18"/>
              </w:rPr>
              <w:t> </w:t>
            </w:r>
            <w:r>
              <w:rPr>
                <w:rFonts w:ascii="宋体" w:hAnsi="宋体" w:cs="宋体" w:eastAsia="宋体" w:hint="default"/>
                <w:sz w:val="18"/>
                <w:szCs w:val="18"/>
              </w:rPr>
              <w:t>名交易 </w:t>
            </w:r>
            <w:r>
              <w:rPr>
                <w:rFonts w:ascii="宋体" w:hAnsi="宋体" w:cs="宋体" w:eastAsia="宋体" w:hint="default"/>
                <w:spacing w:val="-4"/>
                <w:sz w:val="18"/>
                <w:szCs w:val="18"/>
              </w:rPr>
              <w:t>对方签署了《关于避免同业竞争的承诺函》，承诺如下：承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诺人目前没有通过直接或间接控制的经营实体或以自然人名 义从事与华宇软件相同或相似的业务。本次交易完成后，承 诺人将不会通过直接或间接控制的经营实体或以自然人名义 从事与华宇软件及其控股公司相同或相似的业务。如承诺人 或承诺人直接或间接控制的经营实体现有或未来的经营活动 可能与华宇软件及其控股公司发生同业竞争或与华宇软件及 其控股公司发生利益冲突，承诺人将放弃或将促使直接或间 接控制的经营实体无条件放弃可能发生同业竞争的业务，或 将直接或间接控制的经营实体以公平、公允的市场价格在适 当时机全部注入上市公司及其控股公司或对外转让。</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4"/>
              <w:ind w:right="0"/>
              <w:jc w:val="center"/>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391"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9" w:type="dxa"/>
            <w:vMerge/>
            <w:tcBorders>
              <w:left w:val="single" w:sz="10"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481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1210" w:hRule="exact"/>
        </w:trPr>
        <w:tc>
          <w:tcPr>
            <w:tcW w:w="2835"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10"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r>
      <w:tr>
        <w:trPr>
          <w:trHeight w:val="1961"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left"/>
              <w:rPr>
                <w:rFonts w:ascii="宋体" w:hAnsi="宋体" w:cs="宋体" w:eastAsia="宋体" w:hint="default"/>
                <w:sz w:val="18"/>
                <w:szCs w:val="18"/>
              </w:rPr>
            </w:pPr>
            <w:r>
              <w:rPr>
                <w:rFonts w:ascii="宋体" w:hAnsi="宋体" w:cs="宋体" w:eastAsia="宋体" w:hint="default"/>
                <w:sz w:val="18"/>
                <w:szCs w:val="18"/>
              </w:rPr>
              <w:t>马勤、折哲民、 诸越海、黄承 芬、杨金萍、王 德胜、郑凯、严 峰、侯玉成、忻 孝委、胡鸿轲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59" w:right="95" w:hanging="269"/>
              <w:jc w:val="left"/>
              <w:rPr>
                <w:rFonts w:ascii="宋体" w:hAnsi="宋体" w:cs="宋体" w:eastAsia="宋体" w:hint="default"/>
                <w:sz w:val="18"/>
                <w:szCs w:val="18"/>
              </w:rPr>
            </w:pPr>
            <w:r>
              <w:rPr>
                <w:rFonts w:ascii="宋体" w:hAnsi="宋体" w:cs="宋体" w:eastAsia="宋体" w:hint="default"/>
                <w:sz w:val="18"/>
                <w:szCs w:val="18"/>
              </w:rPr>
              <w:t>规范和减少关 联交易</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68"/>
              <w:ind w:left="21" w:right="105"/>
              <w:jc w:val="left"/>
              <w:rPr>
                <w:rFonts w:ascii="宋体" w:hAnsi="宋体" w:cs="宋体" w:eastAsia="宋体" w:hint="default"/>
                <w:sz w:val="18"/>
                <w:szCs w:val="18"/>
              </w:rPr>
            </w:pPr>
            <w:r>
              <w:rPr>
                <w:rFonts w:ascii="宋体" w:hAnsi="宋体" w:cs="宋体" w:eastAsia="宋体" w:hint="default"/>
                <w:sz w:val="18"/>
                <w:szCs w:val="18"/>
              </w:rPr>
              <w:t>据《股票上市规则》规定，本次交易完成后，马勤、折哲 民、诸越海、严峰、黄承芬、侯玉成、郑凯、王德胜、胡鸿 轲、杨金萍、忻孝委共 </w:t>
            </w:r>
            <w:r>
              <w:rPr>
                <w:rFonts w:ascii="Arial" w:hAnsi="Arial" w:cs="Arial" w:eastAsia="Arial" w:hint="default"/>
                <w:spacing w:val="-7"/>
                <w:sz w:val="18"/>
                <w:szCs w:val="18"/>
              </w:rPr>
              <w:t>11 </w:t>
            </w:r>
            <w:r>
              <w:rPr>
                <w:rFonts w:ascii="宋体" w:hAnsi="宋体" w:cs="宋体" w:eastAsia="宋体" w:hint="default"/>
                <w:sz w:val="18"/>
                <w:szCs w:val="18"/>
              </w:rPr>
              <w:t>名自然人股东与华宇软件间不构 成关联方。根据《股票上市规则》的相关规定，本次交易完 成后，为规范将来可能存在的关联交易马勤等 </w:t>
            </w:r>
            <w:r>
              <w:rPr>
                <w:rFonts w:ascii="Arial" w:hAnsi="Arial" w:cs="Arial" w:eastAsia="Arial" w:hint="default"/>
                <w:spacing w:val="-7"/>
                <w:sz w:val="18"/>
                <w:szCs w:val="18"/>
              </w:rPr>
              <w:t>11</w:t>
            </w:r>
            <w:r>
              <w:rPr>
                <w:rFonts w:ascii="Arial" w:hAnsi="Arial" w:cs="Arial" w:eastAsia="Arial" w:hint="default"/>
                <w:spacing w:val="-3"/>
                <w:sz w:val="18"/>
                <w:szCs w:val="18"/>
              </w:rPr>
              <w:t> </w:t>
            </w:r>
            <w:r>
              <w:rPr>
                <w:rFonts w:ascii="宋体" w:hAnsi="宋体" w:cs="宋体" w:eastAsia="宋体" w:hint="default"/>
                <w:sz w:val="18"/>
                <w:szCs w:val="18"/>
              </w:rPr>
              <w:t>位自然人 </w:t>
            </w:r>
            <w:r>
              <w:rPr>
                <w:rFonts w:ascii="宋体" w:hAnsi="宋体" w:cs="宋体" w:eastAsia="宋体" w:hint="default"/>
                <w:spacing w:val="-4"/>
                <w:sz w:val="18"/>
                <w:szCs w:val="18"/>
              </w:rPr>
              <w:t>股东出具了《关于规范和减少关联交易的承诺函》，承诺内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bl>
    <w:p>
      <w:pPr>
        <w:spacing w:after="0" w:line="316" w:lineRule="auto"/>
        <w:jc w:val="both"/>
        <w:rPr>
          <w:rFonts w:ascii="宋体" w:hAnsi="宋体" w:cs="宋体" w:eastAsia="宋体" w:hint="default"/>
          <w:sz w:val="18"/>
          <w:szCs w:val="18"/>
        </w:rPr>
        <w:sectPr>
          <w:headerReference w:type="default" r:id="rId16"/>
          <w:footerReference w:type="default" r:id="rId17"/>
          <w:pgSz w:w="16840" w:h="11910" w:orient="landscape"/>
          <w:pgMar w:header="866" w:footer="980" w:top="1060" w:bottom="1160" w:left="1300" w:right="1300"/>
          <w:pgNumType w:start="48"/>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35"/>
        <w:gridCol w:w="1419"/>
        <w:gridCol w:w="1277"/>
        <w:gridCol w:w="4817"/>
        <w:gridCol w:w="852"/>
        <w:gridCol w:w="850"/>
        <w:gridCol w:w="1843"/>
      </w:tblGrid>
      <w:tr>
        <w:trPr>
          <w:trHeight w:val="3810" w:hRule="exact"/>
        </w:trPr>
        <w:tc>
          <w:tcPr>
            <w:tcW w:w="2835"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817"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1"/>
              <w:ind w:left="21" w:right="94"/>
              <w:jc w:val="left"/>
              <w:rPr>
                <w:rFonts w:ascii="宋体" w:hAnsi="宋体" w:cs="宋体" w:eastAsia="宋体" w:hint="default"/>
                <w:sz w:val="18"/>
                <w:szCs w:val="18"/>
              </w:rPr>
            </w:pPr>
            <w:r>
              <w:rPr>
                <w:rFonts w:ascii="宋体" w:hAnsi="宋体" w:cs="宋体" w:eastAsia="宋体" w:hint="default"/>
                <w:sz w:val="18"/>
                <w:szCs w:val="18"/>
              </w:rPr>
              <w:t>容如下：</w:t>
            </w:r>
            <w:r>
              <w:rPr>
                <w:rFonts w:ascii="Arial" w:hAnsi="Arial" w:cs="Arial" w:eastAsia="Arial" w:hint="default"/>
                <w:sz w:val="18"/>
                <w:szCs w:val="18"/>
              </w:rPr>
              <w:t>1</w:t>
            </w:r>
            <w:r>
              <w:rPr>
                <w:rFonts w:ascii="宋体" w:hAnsi="宋体" w:cs="宋体" w:eastAsia="宋体" w:hint="default"/>
                <w:sz w:val="18"/>
                <w:szCs w:val="18"/>
              </w:rPr>
              <w:t>）承诺人及承诺人直接或间接控制的经营实体与 重组后的华宇软件及其控股企业之间将规范并尽可能减少关 联交易。对于无法避免或者有合理原因而发生的关联交易， 承诺人承诺将遵循市场化的公正、公平、公开的原则进行， 并按照有关法律法规、规范性文件和华宇软件章程等有关规 定依法签订协议，履行合法程序，依法履行信息披露义务和 办理有关报批程序，保证不通过关联交易损害华宇软件及其 他股东的合法权益。</w:t>
            </w:r>
            <w:r>
              <w:rPr>
                <w:rFonts w:ascii="宋体" w:hAnsi="宋体" w:cs="宋体" w:eastAsia="宋体" w:hint="default"/>
                <w:spacing w:val="-2"/>
                <w:sz w:val="18"/>
                <w:szCs w:val="18"/>
              </w:rPr>
              <w:t> </w:t>
            </w:r>
            <w:r>
              <w:rPr>
                <w:rFonts w:ascii="Arial" w:hAnsi="Arial" w:cs="Arial" w:eastAsia="Arial" w:hint="default"/>
                <w:sz w:val="18"/>
                <w:szCs w:val="18"/>
              </w:rPr>
              <w:t>2</w:t>
            </w:r>
            <w:r>
              <w:rPr>
                <w:rFonts w:ascii="宋体" w:hAnsi="宋体" w:cs="宋体" w:eastAsia="宋体" w:hint="default"/>
                <w:sz w:val="18"/>
                <w:szCs w:val="18"/>
              </w:rPr>
              <w:t>）本次交易完成后承诺人将继续严格 按照有关法律法规、规范性文件以及华宇软件章程的有关规 定行使股东权利；在华宇软件股东大会对有关涉及承诺人的 关联交易进行表决时，履行回避表决的义务。</w:t>
            </w:r>
            <w:r>
              <w:rPr>
                <w:rFonts w:ascii="Arial" w:hAnsi="Arial" w:cs="Arial" w:eastAsia="Arial" w:hint="default"/>
                <w:sz w:val="18"/>
                <w:szCs w:val="18"/>
              </w:rPr>
              <w:t>3</w:t>
            </w:r>
            <w:r>
              <w:rPr>
                <w:rFonts w:ascii="宋体" w:hAnsi="宋体" w:cs="宋体" w:eastAsia="宋体" w:hint="default"/>
                <w:sz w:val="18"/>
                <w:szCs w:val="18"/>
              </w:rPr>
              <w:t>）承诺人承 诺杜绝一切非法占用华宇软件的资金、资产的行为。</w:t>
            </w: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843" w:type="dxa"/>
            <w:tcBorders>
              <w:top w:val="single" w:sz="15" w:space="0" w:color="000000"/>
              <w:left w:val="single" w:sz="4" w:space="0" w:color="000000"/>
              <w:bottom w:val="single" w:sz="4" w:space="0" w:color="000000"/>
              <w:right w:val="single" w:sz="4" w:space="0" w:color="000000"/>
            </w:tcBorders>
          </w:tcPr>
          <w:p>
            <w:pPr/>
          </w:p>
        </w:tc>
      </w:tr>
      <w:tr>
        <w:trPr>
          <w:trHeight w:val="3836" w:hRule="exact"/>
        </w:trPr>
        <w:tc>
          <w:tcPr>
            <w:tcW w:w="2835"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6"/>
              <w:ind w:left="23" w:right="22"/>
              <w:jc w:val="left"/>
              <w:rPr>
                <w:rFonts w:ascii="宋体" w:hAnsi="宋体" w:cs="宋体" w:eastAsia="宋体" w:hint="default"/>
                <w:sz w:val="18"/>
                <w:szCs w:val="18"/>
              </w:rPr>
            </w:pPr>
            <w:r>
              <w:rPr>
                <w:rFonts w:ascii="宋体" w:hAnsi="宋体" w:cs="宋体" w:eastAsia="宋体" w:hint="default"/>
                <w:sz w:val="18"/>
                <w:szCs w:val="18"/>
              </w:rPr>
              <w:t>侯玉成</w:t>
            </w:r>
            <w:r>
              <w:rPr>
                <w:rFonts w:ascii="Arial" w:hAnsi="Arial" w:cs="Arial" w:eastAsia="Arial" w:hint="default"/>
                <w:sz w:val="18"/>
                <w:szCs w:val="18"/>
              </w:rPr>
              <w:t>;</w:t>
            </w:r>
            <w:r>
              <w:rPr>
                <w:rFonts w:ascii="宋体" w:hAnsi="宋体" w:cs="宋体" w:eastAsia="宋体" w:hint="default"/>
                <w:sz w:val="18"/>
                <w:szCs w:val="18"/>
              </w:rPr>
              <w:t>胡鸿轲</w:t>
            </w:r>
            <w:r>
              <w:rPr>
                <w:rFonts w:ascii="Arial" w:hAnsi="Arial" w:cs="Arial" w:eastAsia="Arial" w:hint="default"/>
                <w:sz w:val="18"/>
                <w:szCs w:val="18"/>
              </w:rPr>
              <w:t>;</w:t>
            </w:r>
            <w:r>
              <w:rPr>
                <w:rFonts w:ascii="宋体" w:hAnsi="宋体" w:cs="宋体" w:eastAsia="宋体" w:hint="default"/>
                <w:sz w:val="18"/>
                <w:szCs w:val="18"/>
              </w:rPr>
              <w:t>黄 承芬</w:t>
            </w:r>
            <w:r>
              <w:rPr>
                <w:rFonts w:ascii="Arial" w:hAnsi="Arial" w:cs="Arial" w:eastAsia="Arial" w:hint="default"/>
                <w:sz w:val="18"/>
                <w:szCs w:val="18"/>
              </w:rPr>
              <w:t>;</w:t>
            </w:r>
            <w:r>
              <w:rPr>
                <w:rFonts w:ascii="宋体" w:hAnsi="宋体" w:cs="宋体" w:eastAsia="宋体" w:hint="default"/>
                <w:sz w:val="18"/>
                <w:szCs w:val="18"/>
              </w:rPr>
              <w:t>马勤</w:t>
            </w:r>
            <w:r>
              <w:rPr>
                <w:rFonts w:ascii="Arial" w:hAnsi="Arial" w:cs="Arial" w:eastAsia="Arial" w:hint="default"/>
                <w:sz w:val="18"/>
                <w:szCs w:val="18"/>
              </w:rPr>
              <w:t>;</w:t>
            </w:r>
            <w:r>
              <w:rPr>
                <w:rFonts w:ascii="宋体" w:hAnsi="宋体" w:cs="宋体" w:eastAsia="宋体" w:hint="default"/>
                <w:sz w:val="18"/>
                <w:szCs w:val="18"/>
              </w:rPr>
              <w:t>王德 胜</w:t>
            </w:r>
            <w:r>
              <w:rPr>
                <w:rFonts w:ascii="Arial" w:hAnsi="Arial" w:cs="Arial" w:eastAsia="Arial" w:hint="default"/>
                <w:sz w:val="18"/>
                <w:szCs w:val="18"/>
              </w:rPr>
              <w:t>;</w:t>
            </w:r>
            <w:r>
              <w:rPr>
                <w:rFonts w:ascii="宋体" w:hAnsi="宋体" w:cs="宋体" w:eastAsia="宋体" w:hint="default"/>
                <w:sz w:val="18"/>
                <w:szCs w:val="18"/>
              </w:rPr>
              <w:t>忻孝委</w:t>
            </w:r>
            <w:r>
              <w:rPr>
                <w:rFonts w:ascii="Arial" w:hAnsi="Arial" w:cs="Arial" w:eastAsia="Arial" w:hint="default"/>
                <w:sz w:val="18"/>
                <w:szCs w:val="18"/>
              </w:rPr>
              <w:t>;</w:t>
            </w:r>
            <w:r>
              <w:rPr>
                <w:rFonts w:ascii="宋体" w:hAnsi="宋体" w:cs="宋体" w:eastAsia="宋体" w:hint="default"/>
                <w:sz w:val="18"/>
                <w:szCs w:val="18"/>
              </w:rPr>
              <w:t>严峰</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杨金萍</w:t>
            </w:r>
            <w:r>
              <w:rPr>
                <w:rFonts w:ascii="Arial" w:hAnsi="Arial" w:cs="Arial" w:eastAsia="Arial" w:hint="default"/>
                <w:sz w:val="18"/>
                <w:szCs w:val="18"/>
              </w:rPr>
              <w:t>;</w:t>
            </w:r>
            <w:r>
              <w:rPr>
                <w:rFonts w:ascii="宋体" w:hAnsi="宋体" w:cs="宋体" w:eastAsia="宋体" w:hint="default"/>
                <w:sz w:val="18"/>
                <w:szCs w:val="18"/>
              </w:rPr>
              <w:t>折哲民</w:t>
            </w:r>
            <w:r>
              <w:rPr>
                <w:rFonts w:ascii="Arial" w:hAnsi="Arial" w:cs="Arial" w:eastAsia="Arial" w:hint="default"/>
                <w:sz w:val="18"/>
                <w:szCs w:val="18"/>
              </w:rPr>
              <w:t>;</w:t>
            </w:r>
            <w:r>
              <w:rPr>
                <w:rFonts w:ascii="宋体" w:hAnsi="宋体" w:cs="宋体" w:eastAsia="宋体" w:hint="default"/>
                <w:sz w:val="18"/>
                <w:szCs w:val="18"/>
              </w:rPr>
              <w:t>郑 凯</w:t>
            </w:r>
            <w:r>
              <w:rPr>
                <w:rFonts w:ascii="Arial" w:hAnsi="Arial" w:cs="Arial" w:eastAsia="Arial" w:hint="default"/>
                <w:sz w:val="18"/>
                <w:szCs w:val="18"/>
              </w:rPr>
              <w:t>;</w:t>
            </w:r>
            <w:r>
              <w:rPr>
                <w:rFonts w:ascii="宋体" w:hAnsi="宋体" w:cs="宋体" w:eastAsia="宋体" w:hint="default"/>
                <w:sz w:val="18"/>
                <w:szCs w:val="18"/>
              </w:rPr>
              <w:t>诸越海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58"/>
              <w:jc w:val="left"/>
              <w:rPr>
                <w:rFonts w:ascii="宋体" w:hAnsi="宋体" w:cs="宋体" w:eastAsia="宋体" w:hint="default"/>
                <w:sz w:val="18"/>
                <w:szCs w:val="18"/>
              </w:rPr>
            </w:pPr>
            <w:r>
              <w:rPr>
                <w:rFonts w:ascii="宋体" w:hAnsi="宋体" w:cs="宋体" w:eastAsia="宋体" w:hint="default"/>
                <w:sz w:val="18"/>
                <w:szCs w:val="18"/>
              </w:rPr>
              <w:t>关于公司发行股份及支付现金购买上海浦东中软科技发展有 限公司</w:t>
            </w:r>
            <w:r>
              <w:rPr>
                <w:rFonts w:ascii="宋体" w:hAnsi="宋体" w:cs="宋体" w:eastAsia="宋体" w:hint="default"/>
                <w:spacing w:val="-48"/>
                <w:sz w:val="18"/>
                <w:szCs w:val="18"/>
              </w:rPr>
              <w:t> </w:t>
            </w:r>
            <w:r>
              <w:rPr>
                <w:rFonts w:ascii="Arial" w:hAnsi="Arial" w:cs="Arial" w:eastAsia="Arial" w:hint="default"/>
                <w:sz w:val="18"/>
                <w:szCs w:val="18"/>
              </w:rPr>
              <w:t>90.185%</w:t>
            </w:r>
            <w:r>
              <w:rPr>
                <w:rFonts w:ascii="宋体" w:hAnsi="宋体" w:cs="宋体" w:eastAsia="宋体" w:hint="default"/>
                <w:sz w:val="18"/>
                <w:szCs w:val="18"/>
              </w:rPr>
              <w:t>股权的交易对方股份限售承诺如下：马勤、 折哲民、诸越海、严峰、黄承芬、侯玉成、郑凯、王德胜、 胡鸿轲、杨金萍、忻孝委共</w:t>
            </w:r>
            <w:r>
              <w:rPr>
                <w:rFonts w:ascii="宋体" w:hAnsi="宋体" w:cs="宋体" w:eastAsia="宋体" w:hint="default"/>
                <w:spacing w:val="-45"/>
                <w:sz w:val="18"/>
                <w:szCs w:val="18"/>
              </w:rPr>
              <w:t> </w:t>
            </w:r>
            <w:r>
              <w:rPr>
                <w:rFonts w:ascii="Arial" w:hAnsi="Arial" w:cs="Arial" w:eastAsia="Arial" w:hint="default"/>
                <w:spacing w:val="-7"/>
                <w:sz w:val="18"/>
                <w:szCs w:val="18"/>
              </w:rPr>
              <w:t>11</w:t>
            </w:r>
            <w:r>
              <w:rPr>
                <w:rFonts w:ascii="Arial" w:hAnsi="Arial" w:cs="Arial" w:eastAsia="Arial" w:hint="default"/>
                <w:spacing w:val="-6"/>
                <w:sz w:val="18"/>
                <w:szCs w:val="18"/>
              </w:rPr>
              <w:t> </w:t>
            </w:r>
            <w:r>
              <w:rPr>
                <w:rFonts w:ascii="宋体" w:hAnsi="宋体" w:cs="宋体" w:eastAsia="宋体" w:hint="default"/>
                <w:sz w:val="18"/>
                <w:szCs w:val="18"/>
              </w:rPr>
              <w:t>名交易对方承诺，本次交易 中认购的华宇软件股份自在中国证券登记结算有限责任公司 完成登记之日起十二个月内不进行转让或上市交易。之后根 据浦东中软</w:t>
            </w:r>
            <w:r>
              <w:rPr>
                <w:rFonts w:ascii="宋体" w:hAnsi="宋体" w:cs="宋体" w:eastAsia="宋体" w:hint="default"/>
                <w:spacing w:val="-47"/>
                <w:sz w:val="18"/>
                <w:szCs w:val="18"/>
              </w:rPr>
              <w:t> </w:t>
            </w: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年的业绩承诺实现情 况按照</w:t>
            </w:r>
            <w:r>
              <w:rPr>
                <w:rFonts w:ascii="宋体" w:hAnsi="宋体" w:cs="宋体" w:eastAsia="宋体" w:hint="default"/>
                <w:spacing w:val="-51"/>
                <w:sz w:val="18"/>
                <w:szCs w:val="18"/>
              </w:rPr>
              <w:t> </w:t>
            </w:r>
            <w:r>
              <w:rPr>
                <w:rFonts w:ascii="Arial" w:hAnsi="Arial" w:cs="Arial" w:eastAsia="Arial" w:hint="default"/>
                <w:sz w:val="18"/>
                <w:szCs w:val="18"/>
              </w:rPr>
              <w:t>30%</w:t>
            </w:r>
            <w:r>
              <w:rPr>
                <w:rFonts w:ascii="宋体" w:hAnsi="宋体" w:cs="宋体" w:eastAsia="宋体" w:hint="default"/>
                <w:sz w:val="18"/>
                <w:szCs w:val="18"/>
              </w:rPr>
              <w:t>、</w:t>
            </w:r>
            <w:r>
              <w:rPr>
                <w:rFonts w:ascii="Arial" w:hAnsi="Arial" w:cs="Arial" w:eastAsia="Arial" w:hint="default"/>
                <w:sz w:val="18"/>
                <w:szCs w:val="18"/>
              </w:rPr>
              <w:t>30%</w:t>
            </w:r>
            <w:r>
              <w:rPr>
                <w:rFonts w:ascii="宋体" w:hAnsi="宋体" w:cs="宋体" w:eastAsia="宋体" w:hint="default"/>
                <w:sz w:val="18"/>
                <w:szCs w:val="18"/>
              </w:rPr>
              <w:t>、</w:t>
            </w:r>
            <w:r>
              <w:rPr>
                <w:rFonts w:ascii="Arial" w:hAnsi="Arial" w:cs="Arial" w:eastAsia="Arial" w:hint="default"/>
                <w:sz w:val="18"/>
                <w:szCs w:val="18"/>
              </w:rPr>
              <w:t>40%</w:t>
            </w:r>
            <w:r>
              <w:rPr>
                <w:rFonts w:ascii="宋体" w:hAnsi="宋体" w:cs="宋体" w:eastAsia="宋体" w:hint="default"/>
                <w:sz w:val="18"/>
                <w:szCs w:val="18"/>
              </w:rPr>
              <w:t>的比例分批解禁所获股份。若上述 锁定期与证券监管机构的最新监管要求不相符，马勤等</w:t>
            </w:r>
            <w:r>
              <w:rPr>
                <w:rFonts w:ascii="宋体" w:hAnsi="宋体" w:cs="宋体" w:eastAsia="宋体" w:hint="default"/>
                <w:spacing w:val="-44"/>
                <w:sz w:val="18"/>
                <w:szCs w:val="18"/>
              </w:rPr>
              <w:t> </w:t>
            </w:r>
            <w:r>
              <w:rPr>
                <w:rFonts w:ascii="Arial" w:hAnsi="Arial" w:cs="Arial" w:eastAsia="Arial" w:hint="default"/>
                <w:spacing w:val="-14"/>
                <w:sz w:val="18"/>
                <w:szCs w:val="18"/>
              </w:rPr>
              <w:t>11</w:t>
            </w:r>
            <w:r>
              <w:rPr>
                <w:rFonts w:ascii="Arial" w:hAnsi="Arial" w:cs="Arial" w:eastAsia="Arial" w:hint="default"/>
                <w:spacing w:val="-14"/>
                <w:w w:val="99"/>
                <w:sz w:val="18"/>
                <w:szCs w:val="18"/>
              </w:rPr>
              <w:t> </w:t>
            </w:r>
            <w:r>
              <w:rPr>
                <w:rFonts w:ascii="宋体" w:hAnsi="宋体" w:cs="宋体" w:eastAsia="宋体" w:hint="default"/>
                <w:sz w:val="18"/>
                <w:szCs w:val="18"/>
              </w:rPr>
              <w:t>名交易对方同意根据监管机构的最新监管意见进行相应调 整，锁定期届满后按中国证券监督管理委员会和深圳证券交 易所的有关规定执行。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6"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3</w:t>
            </w:r>
          </w:p>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23</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6" w:right="0"/>
              <w:jc w:val="left"/>
              <w:rPr>
                <w:rFonts w:ascii="Arial" w:hAnsi="Arial" w:cs="Arial" w:eastAsia="Arial" w:hint="default"/>
                <w:sz w:val="18"/>
                <w:szCs w:val="18"/>
              </w:rPr>
            </w:pPr>
            <w:r>
              <w:rPr>
                <w:rFonts w:ascii="Arial" w:hAnsi="Arial" w:cs="Arial" w:eastAsia="Arial" w:hint="default"/>
                <w:sz w:val="18"/>
                <w:szCs w:val="18"/>
              </w:rPr>
              <w:t>2017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3</w:t>
            </w:r>
          </w:p>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16</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1923"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z w:val="18"/>
                <w:szCs w:val="18"/>
              </w:rPr>
              <w:t>新余雨林投资管 理中心（有限合 </w:t>
            </w:r>
            <w:r>
              <w:rPr>
                <w:rFonts w:ascii="宋体" w:hAnsi="宋体" w:cs="宋体" w:eastAsia="宋体" w:hint="default"/>
                <w:spacing w:val="-12"/>
                <w:sz w:val="18"/>
                <w:szCs w:val="18"/>
              </w:rPr>
              <w:t>伙）；新余春晖投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资管理中心（有 限合伙）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业绩承诺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1" w:right="19"/>
              <w:jc w:val="left"/>
              <w:rPr>
                <w:rFonts w:ascii="宋体" w:hAnsi="宋体" w:cs="宋体" w:eastAsia="宋体" w:hint="default"/>
                <w:sz w:val="18"/>
                <w:szCs w:val="18"/>
              </w:rPr>
            </w:pPr>
            <w:r>
              <w:rPr>
                <w:rFonts w:ascii="宋体" w:hAnsi="宋体" w:cs="宋体" w:eastAsia="宋体" w:hint="default"/>
                <w:sz w:val="18"/>
                <w:szCs w:val="18"/>
              </w:rPr>
              <w:t>根据华宇软件与交易对方于 </w:t>
            </w:r>
            <w:r>
              <w:rPr>
                <w:rFonts w:ascii="Arial" w:hAnsi="Arial" w:cs="Arial" w:eastAsia="Arial" w:hint="default"/>
                <w:sz w:val="18"/>
                <w:szCs w:val="18"/>
              </w:rPr>
              <w:t>2015 </w:t>
            </w:r>
            <w:r>
              <w:rPr>
                <w:rFonts w:ascii="宋体" w:hAnsi="宋体" w:cs="宋体" w:eastAsia="宋体" w:hint="default"/>
                <w:sz w:val="18"/>
                <w:szCs w:val="18"/>
              </w:rPr>
              <w:t>年 </w:t>
            </w:r>
            <w:r>
              <w:rPr>
                <w:rFonts w:ascii="Arial" w:hAnsi="Arial" w:cs="Arial" w:eastAsia="Arial" w:hint="default"/>
                <w:sz w:val="18"/>
                <w:szCs w:val="18"/>
              </w:rPr>
              <w:t>4 </w:t>
            </w:r>
            <w:r>
              <w:rPr>
                <w:rFonts w:ascii="宋体" w:hAnsi="宋体" w:cs="宋体" w:eastAsia="宋体" w:hint="default"/>
                <w:sz w:val="18"/>
                <w:szCs w:val="18"/>
              </w:rPr>
              <w:t>月 </w:t>
            </w:r>
            <w:r>
              <w:rPr>
                <w:rFonts w:ascii="Arial" w:hAnsi="Arial" w:cs="Arial" w:eastAsia="Arial" w:hint="default"/>
                <w:sz w:val="18"/>
                <w:szCs w:val="18"/>
              </w:rPr>
              <w:t>29</w:t>
            </w:r>
            <w:r>
              <w:rPr>
                <w:rFonts w:ascii="Arial" w:hAnsi="Arial" w:cs="Arial" w:eastAsia="Arial" w:hint="default"/>
                <w:spacing w:val="-17"/>
                <w:sz w:val="18"/>
                <w:szCs w:val="18"/>
              </w:rPr>
              <w:t> </w:t>
            </w:r>
            <w:r>
              <w:rPr>
                <w:rFonts w:ascii="宋体" w:hAnsi="宋体" w:cs="宋体" w:eastAsia="宋体" w:hint="default"/>
                <w:sz w:val="18"/>
                <w:szCs w:val="18"/>
              </w:rPr>
              <w:t>日签署的《关 </w:t>
            </w:r>
            <w:r>
              <w:rPr>
                <w:rFonts w:ascii="宋体" w:hAnsi="宋体" w:cs="宋体" w:eastAsia="宋体" w:hint="default"/>
                <w:spacing w:val="-4"/>
                <w:sz w:val="18"/>
                <w:szCs w:val="18"/>
              </w:rPr>
              <w:t>于北京万户网络技术有限公司之股权转让协议》，标的公司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原股东承诺并保证标的公司自 </w:t>
            </w:r>
            <w:r>
              <w:rPr>
                <w:rFonts w:ascii="Arial" w:hAnsi="Arial" w:cs="Arial" w:eastAsia="Arial" w:hint="default"/>
                <w:sz w:val="18"/>
                <w:szCs w:val="18"/>
              </w:rPr>
              <w:t>2015 </w:t>
            </w:r>
            <w:r>
              <w:rPr>
                <w:rFonts w:ascii="宋体" w:hAnsi="宋体" w:cs="宋体" w:eastAsia="宋体" w:hint="default"/>
                <w:sz w:val="18"/>
                <w:szCs w:val="18"/>
              </w:rPr>
              <w:t>年至 </w:t>
            </w:r>
            <w:r>
              <w:rPr>
                <w:rFonts w:ascii="Arial" w:hAnsi="Arial" w:cs="Arial" w:eastAsia="Arial" w:hint="default"/>
                <w:sz w:val="18"/>
                <w:szCs w:val="18"/>
              </w:rPr>
              <w:t>2017</w:t>
            </w:r>
            <w:r>
              <w:rPr>
                <w:rFonts w:ascii="Arial" w:hAnsi="Arial" w:cs="Arial" w:eastAsia="Arial" w:hint="default"/>
                <w:spacing w:val="-12"/>
                <w:sz w:val="18"/>
                <w:szCs w:val="18"/>
              </w:rPr>
              <w:t> </w:t>
            </w:r>
            <w:r>
              <w:rPr>
                <w:rFonts w:ascii="宋体" w:hAnsi="宋体" w:cs="宋体" w:eastAsia="宋体" w:hint="default"/>
                <w:sz w:val="18"/>
                <w:szCs w:val="18"/>
              </w:rPr>
              <w:t>年完成以下 税后净利润指标：</w:t>
            </w:r>
            <w:r>
              <w:rPr>
                <w:rFonts w:ascii="Arial" w:hAnsi="Arial" w:cs="Arial" w:eastAsia="Arial" w:hint="default"/>
                <w:sz w:val="18"/>
                <w:szCs w:val="18"/>
              </w:rPr>
              <w:t>2015 </w:t>
            </w:r>
            <w:r>
              <w:rPr>
                <w:rFonts w:ascii="宋体" w:hAnsi="宋体" w:cs="宋体" w:eastAsia="宋体" w:hint="default"/>
                <w:sz w:val="18"/>
                <w:szCs w:val="18"/>
              </w:rPr>
              <w:t>年度、</w:t>
            </w:r>
            <w:r>
              <w:rPr>
                <w:rFonts w:ascii="Arial" w:hAnsi="Arial" w:cs="Arial" w:eastAsia="Arial" w:hint="default"/>
                <w:sz w:val="18"/>
                <w:szCs w:val="18"/>
              </w:rPr>
              <w:t>2016 </w:t>
            </w:r>
            <w:r>
              <w:rPr>
                <w:rFonts w:ascii="宋体" w:hAnsi="宋体" w:cs="宋体" w:eastAsia="宋体" w:hint="default"/>
                <w:sz w:val="18"/>
                <w:szCs w:val="18"/>
              </w:rPr>
              <w:t>年度、</w:t>
            </w:r>
            <w:r>
              <w:rPr>
                <w:rFonts w:ascii="Arial" w:hAnsi="Arial" w:cs="Arial" w:eastAsia="Arial" w:hint="default"/>
                <w:sz w:val="18"/>
                <w:szCs w:val="18"/>
              </w:rPr>
              <w:t>2017</w:t>
            </w:r>
            <w:r>
              <w:rPr>
                <w:rFonts w:ascii="Arial" w:hAnsi="Arial" w:cs="Arial" w:eastAsia="Arial" w:hint="default"/>
                <w:spacing w:val="17"/>
                <w:sz w:val="18"/>
                <w:szCs w:val="18"/>
              </w:rPr>
              <w:t> </w:t>
            </w:r>
            <w:r>
              <w:rPr>
                <w:rFonts w:ascii="宋体" w:hAnsi="宋体" w:cs="宋体" w:eastAsia="宋体" w:hint="default"/>
                <w:sz w:val="18"/>
                <w:szCs w:val="18"/>
              </w:rPr>
              <w:t>年度，标 的公司累计税后净利润分别不低于 </w:t>
            </w:r>
            <w:r>
              <w:rPr>
                <w:rFonts w:ascii="Arial" w:hAnsi="Arial" w:cs="Arial" w:eastAsia="Arial" w:hint="default"/>
                <w:sz w:val="18"/>
                <w:szCs w:val="18"/>
              </w:rPr>
              <w:t>2300 </w:t>
            </w:r>
            <w:r>
              <w:rPr>
                <w:rFonts w:ascii="宋体" w:hAnsi="宋体" w:cs="宋体" w:eastAsia="宋体" w:hint="default"/>
                <w:sz w:val="18"/>
                <w:szCs w:val="18"/>
              </w:rPr>
              <w:t>万元、</w:t>
            </w:r>
            <w:r>
              <w:rPr>
                <w:rFonts w:ascii="Arial" w:hAnsi="Arial" w:cs="Arial" w:eastAsia="Arial" w:hint="default"/>
                <w:sz w:val="18"/>
                <w:szCs w:val="18"/>
              </w:rPr>
              <w:t>2990</w:t>
            </w:r>
            <w:r>
              <w:rPr>
                <w:rFonts w:ascii="Arial" w:hAnsi="Arial" w:cs="Arial" w:eastAsia="Arial" w:hint="default"/>
                <w:spacing w:val="-10"/>
                <w:sz w:val="18"/>
                <w:szCs w:val="18"/>
              </w:rPr>
              <w:t> </w:t>
            </w:r>
            <w:r>
              <w:rPr>
                <w:rFonts w:ascii="宋体" w:hAnsi="宋体" w:cs="宋体" w:eastAsia="宋体" w:hint="default"/>
                <w:sz w:val="18"/>
                <w:szCs w:val="18"/>
              </w:rPr>
              <w:t>万元、 </w:t>
            </w:r>
            <w:r>
              <w:rPr>
                <w:rFonts w:ascii="Arial" w:hAnsi="Arial" w:cs="Arial" w:eastAsia="Arial" w:hint="default"/>
                <w:sz w:val="18"/>
                <w:szCs w:val="18"/>
              </w:rPr>
              <w:t>3887</w:t>
            </w:r>
            <w:r>
              <w:rPr>
                <w:rFonts w:ascii="Arial" w:hAnsi="Arial" w:cs="Arial" w:eastAsia="Arial" w:hint="default"/>
                <w:spacing w:val="36"/>
                <w:sz w:val="18"/>
                <w:szCs w:val="18"/>
              </w:rPr>
              <w:t> </w:t>
            </w:r>
            <w:r>
              <w:rPr>
                <w:rFonts w:ascii="宋体" w:hAnsi="宋体" w:cs="宋体" w:eastAsia="宋体" w:hint="default"/>
                <w:sz w:val="18"/>
                <w:szCs w:val="18"/>
              </w:rPr>
              <w:t>万元。标的公司原股东承诺并保证，若标的公司在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Arial" w:hAnsi="Arial" w:cs="Arial" w:eastAsia="Arial" w:hint="default"/>
                <w:sz w:val="18"/>
                <w:szCs w:val="18"/>
              </w:rPr>
            </w:pPr>
            <w:r>
              <w:rPr>
                <w:rFonts w:ascii="Arial" w:hAnsi="Arial" w:cs="Arial" w:eastAsia="Arial" w:hint="default"/>
                <w:sz w:val="18"/>
                <w:szCs w:val="18"/>
              </w:rPr>
              <w:t>04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4</w:t>
            </w:r>
          </w:p>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4"/>
                <w:sz w:val="18"/>
                <w:szCs w:val="18"/>
              </w:rPr>
              <w:t> </w:t>
            </w:r>
            <w:r>
              <w:rPr>
                <w:rFonts w:ascii="宋体" w:hAnsi="宋体" w:cs="宋体" w:eastAsia="宋体" w:hint="default"/>
                <w:sz w:val="18"/>
                <w:szCs w:val="18"/>
              </w:rPr>
              <w:t>至</w:t>
            </w:r>
          </w:p>
          <w:p>
            <w:pPr>
              <w:pStyle w:val="TableParagraph"/>
              <w:spacing w:line="240" w:lineRule="auto" w:before="63"/>
              <w:ind w:left="4"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31</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bl>
    <w:p>
      <w:pPr>
        <w:spacing w:after="0" w:line="316" w:lineRule="auto"/>
        <w:jc w:val="both"/>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35"/>
        <w:gridCol w:w="1419"/>
        <w:gridCol w:w="1277"/>
        <w:gridCol w:w="4817"/>
        <w:gridCol w:w="852"/>
        <w:gridCol w:w="850"/>
        <w:gridCol w:w="1843"/>
      </w:tblGrid>
      <w:tr>
        <w:trPr>
          <w:trHeight w:val="3498" w:hRule="exact"/>
        </w:trPr>
        <w:tc>
          <w:tcPr>
            <w:tcW w:w="2835"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817"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1"/>
              <w:ind w:left="21" w:right="105"/>
              <w:jc w:val="both"/>
              <w:rPr>
                <w:rFonts w:ascii="宋体" w:hAnsi="宋体" w:cs="宋体" w:eastAsia="宋体"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Arial" w:hAnsi="Arial" w:cs="Arial" w:eastAsia="Arial" w:hint="default"/>
                <w:sz w:val="18"/>
                <w:szCs w:val="18"/>
              </w:rPr>
              <w:t>2016 </w:t>
            </w:r>
            <w:r>
              <w:rPr>
                <w:rFonts w:ascii="宋体" w:hAnsi="宋体" w:cs="宋体" w:eastAsia="宋体" w:hint="default"/>
                <w:sz w:val="18"/>
                <w:szCs w:val="18"/>
              </w:rPr>
              <w:t>年、</w:t>
            </w:r>
            <w:r>
              <w:rPr>
                <w:rFonts w:ascii="Arial" w:hAnsi="Arial" w:cs="Arial" w:eastAsia="Arial" w:hint="default"/>
                <w:sz w:val="18"/>
                <w:szCs w:val="18"/>
              </w:rPr>
              <w:t>2017</w:t>
            </w:r>
            <w:r>
              <w:rPr>
                <w:rFonts w:ascii="Arial" w:hAnsi="Arial" w:cs="Arial" w:eastAsia="Arial" w:hint="default"/>
                <w:spacing w:val="18"/>
                <w:sz w:val="18"/>
                <w:szCs w:val="18"/>
              </w:rPr>
              <w:t> </w:t>
            </w:r>
            <w:r>
              <w:rPr>
                <w:rFonts w:ascii="宋体" w:hAnsi="宋体" w:cs="宋体" w:eastAsia="宋体" w:hint="default"/>
                <w:sz w:val="18"/>
                <w:szCs w:val="18"/>
              </w:rPr>
              <w:t>年任何一年的截至当期期末累计 实际利润低于截至当期期末累计承诺利润的，雨林投资、春 晖投资应以现金方式向本公司进行补偿；若因 </w:t>
            </w: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5"/>
              <w:ind w:left="21"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6"/>
                <w:sz w:val="18"/>
                <w:szCs w:val="18"/>
              </w:rPr>
              <w:t> </w:t>
            </w:r>
            <w:r>
              <w:rPr>
                <w:rFonts w:ascii="宋体" w:hAnsi="宋体" w:cs="宋体" w:eastAsia="宋体" w:hint="default"/>
                <w:sz w:val="18"/>
                <w:szCs w:val="18"/>
              </w:rPr>
              <w:t>年利润承诺未完成而出现需补偿的情形，由雨林投资</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承担全部补偿责任；若因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年利润承诺未完成而出现需</w:t>
            </w:r>
          </w:p>
          <w:p>
            <w:pPr>
              <w:pStyle w:val="TableParagraph"/>
              <w:spacing w:line="314" w:lineRule="auto" w:before="63"/>
              <w:ind w:left="21" w:right="55"/>
              <w:jc w:val="left"/>
              <w:rPr>
                <w:rFonts w:ascii="宋体" w:hAnsi="宋体" w:cs="宋体" w:eastAsia="宋体" w:hint="default"/>
                <w:sz w:val="18"/>
                <w:szCs w:val="18"/>
              </w:rPr>
            </w:pPr>
            <w:r>
              <w:rPr>
                <w:rFonts w:ascii="宋体" w:hAnsi="宋体" w:cs="宋体" w:eastAsia="宋体" w:hint="default"/>
                <w:sz w:val="18"/>
                <w:szCs w:val="18"/>
              </w:rPr>
              <w:t>补偿的情形，雨林投资、春晖投资应按照 </w:t>
            </w:r>
            <w:r>
              <w:rPr>
                <w:rFonts w:ascii="Arial" w:hAnsi="Arial" w:cs="Arial" w:eastAsia="Arial" w:hint="default"/>
                <w:sz w:val="18"/>
                <w:szCs w:val="18"/>
              </w:rPr>
              <w:t>25:75</w:t>
            </w:r>
            <w:r>
              <w:rPr>
                <w:rFonts w:ascii="Arial" w:hAnsi="Arial" w:cs="Arial" w:eastAsia="Arial" w:hint="default"/>
                <w:spacing w:val="-4"/>
                <w:sz w:val="18"/>
                <w:szCs w:val="18"/>
              </w:rPr>
              <w:t> </w:t>
            </w:r>
            <w:r>
              <w:rPr>
                <w:rFonts w:ascii="宋体" w:hAnsi="宋体" w:cs="宋体" w:eastAsia="宋体" w:hint="default"/>
                <w:sz w:val="18"/>
                <w:szCs w:val="18"/>
              </w:rPr>
              <w:t>比例向本公 司分别进行补偿。上述补偿先行从未支付的股权转让款扣 除，不足部分由雨林投资、春晖投资以现金支付给本公司。 雨林投资、春晖投资对上述现金补偿义务相互承担连带责 任，雨林投资、春晖投资的执行事务合伙人钱贵昱对雨林投 资、春晖投资的上述现金补偿义务承担连带责任。</w:t>
            </w: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843" w:type="dxa"/>
            <w:tcBorders>
              <w:top w:val="single" w:sz="15" w:space="0" w:color="000000"/>
              <w:left w:val="single" w:sz="4" w:space="0" w:color="000000"/>
              <w:bottom w:val="single" w:sz="4" w:space="0" w:color="000000"/>
              <w:right w:val="single" w:sz="4" w:space="0" w:color="000000"/>
            </w:tcBorders>
          </w:tcPr>
          <w:p>
            <w:pPr/>
          </w:p>
        </w:tc>
      </w:tr>
      <w:tr>
        <w:trPr>
          <w:trHeight w:val="1652" w:hRule="exact"/>
        </w:trPr>
        <w:tc>
          <w:tcPr>
            <w:tcW w:w="2835"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钱贵昱、王琳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任职期限承诺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为保证标的公司的持续发展和持续竞争优势，钱贵昱承诺至</w:t>
            </w:r>
          </w:p>
          <w:p>
            <w:pPr>
              <w:pStyle w:val="TableParagraph"/>
              <w:spacing w:line="240" w:lineRule="auto" w:before="76"/>
              <w:ind w:left="21" w:right="0"/>
              <w:jc w:val="left"/>
              <w:rPr>
                <w:rFonts w:ascii="宋体" w:hAnsi="宋体" w:cs="宋体" w:eastAsia="宋体" w:hint="default"/>
                <w:sz w:val="18"/>
                <w:szCs w:val="18"/>
              </w:rPr>
            </w:pPr>
            <w:r>
              <w:rPr>
                <w:rFonts w:ascii="Arial" w:hAnsi="Arial" w:cs="Arial" w:eastAsia="Arial" w:hint="default"/>
                <w:sz w:val="18"/>
                <w:szCs w:val="18"/>
              </w:rPr>
              <w:t>2018 </w:t>
            </w:r>
            <w:r>
              <w:rPr>
                <w:rFonts w:ascii="宋体" w:hAnsi="宋体" w:cs="宋体" w:eastAsia="宋体" w:hint="default"/>
                <w:sz w:val="18"/>
                <w:szCs w:val="18"/>
              </w:rPr>
              <w:t>年 </w:t>
            </w:r>
            <w:r>
              <w:rPr>
                <w:rFonts w:ascii="Arial" w:hAnsi="Arial" w:cs="Arial" w:eastAsia="Arial" w:hint="default"/>
                <w:sz w:val="18"/>
                <w:szCs w:val="18"/>
              </w:rPr>
              <w:t>4 </w:t>
            </w:r>
            <w:r>
              <w:rPr>
                <w:rFonts w:ascii="宋体" w:hAnsi="宋体" w:cs="宋体" w:eastAsia="宋体" w:hint="default"/>
                <w:sz w:val="18"/>
                <w:szCs w:val="18"/>
              </w:rPr>
              <w:t>月 </w:t>
            </w:r>
            <w:r>
              <w:rPr>
                <w:rFonts w:ascii="Arial" w:hAnsi="Arial" w:cs="Arial" w:eastAsia="Arial" w:hint="default"/>
                <w:sz w:val="18"/>
                <w:szCs w:val="18"/>
              </w:rPr>
              <w:t>30</w:t>
            </w:r>
            <w:r>
              <w:rPr>
                <w:rFonts w:ascii="Arial" w:hAnsi="Arial" w:cs="Arial" w:eastAsia="Arial" w:hint="default"/>
                <w:spacing w:val="24"/>
                <w:sz w:val="18"/>
                <w:szCs w:val="18"/>
              </w:rPr>
              <w:t> </w:t>
            </w:r>
            <w:r>
              <w:rPr>
                <w:rFonts w:ascii="宋体" w:hAnsi="宋体" w:cs="宋体" w:eastAsia="宋体" w:hint="default"/>
                <w:sz w:val="18"/>
                <w:szCs w:val="18"/>
              </w:rPr>
              <w:t>日前全职、连续地在标的公司担任董事工</w:t>
            </w:r>
          </w:p>
          <w:p>
            <w:pPr>
              <w:pStyle w:val="TableParagraph"/>
              <w:spacing w:line="309" w:lineRule="auto" w:before="63"/>
              <w:ind w:left="21" w:right="74"/>
              <w:jc w:val="left"/>
              <w:rPr>
                <w:rFonts w:ascii="宋体" w:hAnsi="宋体" w:cs="宋体" w:eastAsia="宋体" w:hint="default"/>
                <w:sz w:val="18"/>
                <w:szCs w:val="18"/>
              </w:rPr>
            </w:pPr>
            <w:r>
              <w:rPr>
                <w:rFonts w:ascii="宋体" w:hAnsi="宋体" w:cs="宋体" w:eastAsia="宋体" w:hint="default"/>
                <w:sz w:val="18"/>
                <w:szCs w:val="18"/>
              </w:rPr>
              <w:t>作，王琳承诺至 </w:t>
            </w:r>
            <w:r>
              <w:rPr>
                <w:rFonts w:ascii="Arial" w:hAnsi="Arial" w:cs="Arial" w:eastAsia="Arial" w:hint="default"/>
                <w:sz w:val="18"/>
                <w:szCs w:val="18"/>
              </w:rPr>
              <w:t>2018 </w:t>
            </w:r>
            <w:r>
              <w:rPr>
                <w:rFonts w:ascii="宋体" w:hAnsi="宋体" w:cs="宋体" w:eastAsia="宋体" w:hint="default"/>
                <w:sz w:val="18"/>
                <w:szCs w:val="18"/>
              </w:rPr>
              <w:t>年 </w:t>
            </w:r>
            <w:r>
              <w:rPr>
                <w:rFonts w:ascii="Arial" w:hAnsi="Arial" w:cs="Arial" w:eastAsia="Arial" w:hint="default"/>
                <w:sz w:val="18"/>
                <w:szCs w:val="18"/>
              </w:rPr>
              <w:t>4 </w:t>
            </w:r>
            <w:r>
              <w:rPr>
                <w:rFonts w:ascii="宋体" w:hAnsi="宋体" w:cs="宋体" w:eastAsia="宋体" w:hint="default"/>
                <w:sz w:val="18"/>
                <w:szCs w:val="18"/>
              </w:rPr>
              <w:t>月 </w:t>
            </w:r>
            <w:r>
              <w:rPr>
                <w:rFonts w:ascii="Arial" w:hAnsi="Arial" w:cs="Arial" w:eastAsia="Arial" w:hint="default"/>
                <w:sz w:val="18"/>
                <w:szCs w:val="18"/>
              </w:rPr>
              <w:t>30</w:t>
            </w:r>
            <w:r>
              <w:rPr>
                <w:rFonts w:ascii="Arial" w:hAnsi="Arial" w:cs="Arial" w:eastAsia="Arial" w:hint="default"/>
                <w:spacing w:val="-18"/>
                <w:sz w:val="18"/>
                <w:szCs w:val="18"/>
              </w:rPr>
              <w:t> </w:t>
            </w:r>
            <w:r>
              <w:rPr>
                <w:rFonts w:ascii="宋体" w:hAnsi="宋体" w:cs="宋体" w:eastAsia="宋体" w:hint="default"/>
                <w:sz w:val="18"/>
                <w:szCs w:val="18"/>
              </w:rPr>
              <w:t>日前全职、连续地在标的 公司工作，未经本公司同意，不得主动提出从标的公司离 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04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6" w:right="0"/>
              <w:jc w:val="left"/>
              <w:rPr>
                <w:rFonts w:ascii="Arial" w:hAnsi="Arial" w:cs="Arial" w:eastAsia="Arial" w:hint="default"/>
                <w:sz w:val="18"/>
                <w:szCs w:val="18"/>
              </w:rPr>
            </w:pPr>
            <w:r>
              <w:rPr>
                <w:rFonts w:ascii="Arial" w:hAnsi="Arial" w:cs="Arial" w:eastAsia="Arial"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4</w:t>
            </w:r>
          </w:p>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2585" w:hRule="exact"/>
        </w:trPr>
        <w:tc>
          <w:tcPr>
            <w:tcW w:w="2835"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钱贵昱、王琳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1" w:right="0"/>
              <w:jc w:val="left"/>
              <w:rPr>
                <w:rFonts w:ascii="宋体" w:hAnsi="宋体" w:cs="宋体" w:eastAsia="宋体" w:hint="default"/>
                <w:sz w:val="18"/>
                <w:szCs w:val="18"/>
              </w:rPr>
            </w:pPr>
            <w:r>
              <w:rPr>
                <w:rFonts w:ascii="宋体" w:hAnsi="宋体" w:cs="宋体" w:eastAsia="宋体" w:hint="default"/>
                <w:sz w:val="18"/>
                <w:szCs w:val="18"/>
              </w:rPr>
              <w:t>竞业禁止承诺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105"/>
              <w:jc w:val="left"/>
              <w:rPr>
                <w:rFonts w:ascii="宋体" w:hAnsi="宋体" w:cs="宋体" w:eastAsia="宋体" w:hint="default"/>
                <w:sz w:val="18"/>
                <w:szCs w:val="18"/>
              </w:rPr>
            </w:pPr>
            <w:r>
              <w:rPr>
                <w:rFonts w:ascii="宋体" w:hAnsi="宋体" w:cs="宋体" w:eastAsia="宋体" w:hint="default"/>
                <w:sz w:val="18"/>
                <w:szCs w:val="18"/>
              </w:rPr>
              <w:t>截至《任职期限及竞业禁止协议》签署之日，除标的公司及 其子公司外，钱贵昱、王琳及其直接或间接控制的企业、或 担任董事或高级管理人员（包括总经理、副总经理、财务总 </w:t>
            </w:r>
            <w:r>
              <w:rPr>
                <w:rFonts w:ascii="宋体" w:hAnsi="宋体" w:cs="宋体" w:eastAsia="宋体" w:hint="default"/>
                <w:spacing w:val="-4"/>
                <w:sz w:val="18"/>
                <w:szCs w:val="18"/>
              </w:rPr>
              <w:t>监及董事会秘书）、顾问或其他任何职务的企业在中华人民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共和国（包括香港、澳门及台湾地区）未从事政府、事业单 位和大型企业领域</w:t>
            </w:r>
            <w:r>
              <w:rPr>
                <w:rFonts w:ascii="宋体" w:hAnsi="宋体" w:cs="宋体" w:eastAsia="宋体" w:hint="default"/>
                <w:spacing w:val="-46"/>
                <w:sz w:val="18"/>
                <w:szCs w:val="18"/>
              </w:rPr>
              <w:t> </w:t>
            </w:r>
            <w:r>
              <w:rPr>
                <w:rFonts w:ascii="Arial" w:hAnsi="Arial" w:cs="Arial" w:eastAsia="Arial" w:hint="default"/>
                <w:sz w:val="18"/>
                <w:szCs w:val="18"/>
              </w:rPr>
              <w:t>OA</w:t>
            </w:r>
            <w:r>
              <w:rPr>
                <w:rFonts w:ascii="宋体" w:hAnsi="宋体" w:cs="宋体" w:eastAsia="宋体" w:hint="default"/>
                <w:sz w:val="18"/>
                <w:szCs w:val="18"/>
              </w:rPr>
              <w:t>（办公自动化）软件和系统的开发、 销售及服务业务（含开发服务、自有产品及代理产品的开 </w:t>
            </w:r>
            <w:r>
              <w:rPr>
                <w:rFonts w:ascii="宋体" w:hAnsi="宋体" w:cs="宋体" w:eastAsia="宋体" w:hint="default"/>
                <w:spacing w:val="-11"/>
                <w:sz w:val="18"/>
                <w:szCs w:val="18"/>
              </w:rPr>
              <w:t>发、销售和服务）。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04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31</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1339" w:hRule="exact"/>
        </w:trPr>
        <w:tc>
          <w:tcPr>
            <w:tcW w:w="2835"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兼业禁止承诺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5"/>
              <w:jc w:val="both"/>
              <w:rPr>
                <w:rFonts w:ascii="宋体" w:hAnsi="宋体" w:cs="宋体" w:eastAsia="宋体" w:hint="default"/>
                <w:sz w:val="18"/>
                <w:szCs w:val="18"/>
              </w:rPr>
            </w:pPr>
            <w:r>
              <w:rPr>
                <w:rFonts w:ascii="宋体" w:hAnsi="宋体" w:cs="宋体" w:eastAsia="宋体" w:hint="default"/>
                <w:sz w:val="18"/>
                <w:szCs w:val="18"/>
              </w:rPr>
              <w:t>王琳在标的公司任职期限内，未经本公司同意，不得在其他 公司、合伙企业等任何经营主体或机构以任何方式（包括但 不限于担任顾问等）兼职。若王琳违反兼业禁止承诺的所得 归本公司所有。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05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1" w:right="58" w:hanging="272"/>
              <w:jc w:val="left"/>
              <w:rPr>
                <w:rFonts w:ascii="宋体" w:hAnsi="宋体" w:cs="宋体" w:eastAsia="宋体" w:hint="default"/>
                <w:sz w:val="18"/>
                <w:szCs w:val="18"/>
              </w:rPr>
            </w:pPr>
            <w:r>
              <w:rPr>
                <w:rFonts w:ascii="宋体" w:hAnsi="宋体" w:cs="宋体" w:eastAsia="宋体" w:hint="default"/>
                <w:sz w:val="18"/>
                <w:szCs w:val="18"/>
              </w:rPr>
              <w:t>任职期限 内</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362"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陈京念；沧州地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业绩承诺及补</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业绩补偿期内，华宇金信每年度实现的经上市公司聘请的具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截至报告期末，承诺</w:t>
            </w:r>
          </w:p>
        </w:tc>
      </w:tr>
    </w:tbl>
    <w:p>
      <w:pPr>
        <w:spacing w:after="0" w:line="240" w:lineRule="auto"/>
        <w:jc w:val="left"/>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35"/>
        <w:gridCol w:w="1419"/>
        <w:gridCol w:w="1277"/>
        <w:gridCol w:w="4817"/>
        <w:gridCol w:w="852"/>
        <w:gridCol w:w="850"/>
        <w:gridCol w:w="1846"/>
      </w:tblGrid>
      <w:tr>
        <w:trPr>
          <w:trHeight w:val="2561" w:hRule="exact"/>
        </w:trPr>
        <w:tc>
          <w:tcPr>
            <w:tcW w:w="2835"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铁物资有限公司</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偿安排</w:t>
            </w:r>
          </w:p>
        </w:tc>
        <w:tc>
          <w:tcPr>
            <w:tcW w:w="4817"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1"/>
              <w:ind w:left="21" w:right="71"/>
              <w:jc w:val="left"/>
              <w:rPr>
                <w:rFonts w:ascii="宋体" w:hAnsi="宋体" w:cs="宋体" w:eastAsia="宋体" w:hint="default"/>
                <w:sz w:val="18"/>
                <w:szCs w:val="18"/>
              </w:rPr>
            </w:pPr>
            <w:r>
              <w:rPr>
                <w:rFonts w:ascii="宋体" w:hAnsi="宋体" w:cs="宋体" w:eastAsia="宋体" w:hint="default"/>
                <w:sz w:val="18"/>
                <w:szCs w:val="18"/>
              </w:rPr>
              <w:t>有从事证券期货相关业务资格的会计师事务所审计的合并报 表口径下归属于母公司股东的净利润（以扣除非经常性损益 前后孰低者为准，下同）</w:t>
            </w:r>
            <w:r>
              <w:rPr>
                <w:rFonts w:ascii="Arial" w:hAnsi="Arial" w:cs="Arial" w:eastAsia="Arial" w:hint="default"/>
                <w:sz w:val="18"/>
                <w:szCs w:val="18"/>
              </w:rPr>
              <w:t>2015 </w:t>
            </w:r>
            <w:r>
              <w:rPr>
                <w:rFonts w:ascii="宋体" w:hAnsi="宋体" w:cs="宋体" w:eastAsia="宋体" w:hint="default"/>
                <w:sz w:val="18"/>
                <w:szCs w:val="18"/>
              </w:rPr>
              <w:t>年度、</w:t>
            </w:r>
            <w:r>
              <w:rPr>
                <w:rFonts w:ascii="Arial" w:hAnsi="Arial" w:cs="Arial" w:eastAsia="Arial" w:hint="default"/>
                <w:sz w:val="18"/>
                <w:szCs w:val="18"/>
              </w:rPr>
              <w:t>2016 </w:t>
            </w:r>
            <w:r>
              <w:rPr>
                <w:rFonts w:ascii="宋体" w:hAnsi="宋体" w:cs="宋体" w:eastAsia="宋体" w:hint="default"/>
                <w:sz w:val="18"/>
                <w:szCs w:val="18"/>
              </w:rPr>
              <w:t>年度、</w:t>
            </w:r>
            <w:r>
              <w:rPr>
                <w:rFonts w:ascii="Arial" w:hAnsi="Arial" w:cs="Arial" w:eastAsia="Arial" w:hint="default"/>
                <w:sz w:val="18"/>
                <w:szCs w:val="18"/>
              </w:rPr>
              <w:t>2017</w:t>
            </w:r>
            <w:r>
              <w:rPr>
                <w:rFonts w:ascii="Arial" w:hAnsi="Arial" w:cs="Arial" w:eastAsia="Arial" w:hint="default"/>
                <w:spacing w:val="16"/>
                <w:sz w:val="18"/>
                <w:szCs w:val="18"/>
              </w:rPr>
              <w:t> </w:t>
            </w:r>
            <w:r>
              <w:rPr>
                <w:rFonts w:ascii="宋体" w:hAnsi="宋体" w:cs="宋体" w:eastAsia="宋体" w:hint="default"/>
                <w:sz w:val="18"/>
                <w:szCs w:val="18"/>
              </w:rPr>
              <w:t>年 度分别不低于人民币 </w:t>
            </w:r>
            <w:r>
              <w:rPr>
                <w:rFonts w:ascii="Arial" w:hAnsi="Arial" w:cs="Arial" w:eastAsia="Arial" w:hint="default"/>
                <w:sz w:val="18"/>
                <w:szCs w:val="18"/>
              </w:rPr>
              <w:t>3,000 </w:t>
            </w:r>
            <w:r>
              <w:rPr>
                <w:rFonts w:ascii="宋体" w:hAnsi="宋体" w:cs="宋体" w:eastAsia="宋体" w:hint="default"/>
                <w:sz w:val="18"/>
                <w:szCs w:val="18"/>
              </w:rPr>
              <w:t>万元、</w:t>
            </w:r>
            <w:r>
              <w:rPr>
                <w:rFonts w:ascii="Arial" w:hAnsi="Arial" w:cs="Arial" w:eastAsia="Arial" w:hint="default"/>
                <w:sz w:val="18"/>
                <w:szCs w:val="18"/>
              </w:rPr>
              <w:t>3,600 </w:t>
            </w:r>
            <w:r>
              <w:rPr>
                <w:rFonts w:ascii="宋体" w:hAnsi="宋体" w:cs="宋体" w:eastAsia="宋体" w:hint="default"/>
                <w:sz w:val="18"/>
                <w:szCs w:val="18"/>
              </w:rPr>
              <w:t>万元、</w:t>
            </w:r>
            <w:r>
              <w:rPr>
                <w:rFonts w:ascii="Arial" w:hAnsi="Arial" w:cs="Arial" w:eastAsia="Arial" w:hint="default"/>
                <w:sz w:val="18"/>
                <w:szCs w:val="18"/>
              </w:rPr>
              <w:t>4,320</w:t>
            </w:r>
            <w:r>
              <w:rPr>
                <w:rFonts w:ascii="Arial" w:hAnsi="Arial" w:cs="Arial" w:eastAsia="Arial" w:hint="default"/>
                <w:spacing w:val="29"/>
                <w:sz w:val="18"/>
                <w:szCs w:val="18"/>
              </w:rPr>
              <w:t> </w:t>
            </w:r>
            <w:r>
              <w:rPr>
                <w:rFonts w:ascii="宋体" w:hAnsi="宋体" w:cs="宋体" w:eastAsia="宋体" w:hint="default"/>
                <w:sz w:val="18"/>
                <w:szCs w:val="18"/>
              </w:rPr>
              <w:t>万 元。</w:t>
            </w:r>
            <w:r>
              <w:rPr>
                <w:rFonts w:ascii="Arial" w:hAnsi="Arial" w:cs="Arial" w:eastAsia="Arial" w:hint="default"/>
                <w:sz w:val="18"/>
                <w:szCs w:val="18"/>
              </w:rPr>
              <w:t>2015 </w:t>
            </w:r>
            <w:r>
              <w:rPr>
                <w:rFonts w:ascii="宋体" w:hAnsi="宋体" w:cs="宋体" w:eastAsia="宋体" w:hint="default"/>
                <w:sz w:val="18"/>
                <w:szCs w:val="18"/>
              </w:rPr>
              <w:t>年度至 </w:t>
            </w:r>
            <w:r>
              <w:rPr>
                <w:rFonts w:ascii="Arial" w:hAnsi="Arial" w:cs="Arial" w:eastAsia="Arial" w:hint="default"/>
                <w:sz w:val="18"/>
                <w:szCs w:val="18"/>
              </w:rPr>
              <w:t>2017</w:t>
            </w:r>
            <w:r>
              <w:rPr>
                <w:rFonts w:ascii="Arial" w:hAnsi="Arial" w:cs="Arial" w:eastAsia="Arial" w:hint="default"/>
                <w:spacing w:val="-17"/>
                <w:sz w:val="18"/>
                <w:szCs w:val="18"/>
              </w:rPr>
              <w:t> </w:t>
            </w:r>
            <w:r>
              <w:rPr>
                <w:rFonts w:ascii="宋体" w:hAnsi="宋体" w:cs="宋体" w:eastAsia="宋体" w:hint="default"/>
                <w:sz w:val="18"/>
                <w:szCs w:val="18"/>
              </w:rPr>
              <w:t>年度期间，如华宇金信经审计的累 计实际实现净利润数不足承诺净利润的，则由补偿义务人首 先以其在本次交易中取得的上市公司股份按股份补偿的方式 进行补偿，不足部分以现金方式补偿。</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Arial" w:hAnsi="Arial" w:cs="Arial" w:eastAsia="Arial" w:hint="default"/>
                <w:sz w:val="18"/>
                <w:szCs w:val="18"/>
              </w:rPr>
            </w:pPr>
            <w:r>
              <w:rPr>
                <w:rFonts w:ascii="Arial" w:hAnsi="Arial" w:cs="Arial" w:eastAsia="Arial" w:hint="default"/>
                <w:sz w:val="18"/>
                <w:szCs w:val="18"/>
              </w:rPr>
              <w:t>05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31</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4" w:right="191"/>
              <w:jc w:val="both"/>
              <w:rPr>
                <w:rFonts w:ascii="宋体" w:hAnsi="宋体" w:cs="宋体" w:eastAsia="宋体" w:hint="default"/>
                <w:sz w:val="18"/>
                <w:szCs w:val="18"/>
              </w:rPr>
            </w:pPr>
            <w:r>
              <w:rPr>
                <w:rFonts w:ascii="宋体" w:hAnsi="宋体" w:cs="宋体" w:eastAsia="宋体" w:hint="default"/>
                <w:sz w:val="18"/>
                <w:szCs w:val="18"/>
              </w:rPr>
              <w:t>方遵守以上承诺，未 有违反上述承诺的情 况。</w:t>
            </w:r>
          </w:p>
        </w:tc>
      </w:tr>
      <w:tr>
        <w:trPr>
          <w:trHeight w:val="6021" w:hRule="exact"/>
        </w:trPr>
        <w:tc>
          <w:tcPr>
            <w:tcW w:w="2835"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z w:val="18"/>
                <w:szCs w:val="18"/>
              </w:rPr>
              <w:t>陈京念；沧州地 铁物资有限公司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同业竞争</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53"/>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、在作为上市公司股东期间，陈京念、沧州地铁本人</w:t>
            </w:r>
            <w:r>
              <w:rPr>
                <w:rFonts w:ascii="Arial" w:hAnsi="Arial" w:cs="Arial" w:eastAsia="Arial" w:hint="default"/>
                <w:sz w:val="18"/>
                <w:szCs w:val="18"/>
              </w:rPr>
              <w:t>/</w:t>
            </w:r>
            <w:r>
              <w:rPr>
                <w:rFonts w:ascii="宋体" w:hAnsi="宋体" w:cs="宋体" w:eastAsia="宋体" w:hint="default"/>
                <w:sz w:val="18"/>
                <w:szCs w:val="18"/>
              </w:rPr>
              <w:t>本公 司及其控制的其他企业不会直接或间接从事任何与上市公司 及其下属公司（包括华宇金信及其子公司）经营业务构成竞 争或潜在竞争关系的生产与经营，亦不会投资任何与上市公 司及其下属公司经营业务构成竞争或潜在竞争关系的其他企 业。</w:t>
            </w:r>
            <w:r>
              <w:rPr>
                <w:rFonts w:ascii="Arial" w:hAnsi="Arial" w:cs="Arial" w:eastAsia="Arial" w:hint="default"/>
                <w:sz w:val="18"/>
                <w:szCs w:val="18"/>
              </w:rPr>
              <w:t>2</w:t>
            </w:r>
            <w:r>
              <w:rPr>
                <w:rFonts w:ascii="宋体" w:hAnsi="宋体" w:cs="宋体" w:eastAsia="宋体" w:hint="default"/>
                <w:sz w:val="18"/>
                <w:szCs w:val="18"/>
              </w:rPr>
              <w:t>、在陈京念、沧州地铁作为上市公司股东期间，如陈 京念、沧州地铁本人</w:t>
            </w:r>
            <w:r>
              <w:rPr>
                <w:rFonts w:ascii="Arial" w:hAnsi="Arial" w:cs="Arial" w:eastAsia="Arial" w:hint="default"/>
                <w:sz w:val="18"/>
                <w:szCs w:val="18"/>
              </w:rPr>
              <w:t>/</w:t>
            </w:r>
            <w:r>
              <w:rPr>
                <w:rFonts w:ascii="宋体" w:hAnsi="宋体" w:cs="宋体" w:eastAsia="宋体" w:hint="default"/>
                <w:sz w:val="18"/>
                <w:szCs w:val="18"/>
              </w:rPr>
              <w:t>本公司及其控制的其他企业获得的商业 机会与上市公司及其下属公司主营业务构成同业竞争或可能 构成同业竞争的，陈京念、沧州地铁本人</w:t>
            </w:r>
            <w:r>
              <w:rPr>
                <w:rFonts w:ascii="Arial" w:hAnsi="Arial" w:cs="Arial" w:eastAsia="Arial" w:hint="default"/>
                <w:sz w:val="18"/>
                <w:szCs w:val="18"/>
              </w:rPr>
              <w:t>/</w:t>
            </w:r>
            <w:r>
              <w:rPr>
                <w:rFonts w:ascii="宋体" w:hAnsi="宋体" w:cs="宋体" w:eastAsia="宋体" w:hint="default"/>
                <w:sz w:val="18"/>
                <w:szCs w:val="18"/>
              </w:rPr>
              <w:t>本公司将立即通知 上市公司，并优先将该商业机会给予上市公司，避免与上市 公司及其下属公司业务构成同业竞争或潜在同业竞争，以确 保上市公司及上市公司其他股东利益不受损害。</w:t>
            </w:r>
            <w:r>
              <w:rPr>
                <w:rFonts w:ascii="Arial" w:hAnsi="Arial" w:cs="Arial" w:eastAsia="Arial" w:hint="default"/>
                <w:sz w:val="18"/>
                <w:szCs w:val="18"/>
              </w:rPr>
              <w:t>3</w:t>
            </w:r>
            <w:r>
              <w:rPr>
                <w:rFonts w:ascii="宋体" w:hAnsi="宋体" w:cs="宋体" w:eastAsia="宋体" w:hint="default"/>
                <w:sz w:val="18"/>
                <w:szCs w:val="18"/>
              </w:rPr>
              <w:t>、陈京 念、沧州地铁本人</w:t>
            </w:r>
            <w:r>
              <w:rPr>
                <w:rFonts w:ascii="Arial" w:hAnsi="Arial" w:cs="Arial" w:eastAsia="Arial" w:hint="default"/>
                <w:sz w:val="18"/>
                <w:szCs w:val="18"/>
              </w:rPr>
              <w:t>/</w:t>
            </w:r>
            <w:r>
              <w:rPr>
                <w:rFonts w:ascii="宋体" w:hAnsi="宋体" w:cs="宋体" w:eastAsia="宋体" w:hint="default"/>
                <w:sz w:val="18"/>
                <w:szCs w:val="18"/>
              </w:rPr>
              <w:t>本公司保证有权签署本承诺函，且本承诺 函一经陈京念、沧州地铁本人</w:t>
            </w:r>
            <w:r>
              <w:rPr>
                <w:rFonts w:ascii="Arial" w:hAnsi="Arial" w:cs="Arial" w:eastAsia="Arial" w:hint="default"/>
                <w:sz w:val="18"/>
                <w:szCs w:val="18"/>
              </w:rPr>
              <w:t>/</w:t>
            </w:r>
            <w:r>
              <w:rPr>
                <w:rFonts w:ascii="宋体" w:hAnsi="宋体" w:cs="宋体" w:eastAsia="宋体" w:hint="default"/>
                <w:sz w:val="18"/>
                <w:szCs w:val="18"/>
              </w:rPr>
              <w:t>本公司签署即对本公司构成有 效的、合法的、具有约束力的责任，且在陈京念、沧州地铁 本人</w:t>
            </w:r>
            <w:r>
              <w:rPr>
                <w:rFonts w:ascii="Arial" w:hAnsi="Arial" w:cs="Arial" w:eastAsia="Arial" w:hint="default"/>
                <w:sz w:val="18"/>
                <w:szCs w:val="18"/>
              </w:rPr>
              <w:t>/</w:t>
            </w:r>
            <w:r>
              <w:rPr>
                <w:rFonts w:ascii="宋体" w:hAnsi="宋体" w:cs="宋体" w:eastAsia="宋体" w:hint="default"/>
                <w:sz w:val="18"/>
                <w:szCs w:val="18"/>
              </w:rPr>
              <w:t>本公司作为上市公司股东期间持续有效，不可撤销。陈 京念、沧州地铁本人</w:t>
            </w:r>
            <w:r>
              <w:rPr>
                <w:rFonts w:ascii="Arial" w:hAnsi="Arial" w:cs="Arial" w:eastAsia="Arial" w:hint="default"/>
                <w:sz w:val="18"/>
                <w:szCs w:val="18"/>
              </w:rPr>
              <w:t>/</w:t>
            </w:r>
            <w:r>
              <w:rPr>
                <w:rFonts w:ascii="宋体" w:hAnsi="宋体" w:cs="宋体" w:eastAsia="宋体" w:hint="default"/>
                <w:sz w:val="18"/>
                <w:szCs w:val="18"/>
              </w:rPr>
              <w:t>本公司保证严格履行本承诺函中的各项 承诺，如因违反相关承诺并因此给上市公司造成损失的，陈 京念、沧州地铁本人</w:t>
            </w:r>
            <w:r>
              <w:rPr>
                <w:rFonts w:ascii="Arial" w:hAnsi="Arial" w:cs="Arial" w:eastAsia="Arial" w:hint="default"/>
                <w:sz w:val="18"/>
                <w:szCs w:val="18"/>
              </w:rPr>
              <w:t>/</w:t>
            </w:r>
            <w:r>
              <w:rPr>
                <w:rFonts w:ascii="宋体" w:hAnsi="宋体" w:cs="宋体" w:eastAsia="宋体" w:hint="default"/>
                <w:sz w:val="18"/>
                <w:szCs w:val="18"/>
              </w:rPr>
              <w:t>本公司将承担相应的法律责任。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05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91"/>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986"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123"/>
              <w:jc w:val="left"/>
              <w:rPr>
                <w:rFonts w:ascii="宋体" w:hAnsi="宋体" w:cs="宋体" w:eastAsia="宋体" w:hint="default"/>
                <w:sz w:val="18"/>
                <w:szCs w:val="18"/>
              </w:rPr>
            </w:pPr>
            <w:r>
              <w:rPr>
                <w:rFonts w:ascii="宋体" w:hAnsi="宋体" w:cs="宋体" w:eastAsia="宋体" w:hint="default"/>
                <w:sz w:val="18"/>
                <w:szCs w:val="18"/>
              </w:rPr>
              <w:t>陈京念；沧州地 铁物资有限公司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359" w:right="95" w:hanging="269"/>
              <w:jc w:val="left"/>
              <w:rPr>
                <w:rFonts w:ascii="宋体" w:hAnsi="宋体" w:cs="宋体" w:eastAsia="宋体" w:hint="default"/>
                <w:sz w:val="18"/>
                <w:szCs w:val="18"/>
              </w:rPr>
            </w:pPr>
            <w:r>
              <w:rPr>
                <w:rFonts w:ascii="宋体" w:hAnsi="宋体" w:cs="宋体" w:eastAsia="宋体" w:hint="default"/>
                <w:sz w:val="18"/>
                <w:szCs w:val="18"/>
              </w:rPr>
              <w:t>减少和规范关 联交易</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53"/>
              <w:jc w:val="both"/>
              <w:rPr>
                <w:rFonts w:ascii="宋体" w:hAnsi="宋体" w:cs="宋体" w:eastAsia="宋体" w:hint="default"/>
                <w:sz w:val="18"/>
                <w:szCs w:val="18"/>
              </w:rPr>
            </w:pPr>
            <w:r>
              <w:rPr>
                <w:rFonts w:ascii="宋体" w:hAnsi="宋体" w:cs="宋体" w:eastAsia="宋体" w:hint="default"/>
                <w:sz w:val="18"/>
                <w:szCs w:val="18"/>
              </w:rPr>
              <w:t>在本次重组完成后，陈京念、沧州地铁本人</w:t>
            </w:r>
            <w:r>
              <w:rPr>
                <w:rFonts w:ascii="Arial" w:hAnsi="Arial" w:cs="Arial" w:eastAsia="Arial" w:hint="default"/>
                <w:sz w:val="18"/>
                <w:szCs w:val="18"/>
              </w:rPr>
              <w:t>/</w:t>
            </w:r>
            <w:r>
              <w:rPr>
                <w:rFonts w:ascii="宋体" w:hAnsi="宋体" w:cs="宋体" w:eastAsia="宋体" w:hint="default"/>
                <w:sz w:val="18"/>
                <w:szCs w:val="18"/>
              </w:rPr>
              <w:t>本公司及其控制 的企业将尽可能避免和减少与上市公司的关联交易，对于无 法避免或有合理理由存在的关联交易，陈京念、沧州地铁本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86" w:right="0"/>
              <w:jc w:val="left"/>
              <w:rPr>
                <w:rFonts w:ascii="Arial" w:hAnsi="Arial" w:cs="Arial" w:eastAsia="Arial" w:hint="default"/>
                <w:sz w:val="18"/>
                <w:szCs w:val="18"/>
              </w:rPr>
            </w:pPr>
            <w:r>
              <w:rPr>
                <w:rFonts w:ascii="Arial" w:hAnsi="Arial" w:cs="Arial" w:eastAsia="Arial" w:hint="default"/>
                <w:sz w:val="18"/>
                <w:szCs w:val="18"/>
              </w:rPr>
              <w:t>05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w:t>
            </w:r>
          </w:p>
        </w:tc>
      </w:tr>
    </w:tbl>
    <w:p>
      <w:pPr>
        <w:spacing w:after="0" w:line="316" w:lineRule="auto"/>
        <w:jc w:val="both"/>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35"/>
        <w:gridCol w:w="1419"/>
        <w:gridCol w:w="1277"/>
        <w:gridCol w:w="4817"/>
        <w:gridCol w:w="852"/>
        <w:gridCol w:w="850"/>
        <w:gridCol w:w="1846"/>
      </w:tblGrid>
      <w:tr>
        <w:trPr>
          <w:trHeight w:val="3498" w:hRule="exact"/>
        </w:trPr>
        <w:tc>
          <w:tcPr>
            <w:tcW w:w="2835"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817"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1"/>
              <w:ind w:left="21" w:right="53"/>
              <w:jc w:val="left"/>
              <w:rPr>
                <w:rFonts w:ascii="宋体" w:hAnsi="宋体" w:cs="宋体" w:eastAsia="宋体" w:hint="default"/>
                <w:sz w:val="18"/>
                <w:szCs w:val="18"/>
              </w:rPr>
            </w:pPr>
            <w:r>
              <w:rPr>
                <w:rFonts w:ascii="宋体" w:hAnsi="宋体" w:cs="宋体" w:eastAsia="宋体" w:hint="default"/>
                <w:sz w:val="18"/>
                <w:szCs w:val="18"/>
              </w:rPr>
              <w:t>人</w:t>
            </w:r>
            <w:r>
              <w:rPr>
                <w:rFonts w:ascii="Arial" w:hAnsi="Arial" w:cs="Arial" w:eastAsia="Arial" w:hint="default"/>
                <w:sz w:val="18"/>
                <w:szCs w:val="18"/>
              </w:rPr>
              <w:t>/</w:t>
            </w:r>
            <w:r>
              <w:rPr>
                <w:rFonts w:ascii="宋体" w:hAnsi="宋体" w:cs="宋体" w:eastAsia="宋体" w:hint="default"/>
                <w:sz w:val="18"/>
                <w:szCs w:val="18"/>
              </w:rPr>
              <w:t>本公司及其控制的企业将与上市公司按照公平、公允、等 价有偿等原则依法签订协议，并由上市公司按照有关法律、 法规、其他规范性文件以及上市公司章程等的规定，依法履 行相关内部决策批准程序并及时履行信息披露义务；陈京 念、沧州地铁本人</w:t>
            </w:r>
            <w:r>
              <w:rPr>
                <w:rFonts w:ascii="Arial" w:hAnsi="Arial" w:cs="Arial" w:eastAsia="Arial" w:hint="default"/>
                <w:sz w:val="18"/>
                <w:szCs w:val="18"/>
              </w:rPr>
              <w:t>/</w:t>
            </w:r>
            <w:r>
              <w:rPr>
                <w:rFonts w:ascii="宋体" w:hAnsi="宋体" w:cs="宋体" w:eastAsia="宋体" w:hint="default"/>
                <w:sz w:val="18"/>
                <w:szCs w:val="18"/>
              </w:rPr>
              <w:t>本公司保证陈京念、沧州地铁本人</w:t>
            </w:r>
            <w:r>
              <w:rPr>
                <w:rFonts w:ascii="Arial" w:hAnsi="Arial" w:cs="Arial" w:eastAsia="Arial" w:hint="default"/>
                <w:sz w:val="18"/>
                <w:szCs w:val="18"/>
              </w:rPr>
              <w:t>/</w:t>
            </w:r>
            <w:r>
              <w:rPr>
                <w:rFonts w:ascii="宋体" w:hAnsi="宋体" w:cs="宋体" w:eastAsia="宋体" w:hint="default"/>
                <w:sz w:val="18"/>
                <w:szCs w:val="18"/>
              </w:rPr>
              <w:t>本公 司及其控制的企业不以与市场价格相比显失公允的条件与上 市公司进行交易，不利用关联交易非法转移上市公司的资 金、利润，亦不利用该类交易从事任何损害上市公司及其他 股东合法权益的行为。若出现违反上述承诺而损害上市公司 利益的情形，陈京念、沧州地铁本人</w:t>
            </w:r>
            <w:r>
              <w:rPr>
                <w:rFonts w:ascii="Arial" w:hAnsi="Arial" w:cs="Arial" w:eastAsia="Arial" w:hint="default"/>
                <w:sz w:val="18"/>
                <w:szCs w:val="18"/>
              </w:rPr>
              <w:t>/</w:t>
            </w:r>
            <w:r>
              <w:rPr>
                <w:rFonts w:ascii="宋体" w:hAnsi="宋体" w:cs="宋体" w:eastAsia="宋体" w:hint="default"/>
                <w:sz w:val="18"/>
                <w:szCs w:val="18"/>
              </w:rPr>
              <w:t>本公司将对前述行为而 给上市公司造成的损失向上市公司进行赔偿。</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4148" w:hRule="exact"/>
        </w:trPr>
        <w:tc>
          <w:tcPr>
            <w:tcW w:w="2835"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配套融资认购邵学出具了《北京华宇软件股份有限公司发行 股份及支付现金购买资产并募集配套资金暨关联交易之非公 开发行</w:t>
            </w:r>
            <w:r>
              <w:rPr>
                <w:rFonts w:ascii="宋体" w:hAnsi="宋体" w:cs="宋体" w:eastAsia="宋体" w:hint="default"/>
                <w:spacing w:val="-45"/>
                <w:sz w:val="18"/>
                <w:szCs w:val="18"/>
              </w:rPr>
              <w:t> </w:t>
            </w:r>
            <w:r>
              <w:rPr>
                <w:rFonts w:ascii="Arial" w:hAnsi="Arial" w:cs="Arial" w:eastAsia="Arial" w:hint="default"/>
                <w:sz w:val="18"/>
                <w:szCs w:val="18"/>
              </w:rPr>
              <w:t>A</w:t>
            </w:r>
            <w:r>
              <w:rPr>
                <w:rFonts w:ascii="Arial" w:hAnsi="Arial" w:cs="Arial" w:eastAsia="Arial" w:hint="default"/>
                <w:spacing w:val="-5"/>
                <w:sz w:val="18"/>
                <w:szCs w:val="18"/>
              </w:rPr>
              <w:t> </w:t>
            </w:r>
            <w:r>
              <w:rPr>
                <w:rFonts w:ascii="宋体" w:hAnsi="宋体" w:cs="宋体" w:eastAsia="宋体" w:hint="default"/>
                <w:sz w:val="18"/>
                <w:szCs w:val="18"/>
              </w:rPr>
              <w:t>股股票之发行对象关于所认购股份限售的承诺函及 </w:t>
            </w:r>
            <w:r>
              <w:rPr>
                <w:rFonts w:ascii="宋体" w:hAnsi="宋体" w:cs="宋体" w:eastAsia="宋体" w:hint="default"/>
                <w:spacing w:val="-4"/>
                <w:sz w:val="18"/>
                <w:szCs w:val="18"/>
              </w:rPr>
              <w:t>股份锁定申请》，主要内容如下：自北京华宇软件股份有限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公司本次非公开发行的股票上市之日起</w:t>
            </w:r>
            <w:r>
              <w:rPr>
                <w:rFonts w:ascii="宋体" w:hAnsi="宋体" w:cs="宋体" w:eastAsia="宋体" w:hint="default"/>
                <w:spacing w:val="-44"/>
                <w:sz w:val="18"/>
                <w:szCs w:val="18"/>
              </w:rPr>
              <w:t> </w:t>
            </w:r>
            <w:r>
              <w:rPr>
                <w:rFonts w:ascii="Arial" w:hAnsi="Arial" w:cs="Arial" w:eastAsia="Arial" w:hint="default"/>
                <w:sz w:val="18"/>
                <w:szCs w:val="18"/>
              </w:rPr>
              <w:t>36</w:t>
            </w:r>
            <w:r>
              <w:rPr>
                <w:rFonts w:ascii="Arial" w:hAnsi="Arial" w:cs="Arial" w:eastAsia="Arial" w:hint="default"/>
                <w:spacing w:val="-4"/>
                <w:sz w:val="18"/>
                <w:szCs w:val="18"/>
              </w:rPr>
              <w:t> </w:t>
            </w:r>
            <w:r>
              <w:rPr>
                <w:rFonts w:ascii="宋体" w:hAnsi="宋体" w:cs="宋体" w:eastAsia="宋体" w:hint="default"/>
                <w:sz w:val="18"/>
                <w:szCs w:val="18"/>
              </w:rPr>
              <w:t>个月内，不转让 本单位</w:t>
            </w:r>
            <w:r>
              <w:rPr>
                <w:rFonts w:ascii="Arial" w:hAnsi="Arial" w:cs="Arial" w:eastAsia="Arial" w:hint="default"/>
                <w:sz w:val="18"/>
                <w:szCs w:val="18"/>
              </w:rPr>
              <w:t>/</w:t>
            </w:r>
            <w:r>
              <w:rPr>
                <w:rFonts w:ascii="宋体" w:hAnsi="宋体" w:cs="宋体" w:eastAsia="宋体" w:hint="default"/>
                <w:sz w:val="18"/>
                <w:szCs w:val="18"/>
              </w:rPr>
              <w:t>本人所认购的上述股份。本单位</w:t>
            </w:r>
            <w:r>
              <w:rPr>
                <w:rFonts w:ascii="Arial" w:hAnsi="Arial" w:cs="Arial" w:eastAsia="Arial" w:hint="default"/>
                <w:sz w:val="18"/>
                <w:szCs w:val="18"/>
              </w:rPr>
              <w:t>/</w:t>
            </w:r>
            <w:r>
              <w:rPr>
                <w:rFonts w:ascii="宋体" w:hAnsi="宋体" w:cs="宋体" w:eastAsia="宋体" w:hint="default"/>
                <w:sz w:val="18"/>
                <w:szCs w:val="18"/>
              </w:rPr>
              <w:t>本人所认购的上述 </w:t>
            </w:r>
            <w:r>
              <w:rPr>
                <w:rFonts w:ascii="宋体" w:hAnsi="宋体" w:cs="宋体" w:eastAsia="宋体" w:hint="default"/>
                <w:spacing w:val="-8"/>
                <w:sz w:val="18"/>
                <w:szCs w:val="18"/>
              </w:rPr>
              <w:t>公司股份在锁定期届满后减持还将遵守《公司法》、《证券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4"/>
                <w:sz w:val="18"/>
                <w:szCs w:val="18"/>
              </w:rPr>
              <w:t>法》、《深圳证券交易所股票上市规则》、《上市公司股东、董</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w w:val="99"/>
                <w:sz w:val="18"/>
                <w:szCs w:val="18"/>
              </w:rPr>
              <w:t>监高减持股份的若干规定》（证监会公告</w:t>
            </w:r>
            <w:r>
              <w:rPr>
                <w:rFonts w:ascii="Arial" w:hAnsi="Arial" w:cs="Arial" w:eastAsia="Arial" w:hint="default"/>
                <w:spacing w:val="-4"/>
                <w:w w:val="99"/>
                <w:sz w:val="18"/>
                <w:szCs w:val="18"/>
              </w:rPr>
              <w:t>[2017]9</w:t>
            </w:r>
            <w:r>
              <w:rPr>
                <w:rFonts w:ascii="Arial" w:hAnsi="Arial" w:cs="Arial" w:eastAsia="Arial" w:hint="default"/>
                <w:w w:val="99"/>
                <w:sz w:val="18"/>
                <w:szCs w:val="18"/>
              </w:rPr>
              <w:t> </w:t>
            </w:r>
            <w:r>
              <w:rPr>
                <w:rFonts w:ascii="宋体" w:hAnsi="宋体" w:cs="宋体" w:eastAsia="宋体" w:hint="default"/>
                <w:sz w:val="18"/>
                <w:szCs w:val="18"/>
              </w:rPr>
              <w:t>号）等法</w:t>
            </w:r>
            <w:r>
              <w:rPr>
                <w:rFonts w:ascii="宋体" w:hAnsi="宋体" w:cs="宋体" w:eastAsia="宋体" w:hint="default"/>
                <w:spacing w:val="-86"/>
                <w:sz w:val="18"/>
                <w:szCs w:val="18"/>
              </w:rPr>
              <w:t> </w:t>
            </w:r>
            <w:r>
              <w:rPr>
                <w:rFonts w:ascii="宋体" w:hAnsi="宋体" w:cs="宋体" w:eastAsia="宋体" w:hint="default"/>
                <w:sz w:val="18"/>
                <w:szCs w:val="18"/>
              </w:rPr>
              <w:t>律、法规、规章、规范性文件、深圳证券交易所相关规则</w:t>
            </w:r>
          </w:p>
          <w:p>
            <w:pPr>
              <w:pStyle w:val="TableParagraph"/>
              <w:spacing w:line="316" w:lineRule="auto" w:before="24"/>
              <w:ind w:left="21" w:right="193"/>
              <w:jc w:val="left"/>
              <w:rPr>
                <w:rFonts w:ascii="宋体" w:hAnsi="宋体" w:cs="宋体" w:eastAsia="宋体" w:hint="default"/>
                <w:sz w:val="18"/>
                <w:szCs w:val="18"/>
              </w:rPr>
            </w:pPr>
            <w:r>
              <w:rPr>
                <w:rFonts w:ascii="宋体" w:hAnsi="宋体" w:cs="宋体" w:eastAsia="宋体" w:hint="default"/>
                <w:spacing w:val="-4"/>
                <w:sz w:val="18"/>
                <w:szCs w:val="18"/>
              </w:rPr>
              <w:t>（《深圳证券交易所上市公司股东及董事、监事、高级管理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人员减持股份实施细则》等）以及《公司章程》的相关规 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16</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91"/>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1923"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z w:val="18"/>
                <w:szCs w:val="18"/>
              </w:rPr>
              <w:t>北京中关村并购 母基金投资中心</w:t>
            </w:r>
          </w:p>
          <w:p>
            <w:pPr>
              <w:pStyle w:val="TableParagraph"/>
              <w:spacing w:line="309" w:lineRule="auto" w:before="19"/>
              <w:ind w:left="23" w:right="74"/>
              <w:jc w:val="both"/>
              <w:rPr>
                <w:rFonts w:ascii="宋体" w:hAnsi="宋体" w:cs="宋体" w:eastAsia="宋体" w:hint="default"/>
                <w:sz w:val="18"/>
                <w:szCs w:val="18"/>
              </w:rPr>
            </w:pPr>
            <w:r>
              <w:rPr>
                <w:rFonts w:ascii="宋体" w:hAnsi="宋体" w:cs="宋体" w:eastAsia="宋体" w:hint="default"/>
                <w:sz w:val="18"/>
                <w:szCs w:val="18"/>
              </w:rPr>
              <w:t>（有限合伙）</w:t>
            </w:r>
            <w:r>
              <w:rPr>
                <w:rFonts w:ascii="Arial" w:hAnsi="Arial" w:cs="Arial" w:eastAsia="Arial" w:hint="default"/>
                <w:sz w:val="18"/>
                <w:szCs w:val="18"/>
              </w:rPr>
              <w:t>;</w:t>
            </w:r>
            <w:r>
              <w:rPr>
                <w:rFonts w:ascii="宋体" w:hAnsi="宋体" w:cs="宋体" w:eastAsia="宋体" w:hint="default"/>
                <w:sz w:val="18"/>
                <w:szCs w:val="18"/>
              </w:rPr>
              <w:t>嘉 实基金管理有限 公司</w:t>
            </w:r>
            <w:r>
              <w:rPr>
                <w:rFonts w:ascii="Arial" w:hAnsi="Arial" w:cs="Arial" w:eastAsia="Arial" w:hint="default"/>
                <w:sz w:val="18"/>
                <w:szCs w:val="18"/>
              </w:rPr>
              <w:t>;</w:t>
            </w:r>
            <w:r>
              <w:rPr>
                <w:rFonts w:ascii="宋体" w:hAnsi="宋体" w:cs="宋体" w:eastAsia="宋体" w:hint="default"/>
                <w:sz w:val="18"/>
                <w:szCs w:val="18"/>
              </w:rPr>
              <w:t>上海国鑫投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配套融资认购方上海国鑫投资发展有限公司、嘉实基金管理 有限公司和北京中关村并购母基金投资中心（有限合伙）出 具了《北京华宇软件股份有限公司发行股份及支付现金购买 资产并募集配套资金暨关联交易之非公开发行</w:t>
            </w:r>
            <w:r>
              <w:rPr>
                <w:rFonts w:ascii="宋体" w:hAnsi="宋体" w:cs="宋体" w:eastAsia="宋体" w:hint="default"/>
                <w:spacing w:val="-44"/>
                <w:sz w:val="18"/>
                <w:szCs w:val="18"/>
              </w:rPr>
              <w:t> </w:t>
            </w:r>
            <w:r>
              <w:rPr>
                <w:rFonts w:ascii="Arial" w:hAnsi="Arial" w:cs="Arial" w:eastAsia="Arial" w:hint="default"/>
                <w:sz w:val="18"/>
                <w:szCs w:val="18"/>
              </w:rPr>
              <w:t>A</w:t>
            </w:r>
            <w:r>
              <w:rPr>
                <w:rFonts w:ascii="Arial" w:hAnsi="Arial" w:cs="Arial" w:eastAsia="Arial" w:hint="default"/>
                <w:spacing w:val="-5"/>
                <w:sz w:val="18"/>
                <w:szCs w:val="18"/>
              </w:rPr>
              <w:t> </w:t>
            </w:r>
            <w:r>
              <w:rPr>
                <w:rFonts w:ascii="宋体" w:hAnsi="宋体" w:cs="宋体" w:eastAsia="宋体" w:hint="default"/>
                <w:sz w:val="18"/>
                <w:szCs w:val="18"/>
              </w:rPr>
              <w:t>股股票之发 </w:t>
            </w:r>
            <w:r>
              <w:rPr>
                <w:rFonts w:ascii="宋体" w:hAnsi="宋体" w:cs="宋体" w:eastAsia="宋体" w:hint="default"/>
                <w:spacing w:val="-4"/>
                <w:sz w:val="18"/>
                <w:szCs w:val="18"/>
              </w:rPr>
              <w:t>行对象关于所认购股份限售的承诺函及股份锁定申请》，主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要内容如下：自北京华宇软件股份有限公司本次非公开发行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 w:right="0"/>
              <w:jc w:val="center"/>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16</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24" w:right="191"/>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bl>
    <w:p>
      <w:pPr>
        <w:spacing w:after="0" w:line="316" w:lineRule="auto"/>
        <w:jc w:val="both"/>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35"/>
        <w:gridCol w:w="1419"/>
        <w:gridCol w:w="1277"/>
        <w:gridCol w:w="4817"/>
        <w:gridCol w:w="852"/>
        <w:gridCol w:w="850"/>
        <w:gridCol w:w="1843"/>
      </w:tblGrid>
      <w:tr>
        <w:trPr>
          <w:trHeight w:val="2561" w:hRule="exact"/>
        </w:trPr>
        <w:tc>
          <w:tcPr>
            <w:tcW w:w="2835"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资发展有限公司</w:t>
            </w:r>
          </w:p>
        </w:tc>
        <w:tc>
          <w:tcPr>
            <w:tcW w:w="1277" w:type="dxa"/>
            <w:tcBorders>
              <w:top w:val="single" w:sz="15" w:space="0" w:color="000000"/>
              <w:left w:val="single" w:sz="4" w:space="0" w:color="000000"/>
              <w:bottom w:val="single" w:sz="4" w:space="0" w:color="000000"/>
              <w:right w:val="single" w:sz="4" w:space="0" w:color="000000"/>
            </w:tcBorders>
          </w:tcPr>
          <w:p>
            <w:pPr/>
          </w:p>
        </w:tc>
        <w:tc>
          <w:tcPr>
            <w:tcW w:w="4817"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1"/>
              <w:ind w:left="21" w:right="53"/>
              <w:jc w:val="left"/>
              <w:rPr>
                <w:rFonts w:ascii="宋体" w:hAnsi="宋体" w:cs="宋体" w:eastAsia="宋体" w:hint="default"/>
                <w:sz w:val="18"/>
                <w:szCs w:val="18"/>
              </w:rPr>
            </w:pPr>
            <w:r>
              <w:rPr>
                <w:rFonts w:ascii="宋体" w:hAnsi="宋体" w:cs="宋体" w:eastAsia="宋体" w:hint="default"/>
                <w:sz w:val="18"/>
                <w:szCs w:val="18"/>
              </w:rPr>
              <w:t>的股票上市之日起</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个月内，不转让本单位</w:t>
            </w:r>
            <w:r>
              <w:rPr>
                <w:rFonts w:ascii="Arial" w:hAnsi="Arial" w:cs="Arial" w:eastAsia="Arial" w:hint="default"/>
                <w:sz w:val="18"/>
                <w:szCs w:val="18"/>
              </w:rPr>
              <w:t>/</w:t>
            </w:r>
            <w:r>
              <w:rPr>
                <w:rFonts w:ascii="宋体" w:hAnsi="宋体" w:cs="宋体" w:eastAsia="宋体" w:hint="default"/>
                <w:sz w:val="18"/>
                <w:szCs w:val="18"/>
              </w:rPr>
              <w:t>本人所认购的 上述股份。本单位</w:t>
            </w:r>
            <w:r>
              <w:rPr>
                <w:rFonts w:ascii="Arial" w:hAnsi="Arial" w:cs="Arial" w:eastAsia="Arial" w:hint="default"/>
                <w:sz w:val="18"/>
                <w:szCs w:val="18"/>
              </w:rPr>
              <w:t>/</w:t>
            </w:r>
            <w:r>
              <w:rPr>
                <w:rFonts w:ascii="宋体" w:hAnsi="宋体" w:cs="宋体" w:eastAsia="宋体" w:hint="default"/>
                <w:sz w:val="18"/>
                <w:szCs w:val="18"/>
              </w:rPr>
              <w:t>本人所认购的上述公司股份在锁定期届满 </w:t>
            </w:r>
            <w:r>
              <w:rPr>
                <w:rFonts w:ascii="宋体" w:hAnsi="宋体" w:cs="宋体" w:eastAsia="宋体" w:hint="default"/>
                <w:spacing w:val="-14"/>
                <w:sz w:val="18"/>
                <w:szCs w:val="18"/>
              </w:rPr>
              <w:t>后减持还将遵守《公司法》、《证券法》、《深圳证券交易所股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7"/>
                <w:sz w:val="18"/>
                <w:szCs w:val="18"/>
              </w:rPr>
              <w:t>票上市规则》、《上市公司股东、董监高减持股份的若干规</w:t>
            </w:r>
            <w:r>
              <w:rPr>
                <w:rFonts w:ascii="宋体" w:hAnsi="宋体" w:cs="宋体" w:eastAsia="宋体" w:hint="default"/>
                <w:sz w:val="18"/>
                <w:szCs w:val="18"/>
              </w:rPr>
              <w:t> </w:t>
            </w:r>
            <w:r>
              <w:rPr>
                <w:rFonts w:ascii="宋体" w:hAnsi="宋体" w:cs="宋体" w:eastAsia="宋体" w:hint="default"/>
                <w:spacing w:val="-7"/>
                <w:w w:val="99"/>
                <w:sz w:val="18"/>
                <w:szCs w:val="18"/>
              </w:rPr>
              <w:t>定》（证监会公告</w:t>
            </w:r>
            <w:r>
              <w:rPr>
                <w:rFonts w:ascii="Arial" w:hAnsi="Arial" w:cs="Arial" w:eastAsia="Arial" w:hint="default"/>
                <w:spacing w:val="-7"/>
                <w:w w:val="99"/>
                <w:sz w:val="18"/>
                <w:szCs w:val="18"/>
              </w:rPr>
              <w:t>[2017]9</w:t>
            </w:r>
            <w:r>
              <w:rPr>
                <w:rFonts w:ascii="Arial" w:hAnsi="Arial" w:cs="Arial" w:eastAsia="Arial" w:hint="default"/>
                <w:w w:val="99"/>
                <w:sz w:val="18"/>
                <w:szCs w:val="18"/>
              </w:rPr>
              <w:t> </w:t>
            </w:r>
            <w:r>
              <w:rPr>
                <w:rFonts w:ascii="宋体" w:hAnsi="宋体" w:cs="宋体" w:eastAsia="宋体" w:hint="default"/>
                <w:spacing w:val="-1"/>
                <w:w w:val="100"/>
                <w:sz w:val="18"/>
                <w:szCs w:val="18"/>
              </w:rPr>
              <w:t>号）等法律、法规、规章、规范性</w:t>
            </w:r>
            <w:r>
              <w:rPr>
                <w:rFonts w:ascii="宋体" w:hAnsi="宋体" w:cs="宋体" w:eastAsia="宋体" w:hint="default"/>
                <w:spacing w:val="-68"/>
                <w:w w:val="100"/>
                <w:sz w:val="18"/>
                <w:szCs w:val="18"/>
              </w:rPr>
              <w:t> </w:t>
            </w:r>
            <w:r>
              <w:rPr>
                <w:rFonts w:ascii="宋体" w:hAnsi="宋体" w:cs="宋体" w:eastAsia="宋体" w:hint="default"/>
                <w:spacing w:val="-68"/>
                <w:w w:val="100"/>
                <w:sz w:val="18"/>
                <w:szCs w:val="18"/>
              </w:rPr>
            </w:r>
            <w:r>
              <w:rPr>
                <w:rFonts w:ascii="宋体" w:hAnsi="宋体" w:cs="宋体" w:eastAsia="宋体" w:hint="default"/>
                <w:spacing w:val="-4"/>
                <w:w w:val="100"/>
                <w:sz w:val="18"/>
                <w:szCs w:val="18"/>
              </w:rPr>
              <w:t>文件、深圳证券交易所相关规则（《深圳证券交易所上市公</w:t>
            </w:r>
            <w:r>
              <w:rPr>
                <w:rFonts w:ascii="宋体" w:hAnsi="宋体" w:cs="宋体" w:eastAsia="宋体" w:hint="default"/>
                <w:spacing w:val="-78"/>
                <w:w w:val="100"/>
                <w:sz w:val="18"/>
                <w:szCs w:val="18"/>
              </w:rPr>
              <w:t> </w:t>
            </w:r>
            <w:r>
              <w:rPr>
                <w:rFonts w:ascii="宋体" w:hAnsi="宋体" w:cs="宋体" w:eastAsia="宋体" w:hint="default"/>
                <w:spacing w:val="-78"/>
                <w:w w:val="100"/>
                <w:sz w:val="18"/>
                <w:szCs w:val="18"/>
              </w:rPr>
            </w:r>
            <w:r>
              <w:rPr>
                <w:rFonts w:ascii="宋体" w:hAnsi="宋体" w:cs="宋体" w:eastAsia="宋体" w:hint="default"/>
                <w:sz w:val="18"/>
                <w:szCs w:val="18"/>
              </w:rPr>
              <w:t>司股东及董事、监事、高级管理人员减持股份实施细则》</w:t>
            </w:r>
            <w:r>
              <w:rPr>
                <w:rFonts w:ascii="宋体" w:hAnsi="宋体" w:cs="宋体" w:eastAsia="宋体" w:hint="default"/>
                <w:w w:val="100"/>
                <w:sz w:val="18"/>
                <w:szCs w:val="18"/>
              </w:rPr>
              <w:t> </w:t>
            </w:r>
            <w:r>
              <w:rPr>
                <w:rFonts w:ascii="宋体" w:hAnsi="宋体" w:cs="宋体" w:eastAsia="宋体" w:hint="default"/>
                <w:sz w:val="18"/>
                <w:szCs w:val="18"/>
              </w:rPr>
              <w:t>等）以及《公司章程》的相关规定。</w:t>
            </w: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843" w:type="dxa"/>
            <w:tcBorders>
              <w:top w:val="single" w:sz="15" w:space="0" w:color="000000"/>
              <w:left w:val="single" w:sz="4" w:space="0" w:color="000000"/>
              <w:bottom w:val="single" w:sz="4" w:space="0" w:color="000000"/>
              <w:right w:val="single" w:sz="4" w:space="0" w:color="000000"/>
            </w:tcBorders>
          </w:tcPr>
          <w:p>
            <w:pPr/>
          </w:p>
        </w:tc>
      </w:tr>
      <w:tr>
        <w:trPr>
          <w:trHeight w:val="6916"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朱明武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95"/>
              <w:jc w:val="both"/>
              <w:rPr>
                <w:rFonts w:ascii="宋体" w:hAnsi="宋体" w:cs="宋体" w:eastAsia="宋体" w:hint="default"/>
                <w:sz w:val="18"/>
                <w:szCs w:val="18"/>
              </w:rPr>
            </w:pPr>
            <w:r>
              <w:rPr>
                <w:rFonts w:ascii="宋体" w:hAnsi="宋体" w:cs="宋体" w:eastAsia="宋体" w:hint="default"/>
                <w:spacing w:val="-4"/>
                <w:w w:val="99"/>
                <w:sz w:val="18"/>
                <w:szCs w:val="18"/>
              </w:rPr>
              <w:t>任刚、朱明武关于股份锁定期的承诺函主要内容如下：（</w:t>
            </w:r>
            <w:r>
              <w:rPr>
                <w:rFonts w:ascii="Arial" w:hAnsi="Arial" w:cs="Arial" w:eastAsia="Arial" w:hint="default"/>
                <w:spacing w:val="-4"/>
                <w:w w:val="99"/>
                <w:sz w:val="18"/>
                <w:szCs w:val="18"/>
              </w:rPr>
              <w:t>1</w:t>
            </w:r>
            <w:r>
              <w:rPr>
                <w:rFonts w:ascii="宋体" w:hAnsi="宋体" w:cs="宋体" w:eastAsia="宋体" w:hint="default"/>
                <w:spacing w:val="-4"/>
                <w:w w:val="99"/>
                <w:sz w:val="18"/>
                <w:szCs w:val="18"/>
              </w:rPr>
              <w:t>）</w:t>
            </w:r>
            <w:r>
              <w:rPr>
                <w:rFonts w:ascii="宋体" w:hAnsi="宋体" w:cs="宋体" w:eastAsia="宋体" w:hint="default"/>
                <w:spacing w:val="-74"/>
                <w:w w:val="99"/>
                <w:sz w:val="18"/>
                <w:szCs w:val="18"/>
              </w:rPr>
              <w:t> </w:t>
            </w:r>
            <w:r>
              <w:rPr>
                <w:rFonts w:ascii="宋体" w:hAnsi="宋体" w:cs="宋体" w:eastAsia="宋体" w:hint="default"/>
                <w:sz w:val="18"/>
                <w:szCs w:val="18"/>
              </w:rPr>
              <w:t>本人通过本次交易认购的华宇软件发行的股份，本人承诺自 该等股份发行结束之日起</w:t>
            </w:r>
            <w:r>
              <w:rPr>
                <w:rFonts w:ascii="宋体" w:hAnsi="宋体" w:cs="宋体" w:eastAsia="宋体" w:hint="default"/>
                <w:spacing w:val="-44"/>
                <w:sz w:val="18"/>
                <w:szCs w:val="18"/>
              </w:rPr>
              <w:t> </w:t>
            </w:r>
            <w:r>
              <w:rPr>
                <w:rFonts w:ascii="Arial" w:hAnsi="Arial" w:cs="Arial" w:eastAsia="Arial" w:hint="default"/>
                <w:w w:val="99"/>
                <w:sz w:val="18"/>
                <w:szCs w:val="18"/>
              </w:rPr>
              <w:t>12</w:t>
            </w:r>
            <w:r>
              <w:rPr>
                <w:rFonts w:ascii="Arial" w:hAnsi="Arial" w:cs="Arial" w:eastAsia="Arial" w:hint="default"/>
                <w:spacing w:val="-3"/>
                <w:w w:val="99"/>
                <w:sz w:val="18"/>
                <w:szCs w:val="18"/>
              </w:rPr>
              <w:t> </w:t>
            </w:r>
            <w:r>
              <w:rPr>
                <w:rFonts w:ascii="宋体" w:hAnsi="宋体" w:cs="宋体" w:eastAsia="宋体" w:hint="default"/>
                <w:spacing w:val="-7"/>
                <w:w w:val="99"/>
                <w:sz w:val="18"/>
                <w:szCs w:val="18"/>
              </w:rPr>
              <w:t>个月内不转让。（</w:t>
            </w:r>
            <w:r>
              <w:rPr>
                <w:rFonts w:ascii="Arial" w:hAnsi="Arial" w:cs="Arial" w:eastAsia="Arial" w:hint="default"/>
                <w:spacing w:val="-7"/>
                <w:w w:val="99"/>
                <w:sz w:val="18"/>
                <w:szCs w:val="18"/>
              </w:rPr>
              <w:t>2</w:t>
            </w:r>
            <w:r>
              <w:rPr>
                <w:rFonts w:ascii="宋体" w:hAnsi="宋体" w:cs="宋体" w:eastAsia="宋体" w:hint="default"/>
                <w:spacing w:val="-7"/>
                <w:w w:val="99"/>
                <w:sz w:val="18"/>
                <w:szCs w:val="18"/>
              </w:rPr>
              <w:t>）自该等股</w:t>
            </w:r>
          </w:p>
          <w:p>
            <w:pPr>
              <w:pStyle w:val="TableParagraph"/>
              <w:spacing w:line="307" w:lineRule="auto" w:before="5"/>
              <w:ind w:left="21" w:right="58"/>
              <w:jc w:val="left"/>
              <w:rPr>
                <w:rFonts w:ascii="宋体" w:hAnsi="宋体" w:cs="宋体" w:eastAsia="宋体" w:hint="default"/>
                <w:sz w:val="18"/>
                <w:szCs w:val="18"/>
              </w:rPr>
            </w:pPr>
            <w:r>
              <w:rPr>
                <w:rFonts w:ascii="宋体" w:hAnsi="宋体" w:cs="宋体" w:eastAsia="宋体" w:hint="default"/>
                <w:sz w:val="18"/>
                <w:szCs w:val="18"/>
              </w:rPr>
              <w:t>份发行结束之日起满</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个月后，本人因本次交易所取得的 华宇软件的股份将分三批解除锁定并在深圳证券交易所上市 交易：①联奕科技</w:t>
            </w:r>
            <w:r>
              <w:rPr>
                <w:rFonts w:ascii="宋体" w:hAnsi="宋体" w:cs="宋体" w:eastAsia="宋体" w:hint="default"/>
                <w:spacing w:val="-47"/>
                <w:sz w:val="18"/>
                <w:szCs w:val="18"/>
              </w:rPr>
              <w:t>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年度《专项审核报告》出具后，联 奕科技达到《北京华宇软件股份有限公司与任刚、朱明武之 </w:t>
            </w:r>
            <w:r>
              <w:rPr>
                <w:rFonts w:ascii="宋体" w:hAnsi="宋体" w:cs="宋体" w:eastAsia="宋体" w:hint="default"/>
                <w:spacing w:val="-4"/>
                <w:sz w:val="18"/>
                <w:szCs w:val="18"/>
              </w:rPr>
              <w:t>盈利预测补偿协议》（以下简称</w:t>
            </w:r>
            <w:r>
              <w:rPr>
                <w:rFonts w:ascii="Arial" w:hAnsi="Arial" w:cs="Arial" w:eastAsia="Arial" w:hint="default"/>
                <w:spacing w:val="-4"/>
                <w:sz w:val="18"/>
                <w:szCs w:val="18"/>
              </w:rPr>
              <w:t>“</w:t>
            </w:r>
            <w:r>
              <w:rPr>
                <w:rFonts w:ascii="宋体" w:hAnsi="宋体" w:cs="宋体" w:eastAsia="宋体" w:hint="default"/>
                <w:spacing w:val="-4"/>
                <w:sz w:val="18"/>
                <w:szCs w:val="18"/>
              </w:rPr>
              <w:t>《盈利预测补偿协议》</w:t>
            </w:r>
            <w:r>
              <w:rPr>
                <w:rFonts w:ascii="Arial" w:hAnsi="Arial" w:cs="Arial" w:eastAsia="Arial"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72"/>
                <w:sz w:val="18"/>
                <w:szCs w:val="18"/>
              </w:rPr>
              <w:t> </w:t>
            </w: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年度承诺净利润或本人已按照《盈利预测补偿协议》 补偿现金的，本人可转让因本次交易所取得的华宇软件的股 份的</w:t>
            </w:r>
            <w:r>
              <w:rPr>
                <w:rFonts w:ascii="宋体" w:hAnsi="宋体" w:cs="宋体" w:eastAsia="宋体" w:hint="default"/>
                <w:spacing w:val="-48"/>
                <w:sz w:val="18"/>
                <w:szCs w:val="18"/>
              </w:rPr>
              <w:t> </w:t>
            </w:r>
            <w:r>
              <w:rPr>
                <w:rFonts w:ascii="Arial" w:hAnsi="Arial" w:cs="Arial" w:eastAsia="Arial" w:hint="default"/>
                <w:sz w:val="18"/>
                <w:szCs w:val="18"/>
              </w:rPr>
              <w:t>25%</w:t>
            </w:r>
            <w:r>
              <w:rPr>
                <w:rFonts w:ascii="宋体" w:hAnsi="宋体" w:cs="宋体" w:eastAsia="宋体" w:hint="default"/>
                <w:sz w:val="18"/>
                <w:szCs w:val="18"/>
              </w:rPr>
              <w:t>，但如前述解锁日期早于锁定期届满之日的，前述 解锁日期应延后至锁定期届满之日的次日；②联奕科技</w:t>
            </w:r>
          </w:p>
          <w:p>
            <w:pPr>
              <w:pStyle w:val="TableParagraph"/>
              <w:spacing w:line="304" w:lineRule="auto" w:before="26"/>
              <w:ind w:left="21" w:right="58"/>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5"/>
                <w:sz w:val="18"/>
                <w:szCs w:val="18"/>
              </w:rPr>
              <w:t> </w:t>
            </w:r>
            <w:r>
              <w:rPr>
                <w:rFonts w:ascii="宋体" w:hAnsi="宋体" w:cs="宋体" w:eastAsia="宋体" w:hint="default"/>
                <w:sz w:val="18"/>
                <w:szCs w:val="18"/>
              </w:rPr>
              <w:t>年度《专项审核报告》出具后，联奕科技达到《盈利 预测补偿协议》</w:t>
            </w:r>
            <w:r>
              <w:rPr>
                <w:rFonts w:ascii="Arial" w:hAnsi="Arial" w:cs="Arial" w:eastAsia="Arial" w:hint="default"/>
                <w:sz w:val="18"/>
                <w:szCs w:val="18"/>
              </w:rPr>
              <w:t>2018</w:t>
            </w:r>
            <w:r>
              <w:rPr>
                <w:rFonts w:ascii="Arial" w:hAnsi="Arial" w:cs="Arial" w:eastAsia="Arial" w:hint="default"/>
                <w:spacing w:val="-5"/>
                <w:sz w:val="18"/>
                <w:szCs w:val="18"/>
              </w:rPr>
              <w:t> </w:t>
            </w:r>
            <w:r>
              <w:rPr>
                <w:rFonts w:ascii="宋体" w:hAnsi="宋体" w:cs="宋体" w:eastAsia="宋体" w:hint="default"/>
                <w:sz w:val="18"/>
                <w:szCs w:val="18"/>
              </w:rPr>
              <w:t>年度承诺净利润或本人已按照《盈利 预测补偿协议》补偿现金的，本人可转让因本次交易所取得 的华宇软件的股份的</w:t>
            </w:r>
            <w:r>
              <w:rPr>
                <w:rFonts w:ascii="宋体" w:hAnsi="宋体" w:cs="宋体" w:eastAsia="宋体" w:hint="default"/>
                <w:spacing w:val="-48"/>
                <w:sz w:val="18"/>
                <w:szCs w:val="18"/>
              </w:rPr>
              <w:t> </w:t>
            </w:r>
            <w:r>
              <w:rPr>
                <w:rFonts w:ascii="Arial" w:hAnsi="Arial" w:cs="Arial" w:eastAsia="Arial" w:hint="default"/>
                <w:sz w:val="18"/>
                <w:szCs w:val="18"/>
              </w:rPr>
              <w:t>60%</w:t>
            </w:r>
            <w:r>
              <w:rPr>
                <w:rFonts w:ascii="宋体" w:hAnsi="宋体" w:cs="宋体" w:eastAsia="宋体" w:hint="default"/>
                <w:sz w:val="18"/>
                <w:szCs w:val="18"/>
              </w:rPr>
              <w:t>，但如前述解锁日期早于锁定期届 满之日的，前述解锁日期应延后至锁定期届满之日的次日；</w:t>
            </w:r>
          </w:p>
          <w:p>
            <w:pPr>
              <w:pStyle w:val="TableParagraph"/>
              <w:spacing w:line="309" w:lineRule="auto" w:before="28"/>
              <w:ind w:left="21" w:right="105"/>
              <w:jc w:val="left"/>
              <w:rPr>
                <w:rFonts w:ascii="宋体" w:hAnsi="宋体" w:cs="宋体" w:eastAsia="宋体" w:hint="default"/>
                <w:sz w:val="18"/>
                <w:szCs w:val="18"/>
              </w:rPr>
            </w:pPr>
            <w:r>
              <w:rPr>
                <w:rFonts w:ascii="宋体" w:hAnsi="宋体" w:cs="宋体" w:eastAsia="宋体" w:hint="default"/>
                <w:sz w:val="18"/>
                <w:szCs w:val="18"/>
              </w:rPr>
              <w:t>③联奕科技</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5"/>
                <w:sz w:val="18"/>
                <w:szCs w:val="18"/>
              </w:rPr>
              <w:t> </w:t>
            </w:r>
            <w:r>
              <w:rPr>
                <w:rFonts w:ascii="宋体" w:hAnsi="宋体" w:cs="宋体" w:eastAsia="宋体" w:hint="default"/>
                <w:sz w:val="18"/>
                <w:szCs w:val="18"/>
              </w:rPr>
              <w:t>年度《专项审核报告》及《减值测试报 告》出具后，本人可转让因本次交易所取得的华宇软件的股 份的</w:t>
            </w:r>
            <w:r>
              <w:rPr>
                <w:rFonts w:ascii="宋体" w:hAnsi="宋体" w:cs="宋体" w:eastAsia="宋体" w:hint="default"/>
                <w:spacing w:val="-47"/>
                <w:sz w:val="18"/>
                <w:szCs w:val="18"/>
              </w:rPr>
              <w:t> </w:t>
            </w:r>
            <w:r>
              <w:rPr>
                <w:rFonts w:ascii="Arial" w:hAnsi="Arial" w:cs="Arial" w:eastAsia="Arial" w:hint="default"/>
                <w:sz w:val="18"/>
                <w:szCs w:val="18"/>
              </w:rPr>
              <w:t>100%</w:t>
            </w:r>
            <w:r>
              <w:rPr>
                <w:rFonts w:ascii="宋体" w:hAnsi="宋体" w:cs="宋体" w:eastAsia="宋体" w:hint="default"/>
                <w:sz w:val="18"/>
                <w:szCs w:val="18"/>
              </w:rPr>
              <w:t>，若本人按照《盈利预测补偿协议》应补偿股份 的，则解锁股份需扣除该部分补偿股份，即：本人解锁股份 数</w:t>
            </w:r>
            <w:r>
              <w:rPr>
                <w:rFonts w:ascii="Arial" w:hAnsi="Arial" w:cs="Arial" w:eastAsia="Arial" w:hint="default"/>
                <w:sz w:val="18"/>
                <w:szCs w:val="18"/>
              </w:rPr>
              <w:t>=</w:t>
            </w:r>
            <w:r>
              <w:rPr>
                <w:rFonts w:ascii="宋体" w:hAnsi="宋体" w:cs="宋体" w:eastAsia="宋体" w:hint="default"/>
                <w:sz w:val="18"/>
                <w:szCs w:val="18"/>
              </w:rPr>
              <w:t>本人因本次交易所取得的华宇软件的股份数</w:t>
            </w:r>
            <w:r>
              <w:rPr>
                <w:rFonts w:ascii="Arial" w:hAnsi="Arial" w:cs="Arial" w:eastAsia="Arial" w:hint="default"/>
                <w:sz w:val="18"/>
                <w:szCs w:val="18"/>
              </w:rPr>
              <w:t>×100%</w:t>
            </w:r>
            <w:r>
              <w:rPr>
                <w:rFonts w:ascii="Arial" w:hAnsi="Arial" w:cs="Arial" w:eastAsia="Arial" w:hint="default"/>
                <w:sz w:val="18"/>
                <w:szCs w:val="18"/>
              </w:rPr>
              <w:t>—</w:t>
            </w: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07</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bl>
    <w:p>
      <w:pPr>
        <w:spacing w:after="0" w:line="316" w:lineRule="auto"/>
        <w:jc w:val="both"/>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35"/>
        <w:gridCol w:w="1419"/>
        <w:gridCol w:w="1277"/>
        <w:gridCol w:w="4817"/>
        <w:gridCol w:w="852"/>
        <w:gridCol w:w="850"/>
        <w:gridCol w:w="1846"/>
      </w:tblGrid>
      <w:tr>
        <w:trPr>
          <w:trHeight w:val="5058" w:hRule="exact"/>
        </w:trPr>
        <w:tc>
          <w:tcPr>
            <w:tcW w:w="2835"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817"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1"/>
              <w:ind w:left="21" w:right="53"/>
              <w:jc w:val="left"/>
              <w:rPr>
                <w:rFonts w:ascii="宋体" w:hAnsi="宋体" w:cs="宋体" w:eastAsia="宋体" w:hint="default"/>
                <w:sz w:val="18"/>
                <w:szCs w:val="18"/>
              </w:rPr>
            </w:pPr>
            <w:r>
              <w:rPr>
                <w:rFonts w:ascii="宋体" w:hAnsi="宋体" w:cs="宋体" w:eastAsia="宋体" w:hint="default"/>
                <w:sz w:val="18"/>
                <w:szCs w:val="18"/>
              </w:rPr>
              <w:t>人应补偿股份数。但如前述解锁日期早于锁定期届满之日 </w:t>
            </w:r>
            <w:r>
              <w:rPr>
                <w:rFonts w:ascii="宋体" w:hAnsi="宋体" w:cs="宋体" w:eastAsia="宋体" w:hint="default"/>
                <w:spacing w:val="-4"/>
                <w:w w:val="99"/>
                <w:sz w:val="18"/>
                <w:szCs w:val="18"/>
              </w:rPr>
              <w:t>的，前述解锁日期应延后至锁定期届满之日的次日。（</w:t>
            </w:r>
            <w:r>
              <w:rPr>
                <w:rFonts w:ascii="Arial" w:hAnsi="Arial" w:cs="Arial" w:eastAsia="Arial" w:hint="default"/>
                <w:spacing w:val="-4"/>
                <w:w w:val="99"/>
                <w:sz w:val="18"/>
                <w:szCs w:val="18"/>
              </w:rPr>
              <w:t>3</w:t>
            </w:r>
            <w:r>
              <w:rPr>
                <w:rFonts w:ascii="宋体" w:hAnsi="宋体" w:cs="宋体" w:eastAsia="宋体" w:hint="default"/>
                <w:spacing w:val="-4"/>
                <w:w w:val="99"/>
                <w:sz w:val="18"/>
                <w:szCs w:val="18"/>
              </w:rPr>
              <w:t>）本</w:t>
            </w:r>
            <w:r>
              <w:rPr>
                <w:rFonts w:ascii="宋体" w:hAnsi="宋体" w:cs="宋体" w:eastAsia="宋体" w:hint="default"/>
                <w:spacing w:val="-74"/>
                <w:w w:val="99"/>
                <w:sz w:val="18"/>
                <w:szCs w:val="18"/>
              </w:rPr>
              <w:t> </w:t>
            </w:r>
            <w:r>
              <w:rPr>
                <w:rFonts w:ascii="宋体" w:hAnsi="宋体" w:cs="宋体" w:eastAsia="宋体" w:hint="default"/>
                <w:sz w:val="18"/>
                <w:szCs w:val="18"/>
              </w:rPr>
              <w:t>人于本次交易中取得的华宇软件股份所派生的股份（如因华 宇软件分配股票股利、资本公积转增股本等原因新增取得的 </w:t>
            </w:r>
            <w:r>
              <w:rPr>
                <w:rFonts w:ascii="宋体" w:hAnsi="宋体" w:cs="宋体" w:eastAsia="宋体" w:hint="default"/>
                <w:spacing w:val="-7"/>
                <w:w w:val="100"/>
                <w:sz w:val="18"/>
                <w:szCs w:val="18"/>
              </w:rPr>
              <w:t>股份），亦应遵守上述锁定安排。（</w:t>
            </w:r>
            <w:r>
              <w:rPr>
                <w:rFonts w:ascii="Arial" w:hAnsi="Arial" w:cs="Arial" w:eastAsia="Arial" w:hint="default"/>
                <w:spacing w:val="-7"/>
                <w:w w:val="100"/>
                <w:sz w:val="18"/>
                <w:szCs w:val="18"/>
              </w:rPr>
              <w:t>4</w:t>
            </w:r>
            <w:r>
              <w:rPr>
                <w:rFonts w:ascii="宋体" w:hAnsi="宋体" w:cs="宋体" w:eastAsia="宋体" w:hint="default"/>
                <w:spacing w:val="-7"/>
                <w:w w:val="100"/>
                <w:sz w:val="18"/>
                <w:szCs w:val="18"/>
              </w:rPr>
              <w:t>）如果中国证监会及</w:t>
            </w:r>
            <w:r>
              <w:rPr>
                <w:rFonts w:ascii="Arial" w:hAnsi="Arial" w:cs="Arial" w:eastAsia="Arial" w:hint="default"/>
                <w:spacing w:val="-7"/>
                <w:w w:val="100"/>
                <w:sz w:val="18"/>
                <w:szCs w:val="18"/>
              </w:rPr>
              <w:t>/</w:t>
            </w:r>
            <w:r>
              <w:rPr>
                <w:rFonts w:ascii="宋体" w:hAnsi="宋体" w:cs="宋体" w:eastAsia="宋体" w:hint="default"/>
                <w:spacing w:val="-7"/>
                <w:w w:val="100"/>
                <w:sz w:val="18"/>
                <w:szCs w:val="18"/>
              </w:rPr>
              <w:t>或</w:t>
            </w:r>
            <w:r>
              <w:rPr>
                <w:rFonts w:ascii="宋体" w:hAnsi="宋体" w:cs="宋体" w:eastAsia="宋体" w:hint="default"/>
                <w:spacing w:val="-77"/>
                <w:w w:val="100"/>
                <w:sz w:val="18"/>
                <w:szCs w:val="18"/>
              </w:rPr>
              <w:t> </w:t>
            </w:r>
            <w:r>
              <w:rPr>
                <w:rFonts w:ascii="宋体" w:hAnsi="宋体" w:cs="宋体" w:eastAsia="宋体" w:hint="default"/>
                <w:sz w:val="18"/>
                <w:szCs w:val="18"/>
              </w:rPr>
              <w:t>深圳证券交易所对于上述锁定期安排有不同意见或要求的， 本人将按照中国证监会及</w:t>
            </w:r>
            <w:r>
              <w:rPr>
                <w:rFonts w:ascii="Arial" w:hAnsi="Arial" w:cs="Arial" w:eastAsia="Arial" w:hint="default"/>
                <w:sz w:val="18"/>
                <w:szCs w:val="18"/>
              </w:rPr>
              <w:t>/</w:t>
            </w:r>
            <w:r>
              <w:rPr>
                <w:rFonts w:ascii="宋体" w:hAnsi="宋体" w:cs="宋体" w:eastAsia="宋体" w:hint="default"/>
                <w:sz w:val="18"/>
                <w:szCs w:val="18"/>
              </w:rPr>
              <w:t>或深圳证券交易所的意见或要求对 </w:t>
            </w:r>
            <w:r>
              <w:rPr>
                <w:rFonts w:ascii="宋体" w:hAnsi="宋体" w:cs="宋体" w:eastAsia="宋体" w:hint="default"/>
                <w:spacing w:val="-4"/>
                <w:w w:val="99"/>
                <w:sz w:val="18"/>
                <w:szCs w:val="18"/>
              </w:rPr>
              <w:t>上述锁定期安排进行修订并予执行。（</w:t>
            </w:r>
            <w:r>
              <w:rPr>
                <w:rFonts w:ascii="Arial" w:hAnsi="Arial" w:cs="Arial" w:eastAsia="Arial" w:hint="default"/>
                <w:spacing w:val="-4"/>
                <w:w w:val="99"/>
                <w:sz w:val="18"/>
                <w:szCs w:val="18"/>
              </w:rPr>
              <w:t>5</w:t>
            </w:r>
            <w:r>
              <w:rPr>
                <w:rFonts w:ascii="宋体" w:hAnsi="宋体" w:cs="宋体" w:eastAsia="宋体" w:hint="default"/>
                <w:spacing w:val="-4"/>
                <w:w w:val="99"/>
                <w:sz w:val="18"/>
                <w:szCs w:val="18"/>
              </w:rPr>
              <w:t>）本人进一步承诺，</w:t>
            </w:r>
            <w:r>
              <w:rPr>
                <w:rFonts w:ascii="宋体" w:hAnsi="宋体" w:cs="宋体" w:eastAsia="宋体" w:hint="default"/>
                <w:spacing w:val="-74"/>
                <w:w w:val="99"/>
                <w:sz w:val="18"/>
                <w:szCs w:val="18"/>
              </w:rPr>
              <w:t> </w:t>
            </w:r>
            <w:r>
              <w:rPr>
                <w:rFonts w:ascii="宋体" w:hAnsi="宋体" w:cs="宋体" w:eastAsia="宋体" w:hint="default"/>
                <w:sz w:val="18"/>
                <w:szCs w:val="18"/>
              </w:rPr>
              <w:t>上述股份锁定期限届满后，本人因本次交易所取得的华宇软 件的股份在转让时会同时遵守当时有效的《中华人民共和国 </w:t>
            </w:r>
            <w:r>
              <w:rPr>
                <w:rFonts w:ascii="宋体" w:hAnsi="宋体" w:cs="宋体" w:eastAsia="宋体" w:hint="default"/>
                <w:spacing w:val="-14"/>
                <w:sz w:val="18"/>
                <w:szCs w:val="18"/>
              </w:rPr>
              <w:t>公司法》、《中华人民共和国证券法》、《深圳证券交易所创业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板股票上市规则》等法律、法规、规章和规范性文件以及华 </w:t>
            </w:r>
            <w:r>
              <w:rPr>
                <w:rFonts w:ascii="宋体" w:hAnsi="宋体" w:cs="宋体" w:eastAsia="宋体" w:hint="default"/>
                <w:spacing w:val="-4"/>
                <w:w w:val="99"/>
                <w:sz w:val="18"/>
                <w:szCs w:val="18"/>
              </w:rPr>
              <w:t>宇软件章程的相关规定。（</w:t>
            </w:r>
            <w:r>
              <w:rPr>
                <w:rFonts w:ascii="Arial" w:hAnsi="Arial" w:cs="Arial" w:eastAsia="Arial" w:hint="default"/>
                <w:spacing w:val="-4"/>
                <w:w w:val="99"/>
                <w:sz w:val="18"/>
                <w:szCs w:val="18"/>
              </w:rPr>
              <w:t>6</w:t>
            </w:r>
            <w:r>
              <w:rPr>
                <w:rFonts w:ascii="宋体" w:hAnsi="宋体" w:cs="宋体" w:eastAsia="宋体" w:hint="default"/>
                <w:spacing w:val="-4"/>
                <w:w w:val="99"/>
                <w:sz w:val="18"/>
                <w:szCs w:val="18"/>
              </w:rPr>
              <w:t>）本承诺函一经本人签署即对本</w:t>
            </w:r>
            <w:r>
              <w:rPr>
                <w:rFonts w:ascii="宋体" w:hAnsi="宋体" w:cs="宋体" w:eastAsia="宋体" w:hint="default"/>
                <w:spacing w:val="-74"/>
                <w:w w:val="99"/>
                <w:sz w:val="18"/>
                <w:szCs w:val="18"/>
              </w:rPr>
              <w:t> </w:t>
            </w:r>
            <w:r>
              <w:rPr>
                <w:rFonts w:ascii="宋体" w:hAnsi="宋体" w:cs="宋体" w:eastAsia="宋体" w:hint="default"/>
                <w:sz w:val="18"/>
                <w:szCs w:val="18"/>
              </w:rPr>
              <w:t>人构成有效的、合法的、具有约束力的责任；本人保证严格 履行本承诺函中的各项承诺，如因违反相关承诺并因此给他 人造成损失的，本人将承担相应的法律责任。</w:t>
            </w: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
        </w:tc>
      </w:tr>
      <w:tr>
        <w:trPr>
          <w:trHeight w:val="4419"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王莉丽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王莉丽关于股份锁定期的承诺函主要内容如下</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1</w:t>
            </w:r>
            <w:r>
              <w:rPr>
                <w:rFonts w:ascii="宋体" w:hAnsi="宋体" w:cs="宋体" w:eastAsia="宋体" w:hint="default"/>
                <w:sz w:val="18"/>
                <w:szCs w:val="18"/>
              </w:rPr>
              <w:t>）本人于</w:t>
            </w:r>
          </w:p>
          <w:p>
            <w:pPr>
              <w:pStyle w:val="TableParagraph"/>
              <w:spacing w:line="240" w:lineRule="auto" w:before="63"/>
              <w:ind w:left="21"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月取得联奕科技</w:t>
            </w:r>
            <w:r>
              <w:rPr>
                <w:rFonts w:ascii="宋体" w:hAnsi="宋体" w:cs="宋体" w:eastAsia="宋体" w:hint="default"/>
                <w:spacing w:val="-47"/>
                <w:sz w:val="18"/>
                <w:szCs w:val="18"/>
              </w:rPr>
              <w:t> </w:t>
            </w:r>
            <w:r>
              <w:rPr>
                <w:rFonts w:ascii="Arial" w:hAnsi="Arial" w:cs="Arial" w:eastAsia="Arial" w:hint="default"/>
                <w:sz w:val="18"/>
                <w:szCs w:val="18"/>
              </w:rPr>
              <w:t>19.8%</w:t>
            </w:r>
            <w:r>
              <w:rPr>
                <w:rFonts w:ascii="宋体" w:hAnsi="宋体" w:cs="宋体" w:eastAsia="宋体" w:hint="default"/>
                <w:sz w:val="18"/>
                <w:szCs w:val="18"/>
              </w:rPr>
              <w:t>的股份，考虑到本人持续</w:t>
            </w:r>
          </w:p>
          <w:p>
            <w:pPr>
              <w:pStyle w:val="TableParagraph"/>
              <w:spacing w:line="312" w:lineRule="auto" w:before="63"/>
              <w:ind w:left="21" w:right="29"/>
              <w:jc w:val="left"/>
              <w:rPr>
                <w:rFonts w:ascii="宋体" w:hAnsi="宋体" w:cs="宋体" w:eastAsia="宋体" w:hint="default"/>
                <w:sz w:val="18"/>
                <w:szCs w:val="18"/>
              </w:rPr>
            </w:pPr>
            <w:r>
              <w:rPr>
                <w:rFonts w:ascii="宋体" w:hAnsi="宋体" w:cs="宋体" w:eastAsia="宋体" w:hint="default"/>
                <w:sz w:val="18"/>
                <w:szCs w:val="18"/>
              </w:rPr>
              <w:t>拥有联奕科技前述股份的时间尚不满</w:t>
            </w:r>
            <w:r>
              <w:rPr>
                <w:rFonts w:ascii="宋体" w:hAnsi="宋体" w:cs="宋体" w:eastAsia="宋体" w:hint="default"/>
                <w:spacing w:val="-44"/>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个月，因此，对于 本人通过本次交易以前述联奕科技股份认购取得的华宇软件 发行的股份，本人承诺自华宇软件该等股份发行结束之日起 </w:t>
            </w:r>
            <w:r>
              <w:rPr>
                <w:rFonts w:ascii="Arial" w:hAnsi="Arial" w:cs="Arial" w:eastAsia="Arial" w:hint="default"/>
                <w:w w:val="99"/>
                <w:sz w:val="18"/>
                <w:szCs w:val="18"/>
              </w:rPr>
              <w:t>36 </w:t>
            </w:r>
            <w:r>
              <w:rPr>
                <w:rFonts w:ascii="宋体" w:hAnsi="宋体" w:cs="宋体" w:eastAsia="宋体" w:hint="default"/>
                <w:spacing w:val="-4"/>
                <w:w w:val="99"/>
                <w:sz w:val="18"/>
                <w:szCs w:val="18"/>
              </w:rPr>
              <w:t>个月内不转让。（</w:t>
            </w:r>
            <w:r>
              <w:rPr>
                <w:rFonts w:ascii="Arial" w:hAnsi="Arial" w:cs="Arial" w:eastAsia="Arial" w:hint="default"/>
                <w:spacing w:val="-4"/>
                <w:w w:val="99"/>
                <w:sz w:val="18"/>
                <w:szCs w:val="18"/>
              </w:rPr>
              <w:t>2</w:t>
            </w:r>
            <w:r>
              <w:rPr>
                <w:rFonts w:ascii="宋体" w:hAnsi="宋体" w:cs="宋体" w:eastAsia="宋体" w:hint="default"/>
                <w:spacing w:val="-4"/>
                <w:w w:val="99"/>
                <w:sz w:val="18"/>
                <w:szCs w:val="18"/>
              </w:rPr>
              <w:t>）本人于本次交易中取得的华宇软件股</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份所派生的股份（如因华宇软件分配股票股利、资本公积转 </w:t>
            </w:r>
            <w:r>
              <w:rPr>
                <w:rFonts w:ascii="宋体" w:hAnsi="宋体" w:cs="宋体" w:eastAsia="宋体" w:hint="default"/>
                <w:spacing w:val="-4"/>
                <w:sz w:val="18"/>
                <w:szCs w:val="18"/>
              </w:rPr>
              <w:t>增股本等原因新增取得的股份），亦应遵守上述锁定安排。</w:t>
            </w:r>
          </w:p>
          <w:p>
            <w:pPr>
              <w:pStyle w:val="TableParagraph"/>
              <w:spacing w:line="307" w:lineRule="auto" w:before="23"/>
              <w:ind w:left="21" w:right="53"/>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）如果中国证监会及</w:t>
            </w:r>
            <w:r>
              <w:rPr>
                <w:rFonts w:ascii="Arial" w:hAnsi="Arial" w:cs="Arial" w:eastAsia="Arial" w:hint="default"/>
                <w:sz w:val="18"/>
                <w:szCs w:val="18"/>
              </w:rPr>
              <w:t>/</w:t>
            </w:r>
            <w:r>
              <w:rPr>
                <w:rFonts w:ascii="宋体" w:hAnsi="宋体" w:cs="宋体" w:eastAsia="宋体" w:hint="default"/>
                <w:sz w:val="18"/>
                <w:szCs w:val="18"/>
              </w:rPr>
              <w:t>或深圳证券交易所对于上述锁定期 安排有不同意见或要求的，本人将按照中国证监会及</w:t>
            </w:r>
            <w:r>
              <w:rPr>
                <w:rFonts w:ascii="Arial" w:hAnsi="Arial" w:cs="Arial" w:eastAsia="Arial" w:hint="default"/>
                <w:sz w:val="18"/>
                <w:szCs w:val="18"/>
              </w:rPr>
              <w:t>/</w:t>
            </w:r>
            <w:r>
              <w:rPr>
                <w:rFonts w:ascii="宋体" w:hAnsi="宋体" w:cs="宋体" w:eastAsia="宋体" w:hint="default"/>
                <w:sz w:val="18"/>
                <w:szCs w:val="18"/>
              </w:rPr>
              <w:t>或深圳 证券交易所的意见或要求对上述锁定期安排进行修订并予执 </w:t>
            </w:r>
            <w:r>
              <w:rPr>
                <w:rFonts w:ascii="宋体" w:hAnsi="宋体" w:cs="宋体" w:eastAsia="宋体" w:hint="default"/>
                <w:spacing w:val="-4"/>
                <w:w w:val="99"/>
                <w:sz w:val="18"/>
                <w:szCs w:val="18"/>
              </w:rPr>
              <w:t>行。（</w:t>
            </w:r>
            <w:r>
              <w:rPr>
                <w:rFonts w:ascii="Arial" w:hAnsi="Arial" w:cs="Arial" w:eastAsia="Arial" w:hint="default"/>
                <w:spacing w:val="-4"/>
                <w:w w:val="99"/>
                <w:sz w:val="18"/>
                <w:szCs w:val="18"/>
              </w:rPr>
              <w:t>4</w:t>
            </w:r>
            <w:r>
              <w:rPr>
                <w:rFonts w:ascii="宋体" w:hAnsi="宋体" w:cs="宋体" w:eastAsia="宋体" w:hint="default"/>
                <w:spacing w:val="-4"/>
                <w:w w:val="99"/>
                <w:sz w:val="18"/>
                <w:szCs w:val="18"/>
              </w:rPr>
              <w:t>）本人进一步承诺，上述股份锁定期限届满后，本人</w:t>
            </w:r>
            <w:r>
              <w:rPr>
                <w:rFonts w:ascii="宋体" w:hAnsi="宋体" w:cs="宋体" w:eastAsia="宋体" w:hint="default"/>
                <w:spacing w:val="-74"/>
                <w:w w:val="99"/>
                <w:sz w:val="18"/>
                <w:szCs w:val="18"/>
              </w:rPr>
              <w:t> </w:t>
            </w:r>
            <w:r>
              <w:rPr>
                <w:rFonts w:ascii="宋体" w:hAnsi="宋体" w:cs="宋体" w:eastAsia="宋体" w:hint="default"/>
                <w:sz w:val="18"/>
                <w:szCs w:val="18"/>
              </w:rPr>
              <w:t>因本次交易所取得的华宇软件的股份在转让时会同时遵守当 </w:t>
            </w:r>
            <w:r>
              <w:rPr>
                <w:rFonts w:ascii="宋体" w:hAnsi="宋体" w:cs="宋体" w:eastAsia="宋体" w:hint="default"/>
                <w:spacing w:val="-7"/>
                <w:sz w:val="18"/>
                <w:szCs w:val="18"/>
              </w:rPr>
              <w:t>时有效的《中华人民共和国公司法》、《中华人民共和国证券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Arial" w:hAnsi="Arial" w:cs="Arial" w:eastAsia="Arial" w:hint="default"/>
                <w:sz w:val="18"/>
                <w:szCs w:val="18"/>
              </w:rPr>
            </w:pPr>
            <w:r>
              <w:rPr>
                <w:rFonts w:ascii="Arial" w:hAnsi="Arial" w:cs="Arial" w:eastAsia="Arial" w:hint="default"/>
                <w:sz w:val="18"/>
                <w:szCs w:val="18"/>
              </w:rPr>
              <w:t>2020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9</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1"/>
              <w:ind w:left="24" w:right="191"/>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bl>
    <w:p>
      <w:pPr>
        <w:spacing w:after="0" w:line="319" w:lineRule="auto"/>
        <w:jc w:val="both"/>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35"/>
        <w:gridCol w:w="1419"/>
        <w:gridCol w:w="1277"/>
        <w:gridCol w:w="4817"/>
        <w:gridCol w:w="852"/>
        <w:gridCol w:w="850"/>
        <w:gridCol w:w="1846"/>
      </w:tblGrid>
      <w:tr>
        <w:trPr>
          <w:trHeight w:val="1937" w:hRule="exact"/>
        </w:trPr>
        <w:tc>
          <w:tcPr>
            <w:tcW w:w="2835"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817"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1"/>
              <w:ind w:left="21" w:right="95"/>
              <w:jc w:val="left"/>
              <w:rPr>
                <w:rFonts w:ascii="宋体" w:hAnsi="宋体" w:cs="宋体" w:eastAsia="宋体" w:hint="default"/>
                <w:sz w:val="18"/>
                <w:szCs w:val="18"/>
              </w:rPr>
            </w:pPr>
            <w:r>
              <w:rPr>
                <w:rFonts w:ascii="宋体" w:hAnsi="宋体" w:cs="宋体" w:eastAsia="宋体" w:hint="default"/>
                <w:spacing w:val="-7"/>
                <w:sz w:val="18"/>
                <w:szCs w:val="18"/>
              </w:rPr>
              <w:t>法》、《深圳证券交易所创业板股票上市规则》等法律、法</w:t>
            </w:r>
            <w:r>
              <w:rPr>
                <w:rFonts w:ascii="宋体" w:hAnsi="宋体" w:cs="宋体" w:eastAsia="宋体" w:hint="default"/>
                <w:sz w:val="18"/>
                <w:szCs w:val="18"/>
              </w:rPr>
              <w:t> </w:t>
            </w:r>
            <w:r>
              <w:rPr>
                <w:rFonts w:ascii="宋体" w:hAnsi="宋体" w:cs="宋体" w:eastAsia="宋体" w:hint="default"/>
                <w:spacing w:val="-4"/>
                <w:w w:val="99"/>
                <w:sz w:val="18"/>
                <w:szCs w:val="18"/>
              </w:rPr>
              <w:t>规、规章和规范性文件以及华宇软件章程的相关规定。（</w:t>
            </w:r>
            <w:r>
              <w:rPr>
                <w:rFonts w:ascii="Arial" w:hAnsi="Arial" w:cs="Arial" w:eastAsia="Arial" w:hint="default"/>
                <w:spacing w:val="-4"/>
                <w:w w:val="99"/>
                <w:sz w:val="18"/>
                <w:szCs w:val="18"/>
              </w:rPr>
              <w:t>5</w:t>
            </w:r>
            <w:r>
              <w:rPr>
                <w:rFonts w:ascii="宋体" w:hAnsi="宋体" w:cs="宋体" w:eastAsia="宋体" w:hint="default"/>
                <w:spacing w:val="-4"/>
                <w:w w:val="99"/>
                <w:sz w:val="18"/>
                <w:szCs w:val="18"/>
              </w:rPr>
              <w:t>）</w:t>
            </w:r>
            <w:r>
              <w:rPr>
                <w:rFonts w:ascii="宋体" w:hAnsi="宋体" w:cs="宋体" w:eastAsia="宋体" w:hint="default"/>
                <w:spacing w:val="-74"/>
                <w:w w:val="99"/>
                <w:sz w:val="18"/>
                <w:szCs w:val="18"/>
              </w:rPr>
              <w:t> </w:t>
            </w:r>
            <w:r>
              <w:rPr>
                <w:rFonts w:ascii="宋体" w:hAnsi="宋体" w:cs="宋体" w:eastAsia="宋体" w:hint="default"/>
                <w:sz w:val="18"/>
                <w:szCs w:val="18"/>
              </w:rPr>
              <w:t>本承诺函一经本人签署即对本人构成有效的、合法的、具有 约束力的责任；本人保证严格履行本承诺函中的各项承诺， 如因违反相关承诺并因此给他人造成损失的，本人将承担相 应的法律责任。</w:t>
            </w: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
        </w:tc>
      </w:tr>
      <w:tr>
        <w:trPr>
          <w:trHeight w:val="5708" w:hRule="exact"/>
        </w:trPr>
        <w:tc>
          <w:tcPr>
            <w:tcW w:w="2835"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7" w:lineRule="auto"/>
              <w:ind w:left="23" w:right="22"/>
              <w:jc w:val="left"/>
              <w:rPr>
                <w:rFonts w:ascii="宋体" w:hAnsi="宋体" w:cs="宋体" w:eastAsia="宋体" w:hint="default"/>
                <w:sz w:val="18"/>
                <w:szCs w:val="18"/>
              </w:rPr>
            </w:pPr>
            <w:r>
              <w:rPr>
                <w:rFonts w:ascii="宋体" w:hAnsi="宋体" w:cs="宋体" w:eastAsia="宋体" w:hint="default"/>
                <w:sz w:val="18"/>
                <w:szCs w:val="18"/>
              </w:rPr>
              <w:t>戴力毅</w:t>
            </w:r>
            <w:r>
              <w:rPr>
                <w:rFonts w:ascii="Arial" w:hAnsi="Arial" w:cs="Arial" w:eastAsia="Arial" w:hint="default"/>
                <w:sz w:val="18"/>
                <w:szCs w:val="18"/>
              </w:rPr>
              <w:t>;</w:t>
            </w:r>
            <w:r>
              <w:rPr>
                <w:rFonts w:ascii="宋体" w:hAnsi="宋体" w:cs="宋体" w:eastAsia="宋体" w:hint="default"/>
                <w:sz w:val="18"/>
                <w:szCs w:val="18"/>
              </w:rPr>
              <w:t>广州奕力 腾投资企业（有 限合伙）</w:t>
            </w:r>
            <w:r>
              <w:rPr>
                <w:rFonts w:ascii="Arial" w:hAnsi="Arial" w:cs="Arial" w:eastAsia="Arial" w:hint="default"/>
                <w:sz w:val="18"/>
                <w:szCs w:val="18"/>
              </w:rPr>
              <w:t>;</w:t>
            </w:r>
            <w:r>
              <w:rPr>
                <w:rFonts w:ascii="宋体" w:hAnsi="宋体" w:cs="宋体" w:eastAsia="宋体" w:hint="default"/>
                <w:sz w:val="18"/>
                <w:szCs w:val="18"/>
              </w:rPr>
              <w:t>金玉萍</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瞿启云</w:t>
            </w:r>
            <w:r>
              <w:rPr>
                <w:rFonts w:ascii="Arial" w:hAnsi="Arial" w:cs="Arial" w:eastAsia="Arial" w:hint="default"/>
                <w:sz w:val="18"/>
                <w:szCs w:val="18"/>
              </w:rPr>
              <w:t>;</w:t>
            </w:r>
            <w:r>
              <w:rPr>
                <w:rFonts w:ascii="宋体" w:hAnsi="宋体" w:cs="宋体" w:eastAsia="宋体" w:hint="default"/>
                <w:sz w:val="18"/>
                <w:szCs w:val="18"/>
              </w:rPr>
              <w:t>刘丽华</w:t>
            </w:r>
            <w:r>
              <w:rPr>
                <w:rFonts w:ascii="Arial" w:hAnsi="Arial" w:cs="Arial" w:eastAsia="Arial" w:hint="default"/>
                <w:sz w:val="18"/>
                <w:szCs w:val="18"/>
              </w:rPr>
              <w:t>;</w:t>
            </w:r>
            <w:r>
              <w:rPr>
                <w:rFonts w:ascii="宋体" w:hAnsi="宋体" w:cs="宋体" w:eastAsia="宋体" w:hint="default"/>
                <w:sz w:val="18"/>
                <w:szCs w:val="18"/>
              </w:rPr>
              <w:t>齐 嘉瞻</w:t>
            </w:r>
            <w:r>
              <w:rPr>
                <w:rFonts w:ascii="Arial" w:hAnsi="Arial" w:cs="Arial" w:eastAsia="Arial" w:hint="default"/>
                <w:sz w:val="18"/>
                <w:szCs w:val="18"/>
              </w:rPr>
              <w:t>;</w:t>
            </w:r>
            <w:r>
              <w:rPr>
                <w:rFonts w:ascii="宋体" w:hAnsi="宋体" w:cs="宋体" w:eastAsia="宋体" w:hint="default"/>
                <w:sz w:val="18"/>
                <w:szCs w:val="18"/>
              </w:rPr>
              <w:t>石河子鼎诺 投资管理有限公 司</w:t>
            </w:r>
            <w:r>
              <w:rPr>
                <w:rFonts w:ascii="Arial" w:hAnsi="Arial" w:cs="Arial" w:eastAsia="Arial" w:hint="default"/>
                <w:sz w:val="18"/>
                <w:szCs w:val="18"/>
              </w:rPr>
              <w:t>;</w:t>
            </w:r>
            <w:r>
              <w:rPr>
                <w:rFonts w:ascii="宋体" w:hAnsi="宋体" w:cs="宋体" w:eastAsia="宋体" w:hint="default"/>
                <w:sz w:val="18"/>
                <w:szCs w:val="18"/>
              </w:rPr>
              <w:t>西藏思科瑞股 权投资中心（有 限合伙）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43"/>
              <w:jc w:val="left"/>
              <w:rPr>
                <w:rFonts w:ascii="宋体" w:hAnsi="宋体" w:cs="宋体" w:eastAsia="宋体" w:hint="default"/>
                <w:sz w:val="18"/>
                <w:szCs w:val="18"/>
              </w:rPr>
            </w:pPr>
            <w:r>
              <w:rPr>
                <w:rFonts w:ascii="宋体" w:hAnsi="宋体" w:cs="宋体" w:eastAsia="宋体" w:hint="default"/>
                <w:sz w:val="18"/>
                <w:szCs w:val="18"/>
              </w:rPr>
              <w:t>除任刚、朱明武、横琴瀚鼎、王莉丽之外其他交易对方关于 </w:t>
            </w:r>
            <w:r>
              <w:rPr>
                <w:rFonts w:ascii="宋体" w:hAnsi="宋体" w:cs="宋体" w:eastAsia="宋体" w:hint="default"/>
                <w:spacing w:val="-4"/>
                <w:w w:val="99"/>
                <w:sz w:val="18"/>
                <w:szCs w:val="18"/>
              </w:rPr>
              <w:t>股份锁定期的承诺函主要内容如下：（</w:t>
            </w:r>
            <w:r>
              <w:rPr>
                <w:rFonts w:ascii="Arial" w:hAnsi="Arial" w:cs="Arial" w:eastAsia="Arial" w:hint="default"/>
                <w:spacing w:val="-4"/>
                <w:w w:val="99"/>
                <w:sz w:val="18"/>
                <w:szCs w:val="18"/>
              </w:rPr>
              <w:t>1</w:t>
            </w:r>
            <w:r>
              <w:rPr>
                <w:rFonts w:ascii="宋体" w:hAnsi="宋体" w:cs="宋体" w:eastAsia="宋体" w:hint="default"/>
                <w:spacing w:val="-4"/>
                <w:w w:val="99"/>
                <w:sz w:val="18"/>
                <w:szCs w:val="18"/>
              </w:rPr>
              <w:t>）本人通过本次交易</w:t>
            </w:r>
            <w:r>
              <w:rPr>
                <w:rFonts w:ascii="宋体" w:hAnsi="宋体" w:cs="宋体" w:eastAsia="宋体" w:hint="default"/>
                <w:spacing w:val="-74"/>
                <w:w w:val="99"/>
                <w:sz w:val="18"/>
                <w:szCs w:val="18"/>
              </w:rPr>
              <w:t> </w:t>
            </w:r>
            <w:r>
              <w:rPr>
                <w:rFonts w:ascii="宋体" w:hAnsi="宋体" w:cs="宋体" w:eastAsia="宋体" w:hint="default"/>
                <w:sz w:val="18"/>
                <w:szCs w:val="18"/>
              </w:rPr>
              <w:t>认购的华宇软件发行的股份，本人承诺自该等股份发行结束 之日起</w:t>
            </w:r>
            <w:r>
              <w:rPr>
                <w:rFonts w:ascii="宋体" w:hAnsi="宋体" w:cs="宋体" w:eastAsia="宋体" w:hint="default"/>
                <w:spacing w:val="-42"/>
                <w:sz w:val="18"/>
                <w:szCs w:val="18"/>
              </w:rPr>
              <w:t> </w:t>
            </w:r>
            <w:r>
              <w:rPr>
                <w:rFonts w:ascii="Arial" w:hAnsi="Arial" w:cs="Arial" w:eastAsia="Arial" w:hint="default"/>
                <w:w w:val="99"/>
                <w:sz w:val="18"/>
                <w:szCs w:val="18"/>
              </w:rPr>
              <w:t>12</w:t>
            </w:r>
            <w:r>
              <w:rPr>
                <w:rFonts w:ascii="Arial" w:hAnsi="Arial" w:cs="Arial" w:eastAsia="Arial" w:hint="default"/>
                <w:spacing w:val="-1"/>
                <w:w w:val="99"/>
                <w:sz w:val="18"/>
                <w:szCs w:val="18"/>
              </w:rPr>
              <w:t> </w:t>
            </w:r>
            <w:r>
              <w:rPr>
                <w:rFonts w:ascii="宋体" w:hAnsi="宋体" w:cs="宋体" w:eastAsia="宋体" w:hint="default"/>
                <w:spacing w:val="-5"/>
                <w:w w:val="99"/>
                <w:sz w:val="18"/>
                <w:szCs w:val="18"/>
              </w:rPr>
              <w:t>个月内不转让。（</w:t>
            </w:r>
            <w:r>
              <w:rPr>
                <w:rFonts w:ascii="Arial" w:hAnsi="Arial" w:cs="Arial" w:eastAsia="Arial" w:hint="default"/>
                <w:spacing w:val="-5"/>
                <w:w w:val="99"/>
                <w:sz w:val="18"/>
                <w:szCs w:val="18"/>
              </w:rPr>
              <w:t>2</w:t>
            </w:r>
            <w:r>
              <w:rPr>
                <w:rFonts w:ascii="宋体" w:hAnsi="宋体" w:cs="宋体" w:eastAsia="宋体" w:hint="default"/>
                <w:spacing w:val="-5"/>
                <w:w w:val="99"/>
                <w:sz w:val="18"/>
                <w:szCs w:val="18"/>
              </w:rPr>
              <w:t>）本人于本次交易中取得的华</w:t>
            </w:r>
            <w:r>
              <w:rPr>
                <w:rFonts w:ascii="宋体" w:hAnsi="宋体" w:cs="宋体" w:eastAsia="宋体" w:hint="default"/>
                <w:spacing w:val="-81"/>
                <w:w w:val="99"/>
                <w:sz w:val="18"/>
                <w:szCs w:val="18"/>
              </w:rPr>
              <w:t> </w:t>
            </w:r>
            <w:r>
              <w:rPr>
                <w:rFonts w:ascii="宋体" w:hAnsi="宋体" w:cs="宋体" w:eastAsia="宋体" w:hint="default"/>
                <w:sz w:val="18"/>
                <w:szCs w:val="18"/>
              </w:rPr>
              <w:t>宇软件股份所派生的股份（如因华宇软件分配股票股利、资 </w:t>
            </w:r>
            <w:r>
              <w:rPr>
                <w:rFonts w:ascii="宋体" w:hAnsi="宋体" w:cs="宋体" w:eastAsia="宋体" w:hint="default"/>
                <w:spacing w:val="-4"/>
                <w:sz w:val="18"/>
                <w:szCs w:val="18"/>
              </w:rPr>
              <w:t>本公积转增股本等原因新增取得的股份），亦应遵守上述锁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w w:val="100"/>
                <w:sz w:val="18"/>
                <w:szCs w:val="18"/>
              </w:rPr>
              <w:t>定安排。（</w:t>
            </w:r>
            <w:r>
              <w:rPr>
                <w:rFonts w:ascii="Arial" w:hAnsi="Arial" w:cs="Arial" w:eastAsia="Arial" w:hint="default"/>
                <w:spacing w:val="-4"/>
                <w:w w:val="100"/>
                <w:sz w:val="18"/>
                <w:szCs w:val="18"/>
              </w:rPr>
              <w:t>3</w:t>
            </w:r>
            <w:r>
              <w:rPr>
                <w:rFonts w:ascii="宋体" w:hAnsi="宋体" w:cs="宋体" w:eastAsia="宋体" w:hint="default"/>
                <w:spacing w:val="-4"/>
                <w:w w:val="100"/>
                <w:sz w:val="18"/>
                <w:szCs w:val="18"/>
              </w:rPr>
              <w:t>）如果中国证监会及</w:t>
            </w:r>
            <w:r>
              <w:rPr>
                <w:rFonts w:ascii="Arial" w:hAnsi="Arial" w:cs="Arial" w:eastAsia="Arial" w:hint="default"/>
                <w:spacing w:val="-4"/>
                <w:w w:val="100"/>
                <w:sz w:val="18"/>
                <w:szCs w:val="18"/>
              </w:rPr>
              <w:t>/</w:t>
            </w:r>
            <w:r>
              <w:rPr>
                <w:rFonts w:ascii="宋体" w:hAnsi="宋体" w:cs="宋体" w:eastAsia="宋体" w:hint="default"/>
                <w:spacing w:val="-4"/>
                <w:w w:val="100"/>
                <w:sz w:val="18"/>
                <w:szCs w:val="18"/>
              </w:rPr>
              <w:t>或深圳证券交易所对于上述</w:t>
            </w:r>
            <w:r>
              <w:rPr>
                <w:rFonts w:ascii="宋体" w:hAnsi="宋体" w:cs="宋体" w:eastAsia="宋体" w:hint="default"/>
                <w:spacing w:val="-71"/>
                <w:w w:val="100"/>
                <w:sz w:val="18"/>
                <w:szCs w:val="18"/>
              </w:rPr>
              <w:t> </w:t>
            </w:r>
            <w:r>
              <w:rPr>
                <w:rFonts w:ascii="宋体" w:hAnsi="宋体" w:cs="宋体" w:eastAsia="宋体" w:hint="default"/>
                <w:sz w:val="18"/>
                <w:szCs w:val="18"/>
              </w:rPr>
              <w:t>锁定期安排有不同意见或要求的，本人将按照中国证监会及</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或深圳证券交易所的意见或要求对上述锁定期安排进行修订 </w:t>
            </w:r>
            <w:r>
              <w:rPr>
                <w:rFonts w:ascii="宋体" w:hAnsi="宋体" w:cs="宋体" w:eastAsia="宋体" w:hint="default"/>
                <w:spacing w:val="-4"/>
                <w:w w:val="99"/>
                <w:sz w:val="18"/>
                <w:szCs w:val="18"/>
              </w:rPr>
              <w:t>并予执行。（</w:t>
            </w:r>
            <w:r>
              <w:rPr>
                <w:rFonts w:ascii="Arial" w:hAnsi="Arial" w:cs="Arial" w:eastAsia="Arial" w:hint="default"/>
                <w:spacing w:val="-4"/>
                <w:w w:val="99"/>
                <w:sz w:val="18"/>
                <w:szCs w:val="18"/>
              </w:rPr>
              <w:t>4</w:t>
            </w:r>
            <w:r>
              <w:rPr>
                <w:rFonts w:ascii="宋体" w:hAnsi="宋体" w:cs="宋体" w:eastAsia="宋体" w:hint="default"/>
                <w:spacing w:val="-4"/>
                <w:w w:val="99"/>
                <w:sz w:val="18"/>
                <w:szCs w:val="18"/>
              </w:rPr>
              <w:t>）本人进一步承诺，上述股份锁定期限届满</w:t>
            </w:r>
            <w:r>
              <w:rPr>
                <w:rFonts w:ascii="宋体" w:hAnsi="宋体" w:cs="宋体" w:eastAsia="宋体" w:hint="default"/>
                <w:spacing w:val="-78"/>
                <w:w w:val="99"/>
                <w:sz w:val="18"/>
                <w:szCs w:val="18"/>
              </w:rPr>
              <w:t> </w:t>
            </w:r>
            <w:r>
              <w:rPr>
                <w:rFonts w:ascii="宋体" w:hAnsi="宋体" w:cs="宋体" w:eastAsia="宋体" w:hint="default"/>
                <w:sz w:val="18"/>
                <w:szCs w:val="18"/>
              </w:rPr>
              <w:t>后，本人因本次交易所取得的华宇软件的股份在转让时会同 </w:t>
            </w:r>
            <w:r>
              <w:rPr>
                <w:rFonts w:ascii="宋体" w:hAnsi="宋体" w:cs="宋体" w:eastAsia="宋体" w:hint="default"/>
                <w:spacing w:val="-7"/>
                <w:sz w:val="18"/>
                <w:szCs w:val="18"/>
              </w:rPr>
              <w:t>时遵守当时有效的《中华人民共和国公司法》、《中华人民共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和国证券法》、《深圳证券交易所创业板股票上市规则》等法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律、法规、规章和规范性文件以及华宇软件章程的相关规 </w:t>
            </w:r>
            <w:r>
              <w:rPr>
                <w:rFonts w:ascii="宋体" w:hAnsi="宋体" w:cs="宋体" w:eastAsia="宋体" w:hint="default"/>
                <w:spacing w:val="-4"/>
                <w:w w:val="99"/>
                <w:sz w:val="18"/>
                <w:szCs w:val="18"/>
              </w:rPr>
              <w:t>定。（</w:t>
            </w:r>
            <w:r>
              <w:rPr>
                <w:rFonts w:ascii="Arial" w:hAnsi="Arial" w:cs="Arial" w:eastAsia="Arial" w:hint="default"/>
                <w:spacing w:val="-4"/>
                <w:w w:val="99"/>
                <w:sz w:val="18"/>
                <w:szCs w:val="18"/>
              </w:rPr>
              <w:t>5</w:t>
            </w:r>
            <w:r>
              <w:rPr>
                <w:rFonts w:ascii="宋体" w:hAnsi="宋体" w:cs="宋体" w:eastAsia="宋体" w:hint="default"/>
                <w:spacing w:val="-4"/>
                <w:w w:val="99"/>
                <w:sz w:val="18"/>
                <w:szCs w:val="18"/>
              </w:rPr>
              <w:t>）本承诺函一经本人签署即对本人构成有效的、合法</w:t>
            </w:r>
            <w:r>
              <w:rPr>
                <w:rFonts w:ascii="宋体" w:hAnsi="宋体" w:cs="宋体" w:eastAsia="宋体" w:hint="default"/>
                <w:spacing w:val="-74"/>
                <w:w w:val="99"/>
                <w:sz w:val="18"/>
                <w:szCs w:val="18"/>
              </w:rPr>
              <w:t> </w:t>
            </w:r>
            <w:r>
              <w:rPr>
                <w:rFonts w:ascii="宋体" w:hAnsi="宋体" w:cs="宋体" w:eastAsia="宋体" w:hint="default"/>
                <w:sz w:val="18"/>
                <w:szCs w:val="18"/>
              </w:rPr>
              <w:t>的、具有约束力的责任；本人保证严格履行本承诺函中的各 项承诺，如因违反相关承诺并因此给他人造成损失的，本人 将承担相应的法律责任。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Arial" w:hAnsi="Arial" w:cs="Arial" w:eastAsia="Arial" w:hint="default"/>
                <w:sz w:val="18"/>
                <w:szCs w:val="18"/>
              </w:rPr>
            </w:pPr>
            <w:r>
              <w:rPr>
                <w:rFonts w:ascii="Arial" w:hAnsi="Arial" w:cs="Arial" w:eastAsia="Arial" w:hint="default"/>
                <w:sz w:val="18"/>
                <w:szCs w:val="18"/>
              </w:rPr>
              <w:t>2018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9</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4" w:right="191"/>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1923"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朱明武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359" w:right="95" w:hanging="269"/>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1" w:right="59"/>
              <w:jc w:val="left"/>
              <w:rPr>
                <w:rFonts w:ascii="宋体" w:hAnsi="宋体" w:cs="宋体" w:eastAsia="宋体" w:hint="default"/>
                <w:sz w:val="18"/>
                <w:szCs w:val="18"/>
              </w:rPr>
            </w:pPr>
            <w:r>
              <w:rPr>
                <w:rFonts w:ascii="宋体" w:hAnsi="宋体" w:cs="宋体" w:eastAsia="宋体" w:hint="default"/>
                <w:sz w:val="18"/>
                <w:szCs w:val="18"/>
              </w:rPr>
              <w:t>任刚、朱明武承诺联奕科技：</w:t>
            </w:r>
            <w:r>
              <w:rPr>
                <w:rFonts w:ascii="Arial" w:hAnsi="Arial" w:cs="Arial" w:eastAsia="Arial" w:hint="default"/>
                <w:sz w:val="18"/>
                <w:szCs w:val="18"/>
              </w:rPr>
              <w:t>2017 </w:t>
            </w:r>
            <w:r>
              <w:rPr>
                <w:rFonts w:ascii="宋体" w:hAnsi="宋体" w:cs="宋体" w:eastAsia="宋体" w:hint="default"/>
                <w:sz w:val="18"/>
                <w:szCs w:val="18"/>
              </w:rPr>
              <w:t>年度、</w:t>
            </w:r>
            <w:r>
              <w:rPr>
                <w:rFonts w:ascii="Arial" w:hAnsi="Arial" w:cs="Arial" w:eastAsia="Arial" w:hint="default"/>
                <w:sz w:val="18"/>
                <w:szCs w:val="18"/>
              </w:rPr>
              <w:t>2018</w:t>
            </w:r>
            <w:r>
              <w:rPr>
                <w:rFonts w:ascii="Arial" w:hAnsi="Arial" w:cs="Arial" w:eastAsia="Arial" w:hint="default"/>
                <w:spacing w:val="-14"/>
                <w:sz w:val="18"/>
                <w:szCs w:val="18"/>
              </w:rPr>
              <w:t> </w:t>
            </w:r>
            <w:r>
              <w:rPr>
                <w:rFonts w:ascii="宋体" w:hAnsi="宋体" w:cs="宋体" w:eastAsia="宋体" w:hint="default"/>
                <w:sz w:val="18"/>
                <w:szCs w:val="18"/>
              </w:rPr>
              <w:t>年度、</w:t>
            </w:r>
            <w:r>
              <w:rPr>
                <w:rFonts w:ascii="Arial" w:hAnsi="Arial" w:cs="Arial" w:eastAsia="Arial" w:hint="default"/>
                <w:sz w:val="18"/>
                <w:szCs w:val="18"/>
              </w:rPr>
              <w:t>2019</w:t>
            </w:r>
            <w:r>
              <w:rPr>
                <w:rFonts w:ascii="Arial" w:hAnsi="Arial" w:cs="Arial" w:eastAsia="Arial" w:hint="default"/>
                <w:w w:val="99"/>
                <w:sz w:val="18"/>
                <w:szCs w:val="18"/>
              </w:rPr>
              <w:t> </w:t>
            </w:r>
            <w:r>
              <w:rPr>
                <w:rFonts w:ascii="宋体" w:hAnsi="宋体" w:cs="宋体" w:eastAsia="宋体" w:hint="default"/>
                <w:sz w:val="18"/>
                <w:szCs w:val="18"/>
              </w:rPr>
              <w:t>年度实现的经上市公司聘请的具有证券、期货业务资格的会 计师事务所审计的净利润（以扣除非经常损益（扣除股份支 </w:t>
            </w:r>
            <w:r>
              <w:rPr>
                <w:rFonts w:ascii="宋体" w:hAnsi="宋体" w:cs="宋体" w:eastAsia="宋体" w:hint="default"/>
                <w:spacing w:val="-8"/>
                <w:sz w:val="18"/>
                <w:szCs w:val="18"/>
              </w:rPr>
              <w:t>付影响））分别不低于人民币</w:t>
            </w:r>
            <w:r>
              <w:rPr>
                <w:rFonts w:ascii="宋体" w:hAnsi="宋体" w:cs="宋体" w:eastAsia="宋体" w:hint="default"/>
                <w:spacing w:val="-44"/>
                <w:sz w:val="18"/>
                <w:szCs w:val="18"/>
              </w:rPr>
              <w:t> </w:t>
            </w:r>
            <w:r>
              <w:rPr>
                <w:rFonts w:ascii="Arial" w:hAnsi="Arial" w:cs="Arial" w:eastAsia="Arial" w:hint="default"/>
                <w:w w:val="99"/>
                <w:sz w:val="18"/>
                <w:szCs w:val="18"/>
              </w:rPr>
              <w:t>7,600</w:t>
            </w:r>
            <w:r>
              <w:rPr>
                <w:rFonts w:ascii="Arial" w:hAnsi="Arial" w:cs="Arial" w:eastAsia="Arial" w:hint="default"/>
                <w:spacing w:val="-2"/>
                <w:w w:val="99"/>
                <w:sz w:val="18"/>
                <w:szCs w:val="18"/>
              </w:rPr>
              <w:t> </w:t>
            </w:r>
            <w:r>
              <w:rPr>
                <w:rFonts w:ascii="宋体" w:hAnsi="宋体" w:cs="宋体" w:eastAsia="宋体" w:hint="default"/>
                <w:spacing w:val="-2"/>
                <w:w w:val="99"/>
                <w:sz w:val="18"/>
                <w:szCs w:val="18"/>
              </w:rPr>
              <w:t>万元、</w:t>
            </w:r>
            <w:r>
              <w:rPr>
                <w:rFonts w:ascii="Arial" w:hAnsi="Arial" w:cs="Arial" w:eastAsia="Arial" w:hint="default"/>
                <w:spacing w:val="-2"/>
                <w:w w:val="99"/>
                <w:sz w:val="18"/>
                <w:szCs w:val="18"/>
              </w:rPr>
              <w:t>11,000</w:t>
            </w:r>
            <w:r>
              <w:rPr>
                <w:rFonts w:ascii="Arial" w:hAnsi="Arial" w:cs="Arial" w:eastAsia="Arial" w:hint="default"/>
                <w:spacing w:val="-3"/>
                <w:w w:val="99"/>
                <w:sz w:val="18"/>
                <w:szCs w:val="18"/>
              </w:rPr>
              <w:t> </w:t>
            </w:r>
            <w:r>
              <w:rPr>
                <w:rFonts w:ascii="宋体" w:hAnsi="宋体" w:cs="宋体" w:eastAsia="宋体" w:hint="default"/>
                <w:sz w:val="18"/>
                <w:szCs w:val="18"/>
              </w:rPr>
              <w:t>万元和</w:t>
            </w:r>
            <w:r>
              <w:rPr>
                <w:rFonts w:ascii="宋体" w:hAnsi="宋体" w:cs="宋体" w:eastAsia="宋体" w:hint="default"/>
                <w:spacing w:val="-81"/>
                <w:sz w:val="18"/>
                <w:szCs w:val="18"/>
              </w:rPr>
              <w:t> </w:t>
            </w:r>
            <w:r>
              <w:rPr>
                <w:rFonts w:ascii="Arial" w:hAnsi="Arial" w:cs="Arial" w:eastAsia="Arial" w:hint="default"/>
                <w:sz w:val="18"/>
                <w:szCs w:val="18"/>
              </w:rPr>
              <w:t>14,400</w:t>
            </w:r>
            <w:r>
              <w:rPr>
                <w:rFonts w:ascii="Arial" w:hAnsi="Arial" w:cs="Arial" w:eastAsia="Arial" w:hint="default"/>
                <w:spacing w:val="-6"/>
                <w:sz w:val="18"/>
                <w:szCs w:val="18"/>
              </w:rPr>
              <w:t> </w:t>
            </w:r>
            <w:r>
              <w:rPr>
                <w:rFonts w:ascii="宋体" w:hAnsi="宋体" w:cs="宋体" w:eastAsia="宋体" w:hint="default"/>
                <w:sz w:val="18"/>
                <w:szCs w:val="18"/>
              </w:rPr>
              <w:t>万元。如联奕科技于</w:t>
            </w:r>
            <w:r>
              <w:rPr>
                <w:rFonts w:ascii="宋体" w:hAnsi="宋体" w:cs="宋体" w:eastAsia="宋体" w:hint="default"/>
                <w:spacing w:val="-47"/>
                <w:sz w:val="18"/>
                <w:szCs w:val="18"/>
              </w:rPr>
              <w:t> </w:t>
            </w: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年和</w:t>
            </w:r>
            <w:r>
              <w:rPr>
                <w:rFonts w:ascii="宋体" w:hAnsi="宋体" w:cs="宋体" w:eastAsia="宋体" w:hint="default"/>
                <w:spacing w:val="-47"/>
                <w:sz w:val="18"/>
                <w:szCs w:val="18"/>
              </w:rPr>
              <w:t> </w:t>
            </w: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年经 审计的归属母公司股东的净利润（以扣除非经常损益（扣除</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6" w:right="0"/>
              <w:jc w:val="left"/>
              <w:rPr>
                <w:rFonts w:ascii="Arial" w:hAnsi="Arial" w:cs="Arial" w:eastAsia="Arial" w:hint="default"/>
                <w:sz w:val="18"/>
                <w:szCs w:val="18"/>
              </w:rPr>
            </w:pPr>
            <w:r>
              <w:rPr>
                <w:rFonts w:ascii="Arial" w:hAnsi="Arial" w:cs="Arial" w:eastAsia="Arial" w:hint="default"/>
                <w:sz w:val="18"/>
                <w:szCs w:val="18"/>
              </w:rPr>
              <w:t>2020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4</w:t>
            </w:r>
          </w:p>
          <w:p>
            <w:pPr>
              <w:pStyle w:val="TableParagraph"/>
              <w:spacing w:line="240" w:lineRule="auto" w:before="61"/>
              <w:ind w:left="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24" w:right="191"/>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bl>
    <w:p>
      <w:pPr>
        <w:spacing w:after="0" w:line="316" w:lineRule="auto"/>
        <w:jc w:val="both"/>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35"/>
        <w:gridCol w:w="1419"/>
        <w:gridCol w:w="1277"/>
        <w:gridCol w:w="4817"/>
        <w:gridCol w:w="852"/>
        <w:gridCol w:w="850"/>
        <w:gridCol w:w="1846"/>
      </w:tblGrid>
      <w:tr>
        <w:trPr>
          <w:trHeight w:val="1001" w:hRule="exact"/>
        </w:trPr>
        <w:tc>
          <w:tcPr>
            <w:tcW w:w="2835"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817"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193"/>
              <w:jc w:val="left"/>
              <w:rPr>
                <w:rFonts w:ascii="宋体" w:hAnsi="宋体" w:cs="宋体" w:eastAsia="宋体" w:hint="default"/>
                <w:sz w:val="18"/>
                <w:szCs w:val="18"/>
              </w:rPr>
            </w:pPr>
            <w:r>
              <w:rPr>
                <w:rFonts w:ascii="宋体" w:hAnsi="宋体" w:cs="宋体" w:eastAsia="宋体" w:hint="default"/>
                <w:spacing w:val="-4"/>
                <w:sz w:val="18"/>
                <w:szCs w:val="18"/>
              </w:rPr>
              <w:t>股份支付影响））未达到承诺业绩，则业绩承诺方应按照签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署的《盈利预测补偿协议》的具体约定向上市公司进行补 偿。</w:t>
            </w: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846" w:type="dxa"/>
            <w:tcBorders>
              <w:top w:val="single" w:sz="15" w:space="0" w:color="000000"/>
              <w:left w:val="single" w:sz="4" w:space="0" w:color="000000"/>
              <w:bottom w:val="single" w:sz="4" w:space="0" w:color="000000"/>
              <w:right w:val="single" w:sz="4" w:space="0" w:color="000000"/>
            </w:tcBorders>
          </w:tcPr>
          <w:p>
            <w:pPr/>
          </w:p>
        </w:tc>
      </w:tr>
      <w:tr>
        <w:trPr>
          <w:trHeight w:val="5084" w:hRule="exact"/>
        </w:trPr>
        <w:tc>
          <w:tcPr>
            <w:tcW w:w="2835"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3" w:right="22"/>
              <w:jc w:val="left"/>
              <w:rPr>
                <w:rFonts w:ascii="宋体" w:hAnsi="宋体" w:cs="宋体" w:eastAsia="宋体" w:hint="default"/>
                <w:sz w:val="18"/>
                <w:szCs w:val="18"/>
              </w:rPr>
            </w:pPr>
            <w:r>
              <w:rPr>
                <w:rFonts w:ascii="宋体" w:hAnsi="宋体" w:cs="宋体" w:eastAsia="宋体" w:hint="default"/>
                <w:sz w:val="18"/>
                <w:szCs w:val="18"/>
              </w:rPr>
              <w:t>戴力毅</w:t>
            </w:r>
            <w:r>
              <w:rPr>
                <w:rFonts w:ascii="Arial" w:hAnsi="Arial" w:cs="Arial" w:eastAsia="Arial" w:hint="default"/>
                <w:sz w:val="18"/>
                <w:szCs w:val="18"/>
              </w:rPr>
              <w:t>;</w:t>
            </w:r>
            <w:r>
              <w:rPr>
                <w:rFonts w:ascii="宋体" w:hAnsi="宋体" w:cs="宋体" w:eastAsia="宋体" w:hint="default"/>
                <w:sz w:val="18"/>
                <w:szCs w:val="18"/>
              </w:rPr>
              <w:t>广州奕力 腾投资企业（有 限合伙）</w:t>
            </w:r>
            <w:r>
              <w:rPr>
                <w:rFonts w:ascii="Arial" w:hAnsi="Arial" w:cs="Arial" w:eastAsia="Arial" w:hint="default"/>
                <w:sz w:val="18"/>
                <w:szCs w:val="18"/>
              </w:rPr>
              <w:t>;</w:t>
            </w:r>
            <w:r>
              <w:rPr>
                <w:rFonts w:ascii="宋体" w:hAnsi="宋体" w:cs="宋体" w:eastAsia="宋体" w:hint="default"/>
                <w:sz w:val="18"/>
                <w:szCs w:val="18"/>
              </w:rPr>
              <w:t>金玉萍</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瞿启云</w:t>
            </w:r>
            <w:r>
              <w:rPr>
                <w:rFonts w:ascii="Arial" w:hAnsi="Arial" w:cs="Arial" w:eastAsia="Arial" w:hint="default"/>
                <w:sz w:val="18"/>
                <w:szCs w:val="18"/>
              </w:rPr>
              <w:t>;</w:t>
            </w:r>
            <w:r>
              <w:rPr>
                <w:rFonts w:ascii="宋体" w:hAnsi="宋体" w:cs="宋体" w:eastAsia="宋体" w:hint="default"/>
                <w:sz w:val="18"/>
                <w:szCs w:val="18"/>
              </w:rPr>
              <w:t>刘丽华</w:t>
            </w:r>
            <w:r>
              <w:rPr>
                <w:rFonts w:ascii="Arial" w:hAnsi="Arial" w:cs="Arial" w:eastAsia="Arial" w:hint="default"/>
                <w:sz w:val="18"/>
                <w:szCs w:val="18"/>
              </w:rPr>
              <w:t>;</w:t>
            </w:r>
            <w:r>
              <w:rPr>
                <w:rFonts w:ascii="宋体" w:hAnsi="宋体" w:cs="宋体" w:eastAsia="宋体" w:hint="default"/>
                <w:sz w:val="18"/>
                <w:szCs w:val="18"/>
              </w:rPr>
              <w:t>齐 嘉瞻</w:t>
            </w:r>
            <w:r>
              <w:rPr>
                <w:rFonts w:ascii="Arial" w:hAnsi="Arial" w:cs="Arial" w:eastAsia="Arial" w:hint="default"/>
                <w:sz w:val="18"/>
                <w:szCs w:val="18"/>
              </w:rPr>
              <w:t>;</w:t>
            </w: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石河子 鼎诺投资管理有 限公司</w:t>
            </w:r>
            <w:r>
              <w:rPr>
                <w:rFonts w:ascii="Arial" w:hAnsi="Arial" w:cs="Arial" w:eastAsia="Arial" w:hint="default"/>
                <w:sz w:val="18"/>
                <w:szCs w:val="18"/>
              </w:rPr>
              <w:t>;</w:t>
            </w:r>
            <w:r>
              <w:rPr>
                <w:rFonts w:ascii="宋体" w:hAnsi="宋体" w:cs="宋体" w:eastAsia="宋体" w:hint="default"/>
                <w:sz w:val="18"/>
                <w:szCs w:val="18"/>
              </w:rPr>
              <w:t>王莉丽</w:t>
            </w:r>
            <w:r>
              <w:rPr>
                <w:rFonts w:ascii="Arial" w:hAnsi="Arial" w:cs="Arial" w:eastAsia="Arial" w:hint="default"/>
                <w:sz w:val="18"/>
                <w:szCs w:val="18"/>
              </w:rPr>
              <w:t>;</w:t>
            </w:r>
            <w:r>
              <w:rPr>
                <w:rFonts w:ascii="宋体" w:hAnsi="宋体" w:cs="宋体" w:eastAsia="宋体" w:hint="default"/>
                <w:sz w:val="18"/>
                <w:szCs w:val="18"/>
              </w:rPr>
              <w:t>西 藏思科瑞股权投 资中心（有限合 伙）</w:t>
            </w:r>
            <w:r>
              <w:rPr>
                <w:rFonts w:ascii="Arial" w:hAnsi="Arial" w:cs="Arial" w:eastAsia="Arial" w:hint="default"/>
                <w:sz w:val="18"/>
                <w:szCs w:val="18"/>
              </w:rPr>
              <w:t>;</w:t>
            </w:r>
            <w:r>
              <w:rPr>
                <w:rFonts w:ascii="宋体" w:hAnsi="宋体" w:cs="宋体" w:eastAsia="宋体" w:hint="default"/>
                <w:sz w:val="18"/>
                <w:szCs w:val="18"/>
              </w:rPr>
              <w:t>朱明武</w:t>
            </w:r>
            <w:r>
              <w:rPr>
                <w:rFonts w:ascii="Arial" w:hAnsi="Arial" w:cs="Arial" w:eastAsia="Arial" w:hint="default"/>
                <w:sz w:val="18"/>
                <w:szCs w:val="18"/>
              </w:rPr>
              <w:t>;</w:t>
            </w:r>
            <w:r>
              <w:rPr>
                <w:rFonts w:ascii="宋体" w:hAnsi="宋体" w:cs="宋体" w:eastAsia="宋体" w:hint="default"/>
                <w:sz w:val="18"/>
                <w:szCs w:val="18"/>
              </w:rPr>
              <w:t>珠海 横琴瀚鼎壹号股 权投资合伙企业</w:t>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91" w:right="95" w:hanging="3"/>
              <w:jc w:val="center"/>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105"/>
              <w:jc w:val="left"/>
              <w:rPr>
                <w:rFonts w:ascii="Arial" w:hAnsi="Arial" w:cs="Arial" w:eastAsia="Arial" w:hint="default"/>
                <w:sz w:val="18"/>
                <w:szCs w:val="18"/>
              </w:rPr>
            </w:pPr>
            <w:r>
              <w:rPr>
                <w:rFonts w:ascii="宋体" w:hAnsi="宋体" w:cs="宋体" w:eastAsia="宋体" w:hint="default"/>
                <w:sz w:val="18"/>
                <w:szCs w:val="18"/>
              </w:rPr>
              <w:t>重大资产重组交易对方关于避免同业竞争的承诺：</w:t>
            </w:r>
            <w:r>
              <w:rPr>
                <w:rFonts w:ascii="Arial" w:hAnsi="Arial" w:cs="Arial" w:eastAsia="Arial" w:hint="default"/>
                <w:sz w:val="18"/>
                <w:szCs w:val="18"/>
              </w:rPr>
              <w:t>1</w:t>
            </w:r>
            <w:r>
              <w:rPr>
                <w:rFonts w:ascii="宋体" w:hAnsi="宋体" w:cs="宋体" w:eastAsia="宋体" w:hint="default"/>
                <w:sz w:val="18"/>
                <w:szCs w:val="18"/>
              </w:rPr>
              <w:t>、除非 经华宇软件同意，在联奕科技任职或作为华宇软件股东期 间，除在华宇软件及联奕科技外，本承诺人不会直接从事或 直接或间接通过其他经营实体从事与华宇软件及联奕科技相 同或类似的业务；不会在与华宇软件或联奕科技存在相同或 者类似业务的公司任职或者担任任何形式的顾问；不会以华 宇软件及联奕科技以外的名义为华宇软件及联奕科技现有客 户提供相同或类似服务。本承诺人违反上述承诺的经营利润 归华宇软件所有。</w:t>
            </w:r>
            <w:r>
              <w:rPr>
                <w:rFonts w:ascii="Arial" w:hAnsi="Arial" w:cs="Arial" w:eastAsia="Arial" w:hint="default"/>
                <w:sz w:val="18"/>
                <w:szCs w:val="18"/>
              </w:rPr>
              <w:t>2</w:t>
            </w:r>
            <w:r>
              <w:rPr>
                <w:rFonts w:ascii="宋体" w:hAnsi="宋体" w:cs="宋体" w:eastAsia="宋体" w:hint="default"/>
                <w:sz w:val="18"/>
                <w:szCs w:val="18"/>
              </w:rPr>
              <w:t>、对于因政策调整、市场变化、监管部 门要求等客观原因确需调整本承诺函相应内容的，本承诺人 将积极配合。</w:t>
            </w:r>
            <w:r>
              <w:rPr>
                <w:rFonts w:ascii="Arial" w:hAnsi="Arial" w:cs="Arial" w:eastAsia="Arial" w:hint="default"/>
                <w:sz w:val="18"/>
                <w:szCs w:val="18"/>
              </w:rPr>
              <w:t>3</w:t>
            </w:r>
            <w:r>
              <w:rPr>
                <w:rFonts w:ascii="宋体" w:hAnsi="宋体" w:cs="宋体" w:eastAsia="宋体" w:hint="default"/>
                <w:sz w:val="18"/>
                <w:szCs w:val="18"/>
              </w:rPr>
              <w:t>、本承诺函自签署之日起生效，并在本承诺 人联奕科技任职或作为华宇软件股东期间持续有效，不可撤 销。本承诺人保证严格履行本承诺函中的各项承诺，如因违 反相关承诺，本承诺人将按照实际发生交易所得金额的</w:t>
            </w:r>
            <w:r>
              <w:rPr>
                <w:rFonts w:ascii="宋体" w:hAnsi="宋体" w:cs="宋体" w:eastAsia="宋体" w:hint="default"/>
                <w:spacing w:val="-45"/>
                <w:sz w:val="18"/>
                <w:szCs w:val="18"/>
              </w:rPr>
              <w:t> </w:t>
            </w:r>
            <w:r>
              <w:rPr>
                <w:rFonts w:ascii="Arial" w:hAnsi="Arial" w:cs="Arial" w:eastAsia="Arial" w:hint="default"/>
                <w:sz w:val="18"/>
                <w:szCs w:val="18"/>
              </w:rPr>
              <w:t>10</w:t>
            </w:r>
          </w:p>
          <w:p>
            <w:pPr>
              <w:pStyle w:val="TableParagraph"/>
              <w:spacing w:line="302" w:lineRule="auto" w:before="1"/>
              <w:ind w:left="21" w:right="170"/>
              <w:jc w:val="left"/>
              <w:rPr>
                <w:rFonts w:ascii="宋体" w:hAnsi="宋体" w:cs="宋体" w:eastAsia="宋体" w:hint="default"/>
                <w:sz w:val="18"/>
                <w:szCs w:val="18"/>
              </w:rPr>
            </w:pPr>
            <w:r>
              <w:rPr>
                <w:rFonts w:ascii="宋体" w:hAnsi="宋体" w:cs="宋体" w:eastAsia="宋体" w:hint="default"/>
                <w:sz w:val="18"/>
                <w:szCs w:val="18"/>
              </w:rPr>
              <w:t>倍或华宇软件核算的实际损失的</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倍向华宇软件承担赔偿 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91"/>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3483"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戴力毅</w:t>
            </w:r>
            <w:r>
              <w:rPr>
                <w:rFonts w:ascii="Arial" w:hAnsi="Arial" w:cs="Arial" w:eastAsia="Arial" w:hint="default"/>
                <w:sz w:val="18"/>
                <w:szCs w:val="18"/>
              </w:rPr>
              <w:t>;</w:t>
            </w:r>
            <w:r>
              <w:rPr>
                <w:rFonts w:ascii="宋体" w:hAnsi="宋体" w:cs="宋体" w:eastAsia="宋体" w:hint="default"/>
                <w:sz w:val="18"/>
                <w:szCs w:val="18"/>
              </w:rPr>
              <w:t>广州奕力 腾投资企业（有 限合伙）</w:t>
            </w:r>
            <w:r>
              <w:rPr>
                <w:rFonts w:ascii="Arial" w:hAnsi="Arial" w:cs="Arial" w:eastAsia="Arial" w:hint="default"/>
                <w:sz w:val="18"/>
                <w:szCs w:val="18"/>
              </w:rPr>
              <w:t>;</w:t>
            </w:r>
            <w:r>
              <w:rPr>
                <w:rFonts w:ascii="宋体" w:hAnsi="宋体" w:cs="宋体" w:eastAsia="宋体" w:hint="default"/>
                <w:sz w:val="18"/>
                <w:szCs w:val="18"/>
              </w:rPr>
              <w:t>金玉萍</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瞿启云</w:t>
            </w:r>
            <w:r>
              <w:rPr>
                <w:rFonts w:ascii="Arial" w:hAnsi="Arial" w:cs="Arial" w:eastAsia="Arial" w:hint="default"/>
                <w:sz w:val="18"/>
                <w:szCs w:val="18"/>
              </w:rPr>
              <w:t>;</w:t>
            </w:r>
            <w:r>
              <w:rPr>
                <w:rFonts w:ascii="宋体" w:hAnsi="宋体" w:cs="宋体" w:eastAsia="宋体" w:hint="default"/>
                <w:sz w:val="18"/>
                <w:szCs w:val="18"/>
              </w:rPr>
              <w:t>刘丽华</w:t>
            </w:r>
            <w:r>
              <w:rPr>
                <w:rFonts w:ascii="Arial" w:hAnsi="Arial" w:cs="Arial" w:eastAsia="Arial" w:hint="default"/>
                <w:sz w:val="18"/>
                <w:szCs w:val="18"/>
              </w:rPr>
              <w:t>;</w:t>
            </w:r>
            <w:r>
              <w:rPr>
                <w:rFonts w:ascii="宋体" w:hAnsi="宋体" w:cs="宋体" w:eastAsia="宋体" w:hint="default"/>
                <w:sz w:val="18"/>
                <w:szCs w:val="18"/>
              </w:rPr>
              <w:t>齐 嘉瞻</w:t>
            </w:r>
            <w:r>
              <w:rPr>
                <w:rFonts w:ascii="Arial" w:hAnsi="Arial" w:cs="Arial" w:eastAsia="Arial" w:hint="default"/>
                <w:sz w:val="18"/>
                <w:szCs w:val="18"/>
              </w:rPr>
              <w:t>;</w:t>
            </w: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石河子 鼎诺投资管理有 限公司</w:t>
            </w:r>
            <w:r>
              <w:rPr>
                <w:rFonts w:ascii="Arial" w:hAnsi="Arial" w:cs="Arial" w:eastAsia="Arial" w:hint="default"/>
                <w:sz w:val="18"/>
                <w:szCs w:val="18"/>
              </w:rPr>
              <w:t>;</w:t>
            </w:r>
            <w:r>
              <w:rPr>
                <w:rFonts w:ascii="宋体" w:hAnsi="宋体" w:cs="宋体" w:eastAsia="宋体" w:hint="default"/>
                <w:sz w:val="18"/>
                <w:szCs w:val="18"/>
              </w:rPr>
              <w:t>王莉丽</w:t>
            </w:r>
            <w:r>
              <w:rPr>
                <w:rFonts w:ascii="Arial" w:hAnsi="Arial" w:cs="Arial" w:eastAsia="Arial" w:hint="default"/>
                <w:sz w:val="18"/>
                <w:szCs w:val="18"/>
              </w:rPr>
              <w:t>;</w:t>
            </w:r>
            <w:r>
              <w:rPr>
                <w:rFonts w:ascii="宋体" w:hAnsi="宋体" w:cs="宋体" w:eastAsia="宋体" w:hint="default"/>
                <w:sz w:val="18"/>
                <w:szCs w:val="18"/>
              </w:rPr>
              <w:t>西 藏思科瑞股权投 资中心（有限合 伙）</w:t>
            </w:r>
            <w:r>
              <w:rPr>
                <w:rFonts w:ascii="Arial" w:hAnsi="Arial" w:cs="Arial" w:eastAsia="Arial" w:hint="default"/>
                <w:sz w:val="18"/>
                <w:szCs w:val="18"/>
              </w:rPr>
              <w:t>;</w:t>
            </w:r>
            <w:r>
              <w:rPr>
                <w:rFonts w:ascii="宋体" w:hAnsi="宋体" w:cs="宋体" w:eastAsia="宋体" w:hint="default"/>
                <w:sz w:val="18"/>
                <w:szCs w:val="18"/>
              </w:rPr>
              <w:t>朱明武</w:t>
            </w:r>
            <w:r>
              <w:rPr>
                <w:rFonts w:ascii="Arial" w:hAnsi="Arial" w:cs="Arial" w:eastAsia="Arial" w:hint="default"/>
                <w:sz w:val="18"/>
                <w:szCs w:val="18"/>
              </w:rPr>
              <w:t>;</w:t>
            </w:r>
            <w:r>
              <w:rPr>
                <w:rFonts w:ascii="宋体" w:hAnsi="宋体" w:cs="宋体" w:eastAsia="宋体" w:hint="default"/>
                <w:sz w:val="18"/>
                <w:szCs w:val="18"/>
              </w:rPr>
              <w:t>珠海 横琴瀚鼎壹号股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91" w:right="95" w:hanging="3"/>
              <w:jc w:val="center"/>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5"/>
              <w:jc w:val="left"/>
              <w:rPr>
                <w:rFonts w:ascii="宋体" w:hAnsi="宋体" w:cs="宋体" w:eastAsia="宋体" w:hint="default"/>
                <w:sz w:val="18"/>
                <w:szCs w:val="18"/>
              </w:rPr>
            </w:pPr>
            <w:r>
              <w:rPr>
                <w:rFonts w:ascii="宋体" w:hAnsi="宋体" w:cs="宋体" w:eastAsia="宋体" w:hint="default"/>
                <w:sz w:val="18"/>
                <w:szCs w:val="18"/>
              </w:rPr>
              <w:t>重大资产重组交易对方关于规范关联交易的承诺：在本次交 易完成后，本承诺人及本承诺人控制的企业将尽可能避免和 减少与华宇软件的关联交易，对于无法避免或有合理理由存 在的关联交易，本承诺人及本承诺人控制的企业将与华宇软 件按照公平、公允、等价有偿等原则依法签订协议，并由华 宇软件按照有关法律、法规、其他规范性文件以及华宇软件 章程等的规定，依法履行相关内部决策批准程序并及时履行 信息披露义务；本承诺人保证本承诺人及本承诺人控制的企 业不以与市场价格相比显失公允的条件与华宇软件进行交 易，不利用关联交易非法转移华宇软件的资金、利润，亦不 利用该类交易从事任何损害华宇软件及其他股东合法权益的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2"/>
              <w:ind w:right="0"/>
              <w:jc w:val="center"/>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191"/>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bl>
    <w:p>
      <w:pPr>
        <w:spacing w:after="0" w:line="316" w:lineRule="auto"/>
        <w:jc w:val="both"/>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35"/>
        <w:gridCol w:w="1419"/>
        <w:gridCol w:w="1277"/>
        <w:gridCol w:w="4817"/>
        <w:gridCol w:w="852"/>
        <w:gridCol w:w="850"/>
        <w:gridCol w:w="1843"/>
      </w:tblGrid>
      <w:tr>
        <w:trPr>
          <w:trHeight w:val="1001" w:hRule="exact"/>
        </w:trPr>
        <w:tc>
          <w:tcPr>
            <w:tcW w:w="2835"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权投资合伙企业</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7" w:type="dxa"/>
            <w:tcBorders>
              <w:top w:val="single" w:sz="15" w:space="0" w:color="000000"/>
              <w:left w:val="single" w:sz="4" w:space="0" w:color="000000"/>
              <w:bottom w:val="single" w:sz="4" w:space="0" w:color="000000"/>
              <w:right w:val="single" w:sz="4" w:space="0" w:color="000000"/>
            </w:tcBorders>
          </w:tcPr>
          <w:p>
            <w:pPr/>
          </w:p>
        </w:tc>
        <w:tc>
          <w:tcPr>
            <w:tcW w:w="4817"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105"/>
              <w:jc w:val="both"/>
              <w:rPr>
                <w:rFonts w:ascii="宋体" w:hAnsi="宋体" w:cs="宋体" w:eastAsia="宋体" w:hint="default"/>
                <w:sz w:val="18"/>
                <w:szCs w:val="18"/>
              </w:rPr>
            </w:pPr>
            <w:r>
              <w:rPr>
                <w:rFonts w:ascii="宋体" w:hAnsi="宋体" w:cs="宋体" w:eastAsia="宋体" w:hint="default"/>
                <w:sz w:val="18"/>
                <w:szCs w:val="18"/>
              </w:rPr>
              <w:t>行为。若出现违反上述承诺而损害华宇软件利益的情形，本 承诺人将对前述行为而给华宇软件造成的损失向华宇软件进 行赔偿。</w:t>
            </w: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843" w:type="dxa"/>
            <w:tcBorders>
              <w:top w:val="single" w:sz="15" w:space="0" w:color="000000"/>
              <w:left w:val="single" w:sz="4" w:space="0" w:color="000000"/>
              <w:bottom w:val="single" w:sz="4" w:space="0" w:color="000000"/>
              <w:right w:val="single" w:sz="4" w:space="0" w:color="000000"/>
            </w:tcBorders>
          </w:tcPr>
          <w:p>
            <w:pPr/>
          </w:p>
        </w:tc>
      </w:tr>
      <w:tr>
        <w:trPr>
          <w:trHeight w:val="695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朱明武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91" w:right="95" w:hanging="3"/>
              <w:jc w:val="center"/>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4"/>
              <w:jc w:val="left"/>
              <w:rPr>
                <w:rFonts w:ascii="宋体" w:hAnsi="宋体" w:cs="宋体" w:eastAsia="宋体" w:hint="default"/>
                <w:sz w:val="18"/>
                <w:szCs w:val="18"/>
              </w:rPr>
            </w:pPr>
            <w:r>
              <w:rPr>
                <w:rFonts w:ascii="宋体" w:hAnsi="宋体" w:cs="宋体" w:eastAsia="宋体" w:hint="default"/>
                <w:sz w:val="18"/>
                <w:szCs w:val="18"/>
              </w:rPr>
              <w:t>任刚、朱明武关于竞业禁止的承诺：</w:t>
            </w:r>
            <w:r>
              <w:rPr>
                <w:rFonts w:ascii="Arial" w:hAnsi="Arial" w:cs="Arial" w:eastAsia="Arial" w:hint="default"/>
                <w:sz w:val="18"/>
                <w:szCs w:val="18"/>
              </w:rPr>
              <w:t>1</w:t>
            </w:r>
            <w:r>
              <w:rPr>
                <w:rFonts w:ascii="宋体" w:hAnsi="宋体" w:cs="宋体" w:eastAsia="宋体" w:hint="default"/>
                <w:sz w:val="18"/>
                <w:szCs w:val="18"/>
              </w:rPr>
              <w:t>、本承诺人并将促使 其他联奕科技管理层人员（即，于《北京华宇软件股份有限 公司与任刚、王莉丽、石河子鼎诺投资管理有限公司、广州 </w:t>
            </w:r>
            <w:r>
              <w:rPr>
                <w:rFonts w:ascii="宋体" w:hAnsi="宋体" w:cs="宋体" w:eastAsia="宋体" w:hint="default"/>
                <w:spacing w:val="-4"/>
                <w:sz w:val="18"/>
                <w:szCs w:val="18"/>
              </w:rPr>
              <w:t>奕力腾投资企业（有限合伙）、朱明武、瞿启云、西藏思科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瑞股权投资中心（有限合伙）、戴力毅、珠海横琴瀚鼎壹号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股权投资合伙企业（有限合伙）、金玉萍、刘丽华、齐嘉瞻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之发行股份及支付现金购买资产协议》签署日，担任联奕科 技董事、监事、高级管理人员（包括总经理、副总经理、财 </w:t>
            </w:r>
            <w:r>
              <w:rPr>
                <w:rFonts w:ascii="宋体" w:hAnsi="宋体" w:cs="宋体" w:eastAsia="宋体" w:hint="default"/>
                <w:spacing w:val="-4"/>
                <w:sz w:val="18"/>
                <w:szCs w:val="18"/>
              </w:rPr>
              <w:t>务负责人、董事会秘书）、技术总监等人员）于本次交易资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产交割日起</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6"/>
                <w:sz w:val="18"/>
                <w:szCs w:val="18"/>
              </w:rPr>
              <w:t> </w:t>
            </w:r>
            <w:r>
              <w:rPr>
                <w:rFonts w:ascii="宋体" w:hAnsi="宋体" w:cs="宋体" w:eastAsia="宋体" w:hint="default"/>
                <w:sz w:val="18"/>
                <w:szCs w:val="18"/>
              </w:rPr>
              <w:t>个工作日内，与联奕科技签署有效期至少截至</w:t>
            </w:r>
          </w:p>
          <w:p>
            <w:pPr>
              <w:pStyle w:val="TableParagraph"/>
              <w:spacing w:line="248" w:lineRule="exact"/>
              <w:ind w:left="2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日的劳动合同。劳动合同将约定上述任职</w:t>
            </w:r>
          </w:p>
          <w:p>
            <w:pPr>
              <w:pStyle w:val="TableParagraph"/>
              <w:spacing w:line="316" w:lineRule="auto" w:before="63"/>
              <w:ind w:left="21" w:right="105"/>
              <w:jc w:val="both"/>
              <w:rPr>
                <w:rFonts w:ascii="宋体" w:hAnsi="宋体" w:cs="宋体" w:eastAsia="宋体" w:hint="default"/>
                <w:sz w:val="18"/>
                <w:szCs w:val="18"/>
              </w:rPr>
            </w:pPr>
            <w:r>
              <w:rPr>
                <w:rFonts w:ascii="宋体" w:hAnsi="宋体" w:cs="宋体" w:eastAsia="宋体" w:hint="default"/>
                <w:sz w:val="18"/>
                <w:szCs w:val="18"/>
              </w:rPr>
              <w:t>期限及相关限制的事项，并约定至</w:t>
            </w:r>
            <w:r>
              <w:rPr>
                <w:rFonts w:ascii="宋体" w:hAnsi="宋体" w:cs="宋体" w:eastAsia="宋体" w:hint="default"/>
                <w:spacing w:val="-45"/>
                <w:sz w:val="18"/>
                <w:szCs w:val="18"/>
              </w:rPr>
              <w:t> </w:t>
            </w:r>
            <w:r>
              <w:rPr>
                <w:rFonts w:ascii="Arial" w:hAnsi="Arial" w:cs="Arial" w:eastAsia="Arial" w:hint="default"/>
                <w:sz w:val="18"/>
                <w:szCs w:val="18"/>
              </w:rPr>
              <w:t>2019</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日前， 除非因法定事由或经华宇软件书面同意，前述联奕科技管理 层人员不得离职，且在联奕科技任职期间，不得在与华宇软 件、联奕科技及其控制的企业从事相同或相似业务的公司任 职，不得直接或间接从事、经营、投资与华宇软件、联奕科 技及其控制的企业相同或相似的业务，不得以华宇软件及联 奕科技以外的名义为华宇软件及联奕科技现有客户提供相同 或类似服务，若违反前述任职期限及相关限制等事项，其应 按照本承诺函第</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6"/>
                <w:sz w:val="18"/>
                <w:szCs w:val="18"/>
              </w:rPr>
              <w:t> </w:t>
            </w:r>
            <w:r>
              <w:rPr>
                <w:rFonts w:ascii="宋体" w:hAnsi="宋体" w:cs="宋体" w:eastAsia="宋体" w:hint="default"/>
                <w:sz w:val="18"/>
                <w:szCs w:val="18"/>
              </w:rPr>
              <w:t>条的约定承担违约责任。</w:t>
            </w:r>
            <w:r>
              <w:rPr>
                <w:rFonts w:ascii="Arial" w:hAnsi="Arial" w:cs="Arial" w:eastAsia="Arial" w:hint="default"/>
                <w:sz w:val="18"/>
                <w:szCs w:val="18"/>
              </w:rPr>
              <w:t>2</w:t>
            </w:r>
            <w:r>
              <w:rPr>
                <w:rFonts w:ascii="宋体" w:hAnsi="宋体" w:cs="宋体" w:eastAsia="宋体" w:hint="default"/>
                <w:sz w:val="18"/>
                <w:szCs w:val="18"/>
              </w:rPr>
              <w:t>、若违反上述</w:t>
            </w:r>
          </w:p>
          <w:p>
            <w:pPr>
              <w:pStyle w:val="TableParagraph"/>
              <w:spacing w:line="248" w:lineRule="exact"/>
              <w:ind w:left="21" w:right="0"/>
              <w:jc w:val="left"/>
              <w:rPr>
                <w:rFonts w:ascii="宋体" w:hAnsi="宋体" w:cs="宋体" w:eastAsia="宋体" w:hint="default"/>
                <w:sz w:val="18"/>
                <w:szCs w:val="18"/>
              </w:rPr>
            </w:pPr>
            <w:r>
              <w:rPr>
                <w:rFonts w:ascii="宋体" w:hAnsi="宋体" w:cs="宋体" w:eastAsia="宋体" w:hint="default"/>
                <w:sz w:val="18"/>
                <w:szCs w:val="18"/>
              </w:rPr>
              <w:t>承诺，本承诺人将按照实际发生交易所得金额的</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倍或华</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宇软件核算的实际损失的</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倍向华宇软件承担赔偿责任。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4"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31</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161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2" w:lineRule="auto"/>
              <w:ind w:left="23" w:right="123"/>
              <w:jc w:val="both"/>
              <w:rPr>
                <w:rFonts w:ascii="宋体" w:hAnsi="宋体" w:cs="宋体" w:eastAsia="宋体" w:hint="default"/>
                <w:sz w:val="18"/>
                <w:szCs w:val="18"/>
              </w:rPr>
            </w:pPr>
            <w:r>
              <w:rPr>
                <w:rFonts w:ascii="宋体" w:hAnsi="宋体" w:cs="宋体" w:eastAsia="宋体" w:hint="default"/>
                <w:sz w:val="18"/>
                <w:szCs w:val="18"/>
              </w:rPr>
              <w:t>报告期内，公司 或持有</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以上 股东、董监高、 董监高直系亲属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451" w:right="95" w:hanging="360"/>
              <w:jc w:val="left"/>
              <w:rPr>
                <w:rFonts w:ascii="宋体" w:hAnsi="宋体" w:cs="宋体" w:eastAsia="宋体" w:hint="default"/>
                <w:sz w:val="18"/>
                <w:szCs w:val="18"/>
              </w:rPr>
            </w:pPr>
            <w:r>
              <w:rPr>
                <w:rFonts w:ascii="宋体" w:hAnsi="宋体" w:cs="宋体" w:eastAsia="宋体" w:hint="default"/>
                <w:sz w:val="18"/>
                <w:szCs w:val="18"/>
              </w:rPr>
              <w:t>避免同业竞争 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105"/>
              <w:jc w:val="left"/>
              <w:rPr>
                <w:rFonts w:ascii="宋体" w:hAnsi="宋体" w:cs="宋体" w:eastAsia="宋体" w:hint="default"/>
                <w:sz w:val="18"/>
                <w:szCs w:val="18"/>
              </w:rPr>
            </w:pPr>
            <w:r>
              <w:rPr>
                <w:rFonts w:ascii="宋体" w:hAnsi="宋体" w:cs="宋体" w:eastAsia="宋体" w:hint="default"/>
                <w:sz w:val="18"/>
                <w:szCs w:val="18"/>
              </w:rPr>
              <w:t>公司控股股东及实际控制人邵学、发行前持股</w:t>
            </w:r>
            <w:r>
              <w:rPr>
                <w:rFonts w:ascii="宋体" w:hAnsi="宋体" w:cs="宋体" w:eastAsia="宋体" w:hint="default"/>
                <w:spacing w:val="-44"/>
                <w:sz w:val="18"/>
                <w:szCs w:val="18"/>
              </w:rPr>
              <w:t> </w:t>
            </w:r>
            <w:r>
              <w:rPr>
                <w:rFonts w:ascii="Arial" w:hAnsi="Arial" w:cs="Arial" w:eastAsia="Arial" w:hint="default"/>
                <w:sz w:val="18"/>
                <w:szCs w:val="18"/>
              </w:rPr>
              <w:t>5%</w:t>
            </w:r>
            <w:r>
              <w:rPr>
                <w:rFonts w:ascii="宋体" w:hAnsi="宋体" w:cs="宋体" w:eastAsia="宋体" w:hint="default"/>
                <w:sz w:val="18"/>
                <w:szCs w:val="18"/>
              </w:rPr>
              <w:t>的股东孟 庆有、刘文惠、任涛承诺：本人不存在直接或间接从事与公 司相同、相似或在商业上构成任何竞争的业务及活动的情 形，并未拥有从事与公司可能产生同业竞争企业的任何股 份、股权或在任何竞争企业有任何权益；本人将不会以任何</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0" w:right="58"/>
              <w:jc w:val="both"/>
              <w:rPr>
                <w:rFonts w:ascii="宋体" w:hAnsi="宋体" w:cs="宋体" w:eastAsia="宋体" w:hint="default"/>
                <w:sz w:val="18"/>
                <w:szCs w:val="18"/>
              </w:rPr>
            </w:pPr>
            <w:r>
              <w:rPr>
                <w:rFonts w:ascii="宋体" w:hAnsi="宋体" w:cs="宋体" w:eastAsia="宋体" w:hint="default"/>
                <w:sz w:val="18"/>
                <w:szCs w:val="18"/>
              </w:rPr>
              <w:t>以上承诺 有效期为 持有华宇 软件股票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bl>
    <w:p>
      <w:pPr>
        <w:spacing w:after="0" w:line="316" w:lineRule="auto"/>
        <w:jc w:val="both"/>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35"/>
        <w:gridCol w:w="1419"/>
        <w:gridCol w:w="1277"/>
        <w:gridCol w:w="4817"/>
        <w:gridCol w:w="852"/>
        <w:gridCol w:w="850"/>
        <w:gridCol w:w="1846"/>
      </w:tblGrid>
      <w:tr>
        <w:trPr>
          <w:trHeight w:val="2249" w:hRule="exact"/>
        </w:trPr>
        <w:tc>
          <w:tcPr>
            <w:tcW w:w="2835"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817"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103"/>
              <w:jc w:val="both"/>
              <w:rPr>
                <w:rFonts w:ascii="宋体" w:hAnsi="宋体" w:cs="宋体" w:eastAsia="宋体" w:hint="default"/>
                <w:sz w:val="18"/>
                <w:szCs w:val="18"/>
              </w:rPr>
            </w:pPr>
            <w:r>
              <w:rPr>
                <w:rFonts w:ascii="宋体" w:hAnsi="宋体" w:cs="宋体" w:eastAsia="宋体" w:hint="default"/>
                <w:sz w:val="18"/>
                <w:szCs w:val="18"/>
              </w:rPr>
              <w:t>方式直接或间接从事或参与任何与公司相同、相似或在商业 上构成任何竞争的业务及活动，或拥有与公司存在竞争关系 的任何经济实体的权益，或以其他任何形式取得该经济实体 的控制权，或在该经济实体中担任高级管理人员或核心技术 人员；本人将促使本人除公司外的其他控股企业不直接或间 接从事、参与或进行与公司的生产经营相竞争的任何经营活 动。</w:t>
            </w: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期间。</w:t>
            </w:r>
          </w:p>
        </w:tc>
        <w:tc>
          <w:tcPr>
            <w:tcW w:w="1846" w:type="dxa"/>
            <w:tcBorders>
              <w:top w:val="single" w:sz="15" w:space="0" w:color="000000"/>
              <w:left w:val="single" w:sz="4" w:space="0" w:color="000000"/>
              <w:bottom w:val="single" w:sz="4" w:space="0" w:color="000000"/>
              <w:right w:val="single" w:sz="4" w:space="0" w:color="000000"/>
            </w:tcBorders>
          </w:tcPr>
          <w:p>
            <w:pPr/>
          </w:p>
        </w:tc>
      </w:tr>
      <w:tr>
        <w:trPr>
          <w:trHeight w:val="6957"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2" w:lineRule="auto"/>
              <w:ind w:left="23" w:right="123"/>
              <w:jc w:val="both"/>
              <w:rPr>
                <w:rFonts w:ascii="宋体" w:hAnsi="宋体" w:cs="宋体" w:eastAsia="宋体" w:hint="default"/>
                <w:sz w:val="18"/>
                <w:szCs w:val="18"/>
              </w:rPr>
            </w:pPr>
            <w:r>
              <w:rPr>
                <w:rFonts w:ascii="宋体" w:hAnsi="宋体" w:cs="宋体" w:eastAsia="宋体" w:hint="default"/>
                <w:sz w:val="18"/>
                <w:szCs w:val="18"/>
              </w:rPr>
              <w:t>报告期内，公司 或持有</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以上 股东、董监高、 董监高直系亲属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3"/>
              <w:jc w:val="left"/>
              <w:rPr>
                <w:rFonts w:ascii="宋体" w:hAnsi="宋体" w:cs="宋体" w:eastAsia="宋体" w:hint="default"/>
                <w:sz w:val="18"/>
                <w:szCs w:val="18"/>
              </w:rPr>
            </w:pPr>
            <w:r>
              <w:rPr>
                <w:rFonts w:ascii="宋体" w:hAnsi="宋体" w:cs="宋体" w:eastAsia="宋体" w:hint="default"/>
                <w:sz w:val="18"/>
                <w:szCs w:val="18"/>
              </w:rPr>
              <w:t>股东邵学作为公司控股股东及实际控制人、董事长兼总经 理，股东吕宾、赵晓明、任涛、王静、王川、冯显扬、黄福 林、朱相宇、闻连茹、余晴燕作为公司的董事、监事、高级 管理人员，承诺：自公司股票上市之日起三十六个月内，不 转让或者委托他人管理其本次发行之前直接或间接持有的公 司股份，也不由公司回购此部分股份。前述承诺期满后，在 其任职期间每年转让的股份不超过其所持公司股份总数的百 分之二十五；离职后半年内不转让其所持有的公司股份；在 申报离任六个月后的十二个月内通过证券交易所挂牌交易出 售公司股票数量占其持有公司股票总数的比例不超过百分之 五十。股东王秀花、王凯、黄天菊分别作为吕宾、王静、黄 福林的直系亲属，承诺：自发行人股票上市之日起三十六个 月内，不转让或者委托他人管理其本次发行之前直接或间接 持有的公司股份，也不由公司回购此部分股份。前述承诺期 满后，在各自亲属任职期间每年转让的股份不超过其所持公 司股份总数的百分之二十五；在各自亲属离职后半年内不转 让其所持有的公司股份；在各自亲属申报离任六个月后的十 二个月内通过证券交易所挂牌交易出售公司股票数量占其持 有公司股票总数的比例不超过百分之五十。其他股东承诺： 自公司股票上市之日起十二个月内，不转让或者委托他人管 理本次发行之前持有的公司股份，也不由公司回购此部分股 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60" w:right="58"/>
              <w:jc w:val="both"/>
              <w:rPr>
                <w:rFonts w:ascii="宋体" w:hAnsi="宋体" w:cs="宋体" w:eastAsia="宋体" w:hint="default"/>
                <w:sz w:val="18"/>
                <w:szCs w:val="18"/>
              </w:rPr>
            </w:pPr>
            <w:r>
              <w:rPr>
                <w:rFonts w:ascii="宋体" w:hAnsi="宋体" w:cs="宋体" w:eastAsia="宋体" w:hint="default"/>
                <w:sz w:val="18"/>
                <w:szCs w:val="18"/>
              </w:rPr>
              <w:t>以上承诺 有效期为 持有华宇 软件股票 期间。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91"/>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bl>
    <w:p>
      <w:pPr>
        <w:spacing w:after="0" w:line="316" w:lineRule="auto"/>
        <w:jc w:val="both"/>
        <w:rPr>
          <w:rFonts w:ascii="宋体" w:hAnsi="宋体" w:cs="宋体" w:eastAsia="宋体" w:hint="default"/>
          <w:sz w:val="18"/>
          <w:szCs w:val="18"/>
        </w:rPr>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35"/>
        <w:gridCol w:w="1419"/>
        <w:gridCol w:w="1277"/>
        <w:gridCol w:w="4817"/>
        <w:gridCol w:w="852"/>
        <w:gridCol w:w="850"/>
        <w:gridCol w:w="1843"/>
      </w:tblGrid>
      <w:tr>
        <w:trPr>
          <w:trHeight w:val="3227" w:hRule="exact"/>
        </w:trPr>
        <w:tc>
          <w:tcPr>
            <w:tcW w:w="2835"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15" w:space="0" w:color="000000"/>
              <w:left w:val="single" w:sz="4" w:space="0" w:color="000000"/>
              <w:bottom w:val="single" w:sz="4" w:space="0" w:color="000000"/>
              <w:right w:val="single" w:sz="4" w:space="0" w:color="000000"/>
            </w:tcBorders>
          </w:tcPr>
          <w:p>
            <w:pPr/>
          </w:p>
        </w:tc>
        <w:tc>
          <w:tcPr>
            <w:tcW w:w="4817"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51"/>
              <w:ind w:left="21" w:right="105"/>
              <w:jc w:val="left"/>
              <w:rPr>
                <w:rFonts w:ascii="宋体" w:hAnsi="宋体" w:cs="宋体" w:eastAsia="宋体" w:hint="default"/>
                <w:sz w:val="18"/>
                <w:szCs w:val="18"/>
              </w:rPr>
            </w:pPr>
            <w:r>
              <w:rPr>
                <w:rFonts w:ascii="宋体" w:hAnsi="宋体" w:cs="宋体" w:eastAsia="宋体" w:hint="default"/>
                <w:sz w:val="18"/>
                <w:szCs w:val="18"/>
              </w:rPr>
              <w:t>公司承诺本次激励对象行权资金以自筹方式解决，公司不提 供任何形式的财务资助，也不为其获得任何形式的财务资助 提供任何形式的担保或承诺；公司持股</w:t>
            </w:r>
            <w:r>
              <w:rPr>
                <w:rFonts w:ascii="宋体" w:hAnsi="宋体" w:cs="宋体" w:eastAsia="宋体" w:hint="default"/>
                <w:spacing w:val="-44"/>
                <w:sz w:val="18"/>
                <w:szCs w:val="18"/>
              </w:rPr>
              <w:t> </w:t>
            </w:r>
            <w:r>
              <w:rPr>
                <w:rFonts w:ascii="Arial" w:hAnsi="Arial" w:cs="Arial" w:eastAsia="Arial" w:hint="default"/>
                <w:sz w:val="18"/>
                <w:szCs w:val="18"/>
              </w:rPr>
              <w:t>5%</w:t>
            </w:r>
            <w:r>
              <w:rPr>
                <w:rFonts w:ascii="宋体" w:hAnsi="宋体" w:cs="宋体" w:eastAsia="宋体" w:hint="default"/>
                <w:sz w:val="18"/>
                <w:szCs w:val="18"/>
              </w:rPr>
              <w:t>以上的主要股东 或实际控制人及其配偶与直系近亲属未参与本次激励计划； 公司承诺本次股权激励计划（草案）披露前</w:t>
            </w:r>
            <w:r>
              <w:rPr>
                <w:rFonts w:ascii="宋体" w:hAnsi="宋体" w:cs="宋体" w:eastAsia="宋体" w:hint="default"/>
                <w:spacing w:val="-44"/>
                <w:sz w:val="18"/>
                <w:szCs w:val="18"/>
              </w:rPr>
              <w:t> </w:t>
            </w:r>
            <w:r>
              <w:rPr>
                <w:rFonts w:ascii="Arial" w:hAnsi="Arial" w:cs="Arial" w:eastAsia="Arial" w:hint="default"/>
                <w:sz w:val="18"/>
                <w:szCs w:val="18"/>
              </w:rPr>
              <w:t>30</w:t>
            </w:r>
            <w:r>
              <w:rPr>
                <w:rFonts w:ascii="Arial" w:hAnsi="Arial" w:cs="Arial" w:eastAsia="Arial" w:hint="default"/>
                <w:spacing w:val="-4"/>
                <w:sz w:val="18"/>
                <w:szCs w:val="18"/>
              </w:rPr>
              <w:t> </w:t>
            </w:r>
            <w:r>
              <w:rPr>
                <w:rFonts w:ascii="宋体" w:hAnsi="宋体" w:cs="宋体" w:eastAsia="宋体" w:hint="default"/>
                <w:sz w:val="18"/>
                <w:szCs w:val="18"/>
              </w:rPr>
              <w:t>日内，未发 生《上市公司信息披露管理办法》第三十条规定的重大事 项，亦不存在增发新股、资产注入、发行可转债等重大事项 未实施完毕的情形；公司承诺自披露股权激励计划至股权激 励计划经股东大会审议通过后</w:t>
            </w:r>
            <w:r>
              <w:rPr>
                <w:rFonts w:ascii="宋体" w:hAnsi="宋体" w:cs="宋体" w:eastAsia="宋体" w:hint="default"/>
                <w:spacing w:val="-44"/>
                <w:sz w:val="18"/>
                <w:szCs w:val="18"/>
              </w:rPr>
              <w:t> </w:t>
            </w:r>
            <w:r>
              <w:rPr>
                <w:rFonts w:ascii="Arial" w:hAnsi="Arial" w:cs="Arial" w:eastAsia="Arial" w:hint="default"/>
                <w:sz w:val="18"/>
                <w:szCs w:val="18"/>
              </w:rPr>
              <w:t>30</w:t>
            </w:r>
            <w:r>
              <w:rPr>
                <w:rFonts w:ascii="Arial" w:hAnsi="Arial" w:cs="Arial" w:eastAsia="Arial" w:hint="default"/>
                <w:spacing w:val="-4"/>
                <w:sz w:val="18"/>
                <w:szCs w:val="18"/>
              </w:rPr>
              <w:t> </w:t>
            </w:r>
            <w:r>
              <w:rPr>
                <w:rFonts w:ascii="宋体" w:hAnsi="宋体" w:cs="宋体" w:eastAsia="宋体" w:hint="default"/>
                <w:sz w:val="18"/>
                <w:szCs w:val="18"/>
              </w:rPr>
              <w:t>日内，公司不进行增发新 股、资产注入、发行可转债等重大事项。</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Arial" w:hAnsi="Arial" w:cs="Arial" w:eastAsia="Arial" w:hint="default"/>
                <w:sz w:val="18"/>
                <w:szCs w:val="18"/>
              </w:rPr>
            </w:pPr>
            <w:r>
              <w:rPr>
                <w:rFonts w:ascii="Arial" w:hAnsi="Arial" w:cs="Arial" w:eastAsia="Arial" w:hint="default"/>
                <w:sz w:val="18"/>
                <w:szCs w:val="18"/>
              </w:rPr>
              <w:t>05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6" w:right="0"/>
              <w:jc w:val="both"/>
              <w:rPr>
                <w:rFonts w:ascii="Arial" w:hAnsi="Arial" w:cs="Arial" w:eastAsia="Arial" w:hint="default"/>
                <w:sz w:val="18"/>
                <w:szCs w:val="18"/>
              </w:rPr>
            </w:pPr>
            <w:r>
              <w:rPr>
                <w:rFonts w:ascii="Arial" w:hAnsi="Arial" w:cs="Arial" w:eastAsia="Arial" w:hint="default"/>
                <w:sz w:val="18"/>
                <w:szCs w:val="18"/>
              </w:rPr>
              <w:t>2012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5</w:t>
            </w:r>
          </w:p>
          <w:p>
            <w:pPr>
              <w:pStyle w:val="TableParagraph"/>
              <w:spacing w:line="314" w:lineRule="auto" w:before="61"/>
              <w:ind w:left="60" w:right="51" w:hanging="5"/>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4"/>
                <w:sz w:val="18"/>
                <w:szCs w:val="18"/>
              </w:rPr>
              <w:t> </w:t>
            </w:r>
            <w:r>
              <w:rPr>
                <w:rFonts w:ascii="宋体" w:hAnsi="宋体" w:cs="宋体" w:eastAsia="宋体" w:hint="default"/>
                <w:sz w:val="18"/>
                <w:szCs w:val="18"/>
              </w:rPr>
              <w:t>日至 本次股权 激励计划 终止或有 效期结束</w:t>
            </w:r>
          </w:p>
        </w:tc>
        <w:tc>
          <w:tcPr>
            <w:tcW w:w="18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2273" w:hRule="exact"/>
        </w:trPr>
        <w:tc>
          <w:tcPr>
            <w:tcW w:w="2835"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1" w:right="105"/>
              <w:jc w:val="left"/>
              <w:rPr>
                <w:rFonts w:ascii="宋体" w:hAnsi="宋体" w:cs="宋体" w:eastAsia="宋体" w:hint="default"/>
                <w:sz w:val="18"/>
                <w:szCs w:val="18"/>
              </w:rPr>
            </w:pPr>
            <w:r>
              <w:rPr>
                <w:rFonts w:ascii="宋体" w:hAnsi="宋体" w:cs="宋体" w:eastAsia="宋体" w:hint="default"/>
                <w:sz w:val="18"/>
                <w:szCs w:val="18"/>
              </w:rPr>
              <w:t>公司承诺持股</w:t>
            </w:r>
            <w:r>
              <w:rPr>
                <w:rFonts w:ascii="宋体" w:hAnsi="宋体" w:cs="宋体" w:eastAsia="宋体" w:hint="default"/>
                <w:spacing w:val="-47"/>
                <w:sz w:val="18"/>
                <w:szCs w:val="18"/>
              </w:rPr>
              <w:t> </w:t>
            </w:r>
            <w:r>
              <w:rPr>
                <w:rFonts w:ascii="Arial" w:hAnsi="Arial" w:cs="Arial" w:eastAsia="Arial" w:hint="default"/>
                <w:sz w:val="18"/>
                <w:szCs w:val="18"/>
              </w:rPr>
              <w:t>5%</w:t>
            </w:r>
            <w:r>
              <w:rPr>
                <w:rFonts w:ascii="宋体" w:hAnsi="宋体" w:cs="宋体" w:eastAsia="宋体" w:hint="default"/>
                <w:sz w:val="18"/>
                <w:szCs w:val="18"/>
              </w:rPr>
              <w:t>以上的主要股东或实际控制人及其配偶、 直系近亲属未参与本计划；公司承诺不为激励对象依本计划 获取有关限制性股票提供贷款以及其他任何形式的财务资 助，包括为其贷款提供担保。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Arial" w:hAnsi="Arial" w:cs="Arial" w:eastAsia="Arial" w:hint="default"/>
                <w:sz w:val="18"/>
                <w:szCs w:val="18"/>
              </w:rPr>
            </w:pPr>
            <w:r>
              <w:rPr>
                <w:rFonts w:ascii="Arial" w:hAnsi="Arial" w:cs="Arial" w:eastAsia="Arial" w:hint="default"/>
                <w:sz w:val="18"/>
                <w:szCs w:val="18"/>
              </w:rPr>
              <w:t>01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both"/>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1</w:t>
            </w:r>
          </w:p>
          <w:p>
            <w:pPr>
              <w:pStyle w:val="TableParagraph"/>
              <w:spacing w:line="314" w:lineRule="auto" w:before="63"/>
              <w:ind w:left="60" w:right="58" w:firstLine="36"/>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14</w:t>
            </w:r>
            <w:r>
              <w:rPr>
                <w:rFonts w:ascii="Arial" w:hAnsi="Arial" w:cs="Arial" w:eastAsia="Arial" w:hint="default"/>
                <w:spacing w:val="-4"/>
                <w:sz w:val="18"/>
                <w:szCs w:val="18"/>
              </w:rPr>
              <w:t> </w:t>
            </w:r>
            <w:r>
              <w:rPr>
                <w:rFonts w:ascii="宋体" w:hAnsi="宋体" w:cs="宋体" w:eastAsia="宋体" w:hint="default"/>
                <w:sz w:val="18"/>
                <w:szCs w:val="18"/>
              </w:rPr>
              <w:t>日 至本次限 制性股票 激励计划 终止或有 效期结束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2588"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1" w:right="105"/>
              <w:jc w:val="left"/>
              <w:rPr>
                <w:rFonts w:ascii="宋体" w:hAnsi="宋体" w:cs="宋体" w:eastAsia="宋体" w:hint="default"/>
                <w:sz w:val="18"/>
                <w:szCs w:val="18"/>
              </w:rPr>
            </w:pPr>
            <w:r>
              <w:rPr>
                <w:rFonts w:ascii="宋体" w:hAnsi="宋体" w:cs="宋体" w:eastAsia="宋体" w:hint="default"/>
                <w:sz w:val="18"/>
                <w:szCs w:val="18"/>
              </w:rPr>
              <w:t>公司承诺不为激励对象依本计划获取有关限制性股票提供贷 款以及其他任何形式的财务资助，包括为其贷款提供担保。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1" w:right="0"/>
              <w:jc w:val="center"/>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1</w:t>
            </w:r>
          </w:p>
          <w:p>
            <w:pPr>
              <w:pStyle w:val="TableParagraph"/>
              <w:spacing w:line="319" w:lineRule="auto" w:before="63"/>
              <w:ind w:left="60" w:right="58"/>
              <w:jc w:val="center"/>
              <w:rPr>
                <w:rFonts w:ascii="宋体" w:hAnsi="宋体" w:cs="宋体" w:eastAsia="宋体" w:hint="default"/>
                <w:sz w:val="18"/>
                <w:szCs w:val="18"/>
              </w:rPr>
            </w:pPr>
            <w:r>
              <w:rPr>
                <w:rFonts w:ascii="宋体" w:hAnsi="宋体" w:cs="宋体" w:eastAsia="宋体" w:hint="default"/>
                <w:sz w:val="18"/>
                <w:szCs w:val="18"/>
              </w:rPr>
              <w:t>日至本次 限制性股 票激励计 划终止或 有效期结 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截至报告期末，承诺 方遵守以上承诺，未 有违反上述承诺的情 况。</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41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8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66" w:footer="980" w:top="1060" w:bottom="1160" w:left="1360" w:right="1320"/>
        </w:sectPr>
      </w:pPr>
    </w:p>
    <w:p>
      <w:pPr>
        <w:spacing w:line="353" w:lineRule="exact" w:before="0"/>
        <w:ind w:left="140" w:right="0" w:firstLine="0"/>
        <w:jc w:val="left"/>
        <w:rPr>
          <w:rFonts w:ascii="Microsoft JhengHei" w:hAnsi="Microsoft JhengHei" w:cs="Microsoft JhengHei" w:eastAsia="Microsoft JhengHei" w:hint="default"/>
          <w:sz w:val="21"/>
          <w:szCs w:val="21"/>
        </w:rPr>
      </w:pPr>
      <w:r>
        <w:rPr/>
        <w:pict>
          <v:group style="position:absolute;margin-left:70.559998pt;margin-top:2.252832pt;width:700.9pt;height:.1pt;mso-position-horizontal-relative:page;mso-position-vertical-relative:paragraph;z-index:-886672" coordorigin="1411,45" coordsize="14018,2">
            <v:shape style="position:absolute;left:1411;top:45;width:14018;height:2" coordorigin="1411,45" coordsize="14018,0" path="m1411,45l15429,45e" filled="false" stroked="true" strokeweight=".72pt" strokecolor="#000000">
              <v:path arrowok="t"/>
            </v:shape>
            <w10:wrap type="none"/>
          </v:group>
        </w:pic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、公司资产或项目存在盈利预测，且报告期仍处在盈利预测期间，公司就资产或项目达到原盈利预测及其原因做出说明</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left="140" w:right="1095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10"/>
        <w:rPr>
          <w:rFonts w:ascii="宋体" w:hAnsi="宋体" w:cs="宋体" w:eastAsia="宋体" w:hint="default"/>
          <w:sz w:val="4"/>
          <w:szCs w:val="4"/>
        </w:rPr>
      </w:pPr>
    </w:p>
    <w:tbl>
      <w:tblPr>
        <w:tblW w:w="0" w:type="auto"/>
        <w:jc w:val="left"/>
        <w:tblInd w:w="168" w:type="dxa"/>
        <w:tblLayout w:type="fixed"/>
        <w:tblCellMar>
          <w:top w:w="0" w:type="dxa"/>
          <w:left w:w="0" w:type="dxa"/>
          <w:bottom w:w="0" w:type="dxa"/>
          <w:right w:w="0" w:type="dxa"/>
        </w:tblCellMar>
        <w:tblLook w:val="01E0"/>
      </w:tblPr>
      <w:tblGrid>
        <w:gridCol w:w="1560"/>
        <w:gridCol w:w="1558"/>
        <w:gridCol w:w="1561"/>
        <w:gridCol w:w="1133"/>
        <w:gridCol w:w="1702"/>
        <w:gridCol w:w="2835"/>
        <w:gridCol w:w="1702"/>
        <w:gridCol w:w="1843"/>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7" w:hanging="452"/>
              <w:jc w:val="left"/>
              <w:rPr>
                <w:rFonts w:ascii="宋体" w:hAnsi="宋体" w:cs="宋体" w:eastAsia="宋体" w:hint="default"/>
                <w:sz w:val="18"/>
                <w:szCs w:val="18"/>
              </w:rPr>
            </w:pPr>
            <w:r>
              <w:rPr>
                <w:rFonts w:ascii="宋体" w:hAnsi="宋体" w:cs="宋体" w:eastAsia="宋体" w:hint="default"/>
                <w:sz w:val="18"/>
                <w:szCs w:val="18"/>
              </w:rPr>
              <w:t>盈利预测资产或项 目名称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64" w:right="125" w:hanging="540"/>
              <w:jc w:val="left"/>
              <w:rPr>
                <w:rFonts w:ascii="宋体" w:hAnsi="宋体" w:cs="宋体" w:eastAsia="宋体" w:hint="default"/>
                <w:sz w:val="18"/>
                <w:szCs w:val="18"/>
              </w:rPr>
            </w:pPr>
            <w:r>
              <w:rPr>
                <w:rFonts w:ascii="宋体" w:hAnsi="宋体" w:cs="宋体" w:eastAsia="宋体" w:hint="default"/>
                <w:sz w:val="18"/>
                <w:szCs w:val="18"/>
              </w:rPr>
              <w:t>当期实际业绩（万 元）</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原预测披露日期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收购万户网络</w:t>
            </w:r>
          </w:p>
          <w:p>
            <w:pPr>
              <w:pStyle w:val="TableParagraph"/>
              <w:spacing w:line="240" w:lineRule="auto" w:before="76"/>
              <w:ind w:left="21" w:right="0"/>
              <w:jc w:val="left"/>
              <w:rPr>
                <w:rFonts w:ascii="宋体" w:hAnsi="宋体" w:cs="宋体" w:eastAsia="宋体" w:hint="default"/>
                <w:sz w:val="18"/>
                <w:szCs w:val="18"/>
              </w:rPr>
            </w:pPr>
            <w:r>
              <w:rPr>
                <w:rFonts w:ascii="Arial" w:hAnsi="Arial" w:cs="Arial" w:eastAsia="Arial" w:hint="default"/>
                <w:sz w:val="18"/>
                <w:szCs w:val="18"/>
              </w:rPr>
              <w:t>100%</w:t>
            </w:r>
            <w:r>
              <w:rPr>
                <w:rFonts w:ascii="宋体" w:hAnsi="宋体" w:cs="宋体" w:eastAsia="宋体" w:hint="default"/>
                <w:sz w:val="18"/>
                <w:szCs w:val="18"/>
              </w:rPr>
              <w:t>股权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3,887</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4,103.03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hyperlink r:id="rId10">
              <w:r>
                <w:rPr>
                  <w:rFonts w:ascii="Arial"/>
                  <w:sz w:val="18"/>
                </w:rPr>
                <w:t>www.cninfo.com.cn</w:t>
              </w:r>
            </w:hyperlink>
          </w:p>
        </w:tc>
      </w:tr>
      <w:tr>
        <w:trPr>
          <w:trHeight w:val="69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Arial" w:hAnsi="Arial" w:cs="Arial" w:eastAsia="Arial" w:hint="default"/>
                <w:sz w:val="18"/>
                <w:szCs w:val="18"/>
              </w:rPr>
            </w:pPr>
            <w:r>
              <w:rPr>
                <w:rFonts w:ascii="宋体" w:hAnsi="宋体" w:cs="宋体" w:eastAsia="宋体" w:hint="default"/>
                <w:sz w:val="18"/>
                <w:szCs w:val="18"/>
              </w:rPr>
              <w:t>收购华宇金信</w:t>
            </w:r>
            <w:r>
              <w:rPr>
                <w:rFonts w:ascii="宋体" w:hAnsi="宋体" w:cs="宋体" w:eastAsia="宋体" w:hint="default"/>
                <w:spacing w:val="-45"/>
                <w:sz w:val="18"/>
                <w:szCs w:val="18"/>
              </w:rPr>
              <w:t> </w:t>
            </w:r>
            <w:r>
              <w:rPr>
                <w:rFonts w:ascii="Arial" w:hAnsi="Arial" w:cs="Arial" w:eastAsia="Arial" w:hint="default"/>
                <w:sz w:val="18"/>
                <w:szCs w:val="18"/>
              </w:rPr>
              <w:t>49%</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4,320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376.62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随着</w:t>
            </w:r>
            <w:r>
              <w:rPr>
                <w:rFonts w:ascii="宋体" w:hAnsi="宋体" w:cs="宋体" w:eastAsia="宋体" w:hint="default"/>
                <w:spacing w:val="-46"/>
                <w:sz w:val="18"/>
                <w:szCs w:val="18"/>
              </w:rPr>
              <w:t> </w:t>
            </w: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年食品药品监管机构的 调整以及近年来国家、社会对食品 安全信息化的逐渐重视，食品安全 信息化建设由起步逐渐成熟，其信 息化建设的链条由食品生产端、监 管端逐渐向服务端延伸，其市场需 求逐步释放。华宇金信作为食品安 全领域软件及解决方案的行业领先 企业，依托云计算、物联网、大数 据等技术，打造和开发了智慧食药 </w:t>
            </w:r>
            <w:r>
              <w:rPr>
                <w:rFonts w:ascii="宋体" w:hAnsi="宋体" w:cs="宋体" w:eastAsia="宋体" w:hint="default"/>
                <w:spacing w:val="-6"/>
                <w:sz w:val="18"/>
                <w:szCs w:val="18"/>
              </w:rPr>
              <w:t>监、食品药品安全追溯、“互联网</w:t>
            </w:r>
            <w:r>
              <w:rPr>
                <w:rFonts w:ascii="Arial" w:hAnsi="Arial" w:cs="Arial" w:eastAsia="Arial" w:hint="default"/>
                <w:spacing w:val="-6"/>
                <w:sz w:val="18"/>
                <w:szCs w:val="18"/>
              </w:rPr>
              <w:t>+</w:t>
            </w:r>
            <w:r>
              <w:rPr>
                <w:rFonts w:ascii="Arial" w:hAnsi="Arial" w:cs="Arial" w:eastAsia="Arial" w:hint="default"/>
                <w:spacing w:val="-43"/>
                <w:sz w:val="18"/>
                <w:szCs w:val="18"/>
              </w:rPr>
              <w:t> </w:t>
            </w:r>
            <w:r>
              <w:rPr>
                <w:rFonts w:ascii="宋体" w:hAnsi="宋体" w:cs="宋体" w:eastAsia="宋体" w:hint="default"/>
                <w:sz w:val="18"/>
                <w:szCs w:val="18"/>
              </w:rPr>
              <w:t>食品药品”等多个成熟的解决方案 与产品。凭借多年来业务积累对食 品安全行业有着深刻理解，凭借完 整的解决方案和优质的服务，特别 是应用软件的领先优势，公司积累 了大量成功的示范项目，同时已经 在全国市场取得突破，形成了良好 的行业口碑和强劲的市场竞争力。 目前公司业务领域己覆盖全国</w:t>
            </w:r>
            <w:r>
              <w:rPr>
                <w:rFonts w:ascii="宋体" w:hAnsi="宋体" w:cs="宋体" w:eastAsia="宋体" w:hint="default"/>
                <w:spacing w:val="-44"/>
                <w:sz w:val="18"/>
                <w:szCs w:val="18"/>
              </w:rPr>
              <w:t> </w:t>
            </w:r>
            <w:r>
              <w:rPr>
                <w:rFonts w:ascii="Arial" w:hAnsi="Arial" w:cs="Arial" w:eastAsia="Arial" w:hint="default"/>
                <w:sz w:val="18"/>
                <w:szCs w:val="18"/>
              </w:rPr>
              <w:t>17</w:t>
            </w:r>
            <w:r>
              <w:rPr>
                <w:rFonts w:ascii="Arial" w:hAnsi="Arial" w:cs="Arial" w:eastAsia="Arial" w:hint="default"/>
                <w:w w:val="99"/>
                <w:sz w:val="18"/>
                <w:szCs w:val="18"/>
              </w:rPr>
              <w:t> </w:t>
            </w:r>
            <w:r>
              <w:rPr>
                <w:rFonts w:ascii="宋体" w:hAnsi="宋体" w:cs="宋体" w:eastAsia="宋体" w:hint="default"/>
                <w:sz w:val="18"/>
                <w:szCs w:val="18"/>
              </w:rPr>
              <w:t>个省市，全国市场布局初见成效。 据近年来的食品安全与市场监管领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18"/>
                <w:szCs w:val="18"/>
              </w:rPr>
            </w:pPr>
            <w:hyperlink r:id="rId10">
              <w:r>
                <w:rPr>
                  <w:rFonts w:ascii="Arial"/>
                  <w:sz w:val="18"/>
                </w:rPr>
                <w:t>www.cninfo.com.cn</w:t>
              </w:r>
            </w:hyperlink>
          </w:p>
        </w:tc>
      </w:tr>
    </w:tbl>
    <w:p>
      <w:pPr>
        <w:spacing w:after="0" w:line="240" w:lineRule="auto"/>
        <w:jc w:val="center"/>
        <w:rPr>
          <w:rFonts w:ascii="Arial" w:hAnsi="Arial" w:cs="Arial" w:eastAsia="Arial" w:hint="default"/>
          <w:sz w:val="18"/>
          <w:szCs w:val="18"/>
        </w:rPr>
        <w:sectPr>
          <w:pgSz w:w="16840" w:h="11910" w:orient="landscape"/>
          <w:pgMar w:header="866" w:footer="980" w:top="1060" w:bottom="1160" w:left="1300" w:right="130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560"/>
        <w:gridCol w:w="1558"/>
        <w:gridCol w:w="1561"/>
        <w:gridCol w:w="1133"/>
        <w:gridCol w:w="1702"/>
        <w:gridCol w:w="2835"/>
        <w:gridCol w:w="1702"/>
        <w:gridCol w:w="1843"/>
      </w:tblGrid>
      <w:tr>
        <w:trPr>
          <w:trHeight w:val="332" w:hRule="exact"/>
        </w:trPr>
        <w:tc>
          <w:tcPr>
            <w:tcW w:w="1560"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1561"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c>
          <w:tcPr>
            <w:tcW w:w="28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域招投标公开信息统计，公司中标</w:t>
            </w:r>
          </w:p>
        </w:tc>
        <w:tc>
          <w:tcPr>
            <w:tcW w:w="1702" w:type="dxa"/>
            <w:vMerge w:val="restart"/>
            <w:tcBorders>
              <w:top w:val="single" w:sz="15" w:space="0" w:color="000000"/>
              <w:left w:val="single" w:sz="4" w:space="0" w:color="000000"/>
              <w:right w:val="single" w:sz="4" w:space="0" w:color="000000"/>
            </w:tcBorders>
          </w:tcPr>
          <w:p>
            <w:pPr/>
          </w:p>
        </w:tc>
        <w:tc>
          <w:tcPr>
            <w:tcW w:w="1843" w:type="dxa"/>
            <w:vMerge w:val="restart"/>
            <w:tcBorders>
              <w:top w:val="single" w:sz="15" w:space="0" w:color="000000"/>
              <w:left w:val="single" w:sz="4" w:space="0" w:color="000000"/>
              <w:right w:val="single" w:sz="4" w:space="0" w:color="000000"/>
            </w:tcBorders>
          </w:tcPr>
          <w:p>
            <w:pPr/>
          </w:p>
        </w:tc>
      </w:tr>
      <w:tr>
        <w:trPr>
          <w:trHeight w:val="316"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9"/>
                <w:sz w:val="18"/>
                <w:szCs w:val="18"/>
              </w:rPr>
              <w:t> </w:t>
            </w:r>
            <w:r>
              <w:rPr>
                <w:rFonts w:ascii="Arial" w:hAnsi="Arial" w:cs="Arial" w:eastAsia="Arial" w:hint="default"/>
                <w:sz w:val="18"/>
                <w:szCs w:val="18"/>
              </w:rPr>
              <w:t>2015-2017</w:t>
            </w:r>
            <w:r>
              <w:rPr>
                <w:rFonts w:ascii="Arial" w:hAnsi="Arial" w:cs="Arial" w:eastAsia="Arial" w:hint="default"/>
                <w:spacing w:val="-9"/>
                <w:sz w:val="18"/>
                <w:szCs w:val="18"/>
              </w:rPr>
              <w:t> </w:t>
            </w:r>
            <w:r>
              <w:rPr>
                <w:rFonts w:ascii="宋体" w:hAnsi="宋体" w:cs="宋体" w:eastAsia="宋体" w:hint="default"/>
                <w:sz w:val="18"/>
                <w:szCs w:val="18"/>
              </w:rPr>
              <w:t>年的中标统计排</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27"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名中位列前三。</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36"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年，为了完善市场监管体</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制，推动实施质量强国战略，国家</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开始筹划机构改革方案，很大程度</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的影响了整体食品安全监管市场的</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信息化需求释放。以北京食药监市</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场为例，</w:t>
            </w: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年前三季度公开招</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投标项目总金额同比下降近</w:t>
            </w:r>
            <w:r>
              <w:rPr>
                <w:rFonts w:ascii="宋体" w:hAnsi="宋体" w:cs="宋体" w:eastAsia="宋体" w:hint="default"/>
                <w:spacing w:val="-47"/>
                <w:sz w:val="18"/>
                <w:szCs w:val="18"/>
              </w:rPr>
              <w:t> </w:t>
            </w:r>
            <w:r>
              <w:rPr>
                <w:rFonts w:ascii="Arial" w:hAnsi="Arial" w:cs="Arial" w:eastAsia="Arial" w:hint="default"/>
                <w:sz w:val="18"/>
                <w:szCs w:val="18"/>
              </w:rPr>
              <w:t>50%</w:t>
            </w:r>
            <w:r>
              <w:rPr>
                <w:rFonts w:ascii="宋体" w:hAnsi="宋体" w:cs="宋体" w:eastAsia="宋体" w:hint="default"/>
                <w:sz w:val="18"/>
                <w:szCs w:val="18"/>
              </w:rPr>
              <w:t>。</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在追溯业务方面，华宇金信的业务</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大多集中在政府承建的项目上，</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6"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年企业追溯市场也面临了国</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家政策的调整，各级政府更多的在</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强调由食品药品生产经营者承担追</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溯体系建设的主体责任，因此政府</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牵头建设的追溯项目也有所减少。</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这些因素对全行业都造成了严重影</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6"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Arial" w:hAnsi="Arial" w:cs="Arial" w:eastAsia="Arial" w:hint="default"/>
                <w:sz w:val="18"/>
                <w:szCs w:val="18"/>
              </w:rPr>
            </w:pPr>
            <w:r>
              <w:rPr>
                <w:rFonts w:ascii="宋体" w:hAnsi="宋体" w:cs="宋体" w:eastAsia="宋体" w:hint="default"/>
                <w:sz w:val="18"/>
                <w:szCs w:val="18"/>
              </w:rPr>
              <w:t>响，在此形式下，华宇金信</w:t>
            </w:r>
            <w:r>
              <w:rPr>
                <w:rFonts w:ascii="宋体" w:hAnsi="宋体" w:cs="宋体" w:eastAsia="宋体" w:hint="default"/>
                <w:spacing w:val="-47"/>
                <w:sz w:val="18"/>
                <w:szCs w:val="18"/>
              </w:rPr>
              <w:t> </w:t>
            </w:r>
            <w:r>
              <w:rPr>
                <w:rFonts w:ascii="Arial" w:hAnsi="Arial" w:cs="Arial" w:eastAsia="Arial" w:hint="default"/>
                <w:sz w:val="18"/>
                <w:szCs w:val="18"/>
              </w:rPr>
              <w:t>2017</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年业绩也大幅降低。然而，公司在</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食品安全与市场监管领域的占有率</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并未下降，公开招投标信息显示，</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6"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年华宇金信中标项目金额在</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食品安全与市场监管领域公开招投</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标项目总金额的占比较</w:t>
            </w:r>
            <w:r>
              <w:rPr>
                <w:rFonts w:ascii="宋体" w:hAnsi="宋体" w:cs="宋体" w:eastAsia="宋体" w:hint="default"/>
                <w:spacing w:val="-46"/>
                <w:sz w:val="18"/>
                <w:szCs w:val="18"/>
              </w:rPr>
              <w:t> </w:t>
            </w: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年略</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28"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有增长。</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37"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6"/>
                <w:sz w:val="18"/>
                <w:szCs w:val="18"/>
              </w:rPr>
              <w:t> </w:t>
            </w:r>
            <w:r>
              <w:rPr>
                <w:rFonts w:ascii="宋体" w:hAnsi="宋体" w:cs="宋体" w:eastAsia="宋体" w:hint="default"/>
                <w:sz w:val="18"/>
                <w:szCs w:val="18"/>
              </w:rPr>
              <w:t>月，全国人大一次会议</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批准了国务院机构改革方案，方案</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中提出，组建国家市场监督管理总</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9" w:hRule="exact"/>
        </w:trPr>
        <w:tc>
          <w:tcPr>
            <w:tcW w:w="156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局，不再保留国家工商行政管理总</w:t>
            </w:r>
          </w:p>
        </w:tc>
        <w:tc>
          <w:tcPr>
            <w:tcW w:w="1702"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560"/>
        <w:gridCol w:w="1558"/>
        <w:gridCol w:w="1561"/>
        <w:gridCol w:w="1133"/>
        <w:gridCol w:w="1702"/>
        <w:gridCol w:w="2835"/>
        <w:gridCol w:w="1702"/>
        <w:gridCol w:w="1843"/>
      </w:tblGrid>
      <w:tr>
        <w:trPr>
          <w:trHeight w:val="332" w:hRule="exact"/>
        </w:trPr>
        <w:tc>
          <w:tcPr>
            <w:tcW w:w="1560"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1561"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702" w:type="dxa"/>
            <w:vMerge w:val="restart"/>
            <w:tcBorders>
              <w:top w:val="single" w:sz="15" w:space="0" w:color="000000"/>
              <w:left w:val="single" w:sz="4" w:space="0" w:color="000000"/>
              <w:right w:val="single" w:sz="4" w:space="0" w:color="000000"/>
            </w:tcBorders>
          </w:tcPr>
          <w:p>
            <w:pPr/>
          </w:p>
        </w:tc>
        <w:tc>
          <w:tcPr>
            <w:tcW w:w="28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局、国家质量监督检验检疫总局、</w:t>
            </w:r>
          </w:p>
        </w:tc>
        <w:tc>
          <w:tcPr>
            <w:tcW w:w="1702" w:type="dxa"/>
            <w:vMerge w:val="restart"/>
            <w:tcBorders>
              <w:top w:val="single" w:sz="15" w:space="0" w:color="000000"/>
              <w:left w:val="single" w:sz="4" w:space="0" w:color="000000"/>
              <w:right w:val="single" w:sz="4" w:space="0" w:color="000000"/>
            </w:tcBorders>
          </w:tcPr>
          <w:p>
            <w:pPr/>
          </w:p>
        </w:tc>
        <w:tc>
          <w:tcPr>
            <w:tcW w:w="1843" w:type="dxa"/>
            <w:vMerge w:val="restart"/>
            <w:tcBorders>
              <w:top w:val="single" w:sz="15"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国家食品药品监督管理总局。未来</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随着部委的调整完成，市场监管信</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息化的需求将逐步释放，必然带来</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新的市场机遇。华宇金信多年来在</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食品药品监管、工商及市场监管领</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域积累的技术和业务经验以及领先</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的行业市场地位，将成为公司为新</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的市场监管部门提供全方位信息化</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6"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服务的先天优势。</w:t>
            </w: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年，华宇</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金信将在深圳市场监管委一体化综</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合监管和执法平台的基础上，结合</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现有工商和食药领域的成果，提供</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能够满足主体监管、食品监管、药</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械化监管、特种设备监管、计量监</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管、标准监管、商标监管、合同监</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管等一体化的综合监管和执法平</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台，形成满足基层“多帽合一”业</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务需求的产品，快速开拓基础市场</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监管局市场。全力将国家食品药品</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监督管理总局食品生产许可系统、</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稽查信息平台、医疗器械监管等项</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目打造成示范项目，以此为契机寻</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求与各省、市局就相关项目个性化</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需求建设机会，争取更多的地方市</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场。运用云计算、大数据、人工智</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能、物联网、移动应用等技术与市</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场监管业务全面融合，有效推动市</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场监管与食品安全、药品安全等的</w:t>
            </w:r>
          </w:p>
        </w:tc>
        <w:tc>
          <w:tcPr>
            <w:tcW w:w="1702"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r>
      <w:tr>
        <w:trPr>
          <w:trHeight w:val="319" w:hRule="exact"/>
        </w:trPr>
        <w:tc>
          <w:tcPr>
            <w:tcW w:w="156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深入整合，满足机构调整和业务变</w:t>
            </w:r>
          </w:p>
        </w:tc>
        <w:tc>
          <w:tcPr>
            <w:tcW w:w="1702"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6" w:footer="980" w:top="1060" w:bottom="1160" w:left="1360" w:right="13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560"/>
        <w:gridCol w:w="1558"/>
        <w:gridCol w:w="1561"/>
        <w:gridCol w:w="1133"/>
        <w:gridCol w:w="1702"/>
        <w:gridCol w:w="2835"/>
        <w:gridCol w:w="1702"/>
        <w:gridCol w:w="1843"/>
      </w:tblGrid>
      <w:tr>
        <w:trPr>
          <w:trHeight w:val="7595" w:hRule="exact"/>
        </w:trPr>
        <w:tc>
          <w:tcPr>
            <w:tcW w:w="1560"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1561"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2835"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4" w:right="99"/>
              <w:jc w:val="left"/>
              <w:rPr>
                <w:rFonts w:ascii="宋体" w:hAnsi="宋体" w:cs="宋体" w:eastAsia="宋体" w:hint="default"/>
                <w:sz w:val="18"/>
                <w:szCs w:val="18"/>
              </w:rPr>
            </w:pPr>
            <w:r>
              <w:rPr>
                <w:rFonts w:ascii="宋体" w:hAnsi="宋体" w:cs="宋体" w:eastAsia="宋体" w:hint="default"/>
                <w:sz w:val="18"/>
                <w:szCs w:val="18"/>
              </w:rPr>
              <w:t>革的需要，充分提升监管的智慧 性。未来华宇金信将充分发挥自身 的行业优势和资源优势，紧抓新机 遇，扩大市场占有率，推动食品安 全与市场监管行业的信息化建设水 平，努力成为食品安全以及市场监 管的领军企业。预计</w:t>
            </w:r>
            <w:r>
              <w:rPr>
                <w:rFonts w:ascii="宋体" w:hAnsi="宋体" w:cs="宋体" w:eastAsia="宋体" w:hint="default"/>
                <w:spacing w:val="-46"/>
                <w:sz w:val="18"/>
                <w:szCs w:val="18"/>
              </w:rPr>
              <w:t> </w:t>
            </w: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年，华 宇金信将扭转利润下滑趋势，并随 着后续市场需求的释放及业务的拓 展，将实现业绩的稳步增长。</w:t>
            </w:r>
          </w:p>
          <w:p>
            <w:pPr>
              <w:pStyle w:val="TableParagraph"/>
              <w:spacing w:line="314" w:lineRule="auto" w:before="57"/>
              <w:ind w:left="24" w:right="38"/>
              <w:jc w:val="left"/>
              <w:rPr>
                <w:rFonts w:ascii="宋体" w:hAnsi="宋体" w:cs="宋体" w:eastAsia="宋体" w:hint="default"/>
                <w:sz w:val="18"/>
                <w:szCs w:val="18"/>
              </w:rPr>
            </w:pPr>
            <w:r>
              <w:rPr>
                <w:rFonts w:ascii="宋体" w:hAnsi="宋体" w:cs="宋体" w:eastAsia="宋体" w:hint="default"/>
                <w:sz w:val="18"/>
                <w:szCs w:val="18"/>
              </w:rPr>
              <w:t>针对本次华宇金信业绩未达到承诺 利润指标事项，公司按照相关规则 履行披露和审批程序。公司已于 </w:t>
            </w:r>
            <w:r>
              <w:rPr>
                <w:rFonts w:ascii="Arial" w:hAnsi="Arial" w:cs="Arial" w:eastAsia="Arial" w:hint="default"/>
                <w:sz w:val="18"/>
                <w:szCs w:val="18"/>
              </w:rPr>
              <w:t>2018 </w:t>
            </w:r>
            <w:r>
              <w:rPr>
                <w:rFonts w:ascii="宋体" w:hAnsi="宋体" w:cs="宋体" w:eastAsia="宋体" w:hint="default"/>
                <w:sz w:val="18"/>
                <w:szCs w:val="18"/>
              </w:rPr>
              <w:t>年 </w:t>
            </w:r>
            <w:r>
              <w:rPr>
                <w:rFonts w:ascii="Arial" w:hAnsi="Arial" w:cs="Arial" w:eastAsia="Arial" w:hint="default"/>
                <w:sz w:val="18"/>
                <w:szCs w:val="18"/>
              </w:rPr>
              <w:t>4 </w:t>
            </w:r>
            <w:r>
              <w:rPr>
                <w:rFonts w:ascii="宋体" w:hAnsi="宋体" w:cs="宋体" w:eastAsia="宋体" w:hint="default"/>
                <w:sz w:val="18"/>
                <w:szCs w:val="18"/>
              </w:rPr>
              <w:t>月 </w:t>
            </w:r>
            <w:r>
              <w:rPr>
                <w:rFonts w:ascii="Arial" w:hAnsi="Arial" w:cs="Arial" w:eastAsia="Arial" w:hint="default"/>
                <w:sz w:val="18"/>
                <w:szCs w:val="18"/>
              </w:rPr>
              <w:t>8</w:t>
            </w:r>
            <w:r>
              <w:rPr>
                <w:rFonts w:ascii="Arial" w:hAnsi="Arial" w:cs="Arial" w:eastAsia="Arial" w:hint="default"/>
                <w:spacing w:val="-26"/>
                <w:sz w:val="18"/>
                <w:szCs w:val="18"/>
              </w:rPr>
              <w:t> </w:t>
            </w:r>
            <w:r>
              <w:rPr>
                <w:rFonts w:ascii="宋体" w:hAnsi="宋体" w:cs="宋体" w:eastAsia="宋体" w:hint="default"/>
                <w:sz w:val="18"/>
                <w:szCs w:val="18"/>
              </w:rPr>
              <w:t>日召开的第六届董 事会第二十七次会议，审议通过了</w:t>
            </w:r>
          </w:p>
          <w:p>
            <w:pPr>
              <w:pStyle w:val="TableParagraph"/>
              <w:spacing w:line="316" w:lineRule="auto" w:before="20"/>
              <w:ind w:left="24" w:right="57"/>
              <w:jc w:val="both"/>
              <w:rPr>
                <w:rFonts w:ascii="宋体" w:hAnsi="宋体" w:cs="宋体" w:eastAsia="宋体" w:hint="default"/>
                <w:sz w:val="18"/>
                <w:szCs w:val="18"/>
              </w:rPr>
            </w:pPr>
            <w:r>
              <w:rPr>
                <w:rFonts w:ascii="宋体" w:hAnsi="宋体" w:cs="宋体" w:eastAsia="宋体" w:hint="default"/>
                <w:sz w:val="18"/>
                <w:szCs w:val="18"/>
              </w:rPr>
              <w:t>《关于回购公司重组标的资产未完 成业绩承诺对应股份进行补偿的议 </w:t>
            </w:r>
            <w:r>
              <w:rPr>
                <w:rFonts w:ascii="宋体" w:hAnsi="宋体" w:cs="宋体" w:eastAsia="宋体" w:hint="default"/>
                <w:spacing w:val="-14"/>
                <w:sz w:val="18"/>
                <w:szCs w:val="18"/>
              </w:rPr>
              <w:t>案》，尚需提交</w:t>
            </w:r>
            <w:r>
              <w:rPr>
                <w:rFonts w:ascii="宋体" w:hAnsi="宋体" w:cs="宋体" w:eastAsia="宋体" w:hint="default"/>
                <w:spacing w:val="-41"/>
                <w:sz w:val="18"/>
                <w:szCs w:val="18"/>
              </w:rPr>
              <w:t> </w:t>
            </w:r>
            <w:r>
              <w:rPr>
                <w:rFonts w:ascii="Arial" w:hAnsi="Arial" w:cs="Arial" w:eastAsia="Arial" w:hint="default"/>
                <w:w w:val="99"/>
                <w:sz w:val="18"/>
                <w:szCs w:val="18"/>
              </w:rPr>
              <w:t>2017</w:t>
            </w:r>
            <w:r>
              <w:rPr>
                <w:rFonts w:ascii="Arial" w:hAnsi="Arial" w:cs="Arial" w:eastAsia="Arial" w:hint="default"/>
                <w:spacing w:val="-1"/>
                <w:w w:val="99"/>
                <w:sz w:val="18"/>
                <w:szCs w:val="18"/>
              </w:rPr>
              <w:t> </w:t>
            </w:r>
            <w:r>
              <w:rPr>
                <w:rFonts w:ascii="宋体" w:hAnsi="宋体" w:cs="宋体" w:eastAsia="宋体" w:hint="default"/>
                <w:spacing w:val="-1"/>
                <w:sz w:val="18"/>
                <w:szCs w:val="18"/>
              </w:rPr>
              <w:t>年年度股东大</w:t>
            </w:r>
            <w:r>
              <w:rPr>
                <w:rFonts w:ascii="宋体" w:hAnsi="宋体" w:cs="宋体" w:eastAsia="宋体" w:hint="default"/>
                <w:sz w:val="18"/>
                <w:szCs w:val="18"/>
              </w:rPr>
              <w:t> 会审议。本次华宇金信业绩未达到 承诺利润指标，不存在商誉减值风 险。华宇金信的利润占华宇软件整 体利润比重很小，本次华宇金信业 绩未达到承诺指标也不会对公司业 绩产生重大影响。</w:t>
            </w:r>
          </w:p>
        </w:tc>
        <w:tc>
          <w:tcPr>
            <w:tcW w:w="1702" w:type="dxa"/>
            <w:tcBorders>
              <w:top w:val="single" w:sz="15" w:space="0" w:color="000000"/>
              <w:left w:val="single" w:sz="4" w:space="0" w:color="000000"/>
              <w:bottom w:val="single" w:sz="4" w:space="0" w:color="000000"/>
              <w:right w:val="single" w:sz="4" w:space="0" w:color="000000"/>
            </w:tcBorders>
          </w:tcPr>
          <w:p>
            <w:pPr/>
          </w:p>
        </w:tc>
        <w:tc>
          <w:tcPr>
            <w:tcW w:w="1843" w:type="dxa"/>
            <w:tcBorders>
              <w:top w:val="single" w:sz="15" w:space="0" w:color="000000"/>
              <w:left w:val="single" w:sz="4" w:space="0" w:color="000000"/>
              <w:bottom w:val="single" w:sz="4" w:space="0" w:color="000000"/>
              <w:right w:val="single" w:sz="4" w:space="0" w:color="000000"/>
            </w:tcBorders>
          </w:tcPr>
          <w:p>
            <w:pP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收购联奕科技</w:t>
            </w:r>
          </w:p>
          <w:p>
            <w:pPr>
              <w:pStyle w:val="TableParagraph"/>
              <w:spacing w:line="240" w:lineRule="auto" w:before="76"/>
              <w:ind w:left="21" w:right="0"/>
              <w:jc w:val="left"/>
              <w:rPr>
                <w:rFonts w:ascii="宋体" w:hAnsi="宋体" w:cs="宋体" w:eastAsia="宋体" w:hint="default"/>
                <w:sz w:val="18"/>
                <w:szCs w:val="18"/>
              </w:rPr>
            </w:pPr>
            <w:r>
              <w:rPr>
                <w:rFonts w:ascii="Arial" w:hAnsi="Arial" w:cs="Arial" w:eastAsia="Arial" w:hint="default"/>
                <w:sz w:val="18"/>
                <w:szCs w:val="18"/>
              </w:rPr>
              <w:t>100%</w:t>
            </w:r>
            <w:r>
              <w:rPr>
                <w:rFonts w:ascii="宋体" w:hAnsi="宋体" w:cs="宋体" w:eastAsia="宋体" w:hint="default"/>
                <w:sz w:val="18"/>
                <w:szCs w:val="18"/>
              </w:rPr>
              <w:t>股权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650" w:right="0"/>
              <w:jc w:val="left"/>
              <w:rPr>
                <w:rFonts w:ascii="Arial" w:hAnsi="Arial" w:cs="Arial" w:eastAsia="Arial" w:hint="default"/>
                <w:sz w:val="18"/>
                <w:szCs w:val="18"/>
              </w:rPr>
            </w:pPr>
            <w:r>
              <w:rPr>
                <w:rFonts w:ascii="Arial"/>
                <w:sz w:val="18"/>
              </w:rPr>
              <w:t>7,600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967" w:right="0"/>
              <w:jc w:val="left"/>
              <w:rPr>
                <w:rFonts w:ascii="Arial" w:hAnsi="Arial" w:cs="Arial" w:eastAsia="Arial" w:hint="default"/>
                <w:sz w:val="18"/>
                <w:szCs w:val="18"/>
              </w:rPr>
            </w:pPr>
            <w:r>
              <w:rPr>
                <w:rFonts w:ascii="Arial"/>
                <w:sz w:val="18"/>
              </w:rPr>
              <w:t>7,646.46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Arial" w:hAnsi="Arial" w:cs="Arial" w:eastAsia="Arial" w:hint="default"/>
                <w:sz w:val="18"/>
                <w:szCs w:val="18"/>
              </w:rPr>
            </w:pPr>
            <w:hyperlink r:id="rId10">
              <w:r>
                <w:rPr>
                  <w:rFonts w:ascii="Arial"/>
                  <w:sz w:val="18"/>
                </w:rPr>
                <w:t>www.cninfo.com.cn</w:t>
              </w:r>
            </w:hyperlink>
          </w:p>
        </w:tc>
      </w:tr>
    </w:tbl>
    <w:p>
      <w:pPr>
        <w:spacing w:after="0" w:line="240" w:lineRule="auto"/>
        <w:jc w:val="left"/>
        <w:rPr>
          <w:rFonts w:ascii="Arial" w:hAnsi="Arial" w:cs="Arial" w:eastAsia="Arial" w:hint="default"/>
          <w:sz w:val="18"/>
          <w:szCs w:val="18"/>
        </w:rPr>
        <w:sectPr>
          <w:pgSz w:w="16840" w:h="11910" w:orient="landscape"/>
          <w:pgMar w:header="866" w:footer="980" w:top="1060" w:bottom="1160" w:left="1360" w:right="132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right="0"/>
        <w:jc w:val="both"/>
      </w:pPr>
      <w:r>
        <w:rPr/>
        <w:t>公司股东、交易对手方对公司或相关资产年度经营业绩作出的承诺情况</w:t>
      </w:r>
    </w:p>
    <w:p>
      <w:pPr>
        <w:pStyle w:val="BodyText"/>
        <w:spacing w:line="240" w:lineRule="auto" w:before="39"/>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83" w:lineRule="auto" w:before="175"/>
        <w:ind w:right="153" w:firstLine="480"/>
        <w:jc w:val="both"/>
      </w:pPr>
      <w:r>
        <w:rPr/>
        <w:t>（</w:t>
      </w:r>
      <w:r>
        <w:rPr>
          <w:rFonts w:ascii="Arial" w:hAnsi="Arial" w:cs="Arial" w:eastAsia="Arial" w:hint="default"/>
        </w:rPr>
        <w:t>1</w:t>
      </w:r>
      <w:r>
        <w:rPr/>
        <w:t>）公司收购万户网络</w:t>
      </w:r>
      <w:r>
        <w:rPr>
          <w:rFonts w:ascii="Arial" w:hAnsi="Arial" w:cs="Arial" w:eastAsia="Arial" w:hint="default"/>
        </w:rPr>
        <w:t>100%</w:t>
      </w:r>
      <w:r>
        <w:rPr/>
        <w:t>股权中，交易对方新余雨林投资管理中心（有限合伙）， 新余春晖投资管理中心（有限合伙）业绩承诺：</w:t>
      </w:r>
    </w:p>
    <w:p>
      <w:pPr>
        <w:pStyle w:val="BodyText"/>
        <w:spacing w:line="288" w:lineRule="auto" w:before="190"/>
        <w:ind w:right="150" w:firstLine="480"/>
        <w:jc w:val="both"/>
      </w:pPr>
      <w:r>
        <w:rPr/>
        <w:t>根据公司与交易对方于</w:t>
      </w:r>
      <w:r>
        <w:rPr>
          <w:rFonts w:ascii="Arial" w:hAnsi="Arial" w:cs="Arial" w:eastAsia="Arial" w:hint="default"/>
        </w:rPr>
        <w:t>2015</w:t>
      </w:r>
      <w:r>
        <w:rPr/>
        <w:t>年</w:t>
      </w:r>
      <w:r>
        <w:rPr>
          <w:rFonts w:ascii="Arial" w:hAnsi="Arial" w:cs="Arial" w:eastAsia="Arial" w:hint="default"/>
        </w:rPr>
        <w:t>4</w:t>
      </w:r>
      <w:r>
        <w:rPr/>
        <w:t>月</w:t>
      </w:r>
      <w:r>
        <w:rPr>
          <w:rFonts w:ascii="Arial" w:hAnsi="Arial" w:cs="Arial" w:eastAsia="Arial" w:hint="default"/>
        </w:rPr>
        <w:t>29</w:t>
      </w:r>
      <w:r>
        <w:rPr/>
        <w:t>日签署的《关于北京万户网络技术有限公司之股权 </w:t>
      </w:r>
      <w:r>
        <w:rPr>
          <w:spacing w:val="-2"/>
        </w:rPr>
        <w:t>转让协议》，标的公司原股东承诺并保证标的公司自</w:t>
      </w:r>
      <w:r>
        <w:rPr>
          <w:rFonts w:ascii="Arial" w:hAnsi="Arial" w:cs="Arial" w:eastAsia="Arial" w:hint="default"/>
          <w:spacing w:val="-2"/>
        </w:rPr>
        <w:t>2015</w:t>
      </w:r>
      <w:r>
        <w:rPr>
          <w:spacing w:val="-2"/>
        </w:rPr>
        <w:t>年至</w:t>
      </w:r>
      <w:r>
        <w:rPr>
          <w:rFonts w:ascii="Arial" w:hAnsi="Arial" w:cs="Arial" w:eastAsia="Arial" w:hint="default"/>
          <w:spacing w:val="-2"/>
        </w:rPr>
        <w:t>2017</w:t>
      </w:r>
      <w:r>
        <w:rPr>
          <w:spacing w:val="-2"/>
        </w:rPr>
        <w:t>年完成以下税后净利润指</w:t>
      </w:r>
      <w:r>
        <w:rPr>
          <w:spacing w:val="-108"/>
        </w:rPr>
        <w:t> </w:t>
      </w:r>
      <w:r>
        <w:rPr>
          <w:spacing w:val="-8"/>
        </w:rPr>
        <w:t>标：</w:t>
      </w:r>
      <w:r>
        <w:rPr>
          <w:rFonts w:ascii="Arial" w:hAnsi="Arial" w:cs="Arial" w:eastAsia="Arial" w:hint="default"/>
          <w:spacing w:val="-8"/>
        </w:rPr>
        <w:t>2015</w:t>
      </w:r>
      <w:r>
        <w:rPr>
          <w:spacing w:val="-8"/>
        </w:rPr>
        <w:t>年度、</w:t>
      </w:r>
      <w:r>
        <w:rPr>
          <w:rFonts w:ascii="Arial" w:hAnsi="Arial" w:cs="Arial" w:eastAsia="Arial" w:hint="default"/>
          <w:spacing w:val="-8"/>
        </w:rPr>
        <w:t>2016</w:t>
      </w:r>
      <w:r>
        <w:rPr>
          <w:spacing w:val="-8"/>
        </w:rPr>
        <w:t>年度、</w:t>
      </w:r>
      <w:r>
        <w:rPr>
          <w:rFonts w:ascii="Arial" w:hAnsi="Arial" w:cs="Arial" w:eastAsia="Arial" w:hint="default"/>
          <w:spacing w:val="-8"/>
        </w:rPr>
        <w:t>2017</w:t>
      </w:r>
      <w:r>
        <w:rPr>
          <w:spacing w:val="-8"/>
        </w:rPr>
        <w:t>年度，标的公司累计税后净利润分别不低于</w:t>
      </w:r>
      <w:r>
        <w:rPr>
          <w:rFonts w:ascii="Arial" w:hAnsi="Arial" w:cs="Arial" w:eastAsia="Arial" w:hint="default"/>
          <w:spacing w:val="-8"/>
        </w:rPr>
        <w:t>2,300</w:t>
      </w:r>
      <w:r>
        <w:rPr>
          <w:spacing w:val="-8"/>
        </w:rPr>
        <w:t>万元、</w:t>
      </w:r>
      <w:r>
        <w:rPr>
          <w:rFonts w:ascii="Arial" w:hAnsi="Arial" w:cs="Arial" w:eastAsia="Arial" w:hint="default"/>
          <w:spacing w:val="-8"/>
        </w:rPr>
        <w:t>2,990</w:t>
      </w:r>
      <w:r>
        <w:rPr>
          <w:rFonts w:ascii="Arial" w:hAnsi="Arial" w:cs="Arial" w:eastAsia="Arial" w:hint="default"/>
          <w:spacing w:val="-26"/>
        </w:rPr>
        <w:t> </w:t>
      </w:r>
      <w:r>
        <w:rPr>
          <w:rFonts w:ascii="Arial" w:hAnsi="Arial" w:cs="Arial" w:eastAsia="Arial" w:hint="default"/>
          <w:spacing w:val="-26"/>
        </w:rPr>
      </w:r>
      <w:r>
        <w:rPr>
          <w:spacing w:val="-1"/>
        </w:rPr>
        <w:t>万元、</w:t>
      </w:r>
      <w:r>
        <w:rPr>
          <w:rFonts w:ascii="Arial" w:hAnsi="Arial" w:cs="Arial" w:eastAsia="Arial" w:hint="default"/>
          <w:spacing w:val="-1"/>
        </w:rPr>
        <w:t>3,887</w:t>
      </w:r>
      <w:r>
        <w:rPr>
          <w:spacing w:val="-1"/>
        </w:rPr>
        <w:t>万元。标的公司原股东承诺并保证，若标的公司在</w:t>
      </w:r>
      <w:r>
        <w:rPr>
          <w:rFonts w:ascii="Arial" w:hAnsi="Arial" w:cs="Arial" w:eastAsia="Arial" w:hint="default"/>
          <w:spacing w:val="-1"/>
        </w:rPr>
        <w:t>2015</w:t>
      </w:r>
      <w:r>
        <w:rPr>
          <w:spacing w:val="-1"/>
        </w:rPr>
        <w:t>年、</w:t>
      </w:r>
      <w:r>
        <w:rPr>
          <w:rFonts w:ascii="Arial" w:hAnsi="Arial" w:cs="Arial" w:eastAsia="Arial" w:hint="default"/>
          <w:spacing w:val="-1"/>
        </w:rPr>
        <w:t>2016</w:t>
      </w:r>
      <w:r>
        <w:rPr>
          <w:spacing w:val="-1"/>
        </w:rPr>
        <w:t>年、</w:t>
      </w:r>
      <w:r>
        <w:rPr>
          <w:rFonts w:ascii="Arial" w:hAnsi="Arial" w:cs="Arial" w:eastAsia="Arial" w:hint="default"/>
          <w:spacing w:val="-1"/>
        </w:rPr>
        <w:t>2017</w:t>
      </w:r>
      <w:r>
        <w:rPr>
          <w:spacing w:val="-1"/>
        </w:rPr>
        <w:t>年任</w:t>
      </w:r>
      <w:r>
        <w:rPr>
          <w:spacing w:val="-88"/>
        </w:rPr>
        <w:t> </w:t>
      </w:r>
      <w:r>
        <w:rPr/>
        <w:t>何一年的截至当期期末累计实际利润低于截至当期期末累计承诺利润的，雨林投资、春晖投</w:t>
      </w:r>
      <w:r>
        <w:rPr>
          <w:spacing w:val="-91"/>
        </w:rPr>
        <w:t> </w:t>
      </w:r>
      <w:r>
        <w:rPr>
          <w:spacing w:val="-91"/>
        </w:rPr>
      </w:r>
      <w:r>
        <w:rPr>
          <w:spacing w:val="-2"/>
        </w:rPr>
        <w:t>资应以现金方式向本公司进行补偿；若因</w:t>
      </w:r>
      <w:r>
        <w:rPr>
          <w:rFonts w:ascii="Arial" w:hAnsi="Arial" w:cs="Arial" w:eastAsia="Arial" w:hint="default"/>
          <w:spacing w:val="-2"/>
        </w:rPr>
        <w:t>2015</w:t>
      </w:r>
      <w:r>
        <w:rPr>
          <w:spacing w:val="-2"/>
        </w:rPr>
        <w:t>年、</w:t>
      </w:r>
      <w:r>
        <w:rPr>
          <w:rFonts w:ascii="Arial" w:hAnsi="Arial" w:cs="Arial" w:eastAsia="Arial" w:hint="default"/>
          <w:spacing w:val="-2"/>
        </w:rPr>
        <w:t>2016</w:t>
      </w:r>
      <w:r>
        <w:rPr>
          <w:spacing w:val="-2"/>
        </w:rPr>
        <w:t>年利润承诺未完成而出现需补偿的情</w:t>
      </w:r>
      <w:r>
        <w:rPr>
          <w:spacing w:val="-109"/>
        </w:rPr>
        <w:t> </w:t>
      </w:r>
      <w:r>
        <w:rPr>
          <w:spacing w:val="-109"/>
        </w:rPr>
      </w:r>
      <w:r>
        <w:rPr>
          <w:spacing w:val="-1"/>
        </w:rPr>
        <w:t>形，由雨林投资承担全部补偿责任；若因</w:t>
      </w:r>
      <w:r>
        <w:rPr>
          <w:rFonts w:ascii="Arial" w:hAnsi="Arial" w:cs="Arial" w:eastAsia="Arial" w:hint="default"/>
          <w:spacing w:val="-1"/>
        </w:rPr>
        <w:t>2017</w:t>
      </w:r>
      <w:r>
        <w:rPr>
          <w:spacing w:val="-1"/>
        </w:rPr>
        <w:t>年利润承诺未完成而出现需补偿的情形，雨林</w:t>
      </w:r>
      <w:r>
        <w:rPr>
          <w:spacing w:val="-96"/>
        </w:rPr>
        <w:t> </w:t>
      </w:r>
      <w:r>
        <w:rPr>
          <w:spacing w:val="-96"/>
        </w:rPr>
      </w:r>
      <w:r>
        <w:rPr>
          <w:spacing w:val="-2"/>
        </w:rPr>
        <w:t>投资、春晖投资应按照</w:t>
      </w:r>
      <w:r>
        <w:rPr>
          <w:rFonts w:ascii="Arial" w:hAnsi="Arial" w:cs="Arial" w:eastAsia="Arial" w:hint="default"/>
          <w:spacing w:val="-2"/>
        </w:rPr>
        <w:t>25:75</w:t>
      </w:r>
      <w:r>
        <w:rPr>
          <w:spacing w:val="-2"/>
        </w:rPr>
        <w:t>比例向本公司分别进行补偿。上述补偿先行从未支付的股权转让</w:t>
      </w:r>
      <w:r>
        <w:rPr/>
        <w:t> 款扣除，不足部分由雨林投资、春晖投资以现金支付给本公司。雨林投资、春晖投资对上述</w:t>
      </w:r>
      <w:r>
        <w:rPr>
          <w:spacing w:val="-91"/>
        </w:rPr>
        <w:t> </w:t>
      </w:r>
      <w:r>
        <w:rPr>
          <w:spacing w:val="-91"/>
        </w:rPr>
      </w:r>
      <w:r>
        <w:rPr>
          <w:spacing w:val="-5"/>
        </w:rPr>
        <w:t>现金补偿义务相互承担连带责任，雨林投资、春晖投资的执行事务合伙人钱贵昱对雨林投资、</w:t>
      </w:r>
      <w:r>
        <w:rPr>
          <w:spacing w:val="-117"/>
        </w:rPr>
        <w:t> </w:t>
      </w:r>
      <w:r>
        <w:rPr>
          <w:spacing w:val="-117"/>
        </w:rPr>
      </w:r>
      <w:r>
        <w:rPr/>
        <w:t>春晖投资的上述现金补偿义务承担连带责任。</w:t>
      </w:r>
    </w:p>
    <w:p>
      <w:pPr>
        <w:pStyle w:val="BodyText"/>
        <w:spacing w:line="240" w:lineRule="auto" w:before="182"/>
        <w:ind w:left="0" w:right="151"/>
        <w:jc w:val="right"/>
      </w:pPr>
      <w:r>
        <w:rPr/>
        <w:t>（</w:t>
      </w:r>
      <w:r>
        <w:rPr>
          <w:rFonts w:ascii="Arial" w:hAnsi="Arial" w:cs="Arial" w:eastAsia="Arial" w:hint="default"/>
          <w:w w:val="99"/>
        </w:rPr>
        <w:t>2</w:t>
      </w:r>
      <w:r>
        <w:rPr>
          <w:spacing w:val="-113"/>
        </w:rPr>
        <w:t>）</w:t>
      </w:r>
      <w:r>
        <w:rPr/>
        <w:t>公司收购华宇金信</w:t>
      </w:r>
      <w:r>
        <w:rPr>
          <w:rFonts w:ascii="Arial" w:hAnsi="Arial" w:cs="Arial" w:eastAsia="Arial" w:hint="default"/>
          <w:w w:val="99"/>
        </w:rPr>
        <w:t>49%</w:t>
      </w:r>
      <w:r>
        <w:rPr/>
        <w:t>股权中</w:t>
      </w:r>
      <w:r>
        <w:rPr>
          <w:spacing w:val="-113"/>
        </w:rPr>
        <w:t>，</w:t>
      </w:r>
      <w:r>
        <w:rPr/>
        <w:t>交易对方陈京念</w:t>
      </w:r>
      <w:r>
        <w:rPr>
          <w:spacing w:val="-113"/>
        </w:rPr>
        <w:t>、</w:t>
      </w:r>
      <w:r>
        <w:rPr/>
        <w:t>沧州地铁物资有限公司业绩承诺：</w:t>
      </w:r>
    </w:p>
    <w:p>
      <w:pPr>
        <w:spacing w:line="240" w:lineRule="auto" w:before="7"/>
        <w:rPr>
          <w:rFonts w:ascii="宋体" w:hAnsi="宋体" w:cs="宋体" w:eastAsia="宋体" w:hint="default"/>
          <w:sz w:val="16"/>
          <w:szCs w:val="16"/>
        </w:rPr>
      </w:pPr>
    </w:p>
    <w:p>
      <w:pPr>
        <w:pStyle w:val="BodyText"/>
        <w:spacing w:line="288" w:lineRule="auto"/>
        <w:ind w:right="151" w:firstLine="480"/>
        <w:jc w:val="both"/>
      </w:pPr>
      <w:r>
        <w:rPr>
          <w:spacing w:val="-2"/>
        </w:rPr>
        <w:t>根据公司与交易对方于</w:t>
      </w:r>
      <w:r>
        <w:rPr>
          <w:rFonts w:ascii="Arial" w:hAnsi="Arial" w:cs="Arial" w:eastAsia="Arial" w:hint="default"/>
          <w:spacing w:val="-2"/>
        </w:rPr>
        <w:t>2015</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10</w:t>
      </w:r>
      <w:r>
        <w:rPr>
          <w:spacing w:val="-2"/>
        </w:rPr>
        <w:t>日签署的《发行股份及支付现金购买资产并募集配</w:t>
      </w:r>
      <w:r>
        <w:rPr/>
        <w:t> 套资金暨关联交易报告书》，标的公司原股东承诺合并报表口径下归属于母公司股东的净利</w:t>
      </w:r>
      <w:r>
        <w:rPr>
          <w:spacing w:val="-91"/>
        </w:rPr>
        <w:t> </w:t>
      </w:r>
      <w:r>
        <w:rPr>
          <w:spacing w:val="-91"/>
        </w:rPr>
      </w:r>
      <w:r>
        <w:rPr>
          <w:spacing w:val="-3"/>
        </w:rPr>
        <w:t>润（以扣除非经常性损益前后孰低者为准，下同）</w:t>
      </w:r>
      <w:r>
        <w:rPr>
          <w:rFonts w:ascii="Arial" w:hAnsi="Arial" w:cs="Arial" w:eastAsia="Arial" w:hint="default"/>
          <w:spacing w:val="-3"/>
        </w:rPr>
        <w:t>2015</w:t>
      </w:r>
      <w:r>
        <w:rPr>
          <w:spacing w:val="-3"/>
        </w:rPr>
        <w:t>年度、</w:t>
      </w:r>
      <w:r>
        <w:rPr>
          <w:rFonts w:ascii="Arial" w:hAnsi="Arial" w:cs="Arial" w:eastAsia="Arial" w:hint="default"/>
          <w:spacing w:val="-3"/>
        </w:rPr>
        <w:t>2016</w:t>
      </w:r>
      <w:r>
        <w:rPr>
          <w:spacing w:val="-3"/>
        </w:rPr>
        <w:t>年度、</w:t>
      </w:r>
      <w:r>
        <w:rPr>
          <w:rFonts w:ascii="Arial" w:hAnsi="Arial" w:cs="Arial" w:eastAsia="Arial" w:hint="default"/>
          <w:spacing w:val="-3"/>
        </w:rPr>
        <w:t>2017</w:t>
      </w:r>
      <w:r>
        <w:rPr>
          <w:spacing w:val="-3"/>
        </w:rPr>
        <w:t>年度分别不低</w:t>
      </w:r>
      <w:r>
        <w:rPr>
          <w:spacing w:val="-112"/>
        </w:rPr>
        <w:t> </w:t>
      </w:r>
      <w:r>
        <w:rPr>
          <w:spacing w:val="-112"/>
        </w:rPr>
      </w:r>
      <w:r>
        <w:rPr>
          <w:spacing w:val="-4"/>
        </w:rPr>
        <w:t>于人民币</w:t>
      </w:r>
      <w:r>
        <w:rPr>
          <w:rFonts w:ascii="Arial" w:hAnsi="Arial" w:cs="Arial" w:eastAsia="Arial" w:hint="default"/>
          <w:spacing w:val="-4"/>
        </w:rPr>
        <w:t>3,000</w:t>
      </w:r>
      <w:r>
        <w:rPr>
          <w:spacing w:val="-4"/>
        </w:rPr>
        <w:t>万元、</w:t>
      </w:r>
      <w:r>
        <w:rPr>
          <w:rFonts w:ascii="Arial" w:hAnsi="Arial" w:cs="Arial" w:eastAsia="Arial" w:hint="default"/>
          <w:spacing w:val="-4"/>
        </w:rPr>
        <w:t>3,600</w:t>
      </w:r>
      <w:r>
        <w:rPr>
          <w:spacing w:val="-4"/>
        </w:rPr>
        <w:t>万元、</w:t>
      </w:r>
      <w:r>
        <w:rPr>
          <w:rFonts w:ascii="Arial" w:hAnsi="Arial" w:cs="Arial" w:eastAsia="Arial" w:hint="default"/>
          <w:spacing w:val="-4"/>
        </w:rPr>
        <w:t>4,320</w:t>
      </w:r>
      <w:r>
        <w:rPr>
          <w:spacing w:val="-4"/>
        </w:rPr>
        <w:t>万元。</w:t>
      </w:r>
      <w:r>
        <w:rPr>
          <w:rFonts w:ascii="Arial" w:hAnsi="Arial" w:cs="Arial" w:eastAsia="Arial" w:hint="default"/>
          <w:spacing w:val="-4"/>
        </w:rPr>
        <w:t>2015</w:t>
      </w:r>
      <w:r>
        <w:rPr>
          <w:spacing w:val="-4"/>
        </w:rPr>
        <w:t>年度至</w:t>
      </w:r>
      <w:r>
        <w:rPr>
          <w:rFonts w:ascii="Arial" w:hAnsi="Arial" w:cs="Arial" w:eastAsia="Arial" w:hint="default"/>
          <w:spacing w:val="-4"/>
        </w:rPr>
        <w:t>2017</w:t>
      </w:r>
      <w:r>
        <w:rPr>
          <w:spacing w:val="-4"/>
        </w:rPr>
        <w:t>年度期间，如华宇金信经审计</w:t>
      </w:r>
      <w:r>
        <w:rPr>
          <w:spacing w:val="-115"/>
        </w:rPr>
        <w:t> </w:t>
      </w:r>
      <w:r>
        <w:rPr>
          <w:spacing w:val="-115"/>
        </w:rPr>
      </w:r>
      <w:r>
        <w:rPr/>
        <w:t>的累计实际实现净利润数不足承诺净利润的，则由补偿义务人首先以其在本次交易中取得的</w:t>
      </w:r>
      <w:r>
        <w:rPr>
          <w:spacing w:val="-91"/>
        </w:rPr>
        <w:t> </w:t>
      </w:r>
      <w:r>
        <w:rPr>
          <w:spacing w:val="-91"/>
        </w:rPr>
      </w:r>
      <w:r>
        <w:rPr/>
        <w:t>上市公司股份按股份补偿的方式进行补偿，不足部分以现金方式补偿。</w:t>
      </w:r>
    </w:p>
    <w:p>
      <w:pPr>
        <w:pStyle w:val="BodyText"/>
        <w:spacing w:line="544" w:lineRule="exact" w:before="30"/>
        <w:ind w:left="633" w:right="0"/>
        <w:jc w:val="left"/>
      </w:pPr>
      <w:r>
        <w:rPr/>
        <w:t>（</w:t>
      </w:r>
      <w:r>
        <w:rPr>
          <w:rFonts w:ascii="Arial" w:hAnsi="Arial" w:cs="Arial" w:eastAsia="Arial" w:hint="default"/>
        </w:rPr>
        <w:t>3</w:t>
      </w:r>
      <w:r>
        <w:rPr/>
        <w:t>）公司收购联奕科技</w:t>
      </w:r>
      <w:r>
        <w:rPr>
          <w:rFonts w:ascii="Arial" w:hAnsi="Arial" w:cs="Arial" w:eastAsia="Arial" w:hint="default"/>
        </w:rPr>
        <w:t>100%</w:t>
      </w:r>
      <w:r>
        <w:rPr/>
        <w:t>股权中，交易对方任刚、朱明武业绩承诺： 根据公司于</w:t>
      </w:r>
      <w:r>
        <w:rPr>
          <w:rFonts w:ascii="Arial" w:hAnsi="Arial" w:cs="Arial" w:eastAsia="Arial" w:hint="default"/>
        </w:rPr>
        <w:t>2017</w:t>
      </w:r>
      <w:r>
        <w:rPr/>
        <w:t>年</w:t>
      </w:r>
      <w:r>
        <w:rPr>
          <w:rFonts w:ascii="Arial" w:hAnsi="Arial" w:cs="Arial" w:eastAsia="Arial" w:hint="default"/>
        </w:rPr>
        <w:t>7</w:t>
      </w:r>
      <w:r>
        <w:rPr/>
        <w:t>月</w:t>
      </w:r>
      <w:r>
        <w:rPr>
          <w:rFonts w:ascii="Arial" w:hAnsi="Arial" w:cs="Arial" w:eastAsia="Arial" w:hint="default"/>
        </w:rPr>
        <w:t>31</w:t>
      </w:r>
      <w:r>
        <w:rPr/>
        <w:t>日发布的《发行股份及支付现金购买资产并募集配套资金暨关</w:t>
      </w:r>
    </w:p>
    <w:p>
      <w:pPr>
        <w:pStyle w:val="BodyText"/>
        <w:spacing w:line="280" w:lineRule="auto" w:before="2"/>
        <w:ind w:right="150"/>
        <w:jc w:val="left"/>
      </w:pPr>
      <w:r>
        <w:rPr>
          <w:spacing w:val="-3"/>
        </w:rPr>
        <w:t>联交易报告书（修订稿）》，标的公司原股东承诺</w:t>
      </w:r>
      <w:r>
        <w:rPr>
          <w:rFonts w:ascii="Arial" w:hAnsi="Arial" w:cs="Arial" w:eastAsia="Arial" w:hint="default"/>
          <w:spacing w:val="-3"/>
        </w:rPr>
        <w:t>2017</w:t>
      </w:r>
      <w:r>
        <w:rPr>
          <w:spacing w:val="-3"/>
        </w:rPr>
        <w:t>年度、</w:t>
      </w:r>
      <w:r>
        <w:rPr>
          <w:rFonts w:ascii="Arial" w:hAnsi="Arial" w:cs="Arial" w:eastAsia="Arial" w:hint="default"/>
          <w:spacing w:val="-3"/>
        </w:rPr>
        <w:t>2018</w:t>
      </w:r>
      <w:r>
        <w:rPr>
          <w:spacing w:val="-3"/>
        </w:rPr>
        <w:t>年度、</w:t>
      </w:r>
      <w:r>
        <w:rPr>
          <w:rFonts w:ascii="Arial" w:hAnsi="Arial" w:cs="Arial" w:eastAsia="Arial" w:hint="default"/>
          <w:spacing w:val="-3"/>
        </w:rPr>
        <w:t>2019</w:t>
      </w:r>
      <w:r>
        <w:rPr>
          <w:spacing w:val="-3"/>
        </w:rPr>
        <w:t>年度实现的经</w:t>
      </w:r>
      <w:r>
        <w:rPr>
          <w:spacing w:val="-118"/>
        </w:rPr>
        <w:t> </w:t>
      </w:r>
      <w:r>
        <w:rPr>
          <w:spacing w:val="-118"/>
        </w:rPr>
      </w:r>
      <w:r>
        <w:rPr/>
        <w:t>上市公司聘请的具有证券、期货业务资格的会计师事务所审计的净利润（以扣除非经常损益</w:t>
      </w:r>
    </w:p>
    <w:p>
      <w:pPr>
        <w:pStyle w:val="BodyText"/>
        <w:spacing w:line="288" w:lineRule="auto" w:before="36"/>
        <w:ind w:right="149"/>
        <w:jc w:val="both"/>
      </w:pPr>
      <w:r>
        <w:rPr>
          <w:spacing w:val="-3"/>
        </w:rPr>
        <w:t>（扣除股份支付影响））分别不低于人民币</w:t>
      </w:r>
      <w:r>
        <w:rPr>
          <w:rFonts w:ascii="Arial" w:hAnsi="Arial" w:cs="Arial" w:eastAsia="Arial" w:hint="default"/>
          <w:spacing w:val="-3"/>
        </w:rPr>
        <w:t>7,600</w:t>
      </w:r>
      <w:r>
        <w:rPr>
          <w:spacing w:val="-3"/>
        </w:rPr>
        <w:t>万元、</w:t>
      </w:r>
      <w:r>
        <w:rPr>
          <w:rFonts w:ascii="Arial" w:hAnsi="Arial" w:cs="Arial" w:eastAsia="Arial" w:hint="default"/>
          <w:spacing w:val="-3"/>
        </w:rPr>
        <w:t>11,000</w:t>
      </w:r>
      <w:r>
        <w:rPr>
          <w:spacing w:val="-3"/>
        </w:rPr>
        <w:t>万元和</w:t>
      </w:r>
      <w:r>
        <w:rPr>
          <w:rFonts w:ascii="Arial" w:hAnsi="Arial" w:cs="Arial" w:eastAsia="Arial" w:hint="default"/>
          <w:spacing w:val="-3"/>
        </w:rPr>
        <w:t>14,400</w:t>
      </w:r>
      <w:r>
        <w:rPr>
          <w:spacing w:val="-3"/>
        </w:rPr>
        <w:t>万元。如联奕科</w:t>
      </w:r>
      <w:r>
        <w:rPr>
          <w:spacing w:val="-93"/>
        </w:rPr>
        <w:t> </w:t>
      </w:r>
      <w:r>
        <w:rPr>
          <w:spacing w:val="-93"/>
        </w:rPr>
      </w:r>
      <w:r>
        <w:rPr>
          <w:spacing w:val="-3"/>
        </w:rPr>
        <w:t>技于</w:t>
      </w:r>
      <w:r>
        <w:rPr>
          <w:rFonts w:ascii="Arial" w:hAnsi="Arial" w:cs="Arial" w:eastAsia="Arial" w:hint="default"/>
          <w:spacing w:val="-3"/>
        </w:rPr>
        <w:t>2017</w:t>
      </w:r>
      <w:r>
        <w:rPr>
          <w:spacing w:val="-3"/>
        </w:rPr>
        <w:t>年、</w:t>
      </w:r>
      <w:r>
        <w:rPr>
          <w:rFonts w:ascii="Arial" w:hAnsi="Arial" w:cs="Arial" w:eastAsia="Arial" w:hint="default"/>
          <w:spacing w:val="-3"/>
        </w:rPr>
        <w:t>2018</w:t>
      </w:r>
      <w:r>
        <w:rPr>
          <w:spacing w:val="-3"/>
        </w:rPr>
        <w:t>年和</w:t>
      </w:r>
      <w:r>
        <w:rPr>
          <w:rFonts w:ascii="Arial" w:hAnsi="Arial" w:cs="Arial" w:eastAsia="Arial" w:hint="default"/>
          <w:spacing w:val="-3"/>
        </w:rPr>
        <w:t>2019</w:t>
      </w:r>
      <w:r>
        <w:rPr>
          <w:spacing w:val="-3"/>
        </w:rPr>
        <w:t>年经审计的归属母公司股东的净利润（以扣除非经常损益（扣除</w:t>
      </w:r>
      <w:r>
        <w:rPr>
          <w:spacing w:val="-111"/>
        </w:rPr>
        <w:t> </w:t>
      </w:r>
      <w:r>
        <w:rPr>
          <w:spacing w:val="-111"/>
        </w:rPr>
      </w:r>
      <w:r>
        <w:rPr/>
        <w:t>股份支付影响））未达到承诺业绩，则业绩承诺方应按照签署的《盈利预测补偿协议》的具</w:t>
      </w:r>
      <w:r>
        <w:rPr>
          <w:spacing w:val="-91"/>
        </w:rPr>
        <w:t> </w:t>
      </w:r>
      <w:r>
        <w:rPr>
          <w:spacing w:val="-91"/>
        </w:rPr>
      </w:r>
      <w:r>
        <w:rPr/>
        <w:t>体约定向上市公司进行补偿。</w:t>
      </w:r>
    </w:p>
    <w:p>
      <w:pPr>
        <w:pStyle w:val="Heading2"/>
        <w:spacing w:line="240" w:lineRule="auto" w:before="214"/>
        <w:ind w:right="0"/>
        <w:jc w:val="both"/>
        <w:rPr>
          <w:b w:val="0"/>
          <w:bCs w:val="0"/>
        </w:rPr>
      </w:pPr>
      <w:r>
        <w:rPr/>
        <w:t>三、控股股东及其关联方对上市公司的非经营性占用资金情况</w:t>
      </w:r>
      <w:r>
        <w:rPr>
          <w:b w:val="0"/>
          <w:bCs w:val="0"/>
        </w:rPr>
      </w:r>
    </w:p>
    <w:p>
      <w:pPr>
        <w:spacing w:line="240" w:lineRule="auto" w:before="7"/>
        <w:rPr>
          <w:rFonts w:ascii="Microsoft JhengHei" w:hAnsi="Microsoft JhengHei" w:cs="Microsoft JhengHei" w:eastAsia="Microsoft JhengHei" w:hint="default"/>
          <w:b/>
          <w:bCs/>
          <w:sz w:val="15"/>
          <w:szCs w:val="15"/>
        </w:rPr>
      </w:pPr>
    </w:p>
    <w:p>
      <w:pPr>
        <w:pStyle w:val="BodyText"/>
        <w:spacing w:line="240" w:lineRule="auto"/>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both"/>
        <w:sectPr>
          <w:headerReference w:type="default" r:id="rId18"/>
          <w:footerReference w:type="default" r:id="rId19"/>
          <w:pgSz w:w="11910" w:h="16840"/>
          <w:pgMar w:header="877" w:footer="980" w:top="1100" w:bottom="1160" w:left="980" w:right="980"/>
          <w:pgNumType w:start="64"/>
        </w:sectPr>
      </w:pPr>
    </w:p>
    <w:p>
      <w:pPr>
        <w:spacing w:line="240" w:lineRule="auto" w:before="8"/>
        <w:rPr>
          <w:rFonts w:ascii="宋体" w:hAnsi="宋体" w:cs="宋体" w:eastAsia="宋体" w:hint="default"/>
          <w:sz w:val="22"/>
          <w:szCs w:val="22"/>
        </w:rPr>
      </w:pPr>
    </w:p>
    <w:p>
      <w:pPr>
        <w:spacing w:line="439" w:lineRule="auto" w:before="26"/>
        <w:ind w:left="152" w:right="161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公司报告期不存在控股股东及其关联方对上市公司的非经营性占用资金。 </w:t>
      </w:r>
      <w:r>
        <w:rPr>
          <w:rFonts w:ascii="Microsoft JhengHei" w:hAnsi="Microsoft JhengHei" w:cs="Microsoft JhengHei" w:eastAsia="Microsoft JhengHei" w:hint="default"/>
          <w:b/>
          <w:bCs/>
          <w:sz w:val="24"/>
          <w:szCs w:val="24"/>
        </w:rPr>
        <w:t>四、董事会对最近一期</w:t>
      </w:r>
      <w:r>
        <w:rPr>
          <w:rFonts w:ascii="Arial" w:hAnsi="Arial" w:cs="Arial" w:eastAsia="Arial" w:hint="default"/>
          <w:b/>
          <w:bCs/>
          <w:sz w:val="24"/>
          <w:szCs w:val="24"/>
        </w:rPr>
        <w:t>“</w:t>
      </w:r>
      <w:r>
        <w:rPr>
          <w:rFonts w:ascii="Microsoft JhengHei" w:hAnsi="Microsoft JhengHei" w:cs="Microsoft JhengHei" w:eastAsia="Microsoft JhengHei" w:hint="default"/>
          <w:b/>
          <w:bCs/>
          <w:sz w:val="24"/>
          <w:szCs w:val="24"/>
        </w:rPr>
        <w:t>非标准审计报告</w:t>
      </w:r>
      <w:r>
        <w:rPr>
          <w:rFonts w:ascii="Arial" w:hAnsi="Arial" w:cs="Arial" w:eastAsia="Arial" w:hint="default"/>
          <w:b/>
          <w:bCs/>
          <w:sz w:val="24"/>
          <w:szCs w:val="24"/>
        </w:rPr>
        <w:t>”</w:t>
      </w:r>
      <w:r>
        <w:rPr>
          <w:rFonts w:ascii="Microsoft JhengHei" w:hAnsi="Microsoft JhengHei" w:cs="Microsoft JhengHei" w:eastAsia="Microsoft JhengHei" w:hint="default"/>
          <w:b/>
          <w:bCs/>
          <w:sz w:val="24"/>
          <w:szCs w:val="24"/>
        </w:rPr>
        <w:t>相关情况的说明</w:t>
      </w:r>
      <w:r>
        <w:rPr>
          <w:rFonts w:ascii="Microsoft JhengHei" w:hAnsi="Microsoft JhengHei" w:cs="Microsoft JhengHei" w:eastAsia="Microsoft JhengHei" w:hint="default"/>
          <w:sz w:val="24"/>
          <w:szCs w:val="24"/>
        </w:rPr>
      </w:r>
    </w:p>
    <w:p>
      <w:pPr>
        <w:spacing w:line="388" w:lineRule="auto" w:before="5"/>
        <w:ind w:left="152" w:right="0" w:firstLine="0"/>
        <w:jc w:val="left"/>
        <w:rPr>
          <w:rFonts w:ascii="Microsoft JhengHei" w:hAnsi="Microsoft JhengHei" w:cs="Microsoft JhengHei" w:eastAsia="Microsoft JhengHei"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五、董事会、监事会、独立董事（如有）对会计师事务所本报告期</w:t>
      </w:r>
      <w:r>
        <w:rPr>
          <w:rFonts w:ascii="Arial" w:hAnsi="Arial" w:cs="Arial" w:eastAsia="Arial" w:hint="default"/>
          <w:b/>
          <w:bCs/>
          <w:sz w:val="24"/>
          <w:szCs w:val="24"/>
        </w:rPr>
        <w:t>“</w:t>
      </w:r>
      <w:r>
        <w:rPr>
          <w:rFonts w:ascii="Microsoft JhengHei" w:hAnsi="Microsoft JhengHei" w:cs="Microsoft JhengHei" w:eastAsia="Microsoft JhengHei" w:hint="default"/>
          <w:b/>
          <w:bCs/>
          <w:sz w:val="24"/>
          <w:szCs w:val="24"/>
        </w:rPr>
        <w:t>非标准审计报告</w:t>
      </w:r>
      <w:r>
        <w:rPr>
          <w:rFonts w:ascii="Arial" w:hAnsi="Arial" w:cs="Arial" w:eastAsia="Arial" w:hint="default"/>
          <w:b/>
          <w:bCs/>
          <w:sz w:val="24"/>
          <w:szCs w:val="24"/>
        </w:rPr>
        <w:t>”</w:t>
      </w:r>
      <w:r>
        <w:rPr>
          <w:rFonts w:ascii="Microsoft JhengHei" w:hAnsi="Microsoft JhengHei" w:cs="Microsoft JhengHei" w:eastAsia="Microsoft JhengHei" w:hint="default"/>
          <w:b/>
          <w:bCs/>
          <w:sz w:val="24"/>
          <w:szCs w:val="24"/>
        </w:rPr>
        <w:t>的说明</w:t>
      </w:r>
      <w:r>
        <w:rPr>
          <w:rFonts w:ascii="Microsoft JhengHei" w:hAnsi="Microsoft JhengHei" w:cs="Microsoft JhengHei" w:eastAsia="Microsoft JhengHei" w:hint="default"/>
          <w:sz w:val="24"/>
          <w:szCs w:val="24"/>
        </w:rPr>
      </w:r>
    </w:p>
    <w:p>
      <w:pPr>
        <w:spacing w:line="388" w:lineRule="auto" w:before="72"/>
        <w:ind w:left="152" w:right="174" w:firstLine="0"/>
        <w:jc w:val="left"/>
        <w:rPr>
          <w:rFonts w:ascii="Microsoft JhengHei" w:hAnsi="Microsoft JhengHei" w:cs="Microsoft JhengHei" w:eastAsia="Microsoft JhengHei"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六、董事会关于报告期会计政策、会计估计变更或重大会计差错更正的说明</w:t>
      </w:r>
      <w:r>
        <w:rPr>
          <w:rFonts w:ascii="Microsoft JhengHei" w:hAnsi="Microsoft JhengHei" w:cs="Microsoft JhengHei" w:eastAsia="Microsoft JhengHei" w:hint="default"/>
          <w:sz w:val="24"/>
          <w:szCs w:val="24"/>
        </w:rPr>
      </w:r>
    </w:p>
    <w:p>
      <w:pPr>
        <w:pStyle w:val="BodyText"/>
        <w:spacing w:line="256" w:lineRule="auto" w:before="72"/>
        <w:ind w:left="633" w:right="7133"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会计政策变更说明：</w:t>
      </w:r>
    </w:p>
    <w:p>
      <w:pPr>
        <w:pStyle w:val="BodyText"/>
        <w:spacing w:line="322" w:lineRule="exact" w:before="19"/>
        <w:ind w:left="633" w:right="0"/>
        <w:jc w:val="left"/>
      </w:pPr>
      <w:r>
        <w:rPr>
          <w:rFonts w:ascii="Arial" w:hAnsi="Arial" w:cs="Arial" w:eastAsia="Arial" w:hint="default"/>
          <w:w w:val="99"/>
        </w:rPr>
        <w:t>1</w:t>
      </w:r>
      <w:r>
        <w:rPr/>
        <w:t>、根据《企业会计准则第</w:t>
      </w:r>
      <w:r>
        <w:rPr>
          <w:spacing w:val="-60"/>
        </w:rPr>
        <w:t> </w:t>
      </w:r>
      <w:r>
        <w:rPr>
          <w:rFonts w:ascii="Arial" w:hAnsi="Arial" w:cs="Arial" w:eastAsia="Arial" w:hint="default"/>
          <w:w w:val="99"/>
        </w:rPr>
        <w:t>16</w:t>
      </w:r>
      <w:r>
        <w:rPr>
          <w:rFonts w:ascii="Arial" w:hAnsi="Arial" w:cs="Arial" w:eastAsia="Arial" w:hint="default"/>
          <w:spacing w:val="-6"/>
        </w:rPr>
        <w:t> </w:t>
      </w:r>
      <w:r>
        <w:rPr/>
        <w:t>号</w:t>
      </w:r>
      <w:r>
        <w:rPr>
          <w:rFonts w:ascii="Arial" w:hAnsi="Arial" w:cs="Arial" w:eastAsia="Arial" w:hint="default"/>
          <w:spacing w:val="-1"/>
        </w:rPr>
        <w:t>--</w:t>
      </w:r>
      <w:r>
        <w:rPr/>
        <w:t>政府补助</w:t>
      </w:r>
      <w:r>
        <w:rPr>
          <w:spacing w:val="-120"/>
        </w:rPr>
        <w:t>》</w:t>
      </w:r>
      <w:r>
        <w:rPr/>
        <w:t>（财会〔</w:t>
      </w:r>
      <w:r>
        <w:rPr>
          <w:rFonts w:ascii="Arial" w:hAnsi="Arial" w:cs="Arial" w:eastAsia="Arial" w:hint="default"/>
          <w:w w:val="99"/>
        </w:rPr>
        <w:t>2017</w:t>
      </w:r>
      <w:r>
        <w:rPr>
          <w:spacing w:val="-3"/>
        </w:rPr>
        <w:t>〕</w:t>
      </w:r>
      <w:r>
        <w:rPr>
          <w:rFonts w:ascii="Arial" w:hAnsi="Arial" w:cs="Arial" w:eastAsia="Arial" w:hint="default"/>
          <w:w w:val="99"/>
        </w:rPr>
        <w:t>15</w:t>
      </w:r>
      <w:r>
        <w:rPr>
          <w:rFonts w:ascii="Arial" w:hAnsi="Arial" w:cs="Arial" w:eastAsia="Arial" w:hint="default"/>
          <w:spacing w:val="-6"/>
        </w:rPr>
        <w:t> </w:t>
      </w:r>
      <w:r>
        <w:rPr>
          <w:spacing w:val="-3"/>
        </w:rPr>
        <w:t>号</w:t>
      </w:r>
      <w:r>
        <w:rPr/>
        <w:t>）修订的规定，自</w:t>
      </w:r>
    </w:p>
    <w:p>
      <w:pPr>
        <w:pStyle w:val="BodyText"/>
        <w:spacing w:line="312" w:lineRule="exact"/>
        <w:ind w:right="0"/>
        <w:jc w:val="left"/>
      </w:pPr>
      <w:r>
        <w:rPr>
          <w:rFonts w:ascii="Arial" w:hAnsi="Arial" w:cs="Arial" w:eastAsia="Arial" w:hint="default"/>
        </w:rPr>
        <w:t>2017</w:t>
      </w:r>
      <w:r>
        <w:rPr>
          <w:rFonts w:ascii="Arial" w:hAnsi="Arial" w:cs="Arial" w:eastAsia="Arial" w:hint="default"/>
          <w:spacing w:val="-6"/>
        </w:rPr>
        <w:t> </w:t>
      </w:r>
      <w:r>
        <w:rPr/>
        <w:t>年</w:t>
      </w:r>
      <w:r>
        <w:rPr>
          <w:spacing w:val="-62"/>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日起，与企业日常活动相关的政府补助计入</w:t>
      </w:r>
      <w:r>
        <w:rPr>
          <w:rFonts w:ascii="Arial" w:hAnsi="Arial" w:cs="Arial" w:eastAsia="Arial" w:hint="default"/>
        </w:rPr>
        <w:t>"</w:t>
      </w:r>
      <w:r>
        <w:rPr/>
        <w:t>其他收益</w:t>
      </w:r>
      <w:r>
        <w:rPr>
          <w:rFonts w:ascii="Arial" w:hAnsi="Arial" w:cs="Arial" w:eastAsia="Arial" w:hint="default"/>
        </w:rPr>
        <w:t>"</w:t>
      </w:r>
      <w:r>
        <w:rPr/>
        <w:t>或冲减相关成本费</w:t>
      </w:r>
    </w:p>
    <w:p>
      <w:pPr>
        <w:pStyle w:val="BodyText"/>
        <w:spacing w:line="312" w:lineRule="exact"/>
        <w:ind w:right="0"/>
        <w:jc w:val="left"/>
        <w:rPr>
          <w:rFonts w:ascii="Arial" w:hAnsi="Arial" w:cs="Arial" w:eastAsia="Arial" w:hint="default"/>
        </w:rPr>
      </w:pPr>
      <w:r>
        <w:rPr/>
        <w:t>用，与企业日常活动无关的政府补助计入营业外收支。本期营业外收入减少</w:t>
      </w:r>
      <w:r>
        <w:rPr>
          <w:spacing w:val="-64"/>
        </w:rPr>
        <w:t> </w:t>
      </w:r>
      <w:r>
        <w:rPr>
          <w:rFonts w:ascii="Arial" w:hAnsi="Arial" w:cs="Arial" w:eastAsia="Arial" w:hint="default"/>
        </w:rPr>
        <w:t>94,315,221.33</w:t>
      </w:r>
    </w:p>
    <w:p>
      <w:pPr>
        <w:pStyle w:val="BodyText"/>
        <w:spacing w:line="322" w:lineRule="exact"/>
        <w:ind w:right="0"/>
        <w:jc w:val="left"/>
      </w:pPr>
      <w:r>
        <w:rPr/>
        <w:t>元，其他收益增加</w:t>
      </w:r>
      <w:r>
        <w:rPr>
          <w:spacing w:val="-63"/>
        </w:rPr>
        <w:t> </w:t>
      </w:r>
      <w:r>
        <w:rPr>
          <w:rFonts w:ascii="Arial" w:hAnsi="Arial" w:cs="Arial" w:eastAsia="Arial" w:hint="default"/>
        </w:rPr>
        <w:t>94,315,221.33</w:t>
      </w:r>
      <w:r>
        <w:rPr>
          <w:rFonts w:ascii="Arial" w:hAnsi="Arial" w:cs="Arial" w:eastAsia="Arial" w:hint="default"/>
          <w:spacing w:val="-7"/>
        </w:rPr>
        <w:t> </w:t>
      </w:r>
      <w:r>
        <w:rPr/>
        <w:t>元。</w:t>
      </w:r>
    </w:p>
    <w:p>
      <w:pPr>
        <w:pStyle w:val="BodyText"/>
        <w:spacing w:line="312" w:lineRule="exact" w:before="52"/>
        <w:ind w:right="144" w:firstLine="480"/>
        <w:jc w:val="left"/>
        <w:rPr>
          <w:rFonts w:ascii="Arial" w:hAnsi="Arial" w:cs="Arial" w:eastAsia="Arial" w:hint="default"/>
        </w:rPr>
      </w:pPr>
      <w:r>
        <w:rPr>
          <w:rFonts w:ascii="Arial" w:hAnsi="Arial" w:cs="Arial" w:eastAsia="Arial" w:hint="default"/>
          <w:spacing w:val="-4"/>
          <w:w w:val="99"/>
        </w:rPr>
        <w:t>2</w:t>
      </w:r>
      <w:r>
        <w:rPr>
          <w:spacing w:val="-4"/>
          <w:w w:val="99"/>
        </w:rPr>
        <w:t>、根据《关于修订印发一般企业财务报表格式的通知》（财会〔</w:t>
      </w:r>
      <w:r>
        <w:rPr>
          <w:rFonts w:ascii="Arial" w:hAnsi="Arial" w:cs="Arial" w:eastAsia="Arial" w:hint="default"/>
          <w:spacing w:val="-4"/>
          <w:w w:val="99"/>
        </w:rPr>
        <w:t>2017</w:t>
      </w:r>
      <w:r>
        <w:rPr>
          <w:spacing w:val="-4"/>
          <w:w w:val="99"/>
        </w:rPr>
        <w:t>〕</w:t>
      </w:r>
      <w:r>
        <w:rPr>
          <w:rFonts w:ascii="Arial" w:hAnsi="Arial" w:cs="Arial" w:eastAsia="Arial" w:hint="default"/>
          <w:spacing w:val="-4"/>
          <w:w w:val="99"/>
        </w:rPr>
        <w:t>30</w:t>
      </w:r>
      <w:r>
        <w:rPr>
          <w:rFonts w:ascii="Arial" w:hAnsi="Arial" w:cs="Arial" w:eastAsia="Arial" w:hint="default"/>
          <w:spacing w:val="13"/>
          <w:w w:val="99"/>
        </w:rPr>
        <w:t> </w:t>
      </w:r>
      <w:r>
        <w:rPr>
          <w:spacing w:val="-20"/>
        </w:rPr>
        <w:t>号），在利润</w:t>
      </w:r>
      <w:r>
        <w:rPr/>
        <w:t> 表中新增</w:t>
      </w:r>
      <w:r>
        <w:rPr>
          <w:rFonts w:ascii="Arial" w:hAnsi="Arial" w:cs="Arial" w:eastAsia="Arial" w:hint="default"/>
        </w:rPr>
        <w:t>“</w:t>
      </w:r>
      <w:r>
        <w:rPr/>
        <w:t>资产处置收益</w:t>
      </w:r>
      <w:r>
        <w:rPr>
          <w:rFonts w:ascii="Arial" w:hAnsi="Arial" w:cs="Arial" w:eastAsia="Arial" w:hint="default"/>
        </w:rPr>
        <w:t>”</w:t>
      </w:r>
      <w:r>
        <w:rPr/>
        <w:t>行项目，反映企业出售划分为持有待售的非流动资产（金融工具、 长期股权投资和投资性房地产除外）或处置组时确认的处置利得或损失，处置未划分为持有 待售的固定资产、在建工程、生产性生物资产及无形资产而产生的处置利得或损失，以及债 务重组中因处置非流动资产产生的利得或损失和非货币性资产交换产生的利得或损失。本期 营业外收入减少</w:t>
      </w:r>
      <w:r>
        <w:rPr>
          <w:spacing w:val="-64"/>
        </w:rPr>
        <w:t> </w:t>
      </w:r>
      <w:r>
        <w:rPr>
          <w:rFonts w:ascii="Arial" w:hAnsi="Arial" w:cs="Arial" w:eastAsia="Arial" w:hint="default"/>
        </w:rPr>
        <w:t>8,215.96</w:t>
      </w:r>
      <w:r>
        <w:rPr>
          <w:rFonts w:ascii="Arial" w:hAnsi="Arial" w:cs="Arial" w:eastAsia="Arial" w:hint="default"/>
          <w:spacing w:val="-9"/>
        </w:rPr>
        <w:t> </w:t>
      </w:r>
      <w:r>
        <w:rPr/>
        <w:t>元，营业外支出减少</w:t>
      </w:r>
      <w:r>
        <w:rPr>
          <w:spacing w:val="-64"/>
        </w:rPr>
        <w:t> </w:t>
      </w:r>
      <w:r>
        <w:rPr>
          <w:rFonts w:ascii="Arial" w:hAnsi="Arial" w:cs="Arial" w:eastAsia="Arial" w:hint="default"/>
        </w:rPr>
        <w:t>71,687.62</w:t>
      </w:r>
      <w:r>
        <w:rPr>
          <w:rFonts w:ascii="Arial" w:hAnsi="Arial" w:cs="Arial" w:eastAsia="Arial" w:hint="default"/>
          <w:spacing w:val="-9"/>
        </w:rPr>
        <w:t> </w:t>
      </w:r>
      <w:r>
        <w:rPr/>
        <w:t>元，资产处置收益增加</w:t>
      </w:r>
      <w:r>
        <w:rPr>
          <w:rFonts w:ascii="Arial" w:hAnsi="Arial" w:cs="Arial" w:eastAsia="Arial" w:hint="default"/>
        </w:rPr>
        <w:t>-63,471.66</w:t>
      </w:r>
    </w:p>
    <w:p>
      <w:pPr>
        <w:pStyle w:val="BodyText"/>
        <w:spacing w:line="225" w:lineRule="auto"/>
        <w:ind w:right="324"/>
        <w:jc w:val="left"/>
      </w:pPr>
      <w:r>
        <w:rPr/>
        <w:t>元；上年同期营业外收入减少</w:t>
      </w:r>
      <w:r>
        <w:rPr>
          <w:spacing w:val="-59"/>
        </w:rPr>
        <w:t> </w:t>
      </w:r>
      <w:r>
        <w:rPr>
          <w:rFonts w:ascii="Arial" w:hAnsi="Arial" w:cs="Arial" w:eastAsia="Arial" w:hint="default"/>
        </w:rPr>
        <w:t>315.16</w:t>
      </w:r>
      <w:r>
        <w:rPr>
          <w:rFonts w:ascii="Arial" w:hAnsi="Arial" w:cs="Arial" w:eastAsia="Arial" w:hint="default"/>
          <w:spacing w:val="-5"/>
        </w:rPr>
        <w:t> </w:t>
      </w:r>
      <w:r>
        <w:rPr/>
        <w:t>元，营业外支出减少</w:t>
      </w:r>
      <w:r>
        <w:rPr>
          <w:spacing w:val="-60"/>
        </w:rPr>
        <w:t> </w:t>
      </w:r>
      <w:r>
        <w:rPr>
          <w:rFonts w:ascii="Arial" w:hAnsi="Arial" w:cs="Arial" w:eastAsia="Arial" w:hint="default"/>
          <w:spacing w:val="-3"/>
        </w:rPr>
        <w:t>11,982.22</w:t>
      </w:r>
      <w:r>
        <w:rPr>
          <w:rFonts w:ascii="Arial" w:hAnsi="Arial" w:cs="Arial" w:eastAsia="Arial" w:hint="default"/>
          <w:spacing w:val="-5"/>
        </w:rPr>
        <w:t> </w:t>
      </w:r>
      <w:r>
        <w:rPr/>
        <w:t>元，资产处置收益增 加</w:t>
      </w:r>
      <w:r>
        <w:rPr>
          <w:rFonts w:ascii="Arial" w:hAnsi="Arial" w:cs="Arial" w:eastAsia="Arial" w:hint="default"/>
        </w:rPr>
        <w:t>-11,667.06</w:t>
      </w:r>
      <w:r>
        <w:rPr>
          <w:rFonts w:ascii="Arial" w:hAnsi="Arial" w:cs="Arial" w:eastAsia="Arial" w:hint="default"/>
          <w:spacing w:val="-26"/>
        </w:rPr>
        <w:t> </w:t>
      </w:r>
      <w:r>
        <w:rPr/>
        <w:t>元。</w:t>
      </w:r>
    </w:p>
    <w:p>
      <w:pPr>
        <w:pStyle w:val="BodyText"/>
        <w:spacing w:line="322" w:lineRule="exact" w:before="24"/>
        <w:ind w:left="633" w:right="0"/>
        <w:jc w:val="left"/>
      </w:pPr>
      <w:r>
        <w:rPr>
          <w:rFonts w:ascii="Arial" w:hAnsi="Arial" w:cs="Arial" w:eastAsia="Arial" w:hint="default"/>
          <w:w w:val="99"/>
        </w:rPr>
        <w:t>3</w:t>
      </w:r>
      <w:r>
        <w:rPr/>
        <w:t>、根据《企业会计准则第</w:t>
      </w:r>
      <w:r>
        <w:rPr>
          <w:spacing w:val="-60"/>
        </w:rPr>
        <w:t> </w:t>
      </w:r>
      <w:r>
        <w:rPr>
          <w:rFonts w:ascii="Arial" w:hAnsi="Arial" w:cs="Arial" w:eastAsia="Arial" w:hint="default"/>
          <w:w w:val="99"/>
        </w:rPr>
        <w:t>42</w:t>
      </w:r>
      <w:r>
        <w:rPr>
          <w:rFonts w:ascii="Arial" w:hAnsi="Arial" w:cs="Arial" w:eastAsia="Arial" w:hint="default"/>
          <w:spacing w:val="-6"/>
        </w:rPr>
        <w:t> </w:t>
      </w:r>
      <w:r>
        <w:rPr/>
        <w:t>号</w:t>
      </w:r>
      <w:r>
        <w:rPr>
          <w:rFonts w:ascii="Arial" w:hAnsi="Arial" w:cs="Arial" w:eastAsia="Arial" w:hint="default"/>
        </w:rPr>
        <w:t>——</w:t>
      </w:r>
      <w:r>
        <w:rPr/>
        <w:t>持有</w:t>
      </w:r>
      <w:r>
        <w:rPr>
          <w:spacing w:val="-3"/>
        </w:rPr>
        <w:t>待</w:t>
      </w:r>
      <w:r>
        <w:rPr/>
        <w:t>售的非流动资产、处置组和终止经营</w:t>
      </w:r>
      <w:r>
        <w:rPr>
          <w:spacing w:val="-120"/>
        </w:rPr>
        <w:t>》</w:t>
      </w:r>
      <w:r>
        <w:rPr/>
        <w:t>，对</w:t>
      </w:r>
    </w:p>
    <w:p>
      <w:pPr>
        <w:pStyle w:val="BodyText"/>
        <w:spacing w:line="312" w:lineRule="exact" w:before="21"/>
        <w:ind w:right="337"/>
        <w:jc w:val="left"/>
      </w:pPr>
      <w:r>
        <w:rPr/>
        <w:t>于</w:t>
      </w:r>
      <w:r>
        <w:rPr>
          <w:spacing w:val="-62"/>
        </w:rPr>
        <w:t> </w:t>
      </w: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5</w:t>
      </w:r>
      <w:r>
        <w:rPr>
          <w:rFonts w:ascii="Arial" w:hAnsi="Arial" w:cs="Arial" w:eastAsia="Arial" w:hint="default"/>
          <w:spacing w:val="-8"/>
        </w:rPr>
        <w:t> </w:t>
      </w:r>
      <w:r>
        <w:rPr/>
        <w:t>月</w:t>
      </w:r>
      <w:r>
        <w:rPr>
          <w:spacing w:val="-62"/>
        </w:rPr>
        <w:t> </w:t>
      </w:r>
      <w:r>
        <w:rPr>
          <w:rFonts w:ascii="Arial" w:hAnsi="Arial" w:cs="Arial" w:eastAsia="Arial" w:hint="default"/>
        </w:rPr>
        <w:t>28</w:t>
      </w:r>
      <w:r>
        <w:rPr>
          <w:rFonts w:ascii="Arial" w:hAnsi="Arial" w:cs="Arial" w:eastAsia="Arial" w:hint="default"/>
          <w:spacing w:val="-8"/>
        </w:rPr>
        <w:t> </w:t>
      </w:r>
      <w:r>
        <w:rPr/>
        <w:t>日之后持有待售的非流动资产或处置组的分类、计量和列报，以及终止 经营的列报等进行了规定，并采用未来适用法进行处理。本期持续经营净利润 </w:t>
      </w:r>
      <w:r>
        <w:rPr>
          <w:rFonts w:ascii="Arial" w:hAnsi="Arial" w:cs="Arial" w:eastAsia="Arial" w:hint="default"/>
        </w:rPr>
        <w:t>374,844,506.92</w:t>
      </w:r>
      <w:r>
        <w:rPr>
          <w:rFonts w:ascii="Arial" w:hAnsi="Arial" w:cs="Arial" w:eastAsia="Arial" w:hint="default"/>
          <w:spacing w:val="-6"/>
        </w:rPr>
        <w:t> </w:t>
      </w:r>
      <w:r>
        <w:rPr/>
        <w:t>元，终止经营净利润</w:t>
      </w:r>
      <w:r>
        <w:rPr>
          <w:spacing w:val="-62"/>
        </w:rPr>
        <w:t> </w:t>
      </w:r>
      <w:r>
        <w:rPr>
          <w:rFonts w:ascii="Arial" w:hAnsi="Arial" w:cs="Arial" w:eastAsia="Arial" w:hint="default"/>
        </w:rPr>
        <w:t>103.33</w:t>
      </w:r>
      <w:r>
        <w:rPr>
          <w:rFonts w:ascii="Arial" w:hAnsi="Arial" w:cs="Arial" w:eastAsia="Arial" w:hint="default"/>
          <w:spacing w:val="-10"/>
        </w:rPr>
        <w:t> </w:t>
      </w:r>
      <w:r>
        <w:rPr/>
        <w:t>元；上期持续经营净利润</w:t>
      </w:r>
      <w:r>
        <w:rPr>
          <w:spacing w:val="-62"/>
        </w:rPr>
        <w:t> </w:t>
      </w:r>
      <w:r>
        <w:rPr>
          <w:rFonts w:ascii="Arial" w:hAnsi="Arial" w:cs="Arial" w:eastAsia="Arial" w:hint="default"/>
        </w:rPr>
        <w:t>274,360,762.89</w:t>
      </w:r>
      <w:r>
        <w:rPr>
          <w:rFonts w:ascii="Arial" w:hAnsi="Arial" w:cs="Arial" w:eastAsia="Arial" w:hint="default"/>
          <w:w w:val="99"/>
        </w:rPr>
        <w:t> </w:t>
      </w:r>
      <w:r>
        <w:rPr/>
        <w:t>元，终止经营净利润</w:t>
      </w:r>
      <w:r>
        <w:rPr>
          <w:rFonts w:ascii="Arial" w:hAnsi="Arial" w:cs="Arial" w:eastAsia="Arial" w:hint="default"/>
        </w:rPr>
        <w:t>-103.33</w:t>
      </w:r>
      <w:r>
        <w:rPr>
          <w:rFonts w:ascii="Arial" w:hAnsi="Arial" w:cs="Arial" w:eastAsia="Arial" w:hint="default"/>
          <w:spacing w:val="-8"/>
        </w:rPr>
        <w:t> </w:t>
      </w:r>
      <w:r>
        <w:rPr/>
        <w:t>元。</w:t>
      </w:r>
    </w:p>
    <w:p>
      <w:pPr>
        <w:pStyle w:val="BodyText"/>
        <w:spacing w:line="268" w:lineRule="auto" w:before="7"/>
        <w:ind w:left="633" w:right="173"/>
        <w:jc w:val="left"/>
      </w:pPr>
      <w:r>
        <w:rPr/>
        <w:t>会计估计变更说明： 为匹配公司业务规模快速增长的现状，更公允反映公司及个别报表的财务状况和经营成</w:t>
      </w:r>
    </w:p>
    <w:p>
      <w:pPr>
        <w:pStyle w:val="BodyText"/>
        <w:spacing w:line="312" w:lineRule="exact"/>
        <w:ind w:right="174"/>
        <w:jc w:val="left"/>
      </w:pPr>
      <w:r>
        <w:rPr/>
        <w:t>果，根据《企业会计准则》并结合公司实际情况，提高了应收账款单项金额重大的金额标 准，并对公司合并范围内的关联方应收账款作为单独的资产组合，不计提坏账。由于公司本 </w:t>
      </w:r>
      <w:r>
        <w:rPr>
          <w:spacing w:val="-3"/>
        </w:rPr>
        <w:t>年投资收购新领域公司，新增房屋及无形资产，根据《企业会计准则规定》，变更无形资产</w:t>
      </w:r>
    </w:p>
    <w:p>
      <w:pPr>
        <w:pStyle w:val="BodyText"/>
        <w:spacing w:line="312" w:lineRule="exact"/>
        <w:ind w:right="191"/>
        <w:jc w:val="both"/>
      </w:pPr>
      <w:r>
        <w:rPr/>
        <w:t>摊销年限及固定资产</w:t>
      </w:r>
      <w:r>
        <w:rPr>
          <w:rFonts w:ascii="Arial" w:hAnsi="Arial" w:cs="Arial" w:eastAsia="Arial" w:hint="default"/>
        </w:rPr>
        <w:t>--</w:t>
      </w:r>
      <w:r>
        <w:rPr/>
        <w:t>房屋及建筑物折旧年限。根据《企业会计准则第</w:t>
      </w:r>
      <w:r>
        <w:rPr>
          <w:spacing w:val="-60"/>
        </w:rPr>
        <w:t> </w:t>
      </w:r>
      <w:r>
        <w:rPr>
          <w:rFonts w:ascii="Arial" w:hAnsi="Arial" w:cs="Arial" w:eastAsia="Arial" w:hint="default"/>
        </w:rPr>
        <w:t>28</w:t>
      </w:r>
      <w:r>
        <w:rPr>
          <w:rFonts w:ascii="Arial" w:hAnsi="Arial" w:cs="Arial" w:eastAsia="Arial" w:hint="default"/>
          <w:spacing w:val="-7"/>
        </w:rPr>
        <w:t> </w:t>
      </w:r>
      <w:r>
        <w:rPr/>
        <w:t>号</w:t>
      </w:r>
      <w:r>
        <w:rPr>
          <w:rFonts w:ascii="Arial" w:hAnsi="Arial" w:cs="Arial" w:eastAsia="Arial" w:hint="default"/>
        </w:rPr>
        <w:t>--</w:t>
      </w:r>
      <w:r>
        <w:rPr/>
        <w:t>会计政策、会 计估计变更和差错更正》的规定，本次会计估计变更采用未来适用法，无需对已披露的财务 报告进行追溯调整，亦不会对公司以往各年度财务状况和经营成果产生影响。</w:t>
      </w:r>
    </w:p>
    <w:p>
      <w:pPr>
        <w:pStyle w:val="Heading2"/>
        <w:spacing w:line="240" w:lineRule="auto" w:before="195"/>
        <w:ind w:right="0"/>
        <w:jc w:val="left"/>
        <w:rPr>
          <w:b w:val="0"/>
          <w:bCs w:val="0"/>
        </w:rPr>
      </w:pPr>
      <w:r>
        <w:rPr/>
        <w:t>七、与上年度财务报告相比，合并报表范围发生变化的情况说明</w:t>
      </w:r>
      <w:r>
        <w:rPr>
          <w:b w:val="0"/>
          <w:bCs w:val="0"/>
        </w:rPr>
      </w:r>
    </w:p>
    <w:p>
      <w:pPr>
        <w:spacing w:line="240" w:lineRule="auto" w:before="9"/>
        <w:rPr>
          <w:rFonts w:ascii="Microsoft JhengHei" w:hAnsi="Microsoft JhengHei" w:cs="Microsoft JhengHei" w:eastAsia="Microsoft JhengHei" w:hint="default"/>
          <w:b/>
          <w:bCs/>
          <w:sz w:val="15"/>
          <w:szCs w:val="15"/>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77" w:footer="980" w:top="1100" w:bottom="1160" w:left="980" w:right="980"/>
        </w:sectPr>
      </w:pPr>
    </w:p>
    <w:p>
      <w:pPr>
        <w:spacing w:line="240" w:lineRule="auto" w:before="8"/>
        <w:rPr>
          <w:rFonts w:ascii="宋体" w:hAnsi="宋体" w:cs="宋体" w:eastAsia="宋体" w:hint="default"/>
          <w:sz w:val="22"/>
          <w:szCs w:val="22"/>
        </w:rPr>
      </w:pPr>
    </w:p>
    <w:p>
      <w:pPr>
        <w:pStyle w:val="BodyText"/>
        <w:spacing w:line="297" w:lineRule="auto" w:before="26"/>
        <w:ind w:right="159" w:firstLine="480"/>
        <w:jc w:val="both"/>
      </w:pPr>
      <w:r>
        <w:rPr/>
        <w:t>本公司根据集团经营需要，新设子公司溯源云（北京）科技服务有限公司、孙公司中科 智慧水运科技创新（广州）有限公司，并购联奕科技有限公司及其子公司广州优奕科信息科</w:t>
      </w:r>
      <w:r>
        <w:rPr>
          <w:spacing w:val="-91"/>
        </w:rPr>
        <w:t> </w:t>
      </w:r>
      <w:r>
        <w:rPr>
          <w:spacing w:val="-91"/>
        </w:rPr>
      </w:r>
      <w:r>
        <w:rPr/>
        <w:t>技有限公司导致增加合并范围；本年度合并范围减少子公司北京华宇科创投资有限公司。</w:t>
      </w:r>
    </w:p>
    <w:p>
      <w:pPr>
        <w:spacing w:line="396" w:lineRule="auto" w:before="202"/>
        <w:ind w:left="152" w:right="6174" w:firstLine="0"/>
        <w:jc w:val="left"/>
        <w:rPr>
          <w:rFonts w:ascii="宋体" w:hAnsi="宋体" w:cs="宋体" w:eastAsia="宋体" w:hint="default"/>
          <w:sz w:val="24"/>
          <w:szCs w:val="24"/>
        </w:rPr>
      </w:pPr>
      <w:r>
        <w:rPr/>
        <w:pict>
          <v:shape style="position:absolute;margin-left:58.080002pt;margin-top:64.173676pt;width:479.15pt;height:100.9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7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2"/>
                            <w:sz w:val="21"/>
                            <w:szCs w:val="21"/>
                          </w:rPr>
                          <w:t>致同会计师事务所（特殊普通合伙）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7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100</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7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2</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7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1"/>
                            <w:sz w:val="21"/>
                            <w:szCs w:val="21"/>
                          </w:rPr>
                          <w:t>陈平、赵奉忠</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47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2</w:t>
                        </w:r>
                      </w:p>
                    </w:tc>
                  </w:tr>
                </w:tbl>
                <w:p>
                  <w:pPr/>
                </w:p>
              </w:txbxContent>
            </v:textbox>
            <w10:wrap type="none"/>
          </v:shape>
        </w:pict>
      </w:r>
      <w:r>
        <w:rPr>
          <w:rFonts w:ascii="Microsoft JhengHei" w:hAnsi="Microsoft JhengHei" w:cs="Microsoft JhengHei" w:eastAsia="Microsoft JhengHei" w:hint="default"/>
          <w:b/>
          <w:bCs/>
          <w:sz w:val="24"/>
          <w:szCs w:val="24"/>
        </w:rPr>
        <w:t>八、聘任、解聘会计师事务所情况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26"/>
        <w:ind w:right="0"/>
        <w:jc w:val="left"/>
      </w:pPr>
      <w:r>
        <w:rPr/>
        <w:t>是否改聘会计师事务所</w:t>
      </w:r>
    </w:p>
    <w:p>
      <w:pPr>
        <w:pStyle w:val="BodyText"/>
        <w:spacing w:line="254" w:lineRule="auto" w:before="38"/>
        <w:ind w:right="377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聘请内部控制审计会计师事务所、财务顾问或保荐人情况</w:t>
      </w:r>
    </w:p>
    <w:p>
      <w:pPr>
        <w:pStyle w:val="BodyText"/>
        <w:spacing w:line="256" w:lineRule="auto" w:before="24"/>
        <w:ind w:left="633" w:right="173"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报告期内，公司因重大资产重组事项，聘任华泰联合证券有限责任公司为财务顾问，期</w:t>
      </w:r>
    </w:p>
    <w:p>
      <w:pPr>
        <w:pStyle w:val="BodyText"/>
        <w:spacing w:line="312" w:lineRule="exact"/>
        <w:ind w:right="0"/>
        <w:jc w:val="left"/>
      </w:pPr>
      <w:r>
        <w:rPr/>
        <w:t>间共支付财务顾问费用</w:t>
      </w:r>
      <w:r>
        <w:rPr>
          <w:spacing w:val="-61"/>
        </w:rPr>
        <w:t> </w:t>
      </w:r>
      <w:r>
        <w:rPr>
          <w:rFonts w:ascii="Arial" w:hAnsi="Arial" w:cs="Arial" w:eastAsia="Arial" w:hint="default"/>
        </w:rPr>
        <w:t>200</w:t>
      </w:r>
      <w:r>
        <w:rPr>
          <w:rFonts w:ascii="Arial" w:hAnsi="Arial" w:cs="Arial" w:eastAsia="Arial" w:hint="default"/>
          <w:spacing w:val="-7"/>
        </w:rPr>
        <w:t> </w:t>
      </w:r>
      <w:r>
        <w:rPr/>
        <w:t>万元。</w:t>
      </w:r>
    </w:p>
    <w:p>
      <w:pPr>
        <w:pStyle w:val="Heading2"/>
        <w:spacing w:line="240" w:lineRule="auto" w:before="204"/>
        <w:ind w:right="0"/>
        <w:jc w:val="left"/>
        <w:rPr>
          <w:b w:val="0"/>
          <w:bCs w:val="0"/>
        </w:rPr>
      </w:pPr>
      <w:r>
        <w:rPr/>
        <w:t>九、年度报告披露后面临暂停上市和终止上市情况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line="391" w:lineRule="auto" w:before="0"/>
        <w:ind w:left="152" w:right="7374" w:firstLine="0"/>
        <w:jc w:val="left"/>
        <w:rPr>
          <w:rFonts w:ascii="Microsoft JhengHei" w:hAnsi="Microsoft JhengHei" w:cs="Microsoft JhengHei" w:eastAsia="Microsoft JhengHei"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十、破产重整相关事项</w:t>
      </w:r>
      <w:r>
        <w:rPr>
          <w:rFonts w:ascii="Microsoft JhengHei" w:hAnsi="Microsoft JhengHei" w:cs="Microsoft JhengHei" w:eastAsia="Microsoft JhengHei" w:hint="default"/>
          <w:sz w:val="24"/>
          <w:szCs w:val="24"/>
        </w:rPr>
      </w:r>
    </w:p>
    <w:p>
      <w:pPr>
        <w:pStyle w:val="BodyText"/>
        <w:spacing w:line="254" w:lineRule="auto" w:before="69"/>
        <w:ind w:left="633" w:right="5213"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公司报告期未发生破产重整相关事项。</w:t>
      </w:r>
    </w:p>
    <w:p>
      <w:pPr>
        <w:pStyle w:val="Heading2"/>
        <w:spacing w:line="240" w:lineRule="auto" w:before="209"/>
        <w:ind w:right="0"/>
        <w:jc w:val="left"/>
        <w:rPr>
          <w:b w:val="0"/>
          <w:bCs w:val="0"/>
        </w:rPr>
      </w:pPr>
      <w:r>
        <w:rPr/>
        <w:t>十一、重大诉讼、仲裁事项</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56" w:lineRule="auto"/>
        <w:ind w:left="633" w:right="5453"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本年度公司无重大诉讼、仲裁事项。</w:t>
      </w:r>
    </w:p>
    <w:p>
      <w:pPr>
        <w:pStyle w:val="Heading2"/>
        <w:spacing w:line="240" w:lineRule="auto" w:before="204"/>
        <w:ind w:right="0"/>
        <w:jc w:val="left"/>
        <w:rPr>
          <w:b w:val="0"/>
          <w:bCs w:val="0"/>
        </w:rPr>
      </w:pPr>
      <w:r>
        <w:rPr/>
        <w:t>十二、处罚及整改情况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56" w:lineRule="auto"/>
        <w:ind w:left="633" w:right="5453"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公司报告期不存在处罚及整改情况。</w:t>
      </w:r>
    </w:p>
    <w:p>
      <w:pPr>
        <w:pStyle w:val="Heading2"/>
        <w:spacing w:line="240" w:lineRule="auto" w:before="207"/>
        <w:ind w:right="0"/>
        <w:jc w:val="left"/>
        <w:rPr>
          <w:b w:val="0"/>
          <w:bCs w:val="0"/>
        </w:rPr>
      </w:pPr>
      <w:r>
        <w:rPr/>
        <w:t>十三、公司及其控股股东、实际控制人的诚信状况</w:t>
      </w:r>
      <w:r>
        <w:rPr>
          <w:b w:val="0"/>
          <w:bCs w:val="0"/>
        </w:rPr>
      </w:r>
    </w:p>
    <w:p>
      <w:pPr>
        <w:spacing w:line="240" w:lineRule="auto" w:before="7"/>
        <w:rPr>
          <w:rFonts w:ascii="Microsoft JhengHei" w:hAnsi="Microsoft JhengHei" w:cs="Microsoft JhengHei" w:eastAsia="Microsoft JhengHei" w:hint="default"/>
          <w:b/>
          <w:bCs/>
          <w:sz w:val="15"/>
          <w:szCs w:val="15"/>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十四、公司股权激励计划、员工持股计划或其他员工激励措施的实施情况</w:t>
      </w:r>
      <w:r>
        <w:rPr>
          <w:b w:val="0"/>
          <w:bCs w:val="0"/>
        </w:rPr>
      </w:r>
    </w:p>
    <w:p>
      <w:pPr>
        <w:spacing w:line="240" w:lineRule="auto" w:before="16"/>
        <w:rPr>
          <w:rFonts w:ascii="Microsoft JhengHei" w:hAnsi="Microsoft JhengHei" w:cs="Microsoft JhengHei" w:eastAsia="Microsoft JhengHei" w:hint="default"/>
          <w:b/>
          <w:bCs/>
          <w:sz w:val="17"/>
          <w:szCs w:val="17"/>
        </w:rPr>
      </w:pPr>
    </w:p>
    <w:p>
      <w:pPr>
        <w:pStyle w:val="BodyText"/>
        <w:spacing w:line="240" w:lineRule="auto"/>
        <w:ind w:left="633"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6"/>
        </w:rPr>
        <w:t> </w:t>
      </w:r>
      <w:r>
        <w:rPr/>
        <w:t>不适用</w:t>
      </w:r>
    </w:p>
    <w:p>
      <w:pPr>
        <w:pStyle w:val="BodyText"/>
        <w:spacing w:line="283" w:lineRule="auto" w:before="213"/>
        <w:ind w:right="146" w:firstLine="480"/>
        <w:jc w:val="both"/>
      </w:pPr>
      <w:r>
        <w:rPr>
          <w:rFonts w:ascii="Arial" w:hAnsi="Arial" w:cs="Arial" w:eastAsia="Arial" w:hint="default"/>
          <w:spacing w:val="-2"/>
        </w:rPr>
        <w:t>2016</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16</w:t>
      </w:r>
      <w:r>
        <w:rPr>
          <w:spacing w:val="-2"/>
        </w:rPr>
        <w:t>日，公司</w:t>
      </w:r>
      <w:r>
        <w:rPr>
          <w:rFonts w:ascii="Arial" w:hAnsi="Arial" w:cs="Arial" w:eastAsia="Arial" w:hint="default"/>
          <w:spacing w:val="-2"/>
        </w:rPr>
        <w:t>2016</w:t>
      </w:r>
      <w:r>
        <w:rPr>
          <w:spacing w:val="-2"/>
        </w:rPr>
        <w:t>年第六次临时股东大会审议通过了《关于</w:t>
      </w:r>
      <w:r>
        <w:rPr>
          <w:rFonts w:ascii="Arial" w:hAnsi="Arial" w:cs="Arial" w:eastAsia="Arial" w:hint="default"/>
          <w:spacing w:val="-2"/>
        </w:rPr>
        <w:t>&lt;2016</w:t>
      </w:r>
      <w:r>
        <w:rPr>
          <w:spacing w:val="-2"/>
        </w:rPr>
        <w:t>年限制性股</w:t>
      </w:r>
      <w:r>
        <w:rPr/>
        <w:t> 票激励计划（草案）</w:t>
      </w:r>
      <w:r>
        <w:rPr>
          <w:rFonts w:ascii="Arial" w:hAnsi="Arial" w:cs="Arial" w:eastAsia="Arial" w:hint="default"/>
        </w:rPr>
        <w:t>&gt;</w:t>
      </w:r>
      <w:r>
        <w:rPr/>
        <w:t>及其摘要的议案》及其相关事项的议案。</w:t>
      </w:r>
    </w:p>
    <w:p>
      <w:pPr>
        <w:pStyle w:val="BodyText"/>
        <w:spacing w:line="283" w:lineRule="auto" w:before="165"/>
        <w:ind w:right="150" w:firstLine="480"/>
        <w:jc w:val="both"/>
      </w:pPr>
      <w:r>
        <w:rPr>
          <w:rFonts w:ascii="Arial" w:hAnsi="Arial" w:cs="Arial" w:eastAsia="Arial" w:hint="default"/>
          <w:spacing w:val="-5"/>
        </w:rPr>
        <w:t>2017</w:t>
      </w:r>
      <w:r>
        <w:rPr>
          <w:spacing w:val="-5"/>
        </w:rPr>
        <w:t>年</w:t>
      </w:r>
      <w:r>
        <w:rPr>
          <w:rFonts w:ascii="Arial" w:hAnsi="Arial" w:cs="Arial" w:eastAsia="Arial" w:hint="default"/>
          <w:spacing w:val="-5"/>
        </w:rPr>
        <w:t>1</w:t>
      </w:r>
      <w:r>
        <w:rPr>
          <w:spacing w:val="-5"/>
        </w:rPr>
        <w:t>月</w:t>
      </w:r>
      <w:r>
        <w:rPr>
          <w:rFonts w:ascii="Arial" w:hAnsi="Arial" w:cs="Arial" w:eastAsia="Arial" w:hint="default"/>
          <w:spacing w:val="-5"/>
        </w:rPr>
        <w:t>23</w:t>
      </w:r>
      <w:r>
        <w:rPr>
          <w:spacing w:val="-5"/>
        </w:rPr>
        <w:t>日，公司发布了《关于限制性股票授予登记完成公告》，授予限制性股票的</w:t>
      </w:r>
      <w:r>
        <w:rPr/>
        <w:t> 上市日期为</w:t>
      </w:r>
      <w:r>
        <w:rPr>
          <w:rFonts w:ascii="Arial" w:hAnsi="Arial" w:cs="Arial" w:eastAsia="Arial" w:hint="default"/>
        </w:rPr>
        <w:t>2017</w:t>
      </w:r>
      <w:r>
        <w:rPr/>
        <w:t>年</w:t>
      </w:r>
      <w:r>
        <w:rPr>
          <w:rFonts w:ascii="Arial" w:hAnsi="Arial" w:cs="Arial" w:eastAsia="Arial" w:hint="default"/>
        </w:rPr>
        <w:t>1</w:t>
      </w:r>
      <w:r>
        <w:rPr/>
        <w:t>月</w:t>
      </w:r>
      <w:r>
        <w:rPr>
          <w:rFonts w:ascii="Arial" w:hAnsi="Arial" w:cs="Arial" w:eastAsia="Arial" w:hint="default"/>
        </w:rPr>
        <w:t>24</w:t>
      </w:r>
      <w:r>
        <w:rPr/>
        <w:t>日。</w:t>
      </w:r>
    </w:p>
    <w:p>
      <w:pPr>
        <w:pStyle w:val="BodyText"/>
        <w:spacing w:line="285" w:lineRule="auto" w:before="165"/>
        <w:ind w:right="146" w:firstLine="480"/>
        <w:jc w:val="both"/>
      </w:pPr>
      <w:r>
        <w:rPr>
          <w:rFonts w:ascii="Arial" w:hAnsi="Arial" w:cs="Arial" w:eastAsia="Arial" w:hint="default"/>
        </w:rPr>
        <w:t>2017</w:t>
      </w:r>
      <w:r>
        <w:rPr/>
        <w:t>年</w:t>
      </w:r>
      <w:r>
        <w:rPr>
          <w:rFonts w:ascii="Arial" w:hAnsi="Arial" w:cs="Arial" w:eastAsia="Arial" w:hint="default"/>
        </w:rPr>
        <w:t>5</w:t>
      </w:r>
      <w:r>
        <w:rPr/>
        <w:t>月</w:t>
      </w:r>
      <w:r>
        <w:rPr>
          <w:rFonts w:ascii="Arial" w:hAnsi="Arial" w:cs="Arial" w:eastAsia="Arial" w:hint="default"/>
        </w:rPr>
        <w:t>31</w:t>
      </w:r>
      <w:r>
        <w:rPr/>
        <w:t>日，公司第六届董事会第十九次会议审议通过了《关于公司限制性股票激 励计划第二个解锁期可解锁的议案》，公司限制性股票激励计划第二个解锁期解锁条件已满</w:t>
      </w:r>
      <w:r>
        <w:rPr>
          <w:spacing w:val="-91"/>
        </w:rPr>
        <w:t> </w:t>
      </w:r>
      <w:r>
        <w:rPr>
          <w:spacing w:val="-91"/>
        </w:rPr>
      </w:r>
      <w:r>
        <w:rPr/>
        <w:t>足，同意公司</w:t>
      </w:r>
      <w:r>
        <w:rPr>
          <w:rFonts w:ascii="Arial" w:hAnsi="Arial" w:cs="Arial" w:eastAsia="Arial" w:hint="default"/>
        </w:rPr>
        <w:t>444</w:t>
      </w:r>
      <w:r>
        <w:rPr/>
        <w:t>名激励对象第二个解锁期可解锁的限制性股票数量为</w:t>
      </w:r>
      <w:r>
        <w:rPr>
          <w:rFonts w:ascii="Arial" w:hAnsi="Arial" w:cs="Arial" w:eastAsia="Arial" w:hint="default"/>
        </w:rPr>
        <w:t>4,556,760</w:t>
      </w:r>
      <w:r>
        <w:rPr/>
        <w:t>股；审议通</w:t>
      </w:r>
      <w:r>
        <w:rPr>
          <w:spacing w:val="-116"/>
        </w:rPr>
        <w:t> </w:t>
      </w:r>
      <w:r>
        <w:rPr>
          <w:spacing w:val="-1"/>
        </w:rPr>
        <w:t>过了《关于调整股票期权激励计划与</w:t>
      </w:r>
      <w:r>
        <w:rPr>
          <w:rFonts w:ascii="Arial" w:hAnsi="Arial" w:cs="Arial" w:eastAsia="Arial" w:hint="default"/>
          <w:spacing w:val="-1"/>
        </w:rPr>
        <w:t>2016</w:t>
      </w:r>
      <w:r>
        <w:rPr>
          <w:spacing w:val="-1"/>
        </w:rPr>
        <w:t>年限制性股票激励计划价格的议案》，公司股票期</w:t>
      </w:r>
      <w:r>
        <w:rPr>
          <w:spacing w:val="-96"/>
        </w:rPr>
        <w:t> </w:t>
      </w:r>
      <w:r>
        <w:rPr>
          <w:spacing w:val="-96"/>
        </w:rPr>
      </w:r>
      <w:r>
        <w:rPr/>
        <w:t>权激励计划首次授予期权的行权价格由</w:t>
      </w:r>
      <w:r>
        <w:rPr>
          <w:rFonts w:ascii="Arial" w:hAnsi="Arial" w:cs="Arial" w:eastAsia="Arial" w:hint="default"/>
        </w:rPr>
        <w:t>4.05</w:t>
      </w:r>
      <w:r>
        <w:rPr/>
        <w:t>元调整为</w:t>
      </w:r>
      <w:r>
        <w:rPr>
          <w:rFonts w:ascii="Arial" w:hAnsi="Arial" w:cs="Arial" w:eastAsia="Arial" w:hint="default"/>
        </w:rPr>
        <w:t>4.00</w:t>
      </w:r>
      <w:r>
        <w:rPr/>
        <w:t>元，预留期权的行权价格由</w:t>
      </w:r>
      <w:r>
        <w:rPr>
          <w:rFonts w:ascii="Arial" w:hAnsi="Arial" w:cs="Arial" w:eastAsia="Arial" w:hint="default"/>
        </w:rPr>
        <w:t>4.95</w:t>
      </w:r>
      <w:r>
        <w:rPr/>
        <w:t>元</w:t>
      </w:r>
      <w:r>
        <w:rPr>
          <w:spacing w:val="-52"/>
        </w:rPr>
        <w:t> </w:t>
      </w:r>
      <w:r>
        <w:rPr>
          <w:spacing w:val="-3"/>
        </w:rPr>
        <w:t>调整为</w:t>
      </w:r>
      <w:r>
        <w:rPr>
          <w:rFonts w:ascii="Arial" w:hAnsi="Arial" w:cs="Arial" w:eastAsia="Arial" w:hint="default"/>
          <w:spacing w:val="-3"/>
        </w:rPr>
        <w:t>4.90</w:t>
      </w:r>
      <w:r>
        <w:rPr>
          <w:spacing w:val="-3"/>
        </w:rPr>
        <w:t>元，公司</w:t>
      </w:r>
      <w:r>
        <w:rPr>
          <w:rFonts w:ascii="Arial" w:hAnsi="Arial" w:cs="Arial" w:eastAsia="Arial" w:hint="default"/>
          <w:spacing w:val="-3"/>
        </w:rPr>
        <w:t>2016</w:t>
      </w:r>
      <w:r>
        <w:rPr>
          <w:spacing w:val="-3"/>
        </w:rPr>
        <w:t>年限制性股票回购价格由</w:t>
      </w:r>
      <w:r>
        <w:rPr>
          <w:rFonts w:ascii="Arial" w:hAnsi="Arial" w:cs="Arial" w:eastAsia="Arial" w:hint="default"/>
          <w:spacing w:val="-3"/>
        </w:rPr>
        <w:t>10.03</w:t>
      </w:r>
      <w:r>
        <w:rPr>
          <w:spacing w:val="-3"/>
        </w:rPr>
        <w:t>元调整为</w:t>
      </w:r>
      <w:r>
        <w:rPr>
          <w:rFonts w:ascii="Arial" w:hAnsi="Arial" w:cs="Arial" w:eastAsia="Arial" w:hint="default"/>
          <w:spacing w:val="-3"/>
        </w:rPr>
        <w:t>9.98</w:t>
      </w:r>
      <w:r>
        <w:rPr>
          <w:spacing w:val="-3"/>
        </w:rPr>
        <w:t>元；审议通过了《关于</w:t>
      </w:r>
      <w:r>
        <w:rPr>
          <w:spacing w:val="-93"/>
        </w:rPr>
        <w:t> </w:t>
      </w:r>
      <w:r>
        <w:rPr>
          <w:spacing w:val="-93"/>
        </w:rPr>
      </w:r>
      <w:r>
        <w:rPr>
          <w:spacing w:val="-3"/>
        </w:rPr>
        <w:t>回购注销部分限制性股票的议案》，公司原激励对象唐新宇等</w:t>
      </w:r>
      <w:r>
        <w:rPr>
          <w:rFonts w:ascii="Arial" w:hAnsi="Arial" w:cs="Arial" w:eastAsia="Arial" w:hint="default"/>
          <w:spacing w:val="-3"/>
        </w:rPr>
        <w:t>6</w:t>
      </w:r>
      <w:r>
        <w:rPr>
          <w:spacing w:val="-3"/>
        </w:rPr>
        <w:t>人因个人原因离职，根据《限</w:t>
      </w:r>
      <w:r>
        <w:rPr>
          <w:spacing w:val="-92"/>
        </w:rPr>
        <w:t> </w:t>
      </w:r>
      <w:r>
        <w:rPr>
          <w:spacing w:val="-92"/>
        </w:rPr>
      </w:r>
      <w:r>
        <w:rPr/>
        <w:t>制性股票激励计划（草案）》的规定，其不再符合公司股权激励计划的激励条件，公司拟对</w:t>
      </w:r>
      <w:r>
        <w:rPr>
          <w:spacing w:val="-91"/>
        </w:rPr>
        <w:t> </w:t>
      </w:r>
      <w:r>
        <w:rPr>
          <w:spacing w:val="-91"/>
        </w:rPr>
      </w:r>
      <w:r>
        <w:rPr/>
        <w:t>上述员工获授予但尚未解锁的</w:t>
      </w:r>
      <w:r>
        <w:rPr>
          <w:rFonts w:ascii="Arial" w:hAnsi="Arial" w:cs="Arial" w:eastAsia="Arial" w:hint="default"/>
        </w:rPr>
        <w:t>127,207</w:t>
      </w:r>
      <w:r>
        <w:rPr/>
        <w:t>股限制性股票进行回购注销。公司于</w:t>
      </w:r>
      <w:r>
        <w:rPr>
          <w:rFonts w:ascii="Arial" w:hAnsi="Arial" w:cs="Arial" w:eastAsia="Arial" w:hint="default"/>
        </w:rPr>
        <w:t>2017</w:t>
      </w:r>
      <w:r>
        <w:rPr/>
        <w:t>年</w:t>
      </w:r>
      <w:r>
        <w:rPr>
          <w:rFonts w:ascii="Arial" w:hAnsi="Arial" w:cs="Arial" w:eastAsia="Arial" w:hint="default"/>
        </w:rPr>
        <w:t>10</w:t>
      </w:r>
      <w:r>
        <w:rPr/>
        <w:t>月</w:t>
      </w:r>
      <w:r>
        <w:rPr>
          <w:rFonts w:ascii="Arial" w:hAnsi="Arial" w:cs="Arial" w:eastAsia="Arial" w:hint="default"/>
        </w:rPr>
        <w:t>23</w:t>
      </w:r>
      <w:r>
        <w:rPr/>
        <w:t>日</w:t>
      </w:r>
      <w:r>
        <w:rPr>
          <w:spacing w:val="-108"/>
        </w:rPr>
        <w:t> </w:t>
      </w:r>
      <w:r>
        <w:rPr/>
        <w:t>在中国证券登记结算有限公司深圳分公司完成回购注销。</w:t>
      </w:r>
    </w:p>
    <w:p>
      <w:pPr>
        <w:pStyle w:val="BodyText"/>
        <w:spacing w:line="288" w:lineRule="auto" w:before="185"/>
        <w:ind w:right="152" w:firstLine="480"/>
        <w:jc w:val="both"/>
      </w:pPr>
      <w:r>
        <w:rPr>
          <w:rFonts w:ascii="Arial" w:hAnsi="Arial" w:cs="Arial" w:eastAsia="Arial" w:hint="default"/>
          <w:spacing w:val="-2"/>
        </w:rPr>
        <w:t>2017</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8</w:t>
      </w:r>
      <w:r>
        <w:rPr>
          <w:spacing w:val="-2"/>
        </w:rPr>
        <w:t>日，公司发布了《关于限制性股票激励计划授予股票第二期可解锁股份上市</w:t>
      </w:r>
      <w:r>
        <w:rPr/>
        <w:t> 流通的提示性公告》，本次限制性股票激励计划授予的限制性股票第二个解锁期可解锁的股</w:t>
      </w:r>
      <w:r>
        <w:rPr>
          <w:spacing w:val="-91"/>
        </w:rPr>
        <w:t> </w:t>
      </w:r>
      <w:r>
        <w:rPr>
          <w:spacing w:val="-91"/>
        </w:rPr>
      </w:r>
      <w:r>
        <w:rPr>
          <w:spacing w:val="-3"/>
        </w:rPr>
        <w:t>份数量为</w:t>
      </w:r>
      <w:r>
        <w:rPr>
          <w:rFonts w:ascii="Arial" w:hAnsi="Arial" w:cs="Arial" w:eastAsia="Arial" w:hint="default"/>
          <w:spacing w:val="-3"/>
        </w:rPr>
        <w:t>4,556,760</w:t>
      </w:r>
      <w:r>
        <w:rPr>
          <w:spacing w:val="-3"/>
        </w:rPr>
        <w:t>股，占公司目前股本总额的</w:t>
      </w:r>
      <w:r>
        <w:rPr>
          <w:rFonts w:ascii="Arial" w:hAnsi="Arial" w:cs="Arial" w:eastAsia="Arial" w:hint="default"/>
          <w:spacing w:val="-3"/>
        </w:rPr>
        <w:t>0.68%</w:t>
      </w:r>
      <w:r>
        <w:rPr>
          <w:spacing w:val="-3"/>
        </w:rPr>
        <w:t>；实际可上市流通数量为</w:t>
      </w:r>
      <w:r>
        <w:rPr>
          <w:rFonts w:ascii="Arial" w:hAnsi="Arial" w:cs="Arial" w:eastAsia="Arial" w:hint="default"/>
          <w:spacing w:val="-3"/>
        </w:rPr>
        <w:t>4,556,760</w:t>
      </w:r>
      <w:r>
        <w:rPr>
          <w:spacing w:val="-3"/>
        </w:rPr>
        <w:t>股，</w:t>
      </w:r>
      <w:r>
        <w:rPr>
          <w:spacing w:val="-116"/>
        </w:rPr>
        <w:t> </w:t>
      </w:r>
      <w:r>
        <w:rPr/>
        <w:t>占目前公司总股本的</w:t>
      </w:r>
      <w:r>
        <w:rPr>
          <w:rFonts w:ascii="Arial" w:hAnsi="Arial" w:cs="Arial" w:eastAsia="Arial" w:hint="default"/>
        </w:rPr>
        <w:t>0.68%</w:t>
      </w:r>
      <w:r>
        <w:rPr/>
        <w:t>。本次限制性股票的上市流通日为</w:t>
      </w:r>
      <w:r>
        <w:rPr>
          <w:rFonts w:ascii="Arial" w:hAnsi="Arial" w:cs="Arial" w:eastAsia="Arial" w:hint="default"/>
        </w:rPr>
        <w:t>2017</w:t>
      </w:r>
      <w:r>
        <w:rPr/>
        <w:t>年</w:t>
      </w:r>
      <w:r>
        <w:rPr>
          <w:rFonts w:ascii="Arial" w:hAnsi="Arial" w:cs="Arial" w:eastAsia="Arial" w:hint="default"/>
        </w:rPr>
        <w:t>6</w:t>
      </w:r>
      <w:r>
        <w:rPr/>
        <w:t>月</w:t>
      </w:r>
      <w:r>
        <w:rPr>
          <w:rFonts w:ascii="Arial" w:hAnsi="Arial" w:cs="Arial" w:eastAsia="Arial" w:hint="default"/>
        </w:rPr>
        <w:t>12</w:t>
      </w:r>
      <w:r>
        <w:rPr/>
        <w:t>日。</w:t>
      </w:r>
    </w:p>
    <w:p>
      <w:pPr>
        <w:pStyle w:val="BodyText"/>
        <w:spacing w:line="285" w:lineRule="auto" w:before="160"/>
        <w:ind w:right="151" w:firstLine="480"/>
        <w:jc w:val="both"/>
      </w:pPr>
      <w:r>
        <w:rPr>
          <w:rFonts w:ascii="Arial" w:hAnsi="Arial" w:cs="Arial" w:eastAsia="Arial" w:hint="default"/>
        </w:rPr>
        <w:t>2017</w:t>
      </w:r>
      <w:r>
        <w:rPr/>
        <w:t>年</w:t>
      </w:r>
      <w:r>
        <w:rPr>
          <w:rFonts w:ascii="Arial" w:hAnsi="Arial" w:cs="Arial" w:eastAsia="Arial" w:hint="default"/>
        </w:rPr>
        <w:t>8</w:t>
      </w:r>
      <w:r>
        <w:rPr/>
        <w:t>月</w:t>
      </w:r>
      <w:r>
        <w:rPr>
          <w:rFonts w:ascii="Arial" w:hAnsi="Arial" w:cs="Arial" w:eastAsia="Arial" w:hint="default"/>
        </w:rPr>
        <w:t>14</w:t>
      </w:r>
      <w:r>
        <w:rPr/>
        <w:t>日，公司第六届董事会第二十次会议审议通过了《关于公司股票期权激励 计划预留期权第四个行权期可行权的议案》，同意以定向发行公司股票的方式给予预留期权</w:t>
      </w:r>
      <w:r>
        <w:rPr>
          <w:spacing w:val="-91"/>
        </w:rPr>
        <w:t> </w:t>
      </w:r>
      <w:r>
        <w:rPr>
          <w:spacing w:val="-91"/>
        </w:rPr>
      </w:r>
      <w:r>
        <w:rPr/>
        <w:t>的</w:t>
      </w:r>
      <w:r>
        <w:rPr>
          <w:rFonts w:ascii="Arial" w:hAnsi="Arial" w:cs="Arial" w:eastAsia="Arial" w:hint="default"/>
        </w:rPr>
        <w:t>41</w:t>
      </w:r>
      <w:r>
        <w:rPr/>
        <w:t>名激励对象在第四个行权期内可行权股票期权共计</w:t>
      </w:r>
      <w:r>
        <w:rPr>
          <w:rFonts w:ascii="Arial" w:hAnsi="Arial" w:cs="Arial" w:eastAsia="Arial" w:hint="default"/>
        </w:rPr>
        <w:t>412,653</w:t>
      </w:r>
      <w:r>
        <w:rPr/>
        <w:t>份。股票期权激励计划预留</w:t>
      </w:r>
      <w:r>
        <w:rPr>
          <w:spacing w:val="-37"/>
        </w:rPr>
        <w:t> </w:t>
      </w:r>
      <w:r>
        <w:rPr>
          <w:spacing w:val="-37"/>
        </w:rPr>
      </w:r>
      <w:r>
        <w:rPr/>
        <w:t>期权第四个行权期拟采用自主行权模式。</w:t>
      </w:r>
      <w:r>
        <w:rPr>
          <w:rFonts w:ascii="Arial" w:hAnsi="Arial" w:cs="Arial" w:eastAsia="Arial" w:hint="default"/>
        </w:rPr>
        <w:t>2017</w:t>
      </w:r>
      <w:r>
        <w:rPr/>
        <w:t>年</w:t>
      </w:r>
      <w:r>
        <w:rPr>
          <w:rFonts w:ascii="Arial" w:hAnsi="Arial" w:cs="Arial" w:eastAsia="Arial" w:hint="default"/>
        </w:rPr>
        <w:t>8</w:t>
      </w:r>
      <w:r>
        <w:rPr/>
        <w:t>月</w:t>
      </w:r>
      <w:r>
        <w:rPr>
          <w:rFonts w:ascii="Arial" w:hAnsi="Arial" w:cs="Arial" w:eastAsia="Arial" w:hint="default"/>
        </w:rPr>
        <w:t>15</w:t>
      </w:r>
      <w:r>
        <w:rPr/>
        <w:t>日，公司发布了《关于公司股票期权</w:t>
      </w:r>
      <w:r>
        <w:rPr>
          <w:spacing w:val="-64"/>
        </w:rPr>
        <w:t> </w:t>
      </w:r>
      <w:r>
        <w:rPr>
          <w:spacing w:val="-64"/>
        </w:rPr>
      </w:r>
      <w:r>
        <w:rPr/>
        <w:t>激励计划预留期权第四个行权期可行权的公告》。</w:t>
      </w:r>
    </w:p>
    <w:p>
      <w:pPr>
        <w:pStyle w:val="BodyText"/>
        <w:spacing w:line="283" w:lineRule="auto" w:before="185"/>
        <w:ind w:right="151" w:firstLine="480"/>
        <w:jc w:val="both"/>
      </w:pPr>
      <w:r>
        <w:rPr>
          <w:rFonts w:ascii="Arial" w:hAnsi="Arial" w:cs="Arial" w:eastAsia="Arial" w:hint="default"/>
        </w:rPr>
        <w:t>2017</w:t>
      </w:r>
      <w:r>
        <w:rPr/>
        <w:t>年</w:t>
      </w:r>
      <w:r>
        <w:rPr>
          <w:rFonts w:ascii="Arial" w:hAnsi="Arial" w:cs="Arial" w:eastAsia="Arial" w:hint="default"/>
        </w:rPr>
        <w:t>8</w:t>
      </w:r>
      <w:r>
        <w:rPr/>
        <w:t>月</w:t>
      </w:r>
      <w:r>
        <w:rPr>
          <w:rFonts w:ascii="Arial" w:hAnsi="Arial" w:cs="Arial" w:eastAsia="Arial" w:hint="default"/>
        </w:rPr>
        <w:t>22</w:t>
      </w:r>
      <w:r>
        <w:rPr/>
        <w:t>日，公司发布了《关于股票期权激励计划预留期权第四个行权期采用自主 行权模式的提示性公告》，预留期权第四个行权期行权期限为：</w:t>
      </w:r>
      <w:r>
        <w:rPr>
          <w:rFonts w:ascii="Arial" w:hAnsi="Arial" w:cs="Arial" w:eastAsia="Arial" w:hint="default"/>
        </w:rPr>
        <w:t>2017</w:t>
      </w:r>
      <w:r>
        <w:rPr/>
        <w:t>年</w:t>
      </w:r>
      <w:r>
        <w:rPr>
          <w:rFonts w:ascii="Arial" w:hAnsi="Arial" w:cs="Arial" w:eastAsia="Arial" w:hint="default"/>
        </w:rPr>
        <w:t>8</w:t>
      </w:r>
      <w:r>
        <w:rPr/>
        <w:t>月</w:t>
      </w:r>
      <w:r>
        <w:rPr>
          <w:rFonts w:ascii="Arial" w:hAnsi="Arial" w:cs="Arial" w:eastAsia="Arial" w:hint="default"/>
        </w:rPr>
        <w:t>22</w:t>
      </w:r>
      <w:r>
        <w:rPr/>
        <w:t>日起至</w:t>
      </w:r>
      <w:r>
        <w:rPr>
          <w:rFonts w:ascii="Arial" w:hAnsi="Arial" w:cs="Arial" w:eastAsia="Arial" w:hint="default"/>
        </w:rPr>
        <w:t>2018</w:t>
      </w:r>
      <w:r>
        <w:rPr/>
        <w:t>年</w:t>
      </w:r>
      <w:r>
        <w:rPr>
          <w:spacing w:val="-118"/>
        </w:rPr>
        <w:t> </w:t>
      </w:r>
      <w:r>
        <w:rPr>
          <w:rFonts w:ascii="Arial" w:hAnsi="Arial" w:cs="Arial" w:eastAsia="Arial" w:hint="default"/>
        </w:rPr>
        <w:t>7</w:t>
      </w:r>
      <w:r>
        <w:rPr/>
        <w:t>月</w:t>
      </w:r>
      <w:r>
        <w:rPr>
          <w:rFonts w:ascii="Arial" w:hAnsi="Arial" w:cs="Arial" w:eastAsia="Arial" w:hint="default"/>
        </w:rPr>
        <w:t>13</w:t>
      </w:r>
      <w:r>
        <w:rPr/>
        <w:t>日止。</w:t>
      </w:r>
    </w:p>
    <w:p>
      <w:pPr>
        <w:pStyle w:val="BodyText"/>
        <w:spacing w:line="283" w:lineRule="auto" w:before="167"/>
        <w:ind w:right="151" w:firstLine="480"/>
        <w:jc w:val="both"/>
      </w:pPr>
      <w:r>
        <w:rPr>
          <w:rFonts w:ascii="Arial" w:hAnsi="Arial" w:cs="Arial" w:eastAsia="Arial" w:hint="default"/>
        </w:rPr>
        <w:t>2017</w:t>
      </w:r>
      <w:r>
        <w:rPr/>
        <w:t>年</w:t>
      </w:r>
      <w:r>
        <w:rPr>
          <w:rFonts w:ascii="Arial" w:hAnsi="Arial" w:cs="Arial" w:eastAsia="Arial" w:hint="default"/>
        </w:rPr>
        <w:t>8</w:t>
      </w:r>
      <w:r>
        <w:rPr/>
        <w:t>月</w:t>
      </w:r>
      <w:r>
        <w:rPr>
          <w:rFonts w:ascii="Arial" w:hAnsi="Arial" w:cs="Arial" w:eastAsia="Arial" w:hint="default"/>
        </w:rPr>
        <w:t>29</w:t>
      </w:r>
      <w:r>
        <w:rPr/>
        <w:t>日，公司第六届董事会第二十一次会议审议通过了《关于公司注销股票期 </w:t>
      </w:r>
      <w:r>
        <w:rPr>
          <w:spacing w:val="-3"/>
        </w:rPr>
        <w:t>权激励计划首次授予部分已授予股票期权的议案》，同意将</w:t>
      </w:r>
      <w:r>
        <w:rPr>
          <w:rFonts w:ascii="Arial" w:hAnsi="Arial" w:cs="Arial" w:eastAsia="Arial" w:hint="default"/>
          <w:spacing w:val="-3"/>
        </w:rPr>
        <w:t>1</w:t>
      </w:r>
      <w:r>
        <w:rPr>
          <w:spacing w:val="-3"/>
        </w:rPr>
        <w:t>名激励对象因个人原因未行权的</w:t>
      </w:r>
      <w:r>
        <w:rPr>
          <w:spacing w:val="-92"/>
        </w:rPr>
        <w:t> </w:t>
      </w:r>
      <w:r>
        <w:rPr/>
        <w:t>股票期权共计</w:t>
      </w:r>
      <w:r>
        <w:rPr>
          <w:rFonts w:ascii="Arial" w:hAnsi="Arial" w:cs="Arial" w:eastAsia="Arial" w:hint="default"/>
        </w:rPr>
        <w:t>9,919</w:t>
      </w:r>
      <w:r>
        <w:rPr/>
        <w:t>份进行注销。</w:t>
      </w:r>
      <w:r>
        <w:rPr>
          <w:rFonts w:ascii="Arial" w:hAnsi="Arial" w:cs="Arial" w:eastAsia="Arial" w:hint="default"/>
        </w:rPr>
        <w:t>2017</w:t>
      </w:r>
      <w:r>
        <w:rPr/>
        <w:t>年</w:t>
      </w:r>
      <w:r>
        <w:rPr>
          <w:rFonts w:ascii="Arial" w:hAnsi="Arial" w:cs="Arial" w:eastAsia="Arial" w:hint="default"/>
        </w:rPr>
        <w:t>9</w:t>
      </w:r>
      <w:r>
        <w:rPr/>
        <w:t>月</w:t>
      </w:r>
      <w:r>
        <w:rPr>
          <w:rFonts w:ascii="Arial" w:hAnsi="Arial" w:cs="Arial" w:eastAsia="Arial" w:hint="default"/>
        </w:rPr>
        <w:t>13</w:t>
      </w:r>
      <w:r>
        <w:rPr/>
        <w:t>日，上述股票期权注销事宜已办理完成。</w:t>
      </w:r>
    </w:p>
    <w:p>
      <w:pPr>
        <w:pStyle w:val="BodyText"/>
        <w:spacing w:line="240" w:lineRule="auto" w:before="165"/>
        <w:ind w:left="633" w:right="0"/>
        <w:jc w:val="left"/>
      </w:pPr>
      <w:r>
        <w:rPr>
          <w:rFonts w:ascii="Arial" w:hAnsi="Arial" w:cs="Arial" w:eastAsia="Arial" w:hint="default"/>
        </w:rPr>
        <w:t>2017</w:t>
      </w:r>
      <w:r>
        <w:rPr/>
        <w:t>年</w:t>
      </w:r>
      <w:r>
        <w:rPr>
          <w:rFonts w:ascii="Arial" w:hAnsi="Arial" w:cs="Arial" w:eastAsia="Arial" w:hint="default"/>
        </w:rPr>
        <w:t>8</w:t>
      </w:r>
      <w:r>
        <w:rPr/>
        <w:t>月</w:t>
      </w:r>
      <w:r>
        <w:rPr>
          <w:rFonts w:ascii="Arial" w:hAnsi="Arial" w:cs="Arial" w:eastAsia="Arial" w:hint="default"/>
        </w:rPr>
        <w:t>29</w:t>
      </w:r>
      <w:r>
        <w:rPr/>
        <w:t>日公司第六届董事会第二十一次会议和第六届监事会第十七次会议审议通</w:t>
      </w:r>
    </w:p>
    <w:p>
      <w:pPr>
        <w:spacing w:after="0" w:line="240" w:lineRule="auto"/>
        <w:jc w:val="left"/>
        <w:sectPr>
          <w:pgSz w:w="11910" w:h="16840"/>
          <w:pgMar w:header="877" w:footer="980" w:top="1100" w:bottom="1160" w:left="980" w:right="980"/>
        </w:sectPr>
      </w:pPr>
    </w:p>
    <w:p>
      <w:pPr>
        <w:spacing w:line="240" w:lineRule="auto" w:before="8"/>
        <w:rPr>
          <w:rFonts w:ascii="宋体" w:hAnsi="宋体" w:cs="宋体" w:eastAsia="宋体" w:hint="default"/>
          <w:sz w:val="22"/>
          <w:szCs w:val="22"/>
        </w:rPr>
      </w:pPr>
    </w:p>
    <w:p>
      <w:pPr>
        <w:pStyle w:val="BodyText"/>
        <w:spacing w:line="288" w:lineRule="auto" w:before="26"/>
        <w:ind w:right="148"/>
        <w:jc w:val="both"/>
      </w:pPr>
      <w:r>
        <w:rPr/>
        <w:t>过了《关于公司限制性股票激励计划（暂缓授予部分）第二个解锁期可解锁的议案》，同意</w:t>
      </w:r>
      <w:r>
        <w:rPr>
          <w:spacing w:val="-91"/>
        </w:rPr>
        <w:t> </w:t>
      </w:r>
      <w:r>
        <w:rPr>
          <w:spacing w:val="-91"/>
        </w:rPr>
      </w:r>
      <w:r>
        <w:rPr>
          <w:spacing w:val="2"/>
        </w:rPr>
        <w:t>为公司限制性股票激励计划（暂缓授予部分）</w:t>
      </w:r>
      <w:r>
        <w:rPr>
          <w:rFonts w:ascii="Arial" w:hAnsi="Arial" w:cs="Arial" w:eastAsia="Arial" w:hint="default"/>
          <w:spacing w:val="2"/>
        </w:rPr>
        <w:t>1</w:t>
      </w:r>
      <w:r>
        <w:rPr>
          <w:spacing w:val="2"/>
        </w:rPr>
        <w:t>名激励对象解锁限制性股票共计</w:t>
      </w:r>
      <w:r>
        <w:rPr>
          <w:rFonts w:ascii="Arial" w:hAnsi="Arial" w:cs="Arial" w:eastAsia="Arial" w:hint="default"/>
          <w:spacing w:val="2"/>
        </w:rPr>
        <w:t>47,614</w:t>
      </w:r>
      <w:r>
        <w:rPr>
          <w:spacing w:val="2"/>
        </w:rPr>
        <w:t>股。</w:t>
      </w:r>
      <w:r>
        <w:rPr>
          <w:spacing w:val="-87"/>
        </w:rPr>
        <w:t> </w:t>
      </w:r>
      <w:r>
        <w:rPr>
          <w:rFonts w:ascii="Arial" w:hAnsi="Arial" w:cs="Arial" w:eastAsia="Arial" w:hint="default"/>
          <w:spacing w:val="-2"/>
        </w:rPr>
        <w:t>2017</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8</w:t>
      </w:r>
      <w:r>
        <w:rPr>
          <w:spacing w:val="-2"/>
        </w:rPr>
        <w:t>日，公司发布了《关于限制性股票激励计划（暂缓授予部分）第二期可解锁股份</w:t>
      </w:r>
      <w:r>
        <w:rPr>
          <w:spacing w:val="-82"/>
        </w:rPr>
        <w:t> </w:t>
      </w:r>
      <w:r>
        <w:rPr>
          <w:spacing w:val="-82"/>
        </w:rPr>
      </w:r>
      <w:r>
        <w:rPr/>
        <w:t>上市流通的提示性公告》，本次限制性股票激励计划授予的限制性股票（暂缓授予部分）第</w:t>
      </w:r>
      <w:r>
        <w:rPr>
          <w:spacing w:val="-91"/>
        </w:rPr>
        <w:t> </w:t>
      </w:r>
      <w:r>
        <w:rPr>
          <w:spacing w:val="-91"/>
        </w:rPr>
      </w:r>
      <w:r>
        <w:rPr>
          <w:spacing w:val="-2"/>
        </w:rPr>
        <w:t>二个解锁期可解锁的股份数量为</w:t>
      </w:r>
      <w:r>
        <w:rPr>
          <w:rFonts w:ascii="Arial" w:hAnsi="Arial" w:cs="Arial" w:eastAsia="Arial" w:hint="default"/>
          <w:spacing w:val="-2"/>
        </w:rPr>
        <w:t>47,614</w:t>
      </w:r>
      <w:r>
        <w:rPr>
          <w:spacing w:val="-2"/>
        </w:rPr>
        <w:t>股，占公司目前股本总额的</w:t>
      </w:r>
      <w:r>
        <w:rPr>
          <w:rFonts w:ascii="Arial" w:hAnsi="Arial" w:cs="Arial" w:eastAsia="Arial" w:hint="default"/>
          <w:spacing w:val="-2"/>
        </w:rPr>
        <w:t>0.007%</w:t>
      </w:r>
      <w:r>
        <w:rPr>
          <w:spacing w:val="-2"/>
        </w:rPr>
        <w:t>。本次限制性股票</w:t>
      </w:r>
      <w:r>
        <w:rPr>
          <w:spacing w:val="-107"/>
        </w:rPr>
        <w:t> </w:t>
      </w:r>
      <w:r>
        <w:rPr>
          <w:spacing w:val="-107"/>
        </w:rPr>
      </w:r>
      <w:r>
        <w:rPr/>
        <w:t>的上市流通日为</w:t>
      </w:r>
      <w:r>
        <w:rPr>
          <w:rFonts w:ascii="Arial" w:hAnsi="Arial" w:cs="Arial" w:eastAsia="Arial" w:hint="default"/>
        </w:rPr>
        <w:t>2017</w:t>
      </w:r>
      <w:r>
        <w:rPr/>
        <w:t>年</w:t>
      </w:r>
      <w:r>
        <w:rPr>
          <w:rFonts w:ascii="Arial" w:hAnsi="Arial" w:cs="Arial" w:eastAsia="Arial" w:hint="default"/>
        </w:rPr>
        <w:t>9</w:t>
      </w:r>
      <w:r>
        <w:rPr/>
        <w:t>月</w:t>
      </w:r>
      <w:r>
        <w:rPr>
          <w:rFonts w:ascii="Arial" w:hAnsi="Arial" w:cs="Arial" w:eastAsia="Arial" w:hint="default"/>
        </w:rPr>
        <w:t>11</w:t>
      </w:r>
      <w:r>
        <w:rPr/>
        <w:t>日，因本次涉及的股权激励对象为公司高管，根据高管任职规</w:t>
      </w:r>
      <w:r>
        <w:rPr>
          <w:spacing w:val="-69"/>
        </w:rPr>
        <w:t> </w:t>
      </w:r>
      <w:r>
        <w:rPr>
          <w:spacing w:val="-69"/>
        </w:rPr>
      </w:r>
      <w:r>
        <w:rPr/>
        <w:t>定，本次实际可上市流通股数为</w:t>
      </w:r>
      <w:r>
        <w:rPr>
          <w:rFonts w:ascii="Arial" w:hAnsi="Arial" w:cs="Arial" w:eastAsia="Arial" w:hint="default"/>
        </w:rPr>
        <w:t>0</w:t>
      </w:r>
      <w:r>
        <w:rPr/>
        <w:t>股。</w:t>
      </w:r>
    </w:p>
    <w:p>
      <w:pPr>
        <w:pStyle w:val="Heading2"/>
        <w:spacing w:line="240" w:lineRule="auto" w:before="189"/>
        <w:ind w:right="0"/>
        <w:jc w:val="both"/>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、与日常经营相关的关联交易</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54" w:lineRule="auto"/>
        <w:ind w:right="47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公司报告期未发生与日常经营相关的关联交易。</w:t>
      </w:r>
    </w:p>
    <w:p>
      <w:pPr>
        <w:spacing w:line="240" w:lineRule="auto" w:before="9"/>
        <w:rPr>
          <w:rFonts w:ascii="宋体" w:hAnsi="宋体" w:cs="宋体" w:eastAsia="宋体" w:hint="default"/>
          <w:sz w:val="18"/>
          <w:szCs w:val="18"/>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、资产或股权收购、出售发生的关联交易</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54" w:lineRule="auto"/>
        <w:ind w:right="40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公司报告期未发生资产或股权收购、出售的关联交易。</w:t>
      </w:r>
    </w:p>
    <w:p>
      <w:pPr>
        <w:spacing w:line="240" w:lineRule="auto" w:before="9"/>
        <w:rPr>
          <w:rFonts w:ascii="宋体" w:hAnsi="宋体" w:cs="宋体" w:eastAsia="宋体" w:hint="default"/>
          <w:sz w:val="18"/>
          <w:szCs w:val="18"/>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、共同对外投资的关联交易</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56" w:lineRule="auto"/>
        <w:ind w:right="49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公司报告期未发生共同对外投资的关联交易。</w:t>
      </w:r>
    </w:p>
    <w:p>
      <w:pPr>
        <w:spacing w:line="240" w:lineRule="auto" w:before="4"/>
        <w:rPr>
          <w:rFonts w:ascii="宋体" w:hAnsi="宋体" w:cs="宋体" w:eastAsia="宋体" w:hint="default"/>
          <w:sz w:val="18"/>
          <w:szCs w:val="18"/>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、关联债权债务往来</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56" w:lineRule="auto"/>
        <w:ind w:right="56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公司报告期不存在关联债权债务往来。</w:t>
      </w:r>
    </w:p>
    <w:p>
      <w:pPr>
        <w:spacing w:line="240" w:lineRule="auto" w:before="7"/>
        <w:rPr>
          <w:rFonts w:ascii="宋体" w:hAnsi="宋体" w:cs="宋体" w:eastAsia="宋体" w:hint="default"/>
          <w:sz w:val="18"/>
          <w:szCs w:val="18"/>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、其他重大关联交易</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pStyle w:val="BodyText"/>
        <w:spacing w:line="256" w:lineRule="auto"/>
        <w:ind w:right="6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公司报告期无其他重大关联交易。</w:t>
      </w:r>
    </w:p>
    <w:p>
      <w:pPr>
        <w:pStyle w:val="Heading2"/>
        <w:spacing w:line="240" w:lineRule="auto" w:before="207"/>
        <w:ind w:right="0"/>
        <w:jc w:val="both"/>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、托管、承包、租赁事项情况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）托管情况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both"/>
        <w:sectPr>
          <w:pgSz w:w="11910" w:h="16840"/>
          <w:pgMar w:header="877" w:footer="980" w:top="1100" w:bottom="1160" w:left="980" w:right="980"/>
        </w:sectPr>
      </w:pPr>
    </w:p>
    <w:p>
      <w:pPr>
        <w:spacing w:line="240" w:lineRule="auto" w:before="7"/>
        <w:rPr>
          <w:rFonts w:ascii="宋体" w:hAnsi="宋体" w:cs="宋体" w:eastAsia="宋体" w:hint="default"/>
          <w:sz w:val="19"/>
          <w:szCs w:val="19"/>
        </w:rPr>
      </w:pPr>
    </w:p>
    <w:p>
      <w:pPr>
        <w:pStyle w:val="BodyText"/>
        <w:spacing w:line="240" w:lineRule="auto" w:before="26"/>
        <w:ind w:right="0"/>
        <w:jc w:val="left"/>
      </w:pPr>
      <w:r>
        <w:rPr/>
        <w:t>公司报告期不存在托管情况。</w:t>
      </w:r>
    </w:p>
    <w:p>
      <w:pPr>
        <w:spacing w:line="240" w:lineRule="auto" w:before="11"/>
        <w:rPr>
          <w:rFonts w:ascii="宋体" w:hAnsi="宋体" w:cs="宋体" w:eastAsia="宋体" w:hint="default"/>
          <w:sz w:val="19"/>
          <w:szCs w:val="19"/>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）承包情况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54" w:lineRule="auto"/>
        <w:ind w:right="66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公司报告期不存在承包情况。</w:t>
      </w:r>
    </w:p>
    <w:p>
      <w:pPr>
        <w:spacing w:line="240" w:lineRule="auto" w:before="9"/>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）租赁情况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54" w:lineRule="auto"/>
        <w:ind w:right="66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公司报告期不存在租赁情况。</w:t>
      </w:r>
    </w:p>
    <w:p>
      <w:pPr>
        <w:spacing w:line="240" w:lineRule="auto" w:before="9"/>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、重大担保</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）担保情况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709"/>
        <w:gridCol w:w="925"/>
        <w:gridCol w:w="926"/>
        <w:gridCol w:w="1296"/>
        <w:gridCol w:w="1064"/>
        <w:gridCol w:w="1034"/>
        <w:gridCol w:w="1048"/>
        <w:gridCol w:w="794"/>
        <w:gridCol w:w="780"/>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63" w:right="191" w:hanging="269"/>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63" w:right="191" w:hanging="269"/>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0"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北京华宇信息技术有 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Arial" w:hAnsi="Arial" w:cs="Arial" w:eastAsia="Arial" w:hint="default"/>
                <w:sz w:val="18"/>
                <w:szCs w:val="18"/>
              </w:rPr>
            </w:pPr>
            <w:r>
              <w:rPr>
                <w:rFonts w:ascii="Arial" w:hAnsi="Arial" w:cs="Arial" w:eastAsia="Arial" w:hint="default"/>
                <w:sz w:val="18"/>
                <w:szCs w:val="18"/>
              </w:rPr>
              <w:t>03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Arial" w:hAnsi="Arial" w:cs="Arial" w:eastAsia="Arial" w:hint="default"/>
                <w:sz w:val="18"/>
                <w:szCs w:val="18"/>
              </w:rPr>
            </w:pPr>
            <w:r>
              <w:rPr>
                <w:rFonts w:ascii="Arial"/>
                <w:w w:val="95"/>
                <w:sz w:val="18"/>
              </w:rPr>
              <w:t>8,000</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Arial" w:hAnsi="Arial" w:cs="Arial" w:eastAsia="Arial" w:hint="default"/>
                <w:sz w:val="18"/>
                <w:szCs w:val="18"/>
              </w:rPr>
            </w:pPr>
            <w:r>
              <w:rPr>
                <w:rFonts w:ascii="Arial"/>
                <w:w w:val="99"/>
                <w:sz w:val="18"/>
              </w:rPr>
              <w:t>1</w:t>
            </w:r>
            <w:r>
              <w:rPr>
                <w:rFonts w:ascii="Arial"/>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主合同下被 担保债务的 履行期届满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华宇金信（北京）软 件有限公司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Arial" w:hAnsi="Arial" w:cs="Arial" w:eastAsia="Arial" w:hint="default"/>
                <w:sz w:val="18"/>
                <w:szCs w:val="18"/>
              </w:rPr>
            </w:pPr>
            <w:r>
              <w:rPr>
                <w:rFonts w:ascii="Arial" w:hAnsi="Arial" w:cs="Arial" w:eastAsia="Arial" w:hint="default"/>
                <w:sz w:val="18"/>
                <w:szCs w:val="18"/>
              </w:rPr>
              <w:t>03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Arial" w:hAnsi="Arial" w:cs="Arial" w:eastAsia="Arial" w:hint="default"/>
                <w:sz w:val="18"/>
                <w:szCs w:val="18"/>
              </w:rPr>
            </w:pPr>
            <w:r>
              <w:rPr>
                <w:rFonts w:ascii="Arial"/>
                <w:w w:val="95"/>
                <w:sz w:val="18"/>
              </w:rPr>
              <w:t>2,000</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Arial" w:hAnsi="Arial" w:cs="Arial" w:eastAsia="Arial" w:hint="default"/>
                <w:sz w:val="18"/>
                <w:szCs w:val="18"/>
              </w:rPr>
            </w:pPr>
            <w:r>
              <w:rPr>
                <w:rFonts w:ascii="Arial"/>
                <w:w w:val="95"/>
                <w:sz w:val="18"/>
              </w:rPr>
              <w:t>50</w:t>
            </w:r>
            <w:r>
              <w:rPr>
                <w:rFonts w:ascii="Arial"/>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主合同下被 担保债务的 履行期届满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53"/>
              <w:jc w:val="left"/>
              <w:rPr>
                <w:rFonts w:ascii="宋体" w:hAnsi="宋体" w:cs="宋体" w:eastAsia="宋体" w:hint="default"/>
                <w:sz w:val="18"/>
                <w:szCs w:val="18"/>
              </w:rPr>
            </w:pPr>
            <w:r>
              <w:rPr>
                <w:rFonts w:ascii="宋体" w:hAnsi="宋体" w:cs="宋体" w:eastAsia="宋体" w:hint="default"/>
                <w:sz w:val="18"/>
                <w:szCs w:val="18"/>
              </w:rPr>
              <w:t>北京华宇信息技术有 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Arial" w:hAnsi="Arial" w:cs="Arial" w:eastAsia="Arial" w:hint="default"/>
                <w:sz w:val="18"/>
                <w:szCs w:val="18"/>
              </w:rPr>
            </w:pPr>
            <w:r>
              <w:rPr>
                <w:rFonts w:ascii="Arial"/>
                <w:w w:val="95"/>
                <w:sz w:val="18"/>
              </w:rPr>
              <w:t>8,000</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Arial" w:hAnsi="Arial" w:cs="Arial" w:eastAsia="Arial" w:hint="default"/>
                <w:sz w:val="18"/>
                <w:szCs w:val="18"/>
              </w:rPr>
            </w:pPr>
            <w:r>
              <w:rPr>
                <w:rFonts w:ascii="Arial"/>
                <w:w w:val="95"/>
                <w:sz w:val="18"/>
              </w:rPr>
              <w:t>15</w:t>
            </w:r>
            <w:r>
              <w:rPr>
                <w:rFonts w:ascii="Arial"/>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主合同下被 担保债务的 履行期届满 之日起两年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华宇金信（北京）软 件有限公司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2,000</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1,800</w:t>
            </w:r>
            <w:r>
              <w:rPr>
                <w:rFonts w:ascii="Arial"/>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13"/>
              <w:jc w:val="both"/>
              <w:rPr>
                <w:rFonts w:ascii="宋体" w:hAnsi="宋体" w:cs="宋体" w:eastAsia="宋体" w:hint="default"/>
                <w:sz w:val="18"/>
                <w:szCs w:val="18"/>
              </w:rPr>
            </w:pPr>
            <w:r>
              <w:rPr>
                <w:rFonts w:ascii="宋体" w:hAnsi="宋体" w:cs="宋体" w:eastAsia="宋体" w:hint="default"/>
                <w:sz w:val="18"/>
                <w:szCs w:val="18"/>
              </w:rPr>
              <w:t>主合同下被 担保债务的 履行期届满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93" w:type="dxa"/>
        <w:tblLayout w:type="fixed"/>
        <w:tblCellMar>
          <w:top w:w="0" w:type="dxa"/>
          <w:left w:w="0" w:type="dxa"/>
          <w:bottom w:w="0" w:type="dxa"/>
          <w:right w:w="0" w:type="dxa"/>
        </w:tblCellMar>
        <w:tblLook w:val="01E0"/>
      </w:tblPr>
      <w:tblGrid>
        <w:gridCol w:w="1703"/>
        <w:gridCol w:w="903"/>
        <w:gridCol w:w="940"/>
        <w:gridCol w:w="1301"/>
        <w:gridCol w:w="1045"/>
        <w:gridCol w:w="1043"/>
        <w:gridCol w:w="1052"/>
        <w:gridCol w:w="793"/>
        <w:gridCol w:w="784"/>
      </w:tblGrid>
      <w:tr>
        <w:trPr>
          <w:trHeight w:val="363" w:hRule="exact"/>
        </w:trPr>
        <w:tc>
          <w:tcPr>
            <w:tcW w:w="1703"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之日起两年</w:t>
            </w:r>
          </w:p>
        </w:tc>
        <w:tc>
          <w:tcPr>
            <w:tcW w:w="793"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Arial" w:hAnsi="Arial" w:cs="Arial" w:eastAsia="Arial" w:hint="default"/>
                <w:sz w:val="18"/>
                <w:szCs w:val="18"/>
              </w:rPr>
              <w:t>B1</w:t>
            </w:r>
            <w:r>
              <w:rPr>
                <w:rFonts w:ascii="宋体" w:hAnsi="宋体" w:cs="宋体" w:eastAsia="宋体" w:hint="default"/>
                <w:sz w:val="18"/>
                <w:szCs w:val="18"/>
              </w:rPr>
              <w:t>）</w:t>
            </w:r>
          </w:p>
        </w:tc>
        <w:tc>
          <w:tcPr>
            <w:tcW w:w="2241"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Arial" w:hAnsi="Arial" w:cs="Arial" w:eastAsia="Arial" w:hint="default"/>
                <w:sz w:val="18"/>
                <w:szCs w:val="18"/>
              </w:rPr>
            </w:pPr>
            <w:r>
              <w:rPr>
                <w:rFonts w:ascii="Arial"/>
                <w:spacing w:val="-1"/>
                <w:sz w:val="18"/>
              </w:rPr>
              <w:t>10,000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Arial" w:hAnsi="Arial" w:cs="Arial" w:eastAsia="Arial"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1,866</w:t>
            </w:r>
            <w:r>
              <w:rPr>
                <w:rFonts w:ascii="Arial"/>
                <w:sz w:val="18"/>
              </w:rPr>
            </w:r>
          </w:p>
        </w:tc>
      </w:tr>
      <w:tr>
        <w:trPr>
          <w:trHeight w:val="720"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Arial" w:hAnsi="Arial" w:cs="Arial" w:eastAsia="Arial" w:hint="default"/>
                <w:sz w:val="18"/>
                <w:szCs w:val="18"/>
              </w:rPr>
              <w:t>B3</w:t>
            </w:r>
            <w:r>
              <w:rPr>
                <w:rFonts w:ascii="宋体" w:hAnsi="宋体" w:cs="宋体" w:eastAsia="宋体" w:hint="default"/>
                <w:sz w:val="18"/>
                <w:szCs w:val="18"/>
              </w:rPr>
              <w:t>）</w:t>
            </w:r>
          </w:p>
        </w:tc>
        <w:tc>
          <w:tcPr>
            <w:tcW w:w="2241"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Arial" w:hAnsi="Arial" w:cs="Arial" w:eastAsia="Arial" w:hint="default"/>
                <w:sz w:val="18"/>
                <w:szCs w:val="18"/>
              </w:rPr>
            </w:pPr>
            <w:r>
              <w:rPr>
                <w:rFonts w:ascii="Arial"/>
                <w:spacing w:val="-1"/>
                <w:sz w:val="18"/>
              </w:rPr>
              <w:t>10,000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Arial" w:hAnsi="Arial" w:cs="Arial" w:eastAsia="Arial"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1,815</w:t>
            </w:r>
            <w:r>
              <w:rPr>
                <w:rFonts w:ascii="Arial"/>
                <w:sz w:val="18"/>
              </w:rPr>
            </w:r>
          </w:p>
        </w:tc>
      </w:tr>
      <w:tr>
        <w:trPr>
          <w:trHeight w:val="391"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3" w:type="dxa"/>
            <w:vMerge w:val="restart"/>
            <w:tcBorders>
              <w:top w:val="single" w:sz="4" w:space="0" w:color="000000"/>
              <w:left w:val="single" w:sz="4" w:space="0" w:color="000000"/>
              <w:right w:val="single" w:sz="4" w:space="0" w:color="000000"/>
            </w:tcBorders>
            <w:shd w:val="clear" w:color="auto" w:fill="D2D2D2"/>
          </w:tcPr>
          <w:p>
            <w:pPr/>
          </w:p>
        </w:tc>
        <w:tc>
          <w:tcPr>
            <w:tcW w:w="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8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vMerge w:val="restart"/>
            <w:tcBorders>
              <w:top w:val="single" w:sz="4" w:space="0" w:color="000000"/>
              <w:left w:val="single" w:sz="4" w:space="0" w:color="000000"/>
              <w:right w:val="single" w:sz="4" w:space="0" w:color="000000"/>
            </w:tcBorders>
            <w:shd w:val="clear" w:color="auto" w:fill="D2D2D2"/>
          </w:tcPr>
          <w:p>
            <w:pP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58" w:right="202"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3"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3" w:type="dxa"/>
            <w:vMerge/>
            <w:tcBorders>
              <w:left w:val="single" w:sz="4" w:space="0" w:color="000000"/>
              <w:bottom w:val="nil" w:sz="6" w:space="0" w:color="auto"/>
              <w:right w:val="single" w:sz="4" w:space="0" w:color="000000"/>
            </w:tcBorders>
            <w:shd w:val="clear" w:color="auto" w:fill="D2D2D2"/>
          </w:tcPr>
          <w:p>
            <w:pPr/>
          </w:p>
        </w:tc>
        <w:tc>
          <w:tcPr>
            <w:tcW w:w="903" w:type="dxa"/>
            <w:vMerge/>
            <w:tcBorders>
              <w:left w:val="single" w:sz="4" w:space="0" w:color="000000"/>
              <w:right w:val="single" w:sz="4" w:space="0" w:color="000000"/>
            </w:tcBorders>
            <w:shd w:val="clear" w:color="auto" w:fill="D2D2D2"/>
          </w:tcPr>
          <w:p>
            <w:pPr/>
          </w:p>
        </w:tc>
        <w:tc>
          <w:tcPr>
            <w:tcW w:w="940" w:type="dxa"/>
            <w:vMerge/>
            <w:tcBorders>
              <w:left w:val="single" w:sz="4" w:space="0" w:color="000000"/>
              <w:bottom w:val="nil" w:sz="6" w:space="0" w:color="auto"/>
              <w:right w:val="single" w:sz="4" w:space="0" w:color="000000"/>
            </w:tcBorders>
            <w:shd w:val="clear" w:color="auto" w:fill="D2D2D2"/>
          </w:tcPr>
          <w:p>
            <w:pPr/>
          </w:p>
        </w:tc>
        <w:tc>
          <w:tcPr>
            <w:tcW w:w="1301" w:type="dxa"/>
            <w:vMerge/>
            <w:tcBorders>
              <w:left w:val="single" w:sz="4" w:space="0" w:color="000000"/>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4"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3"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8"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3" w:type="dxa"/>
            <w:vMerge/>
            <w:tcBorders>
              <w:left w:val="single" w:sz="4" w:space="0" w:color="000000"/>
              <w:right w:val="single" w:sz="4" w:space="0" w:color="000000"/>
            </w:tcBorders>
            <w:shd w:val="clear" w:color="auto" w:fill="D2D2D2"/>
          </w:tcPr>
          <w:p>
            <w:pPr/>
          </w:p>
        </w:tc>
        <w:tc>
          <w:tcPr>
            <w:tcW w:w="9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right w:val="single" w:sz="4" w:space="0" w:color="000000"/>
            </w:tcBorders>
            <w:shd w:val="clear" w:color="auto" w:fill="D2D2D2"/>
          </w:tcPr>
          <w:p>
            <w:pPr/>
          </w:p>
        </w:tc>
        <w:tc>
          <w:tcPr>
            <w:tcW w:w="10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3"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03" w:type="dxa"/>
            <w:vMerge w:val="restart"/>
            <w:tcBorders>
              <w:top w:val="nil" w:sz="6" w:space="0" w:color="auto"/>
              <w:left w:val="single" w:sz="4" w:space="0" w:color="000000"/>
              <w:right w:val="single" w:sz="4" w:space="0" w:color="000000"/>
            </w:tcBorders>
            <w:shd w:val="clear" w:color="auto" w:fill="D2D2D2"/>
          </w:tcPr>
          <w:p>
            <w:pPr/>
          </w:p>
        </w:tc>
        <w:tc>
          <w:tcPr>
            <w:tcW w:w="903" w:type="dxa"/>
            <w:vMerge/>
            <w:tcBorders>
              <w:left w:val="single" w:sz="4" w:space="0" w:color="000000"/>
              <w:right w:val="single" w:sz="4" w:space="0" w:color="000000"/>
            </w:tcBorders>
            <w:shd w:val="clear" w:color="auto" w:fill="D2D2D2"/>
          </w:tcPr>
          <w:p>
            <w:pPr/>
          </w:p>
        </w:tc>
        <w:tc>
          <w:tcPr>
            <w:tcW w:w="940"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3"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03" w:type="dxa"/>
            <w:vMerge/>
            <w:tcBorders>
              <w:left w:val="single" w:sz="4" w:space="0" w:color="000000"/>
              <w:bottom w:val="single" w:sz="4" w:space="0" w:color="000000"/>
              <w:right w:val="single" w:sz="4" w:space="0" w:color="000000"/>
            </w:tcBorders>
            <w:shd w:val="clear" w:color="auto" w:fill="D2D2D2"/>
          </w:tcPr>
          <w:p>
            <w:pPr/>
          </w:p>
        </w:tc>
        <w:tc>
          <w:tcPr>
            <w:tcW w:w="940"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3"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1"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A1+B1+C1</w:t>
            </w:r>
            <w:r>
              <w:rPr>
                <w:rFonts w:ascii="宋体" w:hAnsi="宋体" w:cs="宋体" w:eastAsia="宋体" w:hint="default"/>
                <w:sz w:val="18"/>
                <w:szCs w:val="18"/>
              </w:rPr>
              <w:t>）</w:t>
            </w:r>
          </w:p>
        </w:tc>
        <w:tc>
          <w:tcPr>
            <w:tcW w:w="2241"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Arial" w:hAnsi="Arial" w:cs="Arial" w:eastAsia="Arial" w:hint="default"/>
                <w:sz w:val="18"/>
                <w:szCs w:val="18"/>
              </w:rPr>
            </w:pPr>
            <w:r>
              <w:rPr>
                <w:rFonts w:ascii="Arial"/>
                <w:spacing w:val="-1"/>
                <w:sz w:val="18"/>
              </w:rPr>
              <w:t>10,000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Arial" w:hAnsi="Arial" w:cs="Arial" w:eastAsia="Arial"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1,866</w:t>
            </w:r>
            <w:r>
              <w:rPr>
                <w:rFonts w:ascii="Arial"/>
                <w:sz w:val="18"/>
              </w:rPr>
            </w:r>
          </w:p>
        </w:tc>
      </w:tr>
      <w:tr>
        <w:trPr>
          <w:trHeight w:val="713"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A3+B3+C3</w:t>
            </w:r>
            <w:r>
              <w:rPr>
                <w:rFonts w:ascii="宋体" w:hAnsi="宋体" w:cs="宋体" w:eastAsia="宋体" w:hint="default"/>
                <w:sz w:val="18"/>
                <w:szCs w:val="18"/>
              </w:rPr>
              <w:t>）</w:t>
            </w:r>
          </w:p>
        </w:tc>
        <w:tc>
          <w:tcPr>
            <w:tcW w:w="2241"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Arial" w:hAnsi="Arial" w:cs="Arial" w:eastAsia="Arial" w:hint="default"/>
                <w:sz w:val="18"/>
                <w:szCs w:val="18"/>
              </w:rPr>
            </w:pPr>
            <w:r>
              <w:rPr>
                <w:rFonts w:ascii="Arial"/>
                <w:spacing w:val="-1"/>
                <w:sz w:val="18"/>
              </w:rPr>
              <w:t>10,000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Arial" w:hAnsi="Arial" w:cs="Arial" w:eastAsia="Arial"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1,815</w:t>
            </w:r>
            <w:r>
              <w:rPr>
                <w:rFonts w:ascii="Arial"/>
                <w:sz w:val="18"/>
              </w:rPr>
            </w:r>
          </w:p>
        </w:tc>
      </w:tr>
      <w:tr>
        <w:trPr>
          <w:trHeight w:val="408"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Arial" w:hAnsi="Arial" w:cs="Arial" w:eastAsia="Arial"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0.49%</w:t>
            </w:r>
            <w:r>
              <w:rPr>
                <w:rFonts w:ascii="Arial"/>
                <w:sz w:val="18"/>
              </w:rPr>
            </w:r>
          </w:p>
        </w:tc>
      </w:tr>
      <w:tr>
        <w:trPr>
          <w:trHeight w:val="391"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Arial" w:hAnsi="Arial" w:cs="Arial" w:eastAsia="Arial"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713"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Arial" w:hAnsi="Arial" w:cs="Arial" w:eastAsia="Arial" w:hint="default"/>
                <w:sz w:val="18"/>
                <w:szCs w:val="18"/>
              </w:rPr>
              <w:t>70%</w:t>
            </w:r>
            <w:r>
              <w:rPr>
                <w:rFonts w:ascii="宋体" w:hAnsi="宋体" w:cs="宋体" w:eastAsia="宋体" w:hint="default"/>
                <w:sz w:val="18"/>
                <w:szCs w:val="18"/>
              </w:rPr>
              <w:t>的被担保对象提供的债务 担保余额（</w:t>
            </w:r>
            <w:r>
              <w:rPr>
                <w:rFonts w:ascii="Arial" w:hAnsi="Arial" w:cs="Arial" w:eastAsia="Arial"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403"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Arial" w:hAnsi="Arial" w:cs="Arial" w:eastAsia="Arial" w:hint="default"/>
                <w:sz w:val="18"/>
                <w:szCs w:val="18"/>
              </w:rPr>
              <w:t>50%</w:t>
            </w:r>
            <w:r>
              <w:rPr>
                <w:rFonts w:ascii="宋体" w:hAnsi="宋体" w:cs="宋体" w:eastAsia="宋体" w:hint="default"/>
                <w:sz w:val="18"/>
                <w:szCs w:val="18"/>
              </w:rPr>
              <w:t>部分的金额（</w:t>
            </w:r>
            <w:r>
              <w:rPr>
                <w:rFonts w:ascii="Arial" w:hAnsi="Arial" w:cs="Arial" w:eastAsia="Arial"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401"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Arial" w:hAnsi="Arial" w:cs="Arial" w:eastAsia="Arial"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716"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3"/>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 偿责任的情况说明（如有）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 w:right="0"/>
              <w:jc w:val="left"/>
              <w:rPr>
                <w:rFonts w:ascii="Arial" w:hAnsi="Arial" w:cs="Arial" w:eastAsia="Arial" w:hint="default"/>
                <w:sz w:val="18"/>
                <w:szCs w:val="18"/>
              </w:rPr>
            </w:pPr>
            <w:r>
              <w:rPr>
                <w:rFonts w:ascii="Arial"/>
                <w:w w:val="99"/>
                <w:sz w:val="18"/>
              </w:rPr>
              <w:t>0</w:t>
            </w:r>
            <w:r>
              <w:rPr>
                <w:rFonts w:ascii="Arial"/>
                <w:sz w:val="18"/>
              </w:rPr>
            </w:r>
          </w:p>
        </w:tc>
      </w:tr>
      <w:tr>
        <w:trPr>
          <w:trHeight w:val="401"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8" w:right="0"/>
              <w:jc w:val="left"/>
              <w:rPr>
                <w:rFonts w:ascii="Arial" w:hAnsi="Arial" w:cs="Arial" w:eastAsia="Arial" w:hint="default"/>
                <w:sz w:val="18"/>
                <w:szCs w:val="18"/>
              </w:rPr>
            </w:pPr>
            <w:r>
              <w:rPr>
                <w:rFonts w:ascii="Arial"/>
                <w:w w:val="99"/>
                <w:sz w:val="18"/>
              </w:rPr>
              <w:t>0</w:t>
            </w:r>
            <w:r>
              <w:rPr>
                <w:rFonts w:ascii="Arial"/>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
        <w:rPr>
          <w:rFonts w:ascii="宋体" w:hAnsi="宋体" w:cs="宋体" w:eastAsia="宋体" w:hint="default"/>
          <w:sz w:val="22"/>
          <w:szCs w:val="22"/>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）违规对外担保情况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54" w:lineRule="auto"/>
        <w:ind w:right="6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公司报告期无违规对外担保情况。</w:t>
      </w:r>
    </w:p>
    <w:p>
      <w:pPr>
        <w:spacing w:line="240" w:lineRule="auto" w:before="9"/>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、委托他人进行现金资产管理情况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）委托理财情况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pStyle w:val="BodyText"/>
        <w:spacing w:line="256" w:lineRule="auto"/>
        <w:ind w:right="66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公司报告期不存在委托理财。</w:t>
      </w:r>
    </w:p>
    <w:p>
      <w:pPr>
        <w:spacing w:after="0" w:line="256"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）委托贷款情况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54" w:lineRule="auto"/>
        <w:ind w:right="66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公司报告期不存在委托贷款。</w:t>
      </w:r>
    </w:p>
    <w:p>
      <w:pPr>
        <w:spacing w:line="240" w:lineRule="auto" w:before="9"/>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、其他重大合同</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54" w:lineRule="auto"/>
        <w:ind w:right="6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公司报告期不存在其他重大合同。</w:t>
      </w:r>
    </w:p>
    <w:p>
      <w:pPr>
        <w:pStyle w:val="Heading2"/>
        <w:spacing w:line="240" w:lineRule="auto" w:before="209"/>
        <w:ind w:right="0"/>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、履行社会责任情况</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8"/>
          <w:szCs w:val="18"/>
        </w:rPr>
      </w:pPr>
    </w:p>
    <w:p>
      <w:pPr>
        <w:pStyle w:val="BodyText"/>
        <w:spacing w:line="297" w:lineRule="auto"/>
        <w:ind w:right="190" w:firstLine="480"/>
        <w:jc w:val="both"/>
      </w:pPr>
      <w:r>
        <w:rPr/>
        <w:t>企业不仅仅是谋取自身利益最大化的经济体，作为社会公民，同样是社会可持续发展的 重要推动者。华宇企业社会责任的愿景始终与华宇企业使命保持高度一致并且在不断的经营 实践中探索将两者相互融合并统一，我们相信，这将会为所有利益相关方带来长期、稳定、 可持续的共同发展机会。</w:t>
      </w:r>
    </w:p>
    <w:p>
      <w:pPr>
        <w:pStyle w:val="BodyText"/>
        <w:spacing w:line="290" w:lineRule="auto" w:before="173"/>
        <w:ind w:right="174" w:firstLine="480"/>
        <w:jc w:val="left"/>
      </w:pPr>
      <w:r>
        <w:rPr/>
        <w:t>华宇以</w:t>
      </w:r>
      <w:r>
        <w:rPr>
          <w:rFonts w:ascii="Arial" w:hAnsi="Arial" w:cs="Arial" w:eastAsia="Arial" w:hint="default"/>
        </w:rPr>
        <w:t>“</w:t>
      </w:r>
      <w:r>
        <w:rPr/>
        <w:t>助力客户共建智慧美好的社会</w:t>
      </w:r>
      <w:r>
        <w:rPr>
          <w:rFonts w:ascii="Arial" w:hAnsi="Arial" w:cs="Arial" w:eastAsia="Arial" w:hint="default"/>
        </w:rPr>
        <w:t>”</w:t>
      </w:r>
      <w:r>
        <w:rPr/>
        <w:t>为愿景，以</w:t>
      </w:r>
      <w:r>
        <w:rPr>
          <w:rFonts w:ascii="Arial" w:hAnsi="Arial" w:cs="Arial" w:eastAsia="Arial" w:hint="default"/>
        </w:rPr>
        <w:t>“</w:t>
      </w:r>
      <w:r>
        <w:rPr/>
        <w:t>持续创新，成就客户</w:t>
      </w:r>
      <w:r>
        <w:rPr>
          <w:rFonts w:ascii="Arial" w:hAnsi="Arial" w:cs="Arial" w:eastAsia="Arial" w:hint="default"/>
        </w:rPr>
        <w:t>”</w:t>
      </w:r>
      <w:r>
        <w:rPr/>
        <w:t>为使命，秉承 </w:t>
      </w:r>
      <w:r>
        <w:rPr>
          <w:rFonts w:ascii="Arial" w:hAnsi="Arial" w:cs="Arial" w:eastAsia="Arial" w:hint="default"/>
        </w:rPr>
        <w:t>“</w:t>
      </w:r>
      <w:r>
        <w:rPr/>
        <w:t>自强不息，厚德载物</w:t>
      </w:r>
      <w:r>
        <w:rPr>
          <w:rFonts w:ascii="Arial" w:hAnsi="Arial" w:cs="Arial" w:eastAsia="Arial" w:hint="default"/>
        </w:rPr>
        <w:t>”</w:t>
      </w:r>
      <w:r>
        <w:rPr/>
        <w:t>的企业精神，立足电子政务，放眼企业应用。为客户提供全方位的信 息化产品、解决方案与服务。多年来，华宇在</w:t>
      </w:r>
      <w:r>
        <w:rPr>
          <w:rFonts w:ascii="Arial" w:hAnsi="Arial" w:cs="Arial" w:eastAsia="Arial" w:hint="default"/>
        </w:rPr>
        <w:t>“</w:t>
      </w:r>
      <w:r>
        <w:rPr/>
        <w:t>创造客户价值，促进员工发展，实现股东利 益，贡献和谐社会</w:t>
      </w:r>
      <w:r>
        <w:rPr>
          <w:rFonts w:ascii="Arial" w:hAnsi="Arial" w:cs="Arial" w:eastAsia="Arial" w:hint="default"/>
        </w:rPr>
        <w:t>”</w:t>
      </w:r>
      <w:r>
        <w:rPr/>
        <w:t>的核心价值观的引导下，致力于树立诚信、专业、高效、尽责的企业形 象，营造和谐、宽容、规范、协作的企业氛围，倡导尊重、欣赏、坦诚、信任的员工关系。 华宇专注主营业务，打造了一支充满激情、正直奋进、敢于担当、甘于奉献的员工队伍，用 精诚团结的态度与精益求精的方法，持续变革、积极创新，实现了企业的健康发展与业务的 稳定增长，实现了客户、企业、员工的共同发展。华宇自觉地把企业社会责任融入到公司的 战略、企业文化和经营活动中，努力构建和谐企业，推进企业与经济、环境、社会的和谐发 展。</w:t>
      </w:r>
    </w:p>
    <w:p>
      <w:pPr>
        <w:pStyle w:val="BodyText"/>
        <w:spacing w:line="290" w:lineRule="auto" w:before="180"/>
        <w:ind w:right="165" w:firstLine="480"/>
        <w:jc w:val="left"/>
      </w:pPr>
      <w:r>
        <w:rPr/>
        <w:t>源于一份企业社会责任和对中国教育的期盼，华宇公益基金会前身华宇助学基金在 </w:t>
      </w:r>
      <w:r>
        <w:rPr>
          <w:rFonts w:ascii="Arial" w:hAnsi="Arial" w:cs="Arial" w:eastAsia="Arial" w:hint="default"/>
        </w:rPr>
        <w:t>2006</w:t>
      </w:r>
      <w:r>
        <w:rPr>
          <w:rFonts w:ascii="Arial" w:hAnsi="Arial" w:cs="Arial" w:eastAsia="Arial" w:hint="default"/>
          <w:spacing w:val="-6"/>
        </w:rPr>
        <w:t> </w:t>
      </w:r>
      <w:r>
        <w:rPr/>
        <w:t>年</w:t>
      </w:r>
      <w:r>
        <w:rPr>
          <w:spacing w:val="-62"/>
        </w:rPr>
        <w:t> </w:t>
      </w:r>
      <w:r>
        <w:rPr>
          <w:rFonts w:ascii="Arial" w:hAnsi="Arial" w:cs="Arial" w:eastAsia="Arial" w:hint="default"/>
        </w:rPr>
        <w:t>6</w:t>
      </w:r>
      <w:r>
        <w:rPr>
          <w:rFonts w:ascii="Arial" w:hAnsi="Arial" w:cs="Arial" w:eastAsia="Arial" w:hint="default"/>
          <w:spacing w:val="-7"/>
        </w:rPr>
        <w:t> </w:t>
      </w:r>
      <w:r>
        <w:rPr/>
        <w:t>月成立，由华宇员工自发筹备、捐款、运作成立。</w:t>
      </w:r>
      <w:r>
        <w:rPr>
          <w:rFonts w:ascii="Arial" w:hAnsi="Arial" w:cs="Arial" w:eastAsia="Arial" w:hint="default"/>
        </w:rPr>
        <w:t>2015</w:t>
      </w:r>
      <w:r>
        <w:rPr>
          <w:rFonts w:ascii="Arial" w:hAnsi="Arial" w:cs="Arial" w:eastAsia="Arial" w:hint="default"/>
          <w:spacing w:val="-10"/>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月，北京华宇公益基 金会在京完成注册。华宇公益基金会是公司履行企业社会责任的主要载体。针对我国小学至 高中青少年失学或辍学问题，华宇公益基金会特设立</w:t>
      </w:r>
      <w:r>
        <w:rPr>
          <w:rFonts w:ascii="Arial" w:hAnsi="Arial" w:cs="Arial" w:eastAsia="Arial" w:hint="default"/>
        </w:rPr>
        <w:t>“</w:t>
      </w:r>
      <w:r>
        <w:rPr/>
        <w:t>华宇助学项目</w:t>
      </w:r>
      <w:r>
        <w:rPr>
          <w:rFonts w:ascii="Arial" w:hAnsi="Arial" w:cs="Arial" w:eastAsia="Arial" w:hint="default"/>
        </w:rPr>
        <w:t>”</w:t>
      </w:r>
      <w:r>
        <w:rPr/>
        <w:t>，旨在帮助各偏远地区 的贫困家庭渴望读书的孩子们获得求学的平等权益。截止</w:t>
      </w:r>
      <w:r>
        <w:rPr>
          <w:spacing w:val="-60"/>
        </w:rPr>
        <w:t> </w:t>
      </w:r>
      <w:r>
        <w:rPr>
          <w:rFonts w:ascii="Arial" w:hAnsi="Arial" w:cs="Arial" w:eastAsia="Arial" w:hint="default"/>
        </w:rPr>
        <w:t>2017</w:t>
      </w:r>
      <w:r>
        <w:rPr>
          <w:rFonts w:ascii="Arial" w:hAnsi="Arial" w:cs="Arial" w:eastAsia="Arial" w:hint="default"/>
          <w:spacing w:val="-7"/>
        </w:rPr>
        <w:t> </w:t>
      </w:r>
      <w:r>
        <w:rPr/>
        <w:t>年，已累计捐助内蒙、河 南、湖南、辽宁、西藏、北京、青海、重庆、甘肃、海南、云南、安徽、吉林、广西、河 北、山西等</w:t>
      </w:r>
      <w:r>
        <w:rPr>
          <w:spacing w:val="-62"/>
        </w:rPr>
        <w:t> </w:t>
      </w:r>
      <w:r>
        <w:rPr>
          <w:rFonts w:ascii="Arial" w:hAnsi="Arial" w:cs="Arial" w:eastAsia="Arial" w:hint="default"/>
        </w:rPr>
        <w:t>15</w:t>
      </w:r>
      <w:r>
        <w:rPr>
          <w:rFonts w:ascii="Arial" w:hAnsi="Arial" w:cs="Arial" w:eastAsia="Arial" w:hint="default"/>
          <w:spacing w:val="-8"/>
        </w:rPr>
        <w:t> </w:t>
      </w:r>
      <w:r>
        <w:rPr/>
        <w:t>省</w:t>
      </w:r>
      <w:r>
        <w:rPr>
          <w:spacing w:val="-62"/>
        </w:rPr>
        <w:t> </w:t>
      </w:r>
      <w:r>
        <w:rPr>
          <w:rFonts w:ascii="Arial" w:hAnsi="Arial" w:cs="Arial" w:eastAsia="Arial" w:hint="default"/>
        </w:rPr>
        <w:t>27</w:t>
      </w:r>
      <w:r>
        <w:rPr>
          <w:rFonts w:ascii="Arial" w:hAnsi="Arial" w:cs="Arial" w:eastAsia="Arial" w:hint="default"/>
          <w:spacing w:val="-8"/>
        </w:rPr>
        <w:t> </w:t>
      </w:r>
      <w:r>
        <w:rPr/>
        <w:t>个地区的</w:t>
      </w:r>
      <w:r>
        <w:rPr>
          <w:spacing w:val="-62"/>
        </w:rPr>
        <w:t> </w:t>
      </w:r>
      <w:r>
        <w:rPr>
          <w:rFonts w:ascii="Arial" w:hAnsi="Arial" w:cs="Arial" w:eastAsia="Arial" w:hint="default"/>
        </w:rPr>
        <w:t>623</w:t>
      </w:r>
      <w:r>
        <w:rPr>
          <w:rFonts w:ascii="Arial" w:hAnsi="Arial" w:cs="Arial" w:eastAsia="Arial" w:hint="default"/>
          <w:spacing w:val="-8"/>
        </w:rPr>
        <w:t> </w:t>
      </w:r>
      <w:r>
        <w:rPr/>
        <w:t>名学生，向近</w:t>
      </w:r>
      <w:r>
        <w:rPr>
          <w:spacing w:val="-62"/>
        </w:rPr>
        <w:t> </w:t>
      </w:r>
      <w:r>
        <w:rPr>
          <w:rFonts w:ascii="Arial" w:hAnsi="Arial" w:cs="Arial" w:eastAsia="Arial" w:hint="default"/>
        </w:rPr>
        <w:t>70</w:t>
      </w:r>
      <w:r>
        <w:rPr>
          <w:rFonts w:ascii="Arial" w:hAnsi="Arial" w:cs="Arial" w:eastAsia="Arial" w:hint="default"/>
          <w:spacing w:val="-8"/>
        </w:rPr>
        <w:t> </w:t>
      </w:r>
      <w:r>
        <w:rPr/>
        <w:t>所学校的贫困家庭学生提供捐助。除了 提供助学款以外，基金会还会开展辅助青少年身心健康发展和推动学习进步的系列的活动， 提升学习质量。年度有选择性对资助地及受资助人进行实地调研，评估当地经济状况、教育</w:t>
      </w:r>
    </w:p>
    <w:p>
      <w:pPr>
        <w:spacing w:after="0" w:line="290" w:lineRule="auto"/>
        <w:jc w:val="left"/>
        <w:sectPr>
          <w:pgSz w:w="11910" w:h="16840"/>
          <w:pgMar w:header="877" w:footer="980" w:top="1100" w:bottom="1160" w:left="980" w:right="980"/>
        </w:sectPr>
      </w:pPr>
    </w:p>
    <w:p>
      <w:pPr>
        <w:spacing w:line="240" w:lineRule="auto" w:before="8"/>
        <w:rPr>
          <w:rFonts w:ascii="宋体" w:hAnsi="宋体" w:cs="宋体" w:eastAsia="宋体" w:hint="default"/>
          <w:sz w:val="22"/>
          <w:szCs w:val="22"/>
        </w:rPr>
      </w:pPr>
    </w:p>
    <w:p>
      <w:pPr>
        <w:pStyle w:val="BodyText"/>
        <w:spacing w:line="240" w:lineRule="auto" w:before="26"/>
        <w:ind w:right="0"/>
        <w:jc w:val="left"/>
      </w:pPr>
      <w:r>
        <w:rPr/>
        <w:t>资源及学生家庭情况，改进资助方案。</w:t>
      </w:r>
    </w:p>
    <w:p>
      <w:pPr>
        <w:spacing w:line="240" w:lineRule="auto" w:before="9"/>
        <w:rPr>
          <w:rFonts w:ascii="宋体" w:hAnsi="宋体" w:cs="宋体" w:eastAsia="宋体" w:hint="default"/>
          <w:sz w:val="17"/>
          <w:szCs w:val="17"/>
        </w:rPr>
      </w:pPr>
    </w:p>
    <w:p>
      <w:pPr>
        <w:pStyle w:val="BodyText"/>
        <w:spacing w:line="240" w:lineRule="auto"/>
        <w:ind w:left="633" w:right="0"/>
        <w:jc w:val="left"/>
      </w:pPr>
      <w:r>
        <w:rPr/>
        <w:t>基金会</w:t>
      </w:r>
      <w:r>
        <w:rPr>
          <w:spacing w:val="-62"/>
        </w:rPr>
        <w:t> </w:t>
      </w:r>
      <w:r>
        <w:rPr>
          <w:rFonts w:ascii="Arial" w:hAnsi="Arial" w:cs="Arial" w:eastAsia="Arial" w:hint="default"/>
        </w:rPr>
        <w:t>2017</w:t>
      </w:r>
      <w:r>
        <w:rPr>
          <w:rFonts w:ascii="Arial" w:hAnsi="Arial" w:cs="Arial" w:eastAsia="Arial" w:hint="default"/>
          <w:spacing w:val="-7"/>
        </w:rPr>
        <w:t> </w:t>
      </w:r>
      <w:r>
        <w:rPr/>
        <w:t>年的资助人数</w:t>
      </w:r>
      <w:r>
        <w:rPr>
          <w:spacing w:val="-61"/>
        </w:rPr>
        <w:t> </w:t>
      </w:r>
      <w:r>
        <w:rPr>
          <w:rFonts w:ascii="Arial" w:hAnsi="Arial" w:cs="Arial" w:eastAsia="Arial" w:hint="default"/>
        </w:rPr>
        <w:t>298</w:t>
      </w:r>
      <w:r>
        <w:rPr>
          <w:rFonts w:ascii="Arial" w:hAnsi="Arial" w:cs="Arial" w:eastAsia="Arial" w:hint="default"/>
          <w:spacing w:val="-7"/>
        </w:rPr>
        <w:t> </w:t>
      </w:r>
      <w:r>
        <w:rPr/>
        <w:t>人，走访了</w:t>
      </w:r>
      <w:r>
        <w:rPr>
          <w:spacing w:val="-61"/>
        </w:rPr>
        <w:t> </w:t>
      </w:r>
      <w:r>
        <w:rPr>
          <w:rFonts w:ascii="Arial" w:hAnsi="Arial" w:cs="Arial" w:eastAsia="Arial" w:hint="default"/>
        </w:rPr>
        <w:t>4872</w:t>
      </w:r>
      <w:r>
        <w:rPr>
          <w:rFonts w:ascii="Arial" w:hAnsi="Arial" w:cs="Arial" w:eastAsia="Arial" w:hint="default"/>
          <w:spacing w:val="-6"/>
        </w:rPr>
        <w:t> </w:t>
      </w:r>
      <w:r>
        <w:rPr/>
        <w:t>公里，探访了</w:t>
      </w:r>
      <w:r>
        <w:rPr>
          <w:spacing w:val="-61"/>
        </w:rPr>
        <w:t> </w:t>
      </w:r>
      <w:r>
        <w:rPr>
          <w:rFonts w:ascii="Arial" w:hAnsi="Arial" w:cs="Arial" w:eastAsia="Arial" w:hint="default"/>
        </w:rPr>
        <w:t>126</w:t>
      </w:r>
      <w:r>
        <w:rPr>
          <w:rFonts w:ascii="Arial" w:hAnsi="Arial" w:cs="Arial" w:eastAsia="Arial" w:hint="default"/>
          <w:spacing w:val="-9"/>
        </w:rPr>
        <w:t> </w:t>
      </w:r>
      <w:r>
        <w:rPr/>
        <w:t>位学生，探访学生</w:t>
      </w:r>
    </w:p>
    <w:p>
      <w:pPr>
        <w:pStyle w:val="BodyText"/>
        <w:spacing w:line="240" w:lineRule="auto" w:before="60"/>
        <w:ind w:right="0"/>
        <w:jc w:val="left"/>
      </w:pPr>
      <w:r>
        <w:rPr/>
        <w:t>数量是</w:t>
      </w:r>
      <w:r>
        <w:rPr>
          <w:spacing w:val="-61"/>
        </w:rPr>
        <w:t> </w:t>
      </w:r>
      <w:r>
        <w:rPr>
          <w:rFonts w:ascii="Arial" w:hAnsi="Arial" w:cs="Arial" w:eastAsia="Arial" w:hint="default"/>
        </w:rPr>
        <w:t>2016</w:t>
      </w:r>
      <w:r>
        <w:rPr>
          <w:rFonts w:ascii="Arial" w:hAnsi="Arial" w:cs="Arial" w:eastAsia="Arial" w:hint="default"/>
          <w:spacing w:val="-7"/>
        </w:rPr>
        <w:t> </w:t>
      </w:r>
      <w:r>
        <w:rPr/>
        <w:t>年的</w:t>
      </w:r>
      <w:r>
        <w:rPr>
          <w:spacing w:val="-63"/>
        </w:rPr>
        <w:t> </w:t>
      </w:r>
      <w:r>
        <w:rPr>
          <w:rFonts w:ascii="Arial" w:hAnsi="Arial" w:cs="Arial" w:eastAsia="Arial" w:hint="default"/>
        </w:rPr>
        <w:t>1.8</w:t>
      </w:r>
      <w:r>
        <w:rPr>
          <w:rFonts w:ascii="Arial" w:hAnsi="Arial" w:cs="Arial" w:eastAsia="Arial" w:hint="default"/>
          <w:spacing w:val="-8"/>
        </w:rPr>
        <w:t> </w:t>
      </w:r>
      <w:r>
        <w:rPr/>
        <w:t>倍，探访活动为他们送去爱心包和开展有益身心发展的互动游戏；较</w:t>
      </w:r>
    </w:p>
    <w:p>
      <w:pPr>
        <w:pStyle w:val="BodyText"/>
        <w:spacing w:line="240" w:lineRule="auto" w:before="57"/>
        <w:ind w:right="0"/>
        <w:jc w:val="left"/>
      </w:pPr>
      <w:r>
        <w:rPr>
          <w:rFonts w:ascii="Arial" w:hAnsi="Arial" w:cs="Arial" w:eastAsia="Arial" w:hint="default"/>
        </w:rPr>
        <w:t>2016</w:t>
      </w:r>
      <w:r>
        <w:rPr>
          <w:rFonts w:ascii="Arial" w:hAnsi="Arial" w:cs="Arial" w:eastAsia="Arial" w:hint="default"/>
          <w:spacing w:val="-7"/>
        </w:rPr>
        <w:t> </w:t>
      </w:r>
      <w:r>
        <w:rPr/>
        <w:t>年，参与探访志愿者人数增长了</w:t>
      </w:r>
      <w:r>
        <w:rPr>
          <w:spacing w:val="-62"/>
        </w:rPr>
        <w:t> </w:t>
      </w:r>
      <w:r>
        <w:rPr>
          <w:rFonts w:ascii="Arial" w:hAnsi="Arial" w:cs="Arial" w:eastAsia="Arial" w:hint="default"/>
        </w:rPr>
        <w:t>4.6</w:t>
      </w:r>
      <w:r>
        <w:rPr>
          <w:rFonts w:ascii="Arial" w:hAnsi="Arial" w:cs="Arial" w:eastAsia="Arial" w:hint="default"/>
          <w:spacing w:val="-7"/>
        </w:rPr>
        <w:t> </w:t>
      </w:r>
      <w:r>
        <w:rPr/>
        <w:t>倍。为了向困境学生提供更全面的支持和帮助，</w:t>
      </w:r>
    </w:p>
    <w:p>
      <w:pPr>
        <w:pStyle w:val="BodyText"/>
        <w:spacing w:line="290" w:lineRule="auto" w:before="60"/>
        <w:ind w:right="174"/>
        <w:jc w:val="left"/>
      </w:pPr>
      <w:r>
        <w:rPr>
          <w:rFonts w:ascii="Arial" w:hAnsi="Arial" w:cs="Arial" w:eastAsia="Arial" w:hint="default"/>
        </w:rPr>
        <w:t>2017</w:t>
      </w:r>
      <w:r>
        <w:rPr>
          <w:rFonts w:ascii="Arial" w:hAnsi="Arial" w:cs="Arial" w:eastAsia="Arial" w:hint="default"/>
          <w:spacing w:val="-6"/>
        </w:rPr>
        <w:t> </w:t>
      </w:r>
      <w:r>
        <w:rPr/>
        <w:t>年</w:t>
      </w:r>
      <w:r>
        <w:rPr>
          <w:spacing w:val="-62"/>
        </w:rPr>
        <w:t> </w:t>
      </w:r>
      <w:r>
        <w:rPr>
          <w:rFonts w:ascii="Arial" w:hAnsi="Arial" w:cs="Arial" w:eastAsia="Arial" w:hint="default"/>
        </w:rPr>
        <w:t>8</w:t>
      </w:r>
      <w:r>
        <w:rPr>
          <w:rFonts w:ascii="Arial" w:hAnsi="Arial" w:cs="Arial" w:eastAsia="Arial" w:hint="default"/>
          <w:spacing w:val="-7"/>
        </w:rPr>
        <w:t> </w:t>
      </w:r>
      <w:r>
        <w:rPr/>
        <w:t>月联合云南省红十字会、云南省红十字备灾救灾中心开展第四届滇苗助学训练 营。训练营通过系列专业的培训和趣味活动，增强了小营员们学习和生活的技能，也让小营 员们从身体到心灵进行了全方位的磨练和成长。</w:t>
      </w:r>
    </w:p>
    <w:p>
      <w:pPr>
        <w:pStyle w:val="BodyText"/>
        <w:spacing w:line="297" w:lineRule="auto" w:before="180"/>
        <w:ind w:right="174" w:firstLine="480"/>
        <w:jc w:val="left"/>
      </w:pPr>
      <w:r>
        <w:rPr/>
        <w:t>公益是企业文化中的重要纽带，通过公益平台为华宇人及华宇家庭提供公益参与的渠 道，携手华宇家庭和子女共同成长，将公益的精神和幸福感传递至华宇家人之中。形成华宇 独特的公益体系和公益价值观。集团公益月、华宇益课堂、志愿者日、环保活动等等均是华 宇公益员工参与的特色活动。</w:t>
      </w:r>
    </w:p>
    <w:p>
      <w:pPr>
        <w:pStyle w:val="BodyText"/>
        <w:spacing w:line="292" w:lineRule="auto" w:before="173"/>
        <w:ind w:right="174" w:firstLine="480"/>
        <w:jc w:val="left"/>
      </w:pPr>
      <w:r>
        <w:rPr/>
        <w:t>持续根据社会发展所带来的变化不断优化与调整我们的企业社会责任具体工作是确保未 来符合所有利益相关者利益的保障。</w:t>
      </w:r>
      <w:r>
        <w:rPr>
          <w:spacing w:val="1"/>
        </w:rPr>
        <w:t> </w:t>
      </w:r>
      <w:r>
        <w:rPr/>
        <w:t>华宇将继续致力于以持续的产品及技术创新积极贡献</w:t>
      </w:r>
      <w:r>
        <w:rPr/>
        <w:t> 社会</w:t>
      </w:r>
      <w:r>
        <w:rPr>
          <w:rFonts w:ascii="Arial" w:hAnsi="Arial" w:cs="Arial" w:eastAsia="Arial" w:hint="default"/>
        </w:rPr>
        <w:t>,</w:t>
      </w:r>
      <w:r>
        <w:rPr>
          <w:rFonts w:ascii="Arial" w:hAnsi="Arial" w:cs="Arial" w:eastAsia="Arial" w:hint="default"/>
          <w:spacing w:val="53"/>
        </w:rPr>
        <w:t> </w:t>
      </w:r>
      <w:r>
        <w:rPr/>
        <w:t>以稳定的经营业绩创造社会价值。充分发挥华宇在行业内的产品与技术优势，努力推 动华宇企业社会责任的进一步实践，为企业、社会的和谐可持续发展做出贡献。</w:t>
      </w:r>
    </w:p>
    <w:p>
      <w:pPr>
        <w:spacing w:line="240" w:lineRule="auto" w:before="7"/>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、环境保护相关的情况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68" w:lineRule="auto"/>
        <w:ind w:right="3054"/>
        <w:jc w:val="left"/>
      </w:pPr>
      <w:r>
        <w:rPr/>
        <w:t>上市公司及其子公司是否属于环境保护部门公布的重点排污单位 不适用 公司及其子公司不属于环境保护部门公布的重点排污单位。</w:t>
      </w:r>
    </w:p>
    <w:p>
      <w:pPr>
        <w:pStyle w:val="Heading2"/>
        <w:spacing w:line="240" w:lineRule="auto" w:before="195"/>
        <w:ind w:right="0"/>
        <w:jc w:val="left"/>
        <w:rPr>
          <w:b w:val="0"/>
          <w:bCs w:val="0"/>
        </w:rPr>
      </w:pPr>
      <w:r>
        <w:rPr/>
        <w:t>十八、其他重大事项的说明</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21"/>
        <w:ind w:left="633" w:right="0"/>
        <w:jc w:val="left"/>
      </w:pPr>
      <w:r>
        <w:rPr>
          <w:rFonts w:ascii="Arial" w:hAnsi="Arial" w:cs="Arial" w:eastAsia="Arial" w:hint="default"/>
        </w:rPr>
        <w:t>1</w:t>
      </w:r>
      <w:r>
        <w:rPr/>
        <w:t>、非公开发行股票</w:t>
      </w:r>
    </w:p>
    <w:p>
      <w:pPr>
        <w:pStyle w:val="BodyText"/>
        <w:spacing w:line="312" w:lineRule="exact" w:before="50"/>
        <w:ind w:right="162" w:firstLine="480"/>
        <w:jc w:val="left"/>
      </w:pP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4"/>
        </w:rPr>
        <w:t> </w:t>
      </w:r>
      <w:r>
        <w:rPr>
          <w:rFonts w:ascii="Arial" w:hAnsi="Arial" w:cs="Arial" w:eastAsia="Arial" w:hint="default"/>
          <w:spacing w:val="-8"/>
        </w:rPr>
        <w:t>11</w:t>
      </w:r>
      <w:r>
        <w:rPr>
          <w:rFonts w:ascii="Arial" w:hAnsi="Arial" w:cs="Arial" w:eastAsia="Arial" w:hint="default"/>
          <w:spacing w:val="-7"/>
        </w:rPr>
        <w:t> </w:t>
      </w:r>
      <w:r>
        <w:rPr/>
        <w:t>日，公司向中国证监会报送了《关于中止审查北京华宇软件股份有限公 司创业板非公开发行</w:t>
      </w:r>
      <w:r>
        <w:rPr>
          <w:spacing w:val="-60"/>
        </w:rPr>
        <w:t> </w:t>
      </w:r>
      <w:r>
        <w:rPr>
          <w:rFonts w:ascii="Arial" w:hAnsi="Arial" w:cs="Arial" w:eastAsia="Arial" w:hint="default"/>
        </w:rPr>
        <w:t>A</w:t>
      </w:r>
      <w:r>
        <w:rPr>
          <w:rFonts w:ascii="Arial" w:hAnsi="Arial" w:cs="Arial" w:eastAsia="Arial" w:hint="default"/>
          <w:spacing w:val="-6"/>
        </w:rPr>
        <w:t> </w:t>
      </w:r>
      <w:r>
        <w:rPr>
          <w:spacing w:val="-4"/>
        </w:rPr>
        <w:t>股股票申请文件的申请》，因公司筹划重大资产重组事项，申请中止</w:t>
      </w:r>
      <w:r>
        <w:rPr/>
        <w:t> 审查公司</w:t>
      </w:r>
      <w:r>
        <w:rPr>
          <w:spacing w:val="-61"/>
        </w:rPr>
        <w:t> </w:t>
      </w:r>
      <w:r>
        <w:rPr>
          <w:rFonts w:ascii="Arial" w:hAnsi="Arial" w:cs="Arial" w:eastAsia="Arial" w:hint="default"/>
        </w:rPr>
        <w:t>2016</w:t>
      </w:r>
      <w:r>
        <w:rPr>
          <w:rFonts w:ascii="Arial" w:hAnsi="Arial" w:cs="Arial" w:eastAsia="Arial" w:hint="default"/>
          <w:spacing w:val="-7"/>
        </w:rPr>
        <w:t> </w:t>
      </w:r>
      <w:r>
        <w:rPr/>
        <w:t>年创业板非公开发行</w:t>
      </w:r>
      <w:r>
        <w:rPr>
          <w:spacing w:val="-61"/>
        </w:rPr>
        <w:t> </w:t>
      </w:r>
      <w:r>
        <w:rPr>
          <w:rFonts w:ascii="Arial" w:hAnsi="Arial" w:cs="Arial" w:eastAsia="Arial" w:hint="default"/>
        </w:rPr>
        <w:t>A</w:t>
      </w:r>
      <w:r>
        <w:rPr>
          <w:rFonts w:ascii="Arial" w:hAnsi="Arial" w:cs="Arial" w:eastAsia="Arial" w:hint="default"/>
          <w:spacing w:val="-7"/>
        </w:rPr>
        <w:t> </w:t>
      </w:r>
      <w:r>
        <w:rPr/>
        <w:t>股股票申请文件。</w:t>
      </w:r>
    </w:p>
    <w:p>
      <w:pPr>
        <w:pStyle w:val="BodyText"/>
        <w:spacing w:line="322" w:lineRule="exact" w:before="10"/>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2</w:t>
      </w:r>
      <w:r>
        <w:rPr>
          <w:rFonts w:ascii="Arial" w:hAnsi="Arial" w:cs="Arial" w:eastAsia="Arial" w:hint="default"/>
          <w:spacing w:val="-8"/>
        </w:rPr>
        <w:t> </w:t>
      </w:r>
      <w:r>
        <w:rPr/>
        <w:t>月</w:t>
      </w:r>
      <w:r>
        <w:rPr>
          <w:spacing w:val="-62"/>
        </w:rPr>
        <w:t> </w:t>
      </w:r>
      <w:r>
        <w:rPr>
          <w:rFonts w:ascii="Arial" w:hAnsi="Arial" w:cs="Arial" w:eastAsia="Arial" w:hint="default"/>
        </w:rPr>
        <w:t>22</w:t>
      </w:r>
      <w:r>
        <w:rPr>
          <w:rFonts w:ascii="Arial" w:hAnsi="Arial" w:cs="Arial" w:eastAsia="Arial" w:hint="default"/>
          <w:spacing w:val="-8"/>
        </w:rPr>
        <w:t> </w:t>
      </w:r>
      <w:r>
        <w:rPr/>
        <w:t>日，公司收到中国证监会下发的《中国证监会行政许可申请中止审查通</w:t>
      </w:r>
    </w:p>
    <w:p>
      <w:pPr>
        <w:pStyle w:val="BodyText"/>
        <w:spacing w:line="232" w:lineRule="auto"/>
        <w:ind w:right="174"/>
        <w:jc w:val="left"/>
      </w:pPr>
      <w:r>
        <w:rPr>
          <w:spacing w:val="-24"/>
        </w:rPr>
        <w:t>知书》（第</w:t>
      </w:r>
      <w:r>
        <w:rPr>
          <w:spacing w:val="-59"/>
        </w:rPr>
        <w:t> </w:t>
      </w:r>
      <w:r>
        <w:rPr>
          <w:rFonts w:ascii="Arial" w:hAnsi="Arial" w:cs="Arial" w:eastAsia="Arial" w:hint="default"/>
          <w:spacing w:val="-1"/>
          <w:w w:val="99"/>
        </w:rPr>
        <w:t>162632</w:t>
      </w:r>
      <w:r>
        <w:rPr>
          <w:rFonts w:ascii="Arial" w:hAnsi="Arial" w:cs="Arial" w:eastAsia="Arial" w:hint="default"/>
          <w:spacing w:val="-4"/>
          <w:w w:val="99"/>
        </w:rPr>
        <w:t> </w:t>
      </w:r>
      <w:r>
        <w:rPr>
          <w:spacing w:val="-6"/>
        </w:rPr>
        <w:t>号），中国证监会同意公司中止审查申请。详见公司</w:t>
      </w:r>
      <w:r>
        <w:rPr>
          <w:spacing w:val="-58"/>
        </w:rPr>
        <w:t> </w:t>
      </w:r>
      <w:r>
        <w:rPr>
          <w:rFonts w:ascii="Arial" w:hAnsi="Arial" w:cs="Arial" w:eastAsia="Arial" w:hint="default"/>
          <w:spacing w:val="-1"/>
          <w:w w:val="99"/>
        </w:rPr>
        <w:t>2017</w:t>
      </w:r>
      <w:r>
        <w:rPr>
          <w:rFonts w:ascii="Arial" w:hAnsi="Arial" w:cs="Arial" w:eastAsia="Arial" w:hint="default"/>
          <w:spacing w:val="-5"/>
          <w:w w:val="99"/>
        </w:rPr>
        <w:t> </w:t>
      </w:r>
      <w:r>
        <w:rPr/>
        <w:t>年</w:t>
      </w:r>
      <w:r>
        <w:rPr>
          <w:spacing w:val="-59"/>
        </w:rPr>
        <w:t> </w:t>
      </w:r>
      <w:r>
        <w:rPr>
          <w:rFonts w:ascii="Arial" w:hAnsi="Arial" w:cs="Arial" w:eastAsia="Arial" w:hint="default"/>
          <w:w w:val="99"/>
        </w:rPr>
        <w:t>2</w:t>
      </w:r>
      <w:r>
        <w:rPr>
          <w:rFonts w:ascii="Arial" w:hAnsi="Arial" w:cs="Arial" w:eastAsia="Arial" w:hint="default"/>
          <w:spacing w:val="-5"/>
          <w:w w:val="99"/>
        </w:rPr>
        <w:t> </w:t>
      </w:r>
      <w:r>
        <w:rPr/>
        <w:t>月</w:t>
      </w:r>
      <w:r>
        <w:rPr>
          <w:spacing w:val="-59"/>
        </w:rPr>
        <w:t> </w:t>
      </w:r>
      <w:r>
        <w:rPr>
          <w:rFonts w:ascii="Arial" w:hAnsi="Arial" w:cs="Arial" w:eastAsia="Arial" w:hint="default"/>
          <w:spacing w:val="-1"/>
          <w:w w:val="99"/>
        </w:rPr>
        <w:t>23</w:t>
      </w:r>
      <w:r>
        <w:rPr>
          <w:rFonts w:ascii="Arial" w:hAnsi="Arial" w:cs="Arial" w:eastAsia="Arial" w:hint="default"/>
          <w:spacing w:val="-5"/>
          <w:w w:val="99"/>
        </w:rPr>
        <w:t> </w:t>
      </w:r>
      <w:r>
        <w:rPr/>
        <w:t>日</w:t>
      </w:r>
      <w:r>
        <w:rPr>
          <w:spacing w:val="-114"/>
        </w:rPr>
        <w:t> </w:t>
      </w:r>
      <w:r>
        <w:rPr/>
        <w:t>在巨潮资讯网披露的《北京华宇软件股份有限公司关于中止非公开发行股票申请文件审核的 </w:t>
      </w:r>
      <w:r>
        <w:rPr>
          <w:spacing w:val="-30"/>
        </w:rPr>
        <w:t>公告》。</w:t>
      </w:r>
    </w:p>
    <w:p>
      <w:pPr>
        <w:pStyle w:val="BodyText"/>
        <w:spacing w:line="322" w:lineRule="exact" w:before="39"/>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spacing w:val="-62"/>
        </w:rPr>
        <w:t> </w:t>
      </w:r>
      <w:r>
        <w:rPr>
          <w:rFonts w:ascii="Arial" w:hAnsi="Arial" w:cs="Arial" w:eastAsia="Arial" w:hint="default"/>
        </w:rPr>
        <w:t>6</w:t>
      </w:r>
      <w:r>
        <w:rPr>
          <w:rFonts w:ascii="Arial" w:hAnsi="Arial" w:cs="Arial" w:eastAsia="Arial" w:hint="default"/>
          <w:spacing w:val="-8"/>
        </w:rPr>
        <w:t> </w:t>
      </w:r>
      <w:r>
        <w:rPr/>
        <w:t>日，公司召开了第六届董事会第十六次会议，审议通过了《关于撤回</w:t>
      </w:r>
    </w:p>
    <w:p>
      <w:pPr>
        <w:pStyle w:val="BodyText"/>
        <w:spacing w:line="312" w:lineRule="exact" w:before="21"/>
        <w:ind w:right="154"/>
        <w:jc w:val="both"/>
      </w:pPr>
      <w:r>
        <w:rPr>
          <w:rFonts w:ascii="Arial" w:hAnsi="Arial" w:cs="Arial" w:eastAsia="Arial" w:hint="default"/>
          <w:spacing w:val="-1"/>
          <w:w w:val="99"/>
        </w:rPr>
        <w:t>2016</w:t>
      </w:r>
      <w:r>
        <w:rPr>
          <w:rFonts w:ascii="Arial" w:hAnsi="Arial" w:cs="Arial" w:eastAsia="Arial" w:hint="default"/>
          <w:w w:val="99"/>
        </w:rPr>
        <w:t> </w:t>
      </w:r>
      <w:r>
        <w:rPr/>
        <w:t>年度创业板非公开发行</w:t>
      </w:r>
      <w:r>
        <w:rPr>
          <w:spacing w:val="-55"/>
        </w:rPr>
        <w:t> </w:t>
      </w:r>
      <w:r>
        <w:rPr>
          <w:rFonts w:ascii="Arial" w:hAnsi="Arial" w:cs="Arial" w:eastAsia="Arial" w:hint="default"/>
        </w:rPr>
        <w:t>A</w:t>
      </w:r>
      <w:r>
        <w:rPr>
          <w:rFonts w:ascii="Arial" w:hAnsi="Arial" w:cs="Arial" w:eastAsia="Arial" w:hint="default"/>
          <w:spacing w:val="-1"/>
        </w:rPr>
        <w:t> </w:t>
      </w:r>
      <w:r>
        <w:rPr>
          <w:spacing w:val="-5"/>
        </w:rPr>
        <w:t>股股票申请文件的议案》，鉴于公司正在推进重大资产重组事</w:t>
      </w:r>
      <w:r>
        <w:rPr/>
        <w:t> 宜，经公司审慎研究，为保证本次重大资产重组事项的顺利推进，切实保护公司及广大投资 者的利益，同意公司终止</w:t>
      </w:r>
      <w:r>
        <w:rPr>
          <w:spacing w:val="-61"/>
        </w:rPr>
        <w:t> </w:t>
      </w:r>
      <w:r>
        <w:rPr>
          <w:rFonts w:ascii="Arial" w:hAnsi="Arial" w:cs="Arial" w:eastAsia="Arial" w:hint="default"/>
        </w:rPr>
        <w:t>2016</w:t>
      </w:r>
      <w:r>
        <w:rPr>
          <w:rFonts w:ascii="Arial" w:hAnsi="Arial" w:cs="Arial" w:eastAsia="Arial" w:hint="default"/>
          <w:spacing w:val="-6"/>
        </w:rPr>
        <w:t> </w:t>
      </w:r>
      <w:r>
        <w:rPr/>
        <w:t>年非公开发行</w:t>
      </w:r>
      <w:r>
        <w:rPr>
          <w:spacing w:val="-61"/>
        </w:rPr>
        <w:t> </w:t>
      </w:r>
      <w:r>
        <w:rPr>
          <w:rFonts w:ascii="Arial" w:hAnsi="Arial" w:cs="Arial" w:eastAsia="Arial" w:hint="default"/>
        </w:rPr>
        <w:t>A</w:t>
      </w:r>
      <w:r>
        <w:rPr>
          <w:rFonts w:ascii="Arial" w:hAnsi="Arial" w:cs="Arial" w:eastAsia="Arial" w:hint="default"/>
          <w:spacing w:val="-7"/>
        </w:rPr>
        <w:t> </w:t>
      </w:r>
      <w:r>
        <w:rPr/>
        <w:t>股股票事项，并向中国证监会申请撤回公司 提交的非公开发行股票申请文件。详见公司</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3"/>
        </w:rPr>
        <w:t> </w:t>
      </w:r>
      <w:r>
        <w:rPr>
          <w:rFonts w:ascii="Arial" w:hAnsi="Arial" w:cs="Arial" w:eastAsia="Arial" w:hint="default"/>
        </w:rPr>
        <w:t>4</w:t>
      </w:r>
      <w:r>
        <w:rPr>
          <w:rFonts w:ascii="Arial" w:hAnsi="Arial" w:cs="Arial" w:eastAsia="Arial" w:hint="default"/>
          <w:spacing w:val="-7"/>
        </w:rPr>
        <w:t> </w:t>
      </w:r>
      <w:r>
        <w:rPr/>
        <w:t>月</w:t>
      </w:r>
      <w:r>
        <w:rPr>
          <w:spacing w:val="-61"/>
        </w:rPr>
        <w:t> </w:t>
      </w:r>
      <w:r>
        <w:rPr>
          <w:rFonts w:ascii="Arial" w:hAnsi="Arial" w:cs="Arial" w:eastAsia="Arial" w:hint="default"/>
        </w:rPr>
        <w:t>7</w:t>
      </w:r>
      <w:r>
        <w:rPr>
          <w:rFonts w:ascii="Arial" w:hAnsi="Arial" w:cs="Arial" w:eastAsia="Arial" w:hint="default"/>
          <w:spacing w:val="-7"/>
        </w:rPr>
        <w:t> </w:t>
      </w:r>
      <w:r>
        <w:rPr/>
        <w:t>日在巨潮资讯网披露的《北京华</w:t>
      </w:r>
    </w:p>
    <w:p>
      <w:pPr>
        <w:spacing w:after="0" w:line="312" w:lineRule="exact"/>
        <w:jc w:val="both"/>
        <w:sectPr>
          <w:pgSz w:w="11910" w:h="16840"/>
          <w:pgMar w:header="877" w:footer="980" w:top="1100" w:bottom="1160" w:left="980" w:right="980"/>
        </w:sectPr>
      </w:pPr>
    </w:p>
    <w:p>
      <w:pPr>
        <w:spacing w:line="240" w:lineRule="auto" w:before="7"/>
        <w:rPr>
          <w:rFonts w:ascii="宋体" w:hAnsi="宋体" w:cs="宋体" w:eastAsia="宋体" w:hint="default"/>
          <w:sz w:val="19"/>
          <w:szCs w:val="19"/>
        </w:rPr>
      </w:pPr>
    </w:p>
    <w:p>
      <w:pPr>
        <w:pStyle w:val="BodyText"/>
        <w:spacing w:line="240" w:lineRule="auto" w:before="26"/>
        <w:ind w:right="0"/>
        <w:jc w:val="left"/>
      </w:pPr>
      <w:r>
        <w:rPr/>
        <w:t>宇软件股份有限公司关于终止公司非公开发行</w:t>
      </w:r>
      <w:r>
        <w:rPr>
          <w:spacing w:val="-59"/>
        </w:rPr>
        <w:t> </w:t>
      </w:r>
      <w:r>
        <w:rPr>
          <w:rFonts w:ascii="Arial" w:hAnsi="Arial" w:cs="Arial" w:eastAsia="Arial" w:hint="default"/>
        </w:rPr>
        <w:t>A</w:t>
      </w:r>
      <w:r>
        <w:rPr>
          <w:rFonts w:ascii="Arial" w:hAnsi="Arial" w:cs="Arial" w:eastAsia="Arial" w:hint="default"/>
          <w:spacing w:val="-6"/>
        </w:rPr>
        <w:t> </w:t>
      </w:r>
      <w:r>
        <w:rPr/>
        <w:t>股股票并申请撤回相关申请材料的公告</w:t>
      </w:r>
      <w:r>
        <w:rPr>
          <w:spacing w:val="-120"/>
        </w:rPr>
        <w:t>》</w:t>
      </w:r>
      <w:r>
        <w:rPr/>
        <w:t>。</w:t>
      </w:r>
    </w:p>
    <w:p>
      <w:pPr>
        <w:pStyle w:val="BodyText"/>
        <w:spacing w:line="312" w:lineRule="exact" w:before="52"/>
        <w:ind w:right="148" w:firstLine="48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spacing w:val="-62"/>
        </w:rPr>
        <w:t> </w:t>
      </w:r>
      <w:r>
        <w:rPr>
          <w:rFonts w:ascii="Arial" w:hAnsi="Arial" w:cs="Arial" w:eastAsia="Arial" w:hint="default"/>
        </w:rPr>
        <w:t>20</w:t>
      </w:r>
      <w:r>
        <w:rPr>
          <w:rFonts w:ascii="Arial" w:hAnsi="Arial" w:cs="Arial" w:eastAsia="Arial" w:hint="default"/>
          <w:spacing w:val="-8"/>
        </w:rPr>
        <w:t> </w:t>
      </w:r>
      <w:r>
        <w:rPr/>
        <w:t>日，公司收到了中国证监会出具的《中国证监会行政许可申请终止审查 </w:t>
      </w:r>
      <w:r>
        <w:rPr>
          <w:spacing w:val="-18"/>
          <w:w w:val="99"/>
        </w:rPr>
        <w:t>通知书》（【</w:t>
      </w:r>
      <w:r>
        <w:rPr>
          <w:rFonts w:ascii="Arial" w:hAnsi="Arial" w:cs="Arial" w:eastAsia="Arial" w:hint="default"/>
          <w:spacing w:val="-18"/>
          <w:w w:val="99"/>
        </w:rPr>
        <w:t>2017</w:t>
      </w:r>
      <w:r>
        <w:rPr>
          <w:spacing w:val="-18"/>
          <w:w w:val="99"/>
        </w:rPr>
        <w:t>】</w:t>
      </w:r>
      <w:r>
        <w:rPr>
          <w:rFonts w:ascii="Arial" w:hAnsi="Arial" w:cs="Arial" w:eastAsia="Arial" w:hint="default"/>
          <w:spacing w:val="-18"/>
          <w:w w:val="99"/>
        </w:rPr>
        <w:t>172</w:t>
      </w:r>
      <w:r>
        <w:rPr>
          <w:rFonts w:ascii="Arial" w:hAnsi="Arial" w:cs="Arial" w:eastAsia="Arial" w:hint="default"/>
          <w:spacing w:val="-6"/>
          <w:w w:val="99"/>
        </w:rPr>
        <w:t> </w:t>
      </w:r>
      <w:r>
        <w:rPr>
          <w:spacing w:val="-4"/>
        </w:rPr>
        <w:t>号），根据《中国证监会行政许可实施程序规定》第二十条的规定，</w:t>
      </w:r>
      <w:r>
        <w:rPr>
          <w:spacing w:val="-116"/>
        </w:rPr>
        <w:t> </w:t>
      </w:r>
      <w:r>
        <w:rPr>
          <w:spacing w:val="-116"/>
        </w:rPr>
      </w:r>
      <w:r>
        <w:rPr/>
        <w:t>中国证监会决定终止对该行政许可申请的审查。详见公司</w:t>
      </w:r>
      <w:r>
        <w:rPr>
          <w:spacing w:val="-59"/>
        </w:rPr>
        <w:t> </w:t>
      </w:r>
      <w:r>
        <w:rPr>
          <w:rFonts w:ascii="Arial" w:hAnsi="Arial" w:cs="Arial" w:eastAsia="Arial" w:hint="default"/>
        </w:rPr>
        <w:t>2017</w:t>
      </w:r>
      <w:r>
        <w:rPr>
          <w:rFonts w:ascii="Arial" w:hAnsi="Arial" w:cs="Arial" w:eastAsia="Arial" w:hint="default"/>
          <w:spacing w:val="-7"/>
        </w:rPr>
        <w:t> </w:t>
      </w:r>
      <w:r>
        <w:rPr/>
        <w:t>年</w:t>
      </w:r>
      <w:r>
        <w:rPr>
          <w:spacing w:val="-63"/>
        </w:rPr>
        <w:t> </w:t>
      </w:r>
      <w:r>
        <w:rPr>
          <w:rFonts w:ascii="Arial" w:hAnsi="Arial" w:cs="Arial" w:eastAsia="Arial" w:hint="default"/>
        </w:rPr>
        <w:t>4</w:t>
      </w:r>
      <w:r>
        <w:rPr>
          <w:rFonts w:ascii="Arial" w:hAnsi="Arial" w:cs="Arial" w:eastAsia="Arial" w:hint="default"/>
          <w:spacing w:val="-9"/>
        </w:rPr>
        <w:t> </w:t>
      </w:r>
      <w:r>
        <w:rPr/>
        <w:t>月</w:t>
      </w:r>
      <w:r>
        <w:rPr>
          <w:spacing w:val="-61"/>
        </w:rPr>
        <w:t> </w:t>
      </w:r>
      <w:r>
        <w:rPr>
          <w:rFonts w:ascii="Arial" w:hAnsi="Arial" w:cs="Arial" w:eastAsia="Arial" w:hint="default"/>
        </w:rPr>
        <w:t>20</w:t>
      </w:r>
      <w:r>
        <w:rPr>
          <w:rFonts w:ascii="Arial" w:hAnsi="Arial" w:cs="Arial" w:eastAsia="Arial" w:hint="default"/>
          <w:spacing w:val="-7"/>
        </w:rPr>
        <w:t> </w:t>
      </w:r>
      <w:r>
        <w:rPr/>
        <w:t>日在巨潮资讯网 披露的《北京华宇软件股份有限公司关于收到</w:t>
      </w:r>
      <w:r>
        <w:rPr>
          <w:rFonts w:ascii="Arial" w:hAnsi="Arial" w:cs="Arial" w:eastAsia="Arial" w:hint="default"/>
        </w:rPr>
        <w:t>&lt;</w:t>
      </w:r>
      <w:r>
        <w:rPr/>
        <w:t>中国证监会行政许可申请终止审查通知书</w:t>
      </w:r>
      <w:r>
        <w:rPr>
          <w:rFonts w:ascii="Arial" w:hAnsi="Arial" w:cs="Arial" w:eastAsia="Arial" w:hint="default"/>
        </w:rPr>
        <w:t>&gt; </w:t>
      </w:r>
      <w:r>
        <w:rPr>
          <w:spacing w:val="-24"/>
        </w:rPr>
        <w:t>的公告》。</w:t>
      </w:r>
    </w:p>
    <w:p>
      <w:pPr>
        <w:pStyle w:val="BodyText"/>
        <w:spacing w:line="240" w:lineRule="auto" w:before="7"/>
        <w:ind w:left="633" w:right="0"/>
        <w:jc w:val="left"/>
      </w:pPr>
      <w:r>
        <w:rPr>
          <w:rFonts w:ascii="Arial" w:hAnsi="Arial" w:cs="Arial" w:eastAsia="Arial" w:hint="default"/>
        </w:rPr>
        <w:t>2</w:t>
      </w:r>
      <w:r>
        <w:rPr/>
        <w:t>、重大资产重组事项</w:t>
      </w:r>
    </w:p>
    <w:p>
      <w:pPr>
        <w:pStyle w:val="BodyText"/>
        <w:spacing w:line="322" w:lineRule="exact" w:before="21"/>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3</w:t>
      </w:r>
      <w:r>
        <w:rPr>
          <w:rFonts w:ascii="Arial" w:hAnsi="Arial" w:cs="Arial" w:eastAsia="Arial" w:hint="default"/>
          <w:spacing w:val="-8"/>
        </w:rPr>
        <w:t> </w:t>
      </w:r>
      <w:r>
        <w:rPr/>
        <w:t>月</w:t>
      </w:r>
      <w:r>
        <w:rPr>
          <w:spacing w:val="-62"/>
        </w:rPr>
        <w:t> </w:t>
      </w:r>
      <w:r>
        <w:rPr>
          <w:rFonts w:ascii="Arial" w:hAnsi="Arial" w:cs="Arial" w:eastAsia="Arial" w:hint="default"/>
        </w:rPr>
        <w:t>17</w:t>
      </w:r>
      <w:r>
        <w:rPr>
          <w:rFonts w:ascii="Arial" w:hAnsi="Arial" w:cs="Arial" w:eastAsia="Arial" w:hint="default"/>
          <w:spacing w:val="-8"/>
        </w:rPr>
        <w:t> </w:t>
      </w:r>
      <w:r>
        <w:rPr/>
        <w:t>日，公司第六届董事会第十四次会议，审议通过了《关于公司发行股份</w:t>
      </w:r>
    </w:p>
    <w:p>
      <w:pPr>
        <w:pStyle w:val="BodyText"/>
        <w:spacing w:line="312" w:lineRule="exact" w:before="21"/>
        <w:ind w:right="174"/>
        <w:jc w:val="left"/>
      </w:pPr>
      <w:r>
        <w:rPr/>
        <w:t>购买资产并募集配套资金暨关联交易预案的议案》等事项。详见公司</w:t>
      </w:r>
      <w:r>
        <w:rPr>
          <w:spacing w:val="-60"/>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3</w:t>
      </w:r>
      <w:r>
        <w:rPr>
          <w:rFonts w:ascii="Arial" w:hAnsi="Arial" w:cs="Arial" w:eastAsia="Arial" w:hint="default"/>
          <w:spacing w:val="-7"/>
        </w:rPr>
        <w:t> </w:t>
      </w:r>
      <w:r>
        <w:rPr/>
        <w:t>月</w:t>
      </w:r>
      <w:r>
        <w:rPr>
          <w:spacing w:val="-61"/>
        </w:rPr>
        <w:t> </w:t>
      </w:r>
      <w:r>
        <w:rPr>
          <w:rFonts w:ascii="Arial" w:hAnsi="Arial" w:cs="Arial" w:eastAsia="Arial" w:hint="default"/>
        </w:rPr>
        <w:t>19</w:t>
      </w:r>
      <w:r>
        <w:rPr>
          <w:rFonts w:ascii="Arial" w:hAnsi="Arial" w:cs="Arial" w:eastAsia="Arial" w:hint="default"/>
          <w:spacing w:val="-7"/>
        </w:rPr>
        <w:t> </w:t>
      </w:r>
      <w:r>
        <w:rPr>
          <w:spacing w:val="-3"/>
        </w:rPr>
        <w:t>日在 </w:t>
      </w:r>
      <w:r>
        <w:rPr/>
        <w:t>巨潮资讯网披露的《发行股份及支付现金购买资产并募集配套资金暨关联交易预案》等相关</w:t>
      </w:r>
      <w:r>
        <w:rPr/>
        <w:t> 公告。</w:t>
      </w:r>
    </w:p>
    <w:p>
      <w:pPr>
        <w:pStyle w:val="BodyText"/>
        <w:spacing w:line="322" w:lineRule="exact" w:before="10"/>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3</w:t>
      </w:r>
      <w:r>
        <w:rPr>
          <w:rFonts w:ascii="Arial" w:hAnsi="Arial" w:cs="Arial" w:eastAsia="Arial" w:hint="default"/>
          <w:spacing w:val="-8"/>
        </w:rPr>
        <w:t> </w:t>
      </w:r>
      <w:r>
        <w:rPr/>
        <w:t>月</w:t>
      </w:r>
      <w:r>
        <w:rPr>
          <w:spacing w:val="-62"/>
        </w:rPr>
        <w:t> </w:t>
      </w:r>
      <w:r>
        <w:rPr>
          <w:rFonts w:ascii="Arial" w:hAnsi="Arial" w:cs="Arial" w:eastAsia="Arial" w:hint="default"/>
        </w:rPr>
        <w:t>24</w:t>
      </w:r>
      <w:r>
        <w:rPr>
          <w:rFonts w:ascii="Arial" w:hAnsi="Arial" w:cs="Arial" w:eastAsia="Arial" w:hint="default"/>
          <w:spacing w:val="-8"/>
        </w:rPr>
        <w:t> </w:t>
      </w:r>
      <w:r>
        <w:rPr/>
        <w:t>日，公司收到深圳证券交易所出具的《关于对北京华宇软件股份有限公</w:t>
      </w:r>
    </w:p>
    <w:p>
      <w:pPr>
        <w:pStyle w:val="BodyText"/>
        <w:spacing w:line="312" w:lineRule="exact" w:before="21"/>
        <w:ind w:right="174"/>
        <w:jc w:val="left"/>
      </w:pPr>
      <w:r>
        <w:rPr>
          <w:spacing w:val="-5"/>
          <w:w w:val="99"/>
        </w:rPr>
        <w:t>司的重组问询函》（创业板许可类重组问询函【</w:t>
      </w:r>
      <w:r>
        <w:rPr>
          <w:rFonts w:ascii="Arial" w:hAnsi="Arial" w:cs="Arial" w:eastAsia="Arial" w:hint="default"/>
          <w:spacing w:val="-5"/>
          <w:w w:val="99"/>
        </w:rPr>
        <w:t>2017</w:t>
      </w:r>
      <w:r>
        <w:rPr>
          <w:spacing w:val="-5"/>
          <w:w w:val="99"/>
        </w:rPr>
        <w:t>】第</w:t>
      </w:r>
      <w:r>
        <w:rPr>
          <w:spacing w:val="-59"/>
          <w:w w:val="99"/>
        </w:rPr>
        <w:t> </w:t>
      </w:r>
      <w:r>
        <w:rPr>
          <w:rFonts w:ascii="Arial" w:hAnsi="Arial" w:cs="Arial" w:eastAsia="Arial" w:hint="default"/>
          <w:w w:val="99"/>
        </w:rPr>
        <w:t>17</w:t>
      </w:r>
      <w:r>
        <w:rPr>
          <w:rFonts w:ascii="Arial" w:hAnsi="Arial" w:cs="Arial" w:eastAsia="Arial" w:hint="default"/>
          <w:spacing w:val="-5"/>
          <w:w w:val="99"/>
        </w:rPr>
        <w:t> </w:t>
      </w:r>
      <w:r>
        <w:rPr>
          <w:spacing w:val="-18"/>
          <w:w w:val="99"/>
        </w:rPr>
        <w:t>号）。</w:t>
      </w:r>
      <w:r>
        <w:rPr>
          <w:rFonts w:ascii="Arial" w:hAnsi="Arial" w:cs="Arial" w:eastAsia="Arial" w:hint="default"/>
          <w:spacing w:val="-18"/>
          <w:w w:val="99"/>
        </w:rPr>
        <w:t>2017</w:t>
      </w:r>
      <w:r>
        <w:rPr>
          <w:rFonts w:ascii="Arial" w:hAnsi="Arial" w:cs="Arial" w:eastAsia="Arial" w:hint="default"/>
          <w:spacing w:val="-5"/>
          <w:w w:val="99"/>
        </w:rPr>
        <w:t> </w:t>
      </w:r>
      <w:r>
        <w:rPr/>
        <w:t>年</w:t>
      </w:r>
      <w:r>
        <w:rPr>
          <w:spacing w:val="-62"/>
        </w:rPr>
        <w:t> </w:t>
      </w:r>
      <w:r>
        <w:rPr>
          <w:rFonts w:ascii="Arial" w:hAnsi="Arial" w:cs="Arial" w:eastAsia="Arial" w:hint="default"/>
          <w:w w:val="99"/>
        </w:rPr>
        <w:t>4</w:t>
      </w:r>
      <w:r>
        <w:rPr>
          <w:rFonts w:ascii="Arial" w:hAnsi="Arial" w:cs="Arial" w:eastAsia="Arial" w:hint="default"/>
          <w:spacing w:val="-5"/>
          <w:w w:val="99"/>
        </w:rPr>
        <w:t> </w:t>
      </w:r>
      <w:r>
        <w:rPr/>
        <w:t>月</w:t>
      </w:r>
      <w:r>
        <w:rPr>
          <w:spacing w:val="-59"/>
        </w:rPr>
        <w:t> </w:t>
      </w:r>
      <w:r>
        <w:rPr>
          <w:rFonts w:ascii="Arial" w:hAnsi="Arial" w:cs="Arial" w:eastAsia="Arial" w:hint="default"/>
          <w:w w:val="99"/>
        </w:rPr>
        <w:t>6</w:t>
      </w:r>
      <w:r>
        <w:rPr>
          <w:rFonts w:ascii="Arial" w:hAnsi="Arial" w:cs="Arial" w:eastAsia="Arial" w:hint="default"/>
          <w:spacing w:val="-5"/>
          <w:w w:val="99"/>
        </w:rPr>
        <w:t> </w:t>
      </w:r>
      <w:r>
        <w:rPr/>
        <w:t>日，公司</w:t>
      </w:r>
      <w:r>
        <w:rPr>
          <w:spacing w:val="-116"/>
        </w:rPr>
        <w:t> </w:t>
      </w:r>
      <w:r>
        <w:rPr/>
        <w:t>已对上述问询函所涉及问题进行反馈回复，详见公司在巨潮资讯网披露的《北京华宇软件股 </w:t>
      </w:r>
      <w:r>
        <w:rPr>
          <w:spacing w:val="-3"/>
        </w:rPr>
        <w:t>份有限公司关于深圳证券交易所创业板公司管理部问询函的回复》。同日，公司第六届董事</w:t>
      </w:r>
      <w:r>
        <w:rPr/>
        <w:t> 会第十六次会议决议，审议通过了《关于〈北京华宇软件股份有限公司发行股份及支付现金 </w:t>
      </w:r>
      <w:r>
        <w:rPr>
          <w:spacing w:val="-4"/>
        </w:rPr>
        <w:t>购买资产并募集配套资金暨关联交易预案（修订稿）〉的议案》等事项，详见公司披露的</w:t>
      </w:r>
    </w:p>
    <w:p>
      <w:pPr>
        <w:pStyle w:val="BodyText"/>
        <w:spacing w:line="283" w:lineRule="exact"/>
        <w:ind w:right="0"/>
        <w:jc w:val="left"/>
      </w:pPr>
      <w:r>
        <w:rPr/>
        <w:t>《发行股份及支付现金购买资产并募集配套资金暨关联交易预案（修订稿</w:t>
      </w:r>
      <w:r>
        <w:rPr>
          <w:spacing w:val="-120"/>
        </w:rPr>
        <w:t>）</w:t>
      </w:r>
      <w:r>
        <w:rPr/>
        <w:t>》等相关公告。</w:t>
      </w:r>
    </w:p>
    <w:p>
      <w:pPr>
        <w:pStyle w:val="BodyText"/>
        <w:spacing w:line="322" w:lineRule="exact" w:before="36"/>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spacing w:val="-62"/>
        </w:rPr>
        <w:t> </w:t>
      </w:r>
      <w:r>
        <w:rPr>
          <w:rFonts w:ascii="Arial" w:hAnsi="Arial" w:cs="Arial" w:eastAsia="Arial" w:hint="default"/>
        </w:rPr>
        <w:t>26</w:t>
      </w:r>
      <w:r>
        <w:rPr>
          <w:rFonts w:ascii="Arial" w:hAnsi="Arial" w:cs="Arial" w:eastAsia="Arial" w:hint="default"/>
          <w:spacing w:val="-8"/>
        </w:rPr>
        <w:t> </w:t>
      </w:r>
      <w:r>
        <w:rPr/>
        <w:t>日，公司召开了第六届董事会第十八次会议，审议通过了《关于公司发</w:t>
      </w:r>
    </w:p>
    <w:p>
      <w:pPr>
        <w:pStyle w:val="BodyText"/>
        <w:spacing w:line="312" w:lineRule="exact"/>
        <w:ind w:right="0"/>
        <w:jc w:val="left"/>
        <w:rPr>
          <w:rFonts w:ascii="Arial" w:hAnsi="Arial" w:cs="Arial" w:eastAsia="Arial" w:hint="default"/>
        </w:rPr>
      </w:pPr>
      <w:r>
        <w:rPr/>
        <w:t>行股份及支付现金购买资产并募集配套资金具体方案的议案》等相关议案，详见公司</w:t>
      </w:r>
      <w:r>
        <w:rPr>
          <w:spacing w:val="-59"/>
        </w:rPr>
        <w:t> </w:t>
      </w:r>
      <w:r>
        <w:rPr>
          <w:rFonts w:ascii="Arial" w:hAnsi="Arial" w:cs="Arial" w:eastAsia="Arial" w:hint="default"/>
        </w:rPr>
        <w:t>2017</w:t>
      </w:r>
    </w:p>
    <w:p>
      <w:pPr>
        <w:pStyle w:val="BodyText"/>
        <w:spacing w:line="312" w:lineRule="exact" w:before="21"/>
        <w:ind w:right="256"/>
        <w:jc w:val="left"/>
      </w:pP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spacing w:val="-61"/>
        </w:rPr>
        <w:t> </w:t>
      </w:r>
      <w:r>
        <w:rPr>
          <w:rFonts w:ascii="Arial" w:hAnsi="Arial" w:cs="Arial" w:eastAsia="Arial" w:hint="default"/>
        </w:rPr>
        <w:t>27</w:t>
      </w:r>
      <w:r>
        <w:rPr>
          <w:rFonts w:ascii="Arial" w:hAnsi="Arial" w:cs="Arial" w:eastAsia="Arial" w:hint="default"/>
          <w:spacing w:val="-7"/>
        </w:rPr>
        <w:t> </w:t>
      </w:r>
      <w:r>
        <w:rPr/>
        <w:t>日在巨潮资讯网披露的《发行股份及支付现金购买资产并募集配套资金暨关联交 </w:t>
      </w:r>
      <w:r>
        <w:rPr>
          <w:spacing w:val="-8"/>
        </w:rPr>
        <w:t>易报告书（草案）》等相关公告。</w:t>
      </w:r>
    </w:p>
    <w:p>
      <w:pPr>
        <w:pStyle w:val="BodyText"/>
        <w:spacing w:line="322" w:lineRule="exact" w:before="10"/>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5</w:t>
      </w:r>
      <w:r>
        <w:rPr>
          <w:rFonts w:ascii="Arial" w:hAnsi="Arial" w:cs="Arial" w:eastAsia="Arial" w:hint="default"/>
          <w:spacing w:val="-8"/>
        </w:rPr>
        <w:t> </w:t>
      </w:r>
      <w:r>
        <w:rPr/>
        <w:t>月</w:t>
      </w:r>
      <w:r>
        <w:rPr>
          <w:spacing w:val="-62"/>
        </w:rPr>
        <w:t> </w:t>
      </w:r>
      <w:r>
        <w:rPr>
          <w:rFonts w:ascii="Arial" w:hAnsi="Arial" w:cs="Arial" w:eastAsia="Arial" w:hint="default"/>
        </w:rPr>
        <w:t>22</w:t>
      </w:r>
      <w:r>
        <w:rPr>
          <w:rFonts w:ascii="Arial" w:hAnsi="Arial" w:cs="Arial" w:eastAsia="Arial" w:hint="default"/>
          <w:spacing w:val="-8"/>
        </w:rPr>
        <w:t> </w:t>
      </w:r>
      <w:r>
        <w:rPr/>
        <w:t>日，公司收到中国证监会出具的《中国证监会行政许可申请受理通知书</w:t>
      </w:r>
    </w:p>
    <w:p>
      <w:pPr>
        <w:pStyle w:val="BodyText"/>
        <w:spacing w:line="230" w:lineRule="auto" w:before="1"/>
        <w:ind w:right="174"/>
        <w:jc w:val="left"/>
      </w:pPr>
      <w:r>
        <w:rPr>
          <w:spacing w:val="-1"/>
          <w:w w:val="99"/>
        </w:rPr>
        <w:t>（</w:t>
      </w:r>
      <w:r>
        <w:rPr>
          <w:rFonts w:ascii="Arial" w:hAnsi="Arial" w:cs="Arial" w:eastAsia="Arial" w:hint="default"/>
          <w:spacing w:val="-1"/>
          <w:w w:val="99"/>
        </w:rPr>
        <w:t>170922</w:t>
      </w:r>
      <w:r>
        <w:rPr>
          <w:rFonts w:ascii="Arial" w:hAnsi="Arial" w:cs="Arial" w:eastAsia="Arial" w:hint="default"/>
          <w:w w:val="99"/>
        </w:rPr>
        <w:t> </w:t>
      </w:r>
      <w:r>
        <w:rPr>
          <w:spacing w:val="-7"/>
        </w:rPr>
        <w:t>号）》，中国证监会依法对公司提交的《北京华宇软件股份有限公司上市公司发行</w:t>
      </w:r>
      <w:r>
        <w:rPr>
          <w:spacing w:val="-111"/>
        </w:rPr>
        <w:t> </w:t>
      </w:r>
      <w:r>
        <w:rPr>
          <w:spacing w:val="-111"/>
        </w:rPr>
      </w:r>
      <w:r>
        <w:rPr/>
        <w:t>股份购买资产核准》行政许可申请材料进行了审查。认为该申请材料齐全，符合法定形式， 决定对该行政许可申请予以受理。详见公司</w:t>
      </w:r>
      <w:r>
        <w:rPr>
          <w:spacing w:val="-60"/>
        </w:rPr>
        <w:t> </w:t>
      </w:r>
      <w:r>
        <w:rPr>
          <w:rFonts w:ascii="Arial" w:hAnsi="Arial" w:cs="Arial" w:eastAsia="Arial" w:hint="default"/>
        </w:rPr>
        <w:t>2017</w:t>
      </w:r>
      <w:r>
        <w:rPr>
          <w:rFonts w:ascii="Arial" w:hAnsi="Arial" w:cs="Arial" w:eastAsia="Arial" w:hint="default"/>
          <w:spacing w:val="-7"/>
        </w:rPr>
        <w:t> </w:t>
      </w:r>
      <w:r>
        <w:rPr/>
        <w:t>年</w:t>
      </w:r>
      <w:r>
        <w:rPr>
          <w:spacing w:val="-63"/>
        </w:rPr>
        <w:t> </w:t>
      </w:r>
      <w:r>
        <w:rPr>
          <w:rFonts w:ascii="Arial" w:hAnsi="Arial" w:cs="Arial" w:eastAsia="Arial" w:hint="default"/>
        </w:rPr>
        <w:t>5</w:t>
      </w:r>
      <w:r>
        <w:rPr>
          <w:rFonts w:ascii="Arial" w:hAnsi="Arial" w:cs="Arial" w:eastAsia="Arial" w:hint="default"/>
          <w:spacing w:val="-7"/>
        </w:rPr>
        <w:t> </w:t>
      </w:r>
      <w:r>
        <w:rPr/>
        <w:t>月</w:t>
      </w:r>
      <w:r>
        <w:rPr>
          <w:spacing w:val="-61"/>
        </w:rPr>
        <w:t> </w:t>
      </w:r>
      <w:r>
        <w:rPr>
          <w:rFonts w:ascii="Arial" w:hAnsi="Arial" w:cs="Arial" w:eastAsia="Arial" w:hint="default"/>
        </w:rPr>
        <w:t>22</w:t>
      </w:r>
      <w:r>
        <w:rPr>
          <w:rFonts w:ascii="Arial" w:hAnsi="Arial" w:cs="Arial" w:eastAsia="Arial" w:hint="default"/>
          <w:spacing w:val="-7"/>
        </w:rPr>
        <w:t> </w:t>
      </w:r>
      <w:r>
        <w:rPr/>
        <w:t>日在巨潮资讯网披露的《北京 </w:t>
      </w:r>
      <w:r>
        <w:rPr>
          <w:spacing w:val="-4"/>
        </w:rPr>
        <w:t>华宇软件股份有限公司关于收到</w:t>
      </w:r>
      <w:r>
        <w:rPr>
          <w:rFonts w:ascii="Arial" w:hAnsi="Arial" w:cs="Arial" w:eastAsia="Arial" w:hint="default"/>
          <w:spacing w:val="-4"/>
        </w:rPr>
        <w:t>&lt;</w:t>
      </w:r>
      <w:r>
        <w:rPr>
          <w:spacing w:val="-4"/>
        </w:rPr>
        <w:t>中国证监会行政许可申请受理通知书</w:t>
      </w:r>
      <w:r>
        <w:rPr>
          <w:rFonts w:ascii="Arial" w:hAnsi="Arial" w:cs="Arial" w:eastAsia="Arial" w:hint="default"/>
          <w:spacing w:val="-4"/>
        </w:rPr>
        <w:t>&gt;</w:t>
      </w:r>
      <w:r>
        <w:rPr>
          <w:spacing w:val="-4"/>
        </w:rPr>
        <w:t>的公告》。</w:t>
      </w:r>
    </w:p>
    <w:p>
      <w:pPr>
        <w:pStyle w:val="BodyText"/>
        <w:spacing w:line="312" w:lineRule="exact" w:before="54"/>
        <w:ind w:right="174" w:firstLine="480"/>
        <w:jc w:val="left"/>
      </w:pP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6</w:t>
      </w:r>
      <w:r>
        <w:rPr>
          <w:rFonts w:ascii="Arial" w:hAnsi="Arial" w:cs="Arial" w:eastAsia="Arial" w:hint="default"/>
          <w:spacing w:val="-7"/>
        </w:rPr>
        <w:t> </w:t>
      </w:r>
      <w:r>
        <w:rPr/>
        <w:t>月</w:t>
      </w:r>
      <w:r>
        <w:rPr>
          <w:spacing w:val="-61"/>
        </w:rPr>
        <w:t> </w:t>
      </w:r>
      <w:r>
        <w:rPr>
          <w:rFonts w:ascii="Arial" w:hAnsi="Arial" w:cs="Arial" w:eastAsia="Arial" w:hint="default"/>
        </w:rPr>
        <w:t>6</w:t>
      </w:r>
      <w:r>
        <w:rPr>
          <w:rFonts w:ascii="Arial" w:hAnsi="Arial" w:cs="Arial" w:eastAsia="Arial" w:hint="default"/>
          <w:spacing w:val="-7"/>
        </w:rPr>
        <w:t> </w:t>
      </w:r>
      <w:r>
        <w:rPr/>
        <w:t>日，公司收到中国证监会出具的《中国证监会行政许可项目审查一次反 </w:t>
      </w:r>
      <w:r>
        <w:rPr>
          <w:spacing w:val="-11"/>
          <w:w w:val="99"/>
        </w:rPr>
        <w:t>馈意见书》（</w:t>
      </w:r>
      <w:r>
        <w:rPr>
          <w:rFonts w:ascii="Arial" w:hAnsi="Arial" w:cs="Arial" w:eastAsia="Arial" w:hint="default"/>
          <w:spacing w:val="-11"/>
          <w:w w:val="99"/>
        </w:rPr>
        <w:t>170922</w:t>
      </w:r>
      <w:r>
        <w:rPr>
          <w:rFonts w:ascii="Arial" w:hAnsi="Arial" w:cs="Arial" w:eastAsia="Arial" w:hint="default"/>
          <w:w w:val="99"/>
        </w:rPr>
        <w:t> </w:t>
      </w:r>
      <w:r>
        <w:rPr>
          <w:spacing w:val="-4"/>
        </w:rPr>
        <w:t>号）。中国证监会依法对公司提交的《北京华宇软件股份有限公司上市</w:t>
      </w:r>
      <w:r>
        <w:rPr>
          <w:spacing w:val="-114"/>
        </w:rPr>
        <w:t> </w:t>
      </w:r>
      <w:r>
        <w:rPr>
          <w:spacing w:val="-114"/>
        </w:rPr>
      </w:r>
      <w:r>
        <w:rPr/>
        <w:t>公司发行股份购买资产核准》行政许可申请材料进行了审查，需要公司就有关问题作出书面 说明和解释。详见公司</w:t>
      </w:r>
      <w:r>
        <w:rPr>
          <w:spacing w:val="-61"/>
        </w:rPr>
        <w:t> </w:t>
      </w:r>
      <w:r>
        <w:rPr>
          <w:rFonts w:ascii="Arial" w:hAnsi="Arial" w:cs="Arial" w:eastAsia="Arial" w:hint="default"/>
        </w:rPr>
        <w:t>2017</w:t>
      </w:r>
      <w:r>
        <w:rPr>
          <w:rFonts w:ascii="Arial" w:hAnsi="Arial" w:cs="Arial" w:eastAsia="Arial" w:hint="default"/>
          <w:spacing w:val="-6"/>
        </w:rPr>
        <w:t> </w:t>
      </w:r>
      <w:r>
        <w:rPr/>
        <w:t>年</w:t>
      </w:r>
      <w:r>
        <w:rPr>
          <w:spacing w:val="-61"/>
        </w:rPr>
        <w:t> </w:t>
      </w:r>
      <w:r>
        <w:rPr>
          <w:rFonts w:ascii="Arial" w:hAnsi="Arial" w:cs="Arial" w:eastAsia="Arial" w:hint="default"/>
        </w:rPr>
        <w:t>6</w:t>
      </w:r>
      <w:r>
        <w:rPr>
          <w:rFonts w:ascii="Arial" w:hAnsi="Arial" w:cs="Arial" w:eastAsia="Arial" w:hint="default"/>
          <w:spacing w:val="-7"/>
        </w:rPr>
        <w:t> </w:t>
      </w:r>
      <w:r>
        <w:rPr/>
        <w:t>月</w:t>
      </w:r>
      <w:r>
        <w:rPr>
          <w:spacing w:val="-61"/>
        </w:rPr>
        <w:t> </w:t>
      </w:r>
      <w:r>
        <w:rPr>
          <w:rFonts w:ascii="Arial" w:hAnsi="Arial" w:cs="Arial" w:eastAsia="Arial" w:hint="default"/>
        </w:rPr>
        <w:t>6</w:t>
      </w:r>
      <w:r>
        <w:rPr>
          <w:rFonts w:ascii="Arial" w:hAnsi="Arial" w:cs="Arial" w:eastAsia="Arial" w:hint="default"/>
          <w:spacing w:val="-7"/>
        </w:rPr>
        <w:t> </w:t>
      </w:r>
      <w:r>
        <w:rPr/>
        <w:t>日在巨潮资讯网披露的《北京华宇软件股份有限公司 </w:t>
      </w:r>
      <w:r>
        <w:rPr>
          <w:spacing w:val="-4"/>
        </w:rPr>
        <w:t>关于收到</w:t>
      </w:r>
      <w:r>
        <w:rPr>
          <w:rFonts w:ascii="Arial" w:hAnsi="Arial" w:cs="Arial" w:eastAsia="Arial" w:hint="default"/>
          <w:spacing w:val="-4"/>
        </w:rPr>
        <w:t>&lt;</w:t>
      </w:r>
      <w:r>
        <w:rPr>
          <w:spacing w:val="-4"/>
        </w:rPr>
        <w:t>中国证监会行政许可项目审查一次反馈意见通知书</w:t>
      </w:r>
      <w:r>
        <w:rPr>
          <w:rFonts w:ascii="Arial" w:hAnsi="Arial" w:cs="Arial" w:eastAsia="Arial" w:hint="default"/>
          <w:spacing w:val="-4"/>
        </w:rPr>
        <w:t>&gt;</w:t>
      </w:r>
      <w:r>
        <w:rPr>
          <w:spacing w:val="-4"/>
        </w:rPr>
        <w:t>的公告》。</w:t>
      </w:r>
    </w:p>
    <w:p>
      <w:pPr>
        <w:pStyle w:val="BodyText"/>
        <w:spacing w:line="312" w:lineRule="exact" w:before="38"/>
        <w:ind w:right="247" w:firstLine="48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6</w:t>
      </w:r>
      <w:r>
        <w:rPr>
          <w:rFonts w:ascii="Arial" w:hAnsi="Arial" w:cs="Arial" w:eastAsia="Arial" w:hint="default"/>
          <w:spacing w:val="-8"/>
        </w:rPr>
        <w:t> </w:t>
      </w:r>
      <w:r>
        <w:rPr/>
        <w:t>月</w:t>
      </w:r>
      <w:r>
        <w:rPr>
          <w:spacing w:val="-62"/>
        </w:rPr>
        <w:t> </w:t>
      </w:r>
      <w:r>
        <w:rPr>
          <w:rFonts w:ascii="Arial" w:hAnsi="Arial" w:cs="Arial" w:eastAsia="Arial" w:hint="default"/>
        </w:rPr>
        <w:t>15</w:t>
      </w:r>
      <w:r>
        <w:rPr>
          <w:rFonts w:ascii="Arial" w:hAnsi="Arial" w:cs="Arial" w:eastAsia="Arial" w:hint="default"/>
          <w:spacing w:val="-8"/>
        </w:rPr>
        <w:t> </w:t>
      </w:r>
      <w:r>
        <w:rPr/>
        <w:t>日，公司披露了《关于</w:t>
      </w:r>
      <w:r>
        <w:rPr>
          <w:rFonts w:ascii="Arial" w:hAnsi="Arial" w:cs="Arial" w:eastAsia="Arial" w:hint="default"/>
        </w:rPr>
        <w:t>&lt;</w:t>
      </w:r>
      <w:r>
        <w:rPr/>
        <w:t>中国证监会行政许可项目审查一次反馈意见通 </w:t>
      </w:r>
      <w:r>
        <w:rPr>
          <w:spacing w:val="-5"/>
          <w:w w:val="99"/>
        </w:rPr>
        <w:t>知书</w:t>
      </w:r>
      <w:r>
        <w:rPr>
          <w:rFonts w:ascii="Arial" w:hAnsi="Arial" w:cs="Arial" w:eastAsia="Arial" w:hint="default"/>
          <w:spacing w:val="-5"/>
          <w:w w:val="99"/>
        </w:rPr>
        <w:t>&gt;</w:t>
      </w:r>
      <w:r>
        <w:rPr>
          <w:spacing w:val="-5"/>
          <w:w w:val="99"/>
        </w:rPr>
        <w:t>（</w:t>
      </w:r>
      <w:r>
        <w:rPr>
          <w:rFonts w:ascii="Arial" w:hAnsi="Arial" w:cs="Arial" w:eastAsia="Arial" w:hint="default"/>
          <w:spacing w:val="-5"/>
          <w:w w:val="99"/>
        </w:rPr>
        <w:t>170922</w:t>
      </w:r>
      <w:r>
        <w:rPr>
          <w:spacing w:val="-5"/>
          <w:w w:val="99"/>
        </w:rPr>
        <w:t>）号之答复报告》，并按规定提交中国证监会。</w:t>
      </w:r>
    </w:p>
    <w:p>
      <w:pPr>
        <w:pStyle w:val="BodyText"/>
        <w:spacing w:line="232" w:lineRule="auto" w:before="18"/>
        <w:ind w:right="148" w:firstLine="48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6</w:t>
      </w:r>
      <w:r>
        <w:rPr>
          <w:rFonts w:ascii="Arial" w:hAnsi="Arial" w:cs="Arial" w:eastAsia="Arial" w:hint="default"/>
          <w:spacing w:val="-8"/>
        </w:rPr>
        <w:t> </w:t>
      </w:r>
      <w:r>
        <w:rPr/>
        <w:t>月</w:t>
      </w:r>
      <w:r>
        <w:rPr>
          <w:spacing w:val="-62"/>
        </w:rPr>
        <w:t> </w:t>
      </w:r>
      <w:r>
        <w:rPr>
          <w:rFonts w:ascii="Arial" w:hAnsi="Arial" w:cs="Arial" w:eastAsia="Arial" w:hint="default"/>
        </w:rPr>
        <w:t>21</w:t>
      </w:r>
      <w:r>
        <w:rPr>
          <w:rFonts w:ascii="Arial" w:hAnsi="Arial" w:cs="Arial" w:eastAsia="Arial" w:hint="default"/>
          <w:spacing w:val="-8"/>
        </w:rPr>
        <w:t> </w:t>
      </w:r>
      <w:r>
        <w:rPr/>
        <w:t>日，公司接到通知，中国证监会上市公司并购重组委员会将于近日召开 工作会议，审核公司发行股份及支付现金购买资产并募集配套资金暨关联交易的重大资产重 组事项。根据相关规定，公司股票将于</w:t>
      </w:r>
      <w:r>
        <w:rPr>
          <w:spacing w:val="-60"/>
        </w:rPr>
        <w:t> </w:t>
      </w:r>
      <w:r>
        <w:rPr>
          <w:rFonts w:ascii="Arial" w:hAnsi="Arial" w:cs="Arial" w:eastAsia="Arial" w:hint="default"/>
        </w:rPr>
        <w:t>2017</w:t>
      </w:r>
      <w:r>
        <w:rPr>
          <w:rFonts w:ascii="Arial" w:hAnsi="Arial" w:cs="Arial" w:eastAsia="Arial" w:hint="default"/>
          <w:spacing w:val="-10"/>
        </w:rPr>
        <w:t> </w:t>
      </w:r>
      <w:r>
        <w:rPr/>
        <w:t>年</w:t>
      </w:r>
      <w:r>
        <w:rPr>
          <w:spacing w:val="-61"/>
        </w:rPr>
        <w:t> </w:t>
      </w:r>
      <w:r>
        <w:rPr>
          <w:rFonts w:ascii="Arial" w:hAnsi="Arial" w:cs="Arial" w:eastAsia="Arial" w:hint="default"/>
        </w:rPr>
        <w:t>6</w:t>
      </w:r>
      <w:r>
        <w:rPr>
          <w:rFonts w:ascii="Arial" w:hAnsi="Arial" w:cs="Arial" w:eastAsia="Arial" w:hint="default"/>
          <w:spacing w:val="-7"/>
        </w:rPr>
        <w:t> </w:t>
      </w:r>
      <w:r>
        <w:rPr/>
        <w:t>月</w:t>
      </w:r>
      <w:r>
        <w:rPr>
          <w:spacing w:val="-61"/>
        </w:rPr>
        <w:t> </w:t>
      </w:r>
      <w:r>
        <w:rPr>
          <w:rFonts w:ascii="Arial" w:hAnsi="Arial" w:cs="Arial" w:eastAsia="Arial" w:hint="default"/>
        </w:rPr>
        <w:t>22</w:t>
      </w:r>
      <w:r>
        <w:rPr>
          <w:rFonts w:ascii="Arial" w:hAnsi="Arial" w:cs="Arial" w:eastAsia="Arial" w:hint="default"/>
          <w:spacing w:val="-7"/>
        </w:rPr>
        <w:t> </w:t>
      </w:r>
      <w:r>
        <w:rPr/>
        <w:t>日开市起停牌，待公司公告中国证 监会上市公司并购重组委员会关于公司发行股份及支付现金购买资产并募集配套资金暨关联 交易的重大资产重组事项的审核结果后复牌。详见公司</w:t>
      </w:r>
      <w:r>
        <w:rPr>
          <w:spacing w:val="-59"/>
        </w:rPr>
        <w:t> </w:t>
      </w:r>
      <w:r>
        <w:rPr>
          <w:rFonts w:ascii="Arial" w:hAnsi="Arial" w:cs="Arial" w:eastAsia="Arial" w:hint="default"/>
        </w:rPr>
        <w:t>2017</w:t>
      </w:r>
      <w:r>
        <w:rPr>
          <w:rFonts w:ascii="Arial" w:hAnsi="Arial" w:cs="Arial" w:eastAsia="Arial" w:hint="default"/>
          <w:spacing w:val="-7"/>
        </w:rPr>
        <w:t> </w:t>
      </w:r>
      <w:r>
        <w:rPr/>
        <w:t>年</w:t>
      </w:r>
      <w:r>
        <w:rPr>
          <w:spacing w:val="-63"/>
        </w:rPr>
        <w:t> </w:t>
      </w:r>
      <w:r>
        <w:rPr>
          <w:rFonts w:ascii="Arial" w:hAnsi="Arial" w:cs="Arial" w:eastAsia="Arial" w:hint="default"/>
        </w:rPr>
        <w:t>6</w:t>
      </w:r>
      <w:r>
        <w:rPr>
          <w:rFonts w:ascii="Arial" w:hAnsi="Arial" w:cs="Arial" w:eastAsia="Arial" w:hint="default"/>
          <w:spacing w:val="-7"/>
        </w:rPr>
        <w:t> </w:t>
      </w:r>
      <w:r>
        <w:rPr/>
        <w:t>月</w:t>
      </w:r>
      <w:r>
        <w:rPr>
          <w:spacing w:val="-63"/>
        </w:rPr>
        <w:t> </w:t>
      </w:r>
      <w:r>
        <w:rPr>
          <w:rFonts w:ascii="Arial" w:hAnsi="Arial" w:cs="Arial" w:eastAsia="Arial" w:hint="default"/>
        </w:rPr>
        <w:t>22</w:t>
      </w:r>
      <w:r>
        <w:rPr>
          <w:rFonts w:ascii="Arial" w:hAnsi="Arial" w:cs="Arial" w:eastAsia="Arial" w:hint="default"/>
          <w:spacing w:val="-7"/>
        </w:rPr>
        <w:t> </w:t>
      </w:r>
      <w:r>
        <w:rPr/>
        <w:t>日在巨潮资讯网披 露的《北京华宇软件股份有限公司关于中国证监会上市公司并购重组委员会审核公司发行股 </w:t>
      </w:r>
      <w:r>
        <w:rPr>
          <w:spacing w:val="-4"/>
        </w:rPr>
        <w:t>份及支付现金购买资产并募集配套资金暨关联交易的重大资产重组事项的停牌公告》。</w:t>
      </w:r>
    </w:p>
    <w:p>
      <w:pPr>
        <w:pStyle w:val="BodyText"/>
        <w:spacing w:line="322" w:lineRule="exact" w:before="39"/>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7</w:t>
      </w:r>
      <w:r>
        <w:rPr>
          <w:rFonts w:ascii="Arial" w:hAnsi="Arial" w:cs="Arial" w:eastAsia="Arial" w:hint="default"/>
          <w:spacing w:val="-8"/>
        </w:rPr>
        <w:t> </w:t>
      </w:r>
      <w:r>
        <w:rPr/>
        <w:t>月</w:t>
      </w:r>
      <w:r>
        <w:rPr>
          <w:spacing w:val="-62"/>
        </w:rPr>
        <w:t> </w:t>
      </w:r>
      <w:r>
        <w:rPr>
          <w:rFonts w:ascii="Arial" w:hAnsi="Arial" w:cs="Arial" w:eastAsia="Arial" w:hint="default"/>
        </w:rPr>
        <w:t>3</w:t>
      </w:r>
      <w:r>
        <w:rPr>
          <w:rFonts w:ascii="Arial" w:hAnsi="Arial" w:cs="Arial" w:eastAsia="Arial" w:hint="default"/>
          <w:spacing w:val="-8"/>
        </w:rPr>
        <w:t> </w:t>
      </w:r>
      <w:r>
        <w:rPr/>
        <w:t>日，公司收到中国证监会的通知，经中国证监会上市公司并购重组委员</w:t>
      </w:r>
    </w:p>
    <w:p>
      <w:pPr>
        <w:pStyle w:val="BodyText"/>
        <w:spacing w:line="322" w:lineRule="exact"/>
        <w:ind w:right="0"/>
        <w:jc w:val="left"/>
      </w:pPr>
      <w:r>
        <w:rPr/>
        <w:t>会于</w:t>
      </w:r>
      <w:r>
        <w:rPr>
          <w:spacing w:val="-62"/>
        </w:rPr>
        <w:t> </w:t>
      </w: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7</w:t>
      </w:r>
      <w:r>
        <w:rPr>
          <w:rFonts w:ascii="Arial" w:hAnsi="Arial" w:cs="Arial" w:eastAsia="Arial" w:hint="default"/>
          <w:spacing w:val="-8"/>
        </w:rPr>
        <w:t> </w:t>
      </w:r>
      <w:r>
        <w:rPr/>
        <w:t>月</w:t>
      </w:r>
      <w:r>
        <w:rPr>
          <w:spacing w:val="-62"/>
        </w:rPr>
        <w:t> </w:t>
      </w:r>
      <w:r>
        <w:rPr>
          <w:rFonts w:ascii="Arial" w:hAnsi="Arial" w:cs="Arial" w:eastAsia="Arial" w:hint="default"/>
        </w:rPr>
        <w:t>3</w:t>
      </w:r>
      <w:r>
        <w:rPr>
          <w:rFonts w:ascii="Arial" w:hAnsi="Arial" w:cs="Arial" w:eastAsia="Arial" w:hint="default"/>
          <w:spacing w:val="-8"/>
        </w:rPr>
        <w:t> </w:t>
      </w:r>
      <w:r>
        <w:rPr/>
        <w:t>日召开的并购重组委</w:t>
      </w:r>
      <w:r>
        <w:rPr>
          <w:spacing w:val="-62"/>
        </w:rPr>
        <w:t> </w:t>
      </w:r>
      <w:r>
        <w:rPr>
          <w:rFonts w:ascii="Arial" w:hAnsi="Arial" w:cs="Arial" w:eastAsia="Arial" w:hint="default"/>
        </w:rPr>
        <w:t>2017</w:t>
      </w:r>
      <w:r>
        <w:rPr>
          <w:rFonts w:ascii="Arial" w:hAnsi="Arial" w:cs="Arial" w:eastAsia="Arial" w:hint="default"/>
          <w:spacing w:val="-8"/>
        </w:rPr>
        <w:t> </w:t>
      </w:r>
      <w:r>
        <w:rPr/>
        <w:t>年第</w:t>
      </w:r>
      <w:r>
        <w:rPr>
          <w:spacing w:val="-62"/>
        </w:rPr>
        <w:t> </w:t>
      </w:r>
      <w:r>
        <w:rPr>
          <w:rFonts w:ascii="Arial" w:hAnsi="Arial" w:cs="Arial" w:eastAsia="Arial" w:hint="default"/>
        </w:rPr>
        <w:t>37</w:t>
      </w:r>
      <w:r>
        <w:rPr>
          <w:rFonts w:ascii="Arial" w:hAnsi="Arial" w:cs="Arial" w:eastAsia="Arial" w:hint="default"/>
          <w:spacing w:val="-8"/>
        </w:rPr>
        <w:t> </w:t>
      </w:r>
      <w:r>
        <w:rPr/>
        <w:t>次工作会议审核，公司发行股份及</w:t>
      </w:r>
    </w:p>
    <w:p>
      <w:pPr>
        <w:spacing w:after="0" w:line="322" w:lineRule="exact"/>
        <w:jc w:val="left"/>
        <w:sectPr>
          <w:pgSz w:w="11910" w:h="16840"/>
          <w:pgMar w:header="877" w:footer="980" w:top="1100" w:bottom="1160" w:left="980" w:right="980"/>
        </w:sectPr>
      </w:pPr>
    </w:p>
    <w:p>
      <w:pPr>
        <w:spacing w:line="240" w:lineRule="auto" w:before="7"/>
        <w:rPr>
          <w:rFonts w:ascii="宋体" w:hAnsi="宋体" w:cs="宋体" w:eastAsia="宋体" w:hint="default"/>
          <w:sz w:val="19"/>
          <w:szCs w:val="19"/>
        </w:rPr>
      </w:pPr>
    </w:p>
    <w:p>
      <w:pPr>
        <w:pStyle w:val="BodyText"/>
        <w:spacing w:line="322" w:lineRule="exact" w:before="26"/>
        <w:ind w:right="0"/>
        <w:jc w:val="both"/>
        <w:rPr>
          <w:rFonts w:ascii="Arial" w:hAnsi="Arial" w:cs="Arial" w:eastAsia="Arial" w:hint="default"/>
        </w:rPr>
      </w:pPr>
      <w:r>
        <w:rPr/>
        <w:t>支付现金购买资产并募集配套资金暨关联交易事项获得有条件审核通过。公司股票于</w:t>
      </w:r>
      <w:r>
        <w:rPr>
          <w:spacing w:val="-59"/>
        </w:rPr>
        <w:t> </w:t>
      </w:r>
      <w:r>
        <w:rPr>
          <w:rFonts w:ascii="Arial" w:hAnsi="Arial" w:cs="Arial" w:eastAsia="Arial" w:hint="default"/>
        </w:rPr>
        <w:t>2017</w:t>
      </w:r>
    </w:p>
    <w:p>
      <w:pPr>
        <w:pStyle w:val="BodyText"/>
        <w:spacing w:line="312" w:lineRule="exact" w:before="21"/>
        <w:ind w:right="191"/>
        <w:jc w:val="both"/>
      </w:pPr>
      <w:r>
        <w:rPr/>
        <w:t>年</w:t>
      </w:r>
      <w:r>
        <w:rPr>
          <w:spacing w:val="-61"/>
        </w:rPr>
        <w:t> </w:t>
      </w:r>
      <w:r>
        <w:rPr>
          <w:rFonts w:ascii="Arial" w:hAnsi="Arial" w:cs="Arial" w:eastAsia="Arial" w:hint="default"/>
        </w:rPr>
        <w:t>7</w:t>
      </w:r>
      <w:r>
        <w:rPr>
          <w:rFonts w:ascii="Arial" w:hAnsi="Arial" w:cs="Arial" w:eastAsia="Arial" w:hint="default"/>
          <w:spacing w:val="-7"/>
        </w:rPr>
        <w:t> </w:t>
      </w:r>
      <w:r>
        <w:rPr/>
        <w:t>月</w:t>
      </w:r>
      <w:r>
        <w:rPr>
          <w:spacing w:val="-61"/>
        </w:rPr>
        <w:t> </w:t>
      </w:r>
      <w:r>
        <w:rPr>
          <w:rFonts w:ascii="Arial" w:hAnsi="Arial" w:cs="Arial" w:eastAsia="Arial" w:hint="default"/>
        </w:rPr>
        <w:t>4</w:t>
      </w:r>
      <w:r>
        <w:rPr>
          <w:rFonts w:ascii="Arial" w:hAnsi="Arial" w:cs="Arial" w:eastAsia="Arial" w:hint="default"/>
          <w:spacing w:val="-7"/>
        </w:rPr>
        <w:t> </w:t>
      </w:r>
      <w:r>
        <w:rPr/>
        <w:t>日（星期二）开市起复牌。详见公司</w:t>
      </w:r>
      <w:r>
        <w:rPr>
          <w:spacing w:val="-61"/>
        </w:rPr>
        <w:t> </w:t>
      </w:r>
      <w:r>
        <w:rPr>
          <w:rFonts w:ascii="Arial" w:hAnsi="Arial" w:cs="Arial" w:eastAsia="Arial" w:hint="default"/>
        </w:rPr>
        <w:t>2017</w:t>
      </w:r>
      <w:r>
        <w:rPr>
          <w:rFonts w:ascii="Arial" w:hAnsi="Arial" w:cs="Arial" w:eastAsia="Arial" w:hint="default"/>
          <w:spacing w:val="-6"/>
        </w:rPr>
        <w:t> </w:t>
      </w:r>
      <w:r>
        <w:rPr/>
        <w:t>年</w:t>
      </w:r>
      <w:r>
        <w:rPr>
          <w:spacing w:val="-61"/>
        </w:rPr>
        <w:t> </w:t>
      </w:r>
      <w:r>
        <w:rPr>
          <w:rFonts w:ascii="Arial" w:hAnsi="Arial" w:cs="Arial" w:eastAsia="Arial" w:hint="default"/>
        </w:rPr>
        <w:t>7</w:t>
      </w:r>
      <w:r>
        <w:rPr>
          <w:rFonts w:ascii="Arial" w:hAnsi="Arial" w:cs="Arial" w:eastAsia="Arial" w:hint="default"/>
          <w:spacing w:val="-7"/>
        </w:rPr>
        <w:t> </w:t>
      </w:r>
      <w:r>
        <w:rPr/>
        <w:t>月</w:t>
      </w:r>
      <w:r>
        <w:rPr>
          <w:spacing w:val="-61"/>
        </w:rPr>
        <w:t> </w:t>
      </w:r>
      <w:r>
        <w:rPr>
          <w:rFonts w:ascii="Arial" w:hAnsi="Arial" w:cs="Arial" w:eastAsia="Arial" w:hint="default"/>
        </w:rPr>
        <w:t>4</w:t>
      </w:r>
      <w:r>
        <w:rPr>
          <w:rFonts w:ascii="Arial" w:hAnsi="Arial" w:cs="Arial" w:eastAsia="Arial" w:hint="default"/>
          <w:spacing w:val="-7"/>
        </w:rPr>
        <w:t> </w:t>
      </w:r>
      <w:r>
        <w:rPr/>
        <w:t>日在巨潮资讯网披露的《北京 华宇软件股份有限公司关于公司发行股份及支付现金购买资产并募集配套资金暨关联交易事 </w:t>
      </w:r>
      <w:r>
        <w:rPr>
          <w:spacing w:val="-4"/>
        </w:rPr>
        <w:t>项获得中国证监会上市公司并购重组委员会审核通过暨公司股票复牌的公告》。</w:t>
      </w:r>
    </w:p>
    <w:p>
      <w:pPr>
        <w:pStyle w:val="BodyText"/>
        <w:spacing w:line="312" w:lineRule="exact" w:before="40"/>
        <w:ind w:right="148" w:firstLine="48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7</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日，公司收到中国证监会核发的《关于核准北京华宇软件股份有限公司 </w:t>
      </w:r>
      <w:r>
        <w:rPr>
          <w:spacing w:val="-4"/>
          <w:w w:val="99"/>
        </w:rPr>
        <w:t>向任刚等发行股份购买资产并募集配套资金的批复》（证件许可【</w:t>
      </w:r>
      <w:r>
        <w:rPr>
          <w:rFonts w:ascii="Arial" w:hAnsi="Arial" w:cs="Arial" w:eastAsia="Arial" w:hint="default"/>
          <w:spacing w:val="-4"/>
          <w:w w:val="99"/>
        </w:rPr>
        <w:t>2017</w:t>
      </w:r>
      <w:r>
        <w:rPr>
          <w:spacing w:val="-4"/>
          <w:w w:val="99"/>
        </w:rPr>
        <w:t>】</w:t>
      </w:r>
      <w:r>
        <w:rPr>
          <w:rFonts w:ascii="Arial" w:hAnsi="Arial" w:cs="Arial" w:eastAsia="Arial" w:hint="default"/>
          <w:spacing w:val="-4"/>
          <w:w w:val="99"/>
        </w:rPr>
        <w:t>1395</w:t>
      </w:r>
      <w:r>
        <w:rPr>
          <w:rFonts w:ascii="Arial" w:hAnsi="Arial" w:cs="Arial" w:eastAsia="Arial" w:hint="default"/>
          <w:w w:val="99"/>
        </w:rPr>
        <w:t> </w:t>
      </w:r>
      <w:r>
        <w:rPr>
          <w:spacing w:val="-20"/>
        </w:rPr>
        <w:t>号）。详见公</w:t>
      </w:r>
      <w:r>
        <w:rPr>
          <w:spacing w:val="-95"/>
        </w:rPr>
        <w:t> </w:t>
      </w:r>
      <w:r>
        <w:rPr>
          <w:spacing w:val="-95"/>
        </w:rPr>
      </w:r>
      <w:r>
        <w:rPr/>
        <w:t>司</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7</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日在巨潮资讯网披露的《北京华宇软件股份有限公司关于发行股份及支 </w:t>
      </w:r>
      <w:r>
        <w:rPr>
          <w:spacing w:val="-4"/>
        </w:rPr>
        <w:t>付现金购买资产并募集配套资金暨关联交易事项获得中国证监会核准批复的公告》。</w:t>
      </w:r>
    </w:p>
    <w:p>
      <w:pPr>
        <w:pStyle w:val="BodyText"/>
        <w:spacing w:line="322" w:lineRule="exact" w:before="7"/>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21</w:t>
      </w:r>
      <w:r>
        <w:rPr>
          <w:rFonts w:ascii="Arial" w:hAnsi="Arial" w:cs="Arial" w:eastAsia="Arial" w:hint="default"/>
          <w:spacing w:val="-8"/>
        </w:rPr>
        <w:t> </w:t>
      </w:r>
      <w:r>
        <w:rPr/>
        <w:t>日，联奕科技</w:t>
      </w:r>
      <w:r>
        <w:rPr>
          <w:spacing w:val="-62"/>
        </w:rPr>
        <w:t> </w:t>
      </w:r>
      <w:r>
        <w:rPr>
          <w:rFonts w:ascii="Arial" w:hAnsi="Arial" w:cs="Arial" w:eastAsia="Arial" w:hint="default"/>
        </w:rPr>
        <w:t>100%</w:t>
      </w:r>
      <w:r>
        <w:rPr/>
        <w:t>股权完成了交割，办理了工商变更手续。详见公司</w:t>
      </w:r>
    </w:p>
    <w:p>
      <w:pPr>
        <w:pStyle w:val="BodyText"/>
        <w:spacing w:line="312" w:lineRule="exact" w:before="21"/>
        <w:ind w:right="148"/>
        <w:jc w:val="left"/>
      </w:pPr>
      <w:r>
        <w:rPr>
          <w:rFonts w:ascii="Arial" w:hAnsi="Arial" w:cs="Arial" w:eastAsia="Arial" w:hint="default"/>
        </w:rPr>
        <w:t>2017</w:t>
      </w:r>
      <w:r>
        <w:rPr>
          <w:rFonts w:ascii="Arial" w:hAnsi="Arial" w:cs="Arial" w:eastAsia="Arial" w:hint="default"/>
          <w:spacing w:val="-7"/>
        </w:rPr>
        <w:t> </w:t>
      </w:r>
      <w:r>
        <w:rPr/>
        <w:t>年</w:t>
      </w:r>
      <w:r>
        <w:rPr>
          <w:spacing w:val="-63"/>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23</w:t>
      </w:r>
      <w:r>
        <w:rPr>
          <w:rFonts w:ascii="Arial" w:hAnsi="Arial" w:cs="Arial" w:eastAsia="Arial" w:hint="default"/>
          <w:spacing w:val="-8"/>
        </w:rPr>
        <w:t> </w:t>
      </w:r>
      <w:r>
        <w:rPr/>
        <w:t>日在巨潮资讯网披露的《关于发行股份及支付现金购买资产并募集配套资金 暨关联交易涉及资产过户完成的公告》等。</w:t>
      </w:r>
    </w:p>
    <w:p>
      <w:pPr>
        <w:pStyle w:val="BodyText"/>
        <w:spacing w:line="322" w:lineRule="exact" w:before="10"/>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9</w:t>
      </w:r>
      <w:r>
        <w:rPr>
          <w:rFonts w:ascii="Arial" w:hAnsi="Arial" w:cs="Arial" w:eastAsia="Arial" w:hint="default"/>
          <w:spacing w:val="-8"/>
        </w:rPr>
        <w:t> </w:t>
      </w:r>
      <w:r>
        <w:rPr/>
        <w:t>月</w:t>
      </w:r>
      <w:r>
        <w:rPr>
          <w:spacing w:val="-62"/>
        </w:rPr>
        <w:t> </w:t>
      </w:r>
      <w:r>
        <w:rPr>
          <w:rFonts w:ascii="Arial" w:hAnsi="Arial" w:cs="Arial" w:eastAsia="Arial" w:hint="default"/>
        </w:rPr>
        <w:t>6</w:t>
      </w:r>
      <w:r>
        <w:rPr>
          <w:rFonts w:ascii="Arial" w:hAnsi="Arial" w:cs="Arial" w:eastAsia="Arial" w:hint="default"/>
          <w:spacing w:val="-8"/>
        </w:rPr>
        <w:t> </w:t>
      </w:r>
      <w:r>
        <w:rPr/>
        <w:t>日，公司披露了《发行股份及支付现金购买资产并募集配套资金暨关联</w:t>
      </w:r>
    </w:p>
    <w:p>
      <w:pPr>
        <w:pStyle w:val="BodyText"/>
        <w:spacing w:line="312" w:lineRule="exact"/>
        <w:ind w:right="0"/>
        <w:jc w:val="both"/>
      </w:pPr>
      <w:r>
        <w:rPr/>
        <w:t>交易实施情况暨新增股份上市报告书》等公告，</w:t>
      </w:r>
      <w:r>
        <w:rPr>
          <w:rFonts w:ascii="Arial" w:hAnsi="Arial" w:cs="Arial" w:eastAsia="Arial" w:hint="default"/>
        </w:rPr>
        <w:t>2017</w:t>
      </w:r>
      <w:r>
        <w:rPr>
          <w:rFonts w:ascii="Arial" w:hAnsi="Arial" w:cs="Arial" w:eastAsia="Arial" w:hint="default"/>
          <w:spacing w:val="-6"/>
        </w:rPr>
        <w:t> </w:t>
      </w:r>
      <w:r>
        <w:rPr/>
        <w:t>年</w:t>
      </w:r>
      <w:r>
        <w:rPr>
          <w:spacing w:val="-61"/>
        </w:rPr>
        <w:t> </w:t>
      </w:r>
      <w:r>
        <w:rPr>
          <w:rFonts w:ascii="Arial" w:hAnsi="Arial" w:cs="Arial" w:eastAsia="Arial" w:hint="default"/>
        </w:rPr>
        <w:t>9</w:t>
      </w:r>
      <w:r>
        <w:rPr>
          <w:rFonts w:ascii="Arial" w:hAnsi="Arial" w:cs="Arial" w:eastAsia="Arial" w:hint="default"/>
          <w:spacing w:val="-7"/>
        </w:rPr>
        <w:t> </w:t>
      </w:r>
      <w:r>
        <w:rPr/>
        <w:t>月</w:t>
      </w:r>
      <w:r>
        <w:rPr>
          <w:spacing w:val="-61"/>
        </w:rPr>
        <w:t> </w:t>
      </w:r>
      <w:r>
        <w:rPr>
          <w:rFonts w:ascii="Arial" w:hAnsi="Arial" w:cs="Arial" w:eastAsia="Arial" w:hint="default"/>
        </w:rPr>
        <w:t>7</w:t>
      </w:r>
      <w:r>
        <w:rPr>
          <w:rFonts w:ascii="Arial" w:hAnsi="Arial" w:cs="Arial" w:eastAsia="Arial" w:hint="default"/>
          <w:spacing w:val="-7"/>
        </w:rPr>
        <w:t> </w:t>
      </w:r>
      <w:r>
        <w:rPr/>
        <w:t>日，本次交易发行股份购买</w:t>
      </w:r>
    </w:p>
    <w:p>
      <w:pPr>
        <w:pStyle w:val="BodyText"/>
        <w:spacing w:line="322" w:lineRule="exact"/>
        <w:ind w:right="0"/>
        <w:jc w:val="both"/>
      </w:pPr>
      <w:r>
        <w:rPr/>
        <w:t>资产部分的新增股份</w:t>
      </w:r>
      <w:r>
        <w:rPr>
          <w:spacing w:val="-63"/>
        </w:rPr>
        <w:t> </w:t>
      </w:r>
      <w:r>
        <w:rPr>
          <w:rFonts w:ascii="Arial" w:hAnsi="Arial" w:cs="Arial" w:eastAsia="Arial" w:hint="default"/>
        </w:rPr>
        <w:t>60,661,865</w:t>
      </w:r>
      <w:r>
        <w:rPr>
          <w:rFonts w:ascii="Arial" w:hAnsi="Arial" w:cs="Arial" w:eastAsia="Arial" w:hint="default"/>
          <w:spacing w:val="-7"/>
        </w:rPr>
        <w:t> </w:t>
      </w:r>
      <w:r>
        <w:rPr/>
        <w:t>股完成上市。</w:t>
      </w:r>
    </w:p>
    <w:p>
      <w:pPr>
        <w:pStyle w:val="BodyText"/>
        <w:spacing w:line="312" w:lineRule="exact" w:before="52"/>
        <w:ind w:right="255" w:firstLine="480"/>
        <w:jc w:val="left"/>
      </w:pPr>
      <w:r>
        <w:rPr>
          <w:rFonts w:ascii="Arial" w:hAnsi="Arial" w:cs="Arial" w:eastAsia="Arial" w:hint="default"/>
        </w:rPr>
        <w:t>2017</w:t>
      </w:r>
      <w:r>
        <w:rPr>
          <w:rFonts w:ascii="Arial" w:hAnsi="Arial" w:cs="Arial" w:eastAsia="Arial" w:hint="default"/>
          <w:spacing w:val="-8"/>
        </w:rPr>
        <w:t> </w:t>
      </w:r>
      <w:r>
        <w:rPr/>
        <w:t>年</w:t>
      </w:r>
      <w:r>
        <w:rPr>
          <w:spacing w:val="-61"/>
        </w:rPr>
        <w:t> </w:t>
      </w:r>
      <w:r>
        <w:rPr>
          <w:rFonts w:ascii="Arial" w:hAnsi="Arial" w:cs="Arial" w:eastAsia="Arial" w:hint="default"/>
        </w:rPr>
        <w:t>10</w:t>
      </w:r>
      <w:r>
        <w:rPr>
          <w:rFonts w:ascii="Arial" w:hAnsi="Arial" w:cs="Arial" w:eastAsia="Arial" w:hint="default"/>
          <w:spacing w:val="-8"/>
        </w:rPr>
        <w:t> </w:t>
      </w:r>
      <w:r>
        <w:rPr/>
        <w:t>月</w:t>
      </w:r>
      <w:r>
        <w:rPr>
          <w:spacing w:val="-64"/>
        </w:rPr>
        <w:t> </w:t>
      </w:r>
      <w:r>
        <w:rPr>
          <w:rFonts w:ascii="Arial" w:hAnsi="Arial" w:cs="Arial" w:eastAsia="Arial" w:hint="default"/>
        </w:rPr>
        <w:t>13</w:t>
      </w:r>
      <w:r>
        <w:rPr>
          <w:rFonts w:ascii="Arial" w:hAnsi="Arial" w:cs="Arial" w:eastAsia="Arial" w:hint="default"/>
          <w:spacing w:val="-8"/>
        </w:rPr>
        <w:t> </w:t>
      </w:r>
      <w:r>
        <w:rPr/>
        <w:t>日，公司披露了《发行股份及支付现金购买资产并募集配套资金实施 情况暨配套资金募集新增股份上市报告书》等公告，详见公司在巨潮资讯网披露的相关公 告。</w:t>
      </w:r>
    </w:p>
    <w:p>
      <w:pPr>
        <w:pStyle w:val="Heading2"/>
        <w:spacing w:line="240" w:lineRule="auto" w:before="193"/>
        <w:ind w:right="0"/>
        <w:jc w:val="both"/>
        <w:rPr>
          <w:b w:val="0"/>
          <w:bCs w:val="0"/>
        </w:rPr>
      </w:pPr>
      <w:r>
        <w:rPr/>
        <w:t>十九、公司子公司重大事项</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312" w:lineRule="exact" w:before="52"/>
        <w:ind w:right="210" w:firstLine="480"/>
        <w:jc w:val="both"/>
      </w:pPr>
      <w:r>
        <w:rPr/>
        <w:t>（</w:t>
      </w:r>
      <w:r>
        <w:rPr>
          <w:rFonts w:ascii="Arial" w:hAnsi="Arial" w:cs="Arial" w:eastAsia="Arial" w:hint="default"/>
        </w:rPr>
        <w:t>1</w:t>
      </w:r>
      <w:r>
        <w:rPr/>
        <w:t>）</w:t>
      </w:r>
      <w:r>
        <w:rPr>
          <w:rFonts w:ascii="Arial" w:hAnsi="Arial" w:cs="Arial" w:eastAsia="Arial" w:hint="default"/>
        </w:rPr>
        <w:t>2017</w:t>
      </w:r>
      <w:r>
        <w:rPr>
          <w:rFonts w:ascii="Arial" w:hAnsi="Arial" w:cs="Arial" w:eastAsia="Arial" w:hint="default"/>
          <w:spacing w:val="-7"/>
        </w:rPr>
        <w:t> </w:t>
      </w:r>
      <w:r>
        <w:rPr/>
        <w:t>年</w:t>
      </w:r>
      <w:r>
        <w:rPr>
          <w:spacing w:val="-64"/>
        </w:rPr>
        <w:t> </w:t>
      </w:r>
      <w:r>
        <w:rPr>
          <w:rFonts w:ascii="Arial" w:hAnsi="Arial" w:cs="Arial" w:eastAsia="Arial" w:hint="default"/>
          <w:spacing w:val="-8"/>
        </w:rPr>
        <w:t>11</w:t>
      </w:r>
      <w:r>
        <w:rPr>
          <w:rFonts w:ascii="Arial" w:hAnsi="Arial" w:cs="Arial" w:eastAsia="Arial" w:hint="default"/>
          <w:spacing w:val="-7"/>
        </w:rPr>
        <w:t> </w:t>
      </w:r>
      <w:r>
        <w:rPr/>
        <w:t>月</w:t>
      </w:r>
      <w:r>
        <w:rPr>
          <w:spacing w:val="-61"/>
        </w:rPr>
        <w:t> </w:t>
      </w:r>
      <w:r>
        <w:rPr>
          <w:rFonts w:ascii="Arial" w:hAnsi="Arial" w:cs="Arial" w:eastAsia="Arial" w:hint="default"/>
        </w:rPr>
        <w:t>17</w:t>
      </w:r>
      <w:r>
        <w:rPr>
          <w:rFonts w:ascii="Arial" w:hAnsi="Arial" w:cs="Arial" w:eastAsia="Arial" w:hint="default"/>
          <w:spacing w:val="-9"/>
        </w:rPr>
        <w:t> </w:t>
      </w:r>
      <w:r>
        <w:rPr/>
        <w:t>日，公司第六届董事会第二十四次会议审议通过了《关于转让 </w:t>
      </w:r>
      <w:r>
        <w:rPr>
          <w:spacing w:val="-4"/>
        </w:rPr>
        <w:t>全资子公司股权暨关联交易的议案》，同意公司将全资子公司华宇科创</w:t>
      </w:r>
      <w:r>
        <w:rPr>
          <w:spacing w:val="-58"/>
        </w:rPr>
        <w:t> </w:t>
      </w:r>
      <w:r>
        <w:rPr>
          <w:rFonts w:ascii="Arial" w:hAnsi="Arial" w:cs="Arial" w:eastAsia="Arial" w:hint="default"/>
          <w:w w:val="99"/>
        </w:rPr>
        <w:t>100%</w:t>
      </w:r>
      <w:r>
        <w:rPr>
          <w:w w:val="99"/>
        </w:rPr>
        <w:t>股权以人民币</w:t>
      </w:r>
      <w:r>
        <w:rPr>
          <w:spacing w:val="-118"/>
          <w:w w:val="99"/>
        </w:rPr>
        <w:t> </w:t>
      </w:r>
      <w:r>
        <w:rPr>
          <w:rFonts w:ascii="Arial" w:hAnsi="Arial" w:cs="Arial" w:eastAsia="Arial" w:hint="default"/>
        </w:rPr>
        <w:t>400</w:t>
      </w:r>
      <w:r>
        <w:rPr>
          <w:rFonts w:ascii="Arial" w:hAnsi="Arial" w:cs="Arial" w:eastAsia="Arial" w:hint="default"/>
          <w:spacing w:val="-10"/>
        </w:rPr>
        <w:t> </w:t>
      </w:r>
      <w:r>
        <w:rPr/>
        <w:t>万元转让给公司控股股东暨实际控制人邵学先生。本次股权转让完成后，公司将不再持</w:t>
      </w:r>
    </w:p>
    <w:p>
      <w:pPr>
        <w:pStyle w:val="BodyText"/>
        <w:spacing w:line="312" w:lineRule="exact"/>
        <w:ind w:right="216"/>
        <w:jc w:val="left"/>
      </w:pPr>
      <w:r>
        <w:rPr/>
        <w:t>有华宇科创股权，华宇科创不再纳入公司合并报表范围。</w:t>
      </w:r>
      <w:r>
        <w:rPr>
          <w:rFonts w:ascii="Arial" w:hAnsi="Arial" w:cs="Arial" w:eastAsia="Arial" w:hint="default"/>
        </w:rPr>
        <w:t>2017</w:t>
      </w:r>
      <w:r>
        <w:rPr>
          <w:rFonts w:ascii="Arial" w:hAnsi="Arial" w:cs="Arial" w:eastAsia="Arial" w:hint="default"/>
          <w:spacing w:val="-7"/>
        </w:rPr>
        <w:t> </w:t>
      </w:r>
      <w:r>
        <w:rPr/>
        <w:t>年</w:t>
      </w:r>
      <w:r>
        <w:rPr>
          <w:spacing w:val="-64"/>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6</w:t>
      </w:r>
      <w:r>
        <w:rPr>
          <w:rFonts w:ascii="Arial" w:hAnsi="Arial" w:cs="Arial" w:eastAsia="Arial" w:hint="default"/>
          <w:spacing w:val="-7"/>
        </w:rPr>
        <w:t> </w:t>
      </w:r>
      <w:r>
        <w:rPr/>
        <w:t>日，公司</w:t>
      </w:r>
      <w:r>
        <w:rPr>
          <w:spacing w:val="-61"/>
        </w:rPr>
        <w:t> </w:t>
      </w:r>
      <w:r>
        <w:rPr>
          <w:rFonts w:ascii="Arial" w:hAnsi="Arial" w:cs="Arial" w:eastAsia="Arial" w:hint="default"/>
        </w:rPr>
        <w:t>2017</w:t>
      </w:r>
      <w:r>
        <w:rPr>
          <w:rFonts w:ascii="Arial" w:hAnsi="Arial" w:cs="Arial" w:eastAsia="Arial" w:hint="default"/>
          <w:spacing w:val="-7"/>
        </w:rPr>
        <w:t> </w:t>
      </w:r>
      <w:r>
        <w:rPr/>
        <w:t>年 第三次临时股东大会审议通过了此项议案。</w:t>
      </w:r>
    </w:p>
    <w:p>
      <w:pPr>
        <w:pStyle w:val="BodyText"/>
        <w:spacing w:line="312" w:lineRule="exact" w:before="41"/>
        <w:ind w:right="146" w:firstLine="480"/>
        <w:jc w:val="left"/>
      </w:pPr>
      <w:r>
        <w:rPr/>
        <w:t>（</w:t>
      </w:r>
      <w:r>
        <w:rPr>
          <w:rFonts w:ascii="Arial" w:hAnsi="Arial" w:cs="Arial" w:eastAsia="Arial" w:hint="default"/>
        </w:rPr>
        <w:t>2</w:t>
      </w:r>
      <w:r>
        <w:rPr/>
        <w:t>）</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26</w:t>
      </w:r>
      <w:r>
        <w:rPr>
          <w:rFonts w:ascii="Arial" w:hAnsi="Arial" w:cs="Arial" w:eastAsia="Arial" w:hint="default"/>
          <w:spacing w:val="-7"/>
        </w:rPr>
        <w:t> </w:t>
      </w:r>
      <w:r>
        <w:rPr/>
        <w:t>日，公司第六届董事会第二十六次会议审议通过了《关于为全 </w:t>
      </w:r>
      <w:r>
        <w:rPr>
          <w:spacing w:val="-3"/>
        </w:rPr>
        <w:t>资子公司申请综合授信提供担保的议案》，公司独立董事就本议案发表了同意的独立意见。</w:t>
      </w:r>
      <w:r>
        <w:rPr/>
        <w:t> 华宇信息、华宇金信因经营需求，拟向北京银行中关村科技园区支行申请综合授信，授信额 度合计不超过人民币</w:t>
      </w:r>
      <w:r>
        <w:rPr>
          <w:spacing w:val="-60"/>
        </w:rPr>
        <w:t> </w:t>
      </w:r>
      <w:r>
        <w:rPr>
          <w:rFonts w:ascii="Arial" w:hAnsi="Arial" w:cs="Arial" w:eastAsia="Arial" w:hint="default"/>
        </w:rPr>
        <w:t>1</w:t>
      </w:r>
      <w:r>
        <w:rPr>
          <w:rFonts w:ascii="Arial" w:hAnsi="Arial" w:cs="Arial" w:eastAsia="Arial" w:hint="default"/>
          <w:spacing w:val="-6"/>
        </w:rPr>
        <w:t> </w:t>
      </w:r>
      <w:r>
        <w:rPr/>
        <w:t>亿元，授信期限不超过</w:t>
      </w:r>
      <w:r>
        <w:rPr>
          <w:spacing w:val="-60"/>
        </w:rPr>
        <w:t> </w:t>
      </w:r>
      <w:r>
        <w:rPr>
          <w:rFonts w:ascii="Arial" w:hAnsi="Arial" w:cs="Arial" w:eastAsia="Arial" w:hint="default"/>
        </w:rPr>
        <w:t>2</w:t>
      </w:r>
      <w:r>
        <w:rPr>
          <w:rFonts w:ascii="Arial" w:hAnsi="Arial" w:cs="Arial" w:eastAsia="Arial" w:hint="default"/>
          <w:spacing w:val="-6"/>
        </w:rPr>
        <w:t> </w:t>
      </w:r>
      <w:r>
        <w:rPr/>
        <w:t>年。公司拟为华宇信息、华宇金信本次申请</w:t>
      </w:r>
    </w:p>
    <w:p>
      <w:pPr>
        <w:pStyle w:val="BodyText"/>
        <w:spacing w:line="291" w:lineRule="exact"/>
        <w:ind w:right="0"/>
        <w:jc w:val="both"/>
      </w:pPr>
      <w:r>
        <w:rPr/>
        <w:t>综合授信提供担保，担保方式为保证担保，保证金额合计不超过人民币</w:t>
      </w:r>
      <w:r>
        <w:rPr>
          <w:spacing w:val="-59"/>
        </w:rPr>
        <w:t> </w:t>
      </w:r>
      <w:r>
        <w:rPr>
          <w:rFonts w:ascii="Arial" w:hAnsi="Arial" w:cs="Arial" w:eastAsia="Arial" w:hint="default"/>
        </w:rPr>
        <w:t>1</w:t>
      </w:r>
      <w:r>
        <w:rPr>
          <w:rFonts w:ascii="Arial" w:hAnsi="Arial" w:cs="Arial" w:eastAsia="Arial" w:hint="default"/>
          <w:spacing w:val="-6"/>
        </w:rPr>
        <w:t> </w:t>
      </w:r>
      <w:r>
        <w:rPr/>
        <w:t>亿元，担保期限不</w:t>
      </w:r>
    </w:p>
    <w:p>
      <w:pPr>
        <w:pStyle w:val="BodyText"/>
        <w:spacing w:line="322" w:lineRule="exact"/>
        <w:ind w:right="0"/>
        <w:jc w:val="both"/>
      </w:pPr>
      <w:r>
        <w:rPr/>
        <w:t>超过</w:t>
      </w:r>
      <w:r>
        <w:rPr>
          <w:spacing w:val="-60"/>
        </w:rPr>
        <w:t> </w:t>
      </w:r>
      <w:r>
        <w:rPr>
          <w:rFonts w:ascii="Arial" w:hAnsi="Arial" w:cs="Arial" w:eastAsia="Arial" w:hint="default"/>
        </w:rPr>
        <w:t>2</w:t>
      </w:r>
      <w:r>
        <w:rPr>
          <w:rFonts w:ascii="Arial" w:hAnsi="Arial" w:cs="Arial" w:eastAsia="Arial" w:hint="default"/>
          <w:spacing w:val="-6"/>
        </w:rPr>
        <w:t> </w:t>
      </w:r>
      <w:r>
        <w:rPr/>
        <w:t>年。</w:t>
      </w:r>
    </w:p>
    <w:p>
      <w:pPr>
        <w:spacing w:after="0" w:line="322" w:lineRule="exact"/>
        <w:jc w:val="both"/>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2964" w:right="0"/>
        <w:jc w:val="left"/>
        <w:rPr>
          <w:b w:val="0"/>
          <w:bCs w:val="0"/>
        </w:rPr>
      </w:pPr>
      <w:bookmarkStart w:name="_bookmark4" w:id="5"/>
      <w:bookmarkEnd w:id="5"/>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、股份变动情况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538"/>
        <w:gridCol w:w="1144"/>
        <w:gridCol w:w="709"/>
        <w:gridCol w:w="994"/>
        <w:gridCol w:w="434"/>
        <w:gridCol w:w="982"/>
        <w:gridCol w:w="994"/>
        <w:gridCol w:w="994"/>
        <w:gridCol w:w="980"/>
        <w:gridCol w:w="862"/>
      </w:tblGrid>
      <w:tr>
        <w:trPr>
          <w:trHeight w:val="206"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852" w:type="dxa"/>
            <w:gridSpan w:val="2"/>
            <w:vMerge/>
            <w:tcBorders>
              <w:left w:val="single" w:sz="4" w:space="0" w:color="000000"/>
              <w:bottom w:val="single" w:sz="4" w:space="0" w:color="000000"/>
              <w:right w:val="single" w:sz="4" w:space="0" w:color="000000"/>
            </w:tcBorders>
            <w:shd w:val="clear" w:color="auto" w:fill="D2D2D2"/>
          </w:tcPr>
          <w:p>
            <w:pPr/>
          </w:p>
        </w:tc>
        <w:tc>
          <w:tcPr>
            <w:tcW w:w="4397" w:type="dxa"/>
            <w:gridSpan w:val="5"/>
            <w:vMerge/>
            <w:tcBorders>
              <w:left w:val="single" w:sz="4" w:space="0" w:color="000000"/>
              <w:bottom w:val="single" w:sz="4" w:space="0" w:color="000000"/>
              <w:right w:val="single" w:sz="4" w:space="0" w:color="000000"/>
            </w:tcBorders>
            <w:shd w:val="clear" w:color="auto" w:fill="D2D2D2"/>
          </w:tcPr>
          <w:p>
            <w:pPr/>
          </w:p>
        </w:tc>
        <w:tc>
          <w:tcPr>
            <w:tcW w:w="1841"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434" w:type="dxa"/>
            <w:vMerge/>
            <w:tcBorders>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一、有限售条件股 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180,761,464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28.05%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113,340,13</w:t>
            </w:r>
          </w:p>
          <w:p>
            <w:pPr>
              <w:pStyle w:val="TableParagraph"/>
              <w:spacing w:line="240" w:lineRule="auto" w:before="105"/>
              <w:ind w:right="22"/>
              <w:jc w:val="right"/>
              <w:rPr>
                <w:rFonts w:ascii="Arial" w:hAnsi="Arial" w:cs="Arial" w:eastAsia="Arial" w:hint="default"/>
                <w:sz w:val="18"/>
                <w:szCs w:val="18"/>
              </w:rPr>
            </w:pPr>
            <w:r>
              <w:rPr>
                <w:rFonts w:ascii="Arial"/>
                <w:w w:val="99"/>
                <w:sz w:val="18"/>
              </w:rPr>
              <w:t>5</w:t>
            </w:r>
            <w:r>
              <w:rPr>
                <w:rFonts w:ascii="Arial"/>
                <w:sz w:val="18"/>
              </w:rPr>
            </w:r>
          </w:p>
        </w:tc>
        <w:tc>
          <w:tcPr>
            <w:tcW w:w="4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62" w:right="18" w:firstLine="840"/>
              <w:jc w:val="left"/>
              <w:rPr>
                <w:rFonts w:ascii="Arial" w:hAnsi="Arial" w:cs="Arial" w:eastAsia="Arial" w:hint="default"/>
                <w:sz w:val="18"/>
                <w:szCs w:val="18"/>
              </w:rPr>
            </w:pPr>
            <w:r>
              <w:rPr>
                <w:rFonts w:ascii="Arial"/>
                <w:sz w:val="18"/>
              </w:rPr>
              <w:t>-</w:t>
            </w:r>
            <w:r>
              <w:rPr>
                <w:rFonts w:ascii="Arial"/>
                <w:w w:val="99"/>
                <w:sz w:val="18"/>
              </w:rPr>
              <w:t> </w:t>
            </w:r>
            <w:r>
              <w:rPr>
                <w:rFonts w:ascii="Arial"/>
                <w:sz w:val="18"/>
              </w:rPr>
              <w:t>29,094,851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84,245,284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265,006,74</w:t>
            </w:r>
          </w:p>
          <w:p>
            <w:pPr>
              <w:pStyle w:val="TableParagraph"/>
              <w:spacing w:line="240" w:lineRule="auto" w:before="105"/>
              <w:ind w:right="20"/>
              <w:jc w:val="right"/>
              <w:rPr>
                <w:rFonts w:ascii="Arial" w:hAnsi="Arial" w:cs="Arial" w:eastAsia="Arial" w:hint="default"/>
                <w:sz w:val="18"/>
                <w:szCs w:val="18"/>
              </w:rPr>
            </w:pPr>
            <w:r>
              <w:rPr>
                <w:rFonts w:ascii="Arial"/>
                <w:w w:val="99"/>
                <w:sz w:val="18"/>
              </w:rPr>
              <w:t>8</w:t>
            </w:r>
            <w:r>
              <w:rPr>
                <w:rFonts w:ascii="Arial"/>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34.84%</w:t>
            </w: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144"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5,076,142</w:t>
            </w:r>
          </w:p>
        </w:tc>
        <w:tc>
          <w:tcPr>
            <w:tcW w:w="4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5,076,142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5,076,142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0.67%</w:t>
            </w:r>
            <w:r>
              <w:rPr>
                <w:rFonts w:ascii="Arial"/>
                <w:sz w:val="18"/>
              </w:rPr>
            </w:r>
          </w:p>
        </w:tc>
      </w:tr>
      <w:tr>
        <w:trPr>
          <w:trHeight w:val="161"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Arial" w:hAnsi="Arial" w:cs="Arial" w:eastAsia="Arial" w:hint="default"/>
                <w:sz w:val="18"/>
                <w:szCs w:val="18"/>
              </w:rPr>
            </w:pPr>
            <w:r>
              <w:rPr>
                <w:rFonts w:ascii="Arial"/>
                <w:sz w:val="18"/>
              </w:rPr>
              <w:t>180,761,464</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6" w:right="0"/>
              <w:jc w:val="left"/>
              <w:rPr>
                <w:rFonts w:ascii="Arial" w:hAnsi="Arial" w:cs="Arial" w:eastAsia="Arial" w:hint="default"/>
                <w:sz w:val="18"/>
                <w:szCs w:val="18"/>
              </w:rPr>
            </w:pPr>
            <w:r>
              <w:rPr>
                <w:rFonts w:ascii="Arial"/>
                <w:sz w:val="18"/>
              </w:rPr>
              <w:t>2.52%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108,192,99</w:t>
            </w:r>
          </w:p>
          <w:p>
            <w:pPr>
              <w:pStyle w:val="TableParagraph"/>
              <w:spacing w:line="240" w:lineRule="auto" w:before="105"/>
              <w:ind w:right="22"/>
              <w:jc w:val="right"/>
              <w:rPr>
                <w:rFonts w:ascii="Arial" w:hAnsi="Arial" w:cs="Arial" w:eastAsia="Arial" w:hint="default"/>
                <w:sz w:val="18"/>
                <w:szCs w:val="18"/>
              </w:rPr>
            </w:pPr>
            <w:r>
              <w:rPr>
                <w:rFonts w:ascii="Arial"/>
                <w:w w:val="99"/>
                <w:sz w:val="18"/>
              </w:rPr>
              <w:t>3</w:t>
            </w:r>
            <w:r>
              <w:rPr>
                <w:rFonts w:ascii="Arial"/>
                <w:sz w:val="18"/>
              </w:rPr>
            </w:r>
          </w:p>
        </w:tc>
        <w:tc>
          <w:tcPr>
            <w:tcW w:w="434" w:type="dxa"/>
            <w:vMerge w:val="restart"/>
            <w:tcBorders>
              <w:top w:val="single" w:sz="4" w:space="0" w:color="000000"/>
              <w:left w:val="single" w:sz="4" w:space="0" w:color="000000"/>
              <w:right w:val="single" w:sz="4" w:space="0" w:color="000000"/>
            </w:tcBorders>
          </w:tcPr>
          <w:p>
            <w:pPr/>
          </w:p>
        </w:tc>
        <w:tc>
          <w:tcPr>
            <w:tcW w:w="98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362" w:lineRule="auto" w:before="90"/>
              <w:ind w:left="62" w:right="18" w:firstLine="840"/>
              <w:jc w:val="left"/>
              <w:rPr>
                <w:rFonts w:ascii="Arial" w:hAnsi="Arial" w:cs="Arial" w:eastAsia="Arial" w:hint="default"/>
                <w:sz w:val="18"/>
                <w:szCs w:val="18"/>
              </w:rPr>
            </w:pPr>
            <w:r>
              <w:rPr>
                <w:rFonts w:ascii="Arial"/>
                <w:sz w:val="18"/>
              </w:rPr>
              <w:t>-</w:t>
            </w:r>
            <w:r>
              <w:rPr>
                <w:rFonts w:ascii="Arial"/>
                <w:w w:val="99"/>
                <w:sz w:val="18"/>
              </w:rPr>
              <w:t> </w:t>
            </w:r>
            <w:r>
              <w:rPr>
                <w:rFonts w:ascii="Arial"/>
                <w:sz w:val="18"/>
              </w:rPr>
              <w:t>29,094,851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9" w:right="0"/>
              <w:jc w:val="left"/>
              <w:rPr>
                <w:rFonts w:ascii="Arial" w:hAnsi="Arial" w:cs="Arial" w:eastAsia="Arial" w:hint="default"/>
                <w:sz w:val="18"/>
                <w:szCs w:val="18"/>
              </w:rPr>
            </w:pPr>
            <w:r>
              <w:rPr>
                <w:rFonts w:ascii="Arial"/>
                <w:sz w:val="18"/>
              </w:rPr>
              <w:t>79,098,142</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259,859,60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6</w:t>
            </w:r>
            <w:r>
              <w:rPr>
                <w:rFonts w:ascii="Arial"/>
                <w:sz w:val="18"/>
              </w:rPr>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8" w:right="0"/>
              <w:jc w:val="left"/>
              <w:rPr>
                <w:rFonts w:ascii="Arial" w:hAnsi="Arial" w:cs="Arial" w:eastAsia="Arial" w:hint="default"/>
                <w:sz w:val="18"/>
                <w:szCs w:val="18"/>
              </w:rPr>
            </w:pPr>
            <w:r>
              <w:rPr>
                <w:rFonts w:ascii="Arial"/>
                <w:sz w:val="18"/>
              </w:rPr>
              <w:t>34.16%</w:t>
            </w:r>
          </w:p>
        </w:tc>
      </w:tr>
      <w:tr>
        <w:trPr>
          <w:trHeight w:val="394" w:hRule="exact"/>
        </w:trPr>
        <w:tc>
          <w:tcPr>
            <w:tcW w:w="1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144"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34"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其中：境内法人持 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1,973,674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0.31%</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29,085,486</w:t>
            </w:r>
          </w:p>
        </w:tc>
        <w:tc>
          <w:tcPr>
            <w:tcW w:w="4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-892,208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28,193,278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30,166,952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3.97%</w:t>
            </w:r>
            <w:r>
              <w:rPr>
                <w:rFonts w:ascii="Arial"/>
                <w:sz w:val="18"/>
              </w:rPr>
            </w:r>
          </w:p>
        </w:tc>
      </w:tr>
      <w:tr>
        <w:trPr>
          <w:trHeight w:val="715"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178,787,790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2.22%</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79,107,507</w:t>
            </w:r>
          </w:p>
        </w:tc>
        <w:tc>
          <w:tcPr>
            <w:tcW w:w="4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62" w:right="18" w:firstLine="840"/>
              <w:jc w:val="left"/>
              <w:rPr>
                <w:rFonts w:ascii="Arial" w:hAnsi="Arial" w:cs="Arial" w:eastAsia="Arial" w:hint="default"/>
                <w:sz w:val="18"/>
                <w:szCs w:val="18"/>
              </w:rPr>
            </w:pPr>
            <w:r>
              <w:rPr>
                <w:rFonts w:ascii="Arial"/>
                <w:sz w:val="18"/>
              </w:rPr>
              <w:t>-</w:t>
            </w:r>
            <w:r>
              <w:rPr>
                <w:rFonts w:ascii="Arial"/>
                <w:w w:val="99"/>
                <w:sz w:val="18"/>
              </w:rPr>
              <w:t> </w:t>
            </w:r>
            <w:r>
              <w:rPr>
                <w:rFonts w:ascii="Arial"/>
                <w:sz w:val="18"/>
              </w:rPr>
              <w:t>28,202,643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50,904,864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229,692,65</w:t>
            </w:r>
          </w:p>
          <w:p>
            <w:pPr>
              <w:pStyle w:val="TableParagraph"/>
              <w:spacing w:line="240" w:lineRule="auto" w:before="105"/>
              <w:ind w:right="20"/>
              <w:jc w:val="right"/>
              <w:rPr>
                <w:rFonts w:ascii="Arial" w:hAnsi="Arial" w:cs="Arial" w:eastAsia="Arial" w:hint="default"/>
                <w:sz w:val="18"/>
                <w:szCs w:val="18"/>
              </w:rPr>
            </w:pPr>
            <w:r>
              <w:rPr>
                <w:rFonts w:ascii="Arial"/>
                <w:w w:val="99"/>
                <w:sz w:val="18"/>
              </w:rPr>
              <w:t>4</w:t>
            </w:r>
            <w:r>
              <w:rPr>
                <w:rFonts w:ascii="Arial"/>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30.20%</w:t>
            </w: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144"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71,000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71,000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71,000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0.01%</w:t>
            </w:r>
            <w:r>
              <w:rPr>
                <w:rFonts w:ascii="Arial"/>
                <w:sz w:val="18"/>
              </w:rPr>
            </w:r>
          </w:p>
        </w:tc>
      </w:tr>
      <w:tr>
        <w:trPr>
          <w:trHeight w:val="716"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44"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71,000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71,000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71,000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5"/>
                <w:sz w:val="18"/>
              </w:rPr>
              <w:t>0.01%</w:t>
            </w:r>
            <w:r>
              <w:rPr>
                <w:rFonts w:ascii="Arial"/>
                <w:sz w:val="18"/>
              </w:rPr>
            </w:r>
          </w:p>
        </w:tc>
      </w:tr>
      <w:tr>
        <w:trPr>
          <w:trHeight w:val="71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二、无限售条件股 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463,720,924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71.95%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2,985,860</w:t>
            </w:r>
          </w:p>
        </w:tc>
        <w:tc>
          <w:tcPr>
            <w:tcW w:w="4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28,967,644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31,953,504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495,674,42</w:t>
            </w:r>
          </w:p>
          <w:p>
            <w:pPr>
              <w:pStyle w:val="TableParagraph"/>
              <w:spacing w:line="240" w:lineRule="auto" w:before="105"/>
              <w:ind w:right="20"/>
              <w:jc w:val="right"/>
              <w:rPr>
                <w:rFonts w:ascii="Arial" w:hAnsi="Arial" w:cs="Arial" w:eastAsia="Arial" w:hint="default"/>
                <w:sz w:val="18"/>
                <w:szCs w:val="18"/>
              </w:rPr>
            </w:pPr>
            <w:r>
              <w:rPr>
                <w:rFonts w:ascii="Arial"/>
                <w:w w:val="99"/>
                <w:sz w:val="18"/>
              </w:rPr>
              <w:t>8</w:t>
            </w:r>
            <w:r>
              <w:rPr>
                <w:rFonts w:ascii="Arial"/>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65.16%</w:t>
            </w:r>
          </w:p>
        </w:tc>
      </w:tr>
      <w:tr>
        <w:trPr>
          <w:trHeight w:val="161"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Arial" w:hAnsi="Arial" w:cs="Arial" w:eastAsia="Arial" w:hint="default"/>
                <w:sz w:val="18"/>
                <w:szCs w:val="18"/>
              </w:rPr>
            </w:pPr>
            <w:r>
              <w:rPr>
                <w:rFonts w:ascii="Arial"/>
                <w:sz w:val="18"/>
              </w:rPr>
              <w:t>463,720,924</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 w:right="0"/>
              <w:jc w:val="left"/>
              <w:rPr>
                <w:rFonts w:ascii="Arial" w:hAnsi="Arial" w:cs="Arial" w:eastAsia="Arial" w:hint="default"/>
                <w:sz w:val="18"/>
                <w:szCs w:val="18"/>
              </w:rPr>
            </w:pPr>
            <w:r>
              <w:rPr>
                <w:rFonts w:ascii="Arial"/>
                <w:sz w:val="18"/>
              </w:rPr>
              <w:t>71.95%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8" w:right="0"/>
              <w:jc w:val="left"/>
              <w:rPr>
                <w:rFonts w:ascii="Arial" w:hAnsi="Arial" w:cs="Arial" w:eastAsia="Arial" w:hint="default"/>
                <w:sz w:val="18"/>
                <w:szCs w:val="18"/>
              </w:rPr>
            </w:pPr>
            <w:r>
              <w:rPr>
                <w:rFonts w:ascii="Arial"/>
                <w:sz w:val="18"/>
              </w:rPr>
              <w:t>2,985,860</w:t>
            </w:r>
          </w:p>
        </w:tc>
        <w:tc>
          <w:tcPr>
            <w:tcW w:w="434" w:type="dxa"/>
            <w:vMerge w:val="restart"/>
            <w:tcBorders>
              <w:top w:val="single" w:sz="4" w:space="0" w:color="000000"/>
              <w:left w:val="single" w:sz="4" w:space="0" w:color="000000"/>
              <w:right w:val="single" w:sz="4" w:space="0" w:color="000000"/>
            </w:tcBorders>
          </w:tcPr>
          <w:p>
            <w:pPr/>
          </w:p>
        </w:tc>
        <w:tc>
          <w:tcPr>
            <w:tcW w:w="98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 w:right="0"/>
              <w:jc w:val="left"/>
              <w:rPr>
                <w:rFonts w:ascii="Arial" w:hAnsi="Arial" w:cs="Arial" w:eastAsia="Arial" w:hint="default"/>
                <w:sz w:val="18"/>
                <w:szCs w:val="18"/>
              </w:rPr>
            </w:pPr>
            <w:r>
              <w:rPr>
                <w:rFonts w:ascii="Arial"/>
                <w:sz w:val="18"/>
              </w:rPr>
              <w:t>28,967,644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9" w:right="0"/>
              <w:jc w:val="left"/>
              <w:rPr>
                <w:rFonts w:ascii="Arial" w:hAnsi="Arial" w:cs="Arial" w:eastAsia="Arial" w:hint="default"/>
                <w:sz w:val="18"/>
                <w:szCs w:val="18"/>
              </w:rPr>
            </w:pPr>
            <w:r>
              <w:rPr>
                <w:rFonts w:ascii="Arial"/>
                <w:sz w:val="18"/>
              </w:rPr>
              <w:t>31,953,504</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495,674,42</w:t>
            </w:r>
          </w:p>
          <w:p>
            <w:pPr>
              <w:pStyle w:val="TableParagraph"/>
              <w:spacing w:line="240" w:lineRule="auto" w:before="105"/>
              <w:ind w:right="20"/>
              <w:jc w:val="right"/>
              <w:rPr>
                <w:rFonts w:ascii="Arial" w:hAnsi="Arial" w:cs="Arial" w:eastAsia="Arial" w:hint="default"/>
                <w:sz w:val="18"/>
                <w:szCs w:val="18"/>
              </w:rPr>
            </w:pPr>
            <w:r>
              <w:rPr>
                <w:rFonts w:ascii="Arial"/>
                <w:w w:val="99"/>
                <w:sz w:val="18"/>
              </w:rPr>
              <w:t>8</w:t>
            </w:r>
            <w:r>
              <w:rPr>
                <w:rFonts w:ascii="Arial"/>
                <w:sz w:val="18"/>
              </w:rPr>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8" w:right="0"/>
              <w:jc w:val="left"/>
              <w:rPr>
                <w:rFonts w:ascii="Arial" w:hAnsi="Arial" w:cs="Arial" w:eastAsia="Arial" w:hint="default"/>
                <w:sz w:val="18"/>
                <w:szCs w:val="18"/>
              </w:rPr>
            </w:pPr>
            <w:r>
              <w:rPr>
                <w:rFonts w:ascii="Arial"/>
                <w:sz w:val="18"/>
              </w:rPr>
              <w:t>65.16%</w:t>
            </w:r>
          </w:p>
        </w:tc>
      </w:tr>
      <w:tr>
        <w:trPr>
          <w:trHeight w:val="394" w:hRule="exact"/>
        </w:trPr>
        <w:tc>
          <w:tcPr>
            <w:tcW w:w="1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144"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34"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61"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Arial" w:hAnsi="Arial" w:cs="Arial" w:eastAsia="Arial" w:hint="default"/>
                <w:sz w:val="18"/>
                <w:szCs w:val="18"/>
              </w:rPr>
            </w:pPr>
            <w:r>
              <w:rPr>
                <w:rFonts w:ascii="Arial"/>
                <w:sz w:val="18"/>
              </w:rPr>
              <w:t>644,482,388</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116,325,99</w:t>
            </w:r>
          </w:p>
          <w:p>
            <w:pPr>
              <w:pStyle w:val="TableParagraph"/>
              <w:spacing w:line="240" w:lineRule="auto" w:before="105"/>
              <w:ind w:right="22"/>
              <w:jc w:val="right"/>
              <w:rPr>
                <w:rFonts w:ascii="Arial" w:hAnsi="Arial" w:cs="Arial" w:eastAsia="Arial" w:hint="default"/>
                <w:sz w:val="18"/>
                <w:szCs w:val="18"/>
              </w:rPr>
            </w:pPr>
            <w:r>
              <w:rPr>
                <w:rFonts w:ascii="Arial"/>
                <w:w w:val="99"/>
                <w:sz w:val="18"/>
              </w:rPr>
              <w:t>5</w:t>
            </w:r>
            <w:r>
              <w:rPr>
                <w:rFonts w:ascii="Arial"/>
                <w:sz w:val="18"/>
              </w:rPr>
            </w:r>
          </w:p>
        </w:tc>
        <w:tc>
          <w:tcPr>
            <w:tcW w:w="434" w:type="dxa"/>
            <w:vMerge w:val="restart"/>
            <w:tcBorders>
              <w:top w:val="single" w:sz="4" w:space="0" w:color="000000"/>
              <w:left w:val="single" w:sz="4" w:space="0" w:color="000000"/>
              <w:right w:val="single" w:sz="4" w:space="0" w:color="000000"/>
            </w:tcBorders>
          </w:tcPr>
          <w:p>
            <w:pPr/>
          </w:p>
        </w:tc>
        <w:tc>
          <w:tcPr>
            <w:tcW w:w="98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1" w:right="0"/>
              <w:jc w:val="left"/>
              <w:rPr>
                <w:rFonts w:ascii="Arial" w:hAnsi="Arial" w:cs="Arial" w:eastAsia="Arial" w:hint="default"/>
                <w:sz w:val="18"/>
                <w:szCs w:val="18"/>
              </w:rPr>
            </w:pPr>
            <w:r>
              <w:rPr>
                <w:rFonts w:ascii="Arial"/>
                <w:sz w:val="18"/>
              </w:rPr>
              <w:t>-127,207</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116,198,78</w:t>
            </w:r>
          </w:p>
          <w:p>
            <w:pPr>
              <w:pStyle w:val="TableParagraph"/>
              <w:spacing w:line="240" w:lineRule="auto" w:before="105"/>
              <w:ind w:right="22"/>
              <w:jc w:val="right"/>
              <w:rPr>
                <w:rFonts w:ascii="Arial" w:hAnsi="Arial" w:cs="Arial" w:eastAsia="Arial" w:hint="default"/>
                <w:sz w:val="18"/>
                <w:szCs w:val="18"/>
              </w:rPr>
            </w:pPr>
            <w:r>
              <w:rPr>
                <w:rFonts w:ascii="Arial"/>
                <w:w w:val="99"/>
                <w:sz w:val="18"/>
              </w:rPr>
              <w:t>8</w:t>
            </w:r>
            <w:r>
              <w:rPr>
                <w:rFonts w:ascii="Arial"/>
                <w:sz w:val="18"/>
              </w:rPr>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760,681,17</w:t>
            </w:r>
          </w:p>
          <w:p>
            <w:pPr>
              <w:pStyle w:val="TableParagraph"/>
              <w:spacing w:line="240" w:lineRule="auto" w:before="105"/>
              <w:ind w:right="20"/>
              <w:jc w:val="right"/>
              <w:rPr>
                <w:rFonts w:ascii="Arial" w:hAnsi="Arial" w:cs="Arial" w:eastAsia="Arial" w:hint="default"/>
                <w:sz w:val="18"/>
                <w:szCs w:val="18"/>
              </w:rPr>
            </w:pPr>
            <w:r>
              <w:rPr>
                <w:rFonts w:ascii="Arial"/>
                <w:w w:val="99"/>
                <w:sz w:val="18"/>
              </w:rPr>
              <w:t>6</w:t>
            </w:r>
            <w:r>
              <w:rPr>
                <w:rFonts w:ascii="Arial"/>
                <w:sz w:val="18"/>
              </w:rPr>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7" w:right="0"/>
              <w:jc w:val="left"/>
              <w:rPr>
                <w:rFonts w:ascii="Arial" w:hAnsi="Arial" w:cs="Arial" w:eastAsia="Arial" w:hint="default"/>
                <w:sz w:val="18"/>
                <w:szCs w:val="18"/>
              </w:rPr>
            </w:pPr>
            <w:r>
              <w:rPr>
                <w:rFonts w:ascii="Arial"/>
                <w:sz w:val="18"/>
              </w:rPr>
              <w:t>100.00%</w:t>
            </w:r>
          </w:p>
        </w:tc>
      </w:tr>
      <w:tr>
        <w:trPr>
          <w:trHeight w:val="391" w:hRule="exact"/>
        </w:trPr>
        <w:tc>
          <w:tcPr>
            <w:tcW w:w="1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34"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bl>
    <w:p>
      <w:pPr>
        <w:pStyle w:val="BodyText"/>
        <w:spacing w:line="240" w:lineRule="auto"/>
        <w:ind w:right="0"/>
        <w:jc w:val="left"/>
      </w:pPr>
      <w:r>
        <w:rPr/>
        <w:t>股份变动的原因</w:t>
      </w:r>
    </w:p>
    <w:p>
      <w:pPr>
        <w:pStyle w:val="BodyText"/>
        <w:spacing w:line="240" w:lineRule="auto" w:before="38"/>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83" w:lineRule="auto" w:before="175"/>
        <w:ind w:right="281" w:firstLine="480"/>
        <w:jc w:val="left"/>
      </w:pPr>
      <w:r>
        <w:rPr/>
        <w:t>（</w:t>
      </w:r>
      <w:r>
        <w:rPr>
          <w:rFonts w:ascii="Arial" w:hAnsi="Arial" w:cs="Arial" w:eastAsia="Arial" w:hint="default"/>
        </w:rPr>
        <w:t>1</w:t>
      </w:r>
      <w:r>
        <w:rPr/>
        <w:t>）</w:t>
      </w: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1</w:t>
      </w:r>
      <w:r>
        <w:rPr>
          <w:rFonts w:ascii="Arial" w:hAnsi="Arial" w:cs="Arial" w:eastAsia="Arial" w:hint="default"/>
          <w:spacing w:val="-8"/>
        </w:rPr>
        <w:t> </w:t>
      </w:r>
      <w:r>
        <w:rPr/>
        <w:t>月，因公司股权激励，发行限制性股票</w:t>
      </w:r>
      <w:r>
        <w:rPr>
          <w:spacing w:val="-62"/>
        </w:rPr>
        <w:t> </w:t>
      </w:r>
      <w:r>
        <w:rPr>
          <w:rFonts w:ascii="Arial" w:hAnsi="Arial" w:cs="Arial" w:eastAsia="Arial" w:hint="default"/>
        </w:rPr>
        <w:t>21,586,900</w:t>
      </w:r>
      <w:r>
        <w:rPr>
          <w:rFonts w:ascii="Arial" w:hAnsi="Arial" w:cs="Arial" w:eastAsia="Arial" w:hint="default"/>
          <w:spacing w:val="-9"/>
        </w:rPr>
        <w:t> </w:t>
      </w:r>
      <w:r>
        <w:rPr/>
        <w:t>股，均为有限售条 件股份。</w:t>
      </w:r>
    </w:p>
    <w:p>
      <w:pPr>
        <w:pStyle w:val="BodyText"/>
        <w:spacing w:line="240" w:lineRule="auto" w:before="190"/>
        <w:ind w:left="633" w:right="0"/>
        <w:jc w:val="left"/>
      </w:pPr>
      <w:r>
        <w:rPr/>
        <w:t>（</w:t>
      </w:r>
      <w:r>
        <w:rPr>
          <w:rFonts w:ascii="Arial" w:hAnsi="Arial" w:cs="Arial" w:eastAsia="Arial" w:hint="default"/>
        </w:rPr>
        <w:t>2</w:t>
      </w:r>
      <w:r>
        <w:rPr/>
        <w:t>）</w:t>
      </w:r>
      <w:r>
        <w:rPr>
          <w:rFonts w:ascii="Arial" w:hAnsi="Arial" w:cs="Arial" w:eastAsia="Arial" w:hint="default"/>
        </w:rPr>
        <w:t>2017</w:t>
      </w:r>
      <w:r>
        <w:rPr>
          <w:rFonts w:ascii="Arial" w:hAnsi="Arial" w:cs="Arial" w:eastAsia="Arial" w:hint="default"/>
          <w:spacing w:val="-9"/>
        </w:rPr>
        <w:t> </w:t>
      </w:r>
      <w:r>
        <w:rPr/>
        <w:t>年</w:t>
      </w:r>
      <w:r>
        <w:rPr>
          <w:spacing w:val="-63"/>
        </w:rPr>
        <w:t> </w:t>
      </w:r>
      <w:r>
        <w:rPr>
          <w:rFonts w:ascii="Arial" w:hAnsi="Arial" w:cs="Arial" w:eastAsia="Arial" w:hint="default"/>
        </w:rPr>
        <w:t>4</w:t>
      </w:r>
      <w:r>
        <w:rPr>
          <w:rFonts w:ascii="Arial" w:hAnsi="Arial" w:cs="Arial" w:eastAsia="Arial" w:hint="default"/>
          <w:spacing w:val="-9"/>
        </w:rPr>
        <w:t> </w:t>
      </w:r>
      <w:r>
        <w:rPr/>
        <w:t>月，因公司发行股份购买资产解锁条件达成，解除限售股份数量为</w:t>
      </w:r>
    </w:p>
    <w:p>
      <w:pPr>
        <w:pStyle w:val="BodyText"/>
        <w:spacing w:line="240" w:lineRule="auto" w:before="57"/>
        <w:ind w:right="0"/>
        <w:jc w:val="left"/>
      </w:pPr>
      <w:r>
        <w:rPr>
          <w:rFonts w:ascii="Arial" w:hAnsi="Arial" w:cs="Arial" w:eastAsia="Arial" w:hint="default"/>
        </w:rPr>
        <w:t>2,880,373</w:t>
      </w:r>
      <w:r>
        <w:rPr>
          <w:rFonts w:ascii="Arial" w:hAnsi="Arial" w:cs="Arial" w:eastAsia="Arial" w:hint="default"/>
          <w:spacing w:val="-8"/>
        </w:rPr>
        <w:t> </w:t>
      </w:r>
      <w:r>
        <w:rPr/>
        <w:t>股，其中实际上市流通股份为</w:t>
      </w:r>
      <w:r>
        <w:rPr>
          <w:spacing w:val="-63"/>
        </w:rPr>
        <w:t> </w:t>
      </w:r>
      <w:r>
        <w:rPr>
          <w:rFonts w:ascii="Arial" w:hAnsi="Arial" w:cs="Arial" w:eastAsia="Arial" w:hint="default"/>
        </w:rPr>
        <w:t>2,880,373</w:t>
      </w:r>
      <w:r>
        <w:rPr>
          <w:rFonts w:ascii="Arial" w:hAnsi="Arial" w:cs="Arial" w:eastAsia="Arial" w:hint="default"/>
          <w:spacing w:val="-8"/>
        </w:rPr>
        <w:t> </w:t>
      </w:r>
      <w:r>
        <w:rPr/>
        <w:t>股。</w:t>
      </w:r>
    </w:p>
    <w:p>
      <w:pPr>
        <w:spacing w:line="240" w:lineRule="auto" w:before="7"/>
        <w:rPr>
          <w:rFonts w:ascii="宋体" w:hAnsi="宋体" w:cs="宋体" w:eastAsia="宋体" w:hint="default"/>
          <w:sz w:val="16"/>
          <w:szCs w:val="16"/>
        </w:rPr>
      </w:pPr>
    </w:p>
    <w:p>
      <w:pPr>
        <w:pStyle w:val="BodyText"/>
        <w:spacing w:line="280" w:lineRule="auto"/>
        <w:ind w:right="370" w:firstLine="480"/>
        <w:jc w:val="left"/>
      </w:pPr>
      <w:r>
        <w:rPr/>
        <w:t>（</w:t>
      </w:r>
      <w:r>
        <w:rPr>
          <w:rFonts w:ascii="Arial" w:hAnsi="Arial" w:cs="Arial" w:eastAsia="Arial" w:hint="default"/>
        </w:rPr>
        <w:t>3</w:t>
      </w:r>
      <w:r>
        <w:rPr/>
        <w:t>）</w:t>
      </w: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5</w:t>
      </w:r>
      <w:r>
        <w:rPr>
          <w:rFonts w:ascii="Arial" w:hAnsi="Arial" w:cs="Arial" w:eastAsia="Arial" w:hint="default"/>
          <w:spacing w:val="-8"/>
        </w:rPr>
        <w:t> </w:t>
      </w:r>
      <w:r>
        <w:rPr/>
        <w:t>月，公司总经理吕宾先生通过二级市场增持股份</w:t>
      </w:r>
      <w:r>
        <w:rPr>
          <w:spacing w:val="-61"/>
        </w:rPr>
        <w:t> </w:t>
      </w:r>
      <w:r>
        <w:rPr>
          <w:rFonts w:ascii="Arial" w:hAnsi="Arial" w:cs="Arial" w:eastAsia="Arial" w:hint="default"/>
        </w:rPr>
        <w:t>208,800</w:t>
      </w:r>
      <w:r>
        <w:rPr>
          <w:rFonts w:ascii="Arial" w:hAnsi="Arial" w:cs="Arial" w:eastAsia="Arial" w:hint="default"/>
          <w:spacing w:val="-6"/>
        </w:rPr>
        <w:t> </w:t>
      </w:r>
      <w:r>
        <w:rPr/>
        <w:t>股。根据高 管锁定要求，上述股份有</w:t>
      </w:r>
      <w:r>
        <w:rPr>
          <w:spacing w:val="-64"/>
        </w:rPr>
        <w:t> </w:t>
      </w:r>
      <w:r>
        <w:rPr>
          <w:rFonts w:ascii="Arial" w:hAnsi="Arial" w:cs="Arial" w:eastAsia="Arial" w:hint="default"/>
        </w:rPr>
        <w:t>75%</w:t>
      </w:r>
      <w:r>
        <w:rPr/>
        <w:t>无限售股份变为限售股份。</w:t>
      </w:r>
    </w:p>
    <w:p>
      <w:pPr>
        <w:spacing w:after="0" w:line="280" w:lineRule="auto"/>
        <w:jc w:val="left"/>
        <w:sectPr>
          <w:pgSz w:w="11910" w:h="16840"/>
          <w:pgMar w:header="877" w:footer="980" w:top="1100" w:bottom="1160" w:left="980" w:right="980"/>
        </w:sectPr>
      </w:pPr>
    </w:p>
    <w:p>
      <w:pPr>
        <w:spacing w:line="240" w:lineRule="auto" w:before="8"/>
        <w:rPr>
          <w:rFonts w:ascii="宋体" w:hAnsi="宋体" w:cs="宋体" w:eastAsia="宋体" w:hint="default"/>
          <w:sz w:val="22"/>
          <w:szCs w:val="22"/>
        </w:rPr>
      </w:pPr>
    </w:p>
    <w:p>
      <w:pPr>
        <w:pStyle w:val="BodyText"/>
        <w:spacing w:line="283" w:lineRule="auto" w:before="26"/>
        <w:ind w:right="370" w:firstLine="480"/>
        <w:jc w:val="left"/>
      </w:pPr>
      <w:r>
        <w:rPr/>
        <w:t>（</w:t>
      </w:r>
      <w:r>
        <w:rPr>
          <w:rFonts w:ascii="Arial" w:hAnsi="Arial" w:cs="Arial" w:eastAsia="Arial" w:hint="default"/>
        </w:rPr>
        <w:t>4</w:t>
      </w:r>
      <w:r>
        <w:rPr/>
        <w:t>）</w:t>
      </w: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6</w:t>
      </w:r>
      <w:r>
        <w:rPr>
          <w:rFonts w:ascii="Arial" w:hAnsi="Arial" w:cs="Arial" w:eastAsia="Arial" w:hint="default"/>
          <w:spacing w:val="-8"/>
        </w:rPr>
        <w:t> </w:t>
      </w:r>
      <w:r>
        <w:rPr/>
        <w:t>月，公司董事长邵学先生通过二级市场增持股份</w:t>
      </w:r>
      <w:r>
        <w:rPr>
          <w:spacing w:val="-61"/>
        </w:rPr>
        <w:t> </w:t>
      </w:r>
      <w:r>
        <w:rPr>
          <w:rFonts w:ascii="Arial" w:hAnsi="Arial" w:cs="Arial" w:eastAsia="Arial" w:hint="default"/>
        </w:rPr>
        <w:t>403,400</w:t>
      </w:r>
      <w:r>
        <w:rPr>
          <w:rFonts w:ascii="Arial" w:hAnsi="Arial" w:cs="Arial" w:eastAsia="Arial" w:hint="default"/>
          <w:spacing w:val="-6"/>
        </w:rPr>
        <w:t> </w:t>
      </w:r>
      <w:r>
        <w:rPr/>
        <w:t>股。根据高 管锁定要求，上述股份有</w:t>
      </w:r>
      <w:r>
        <w:rPr>
          <w:spacing w:val="-64"/>
        </w:rPr>
        <w:t> </w:t>
      </w:r>
      <w:r>
        <w:rPr>
          <w:rFonts w:ascii="Arial" w:hAnsi="Arial" w:cs="Arial" w:eastAsia="Arial" w:hint="default"/>
        </w:rPr>
        <w:t>75%</w:t>
      </w:r>
      <w:r>
        <w:rPr/>
        <w:t>无限售股份变为限售股份。</w:t>
      </w:r>
    </w:p>
    <w:p>
      <w:pPr>
        <w:pStyle w:val="BodyText"/>
        <w:spacing w:line="240" w:lineRule="auto" w:before="167"/>
        <w:ind w:left="633" w:right="0"/>
        <w:jc w:val="left"/>
        <w:rPr>
          <w:rFonts w:ascii="Arial" w:hAnsi="Arial" w:cs="Arial" w:eastAsia="Arial" w:hint="default"/>
        </w:rPr>
      </w:pPr>
      <w:r>
        <w:rPr/>
        <w:t>（</w:t>
      </w:r>
      <w:r>
        <w:rPr>
          <w:rFonts w:ascii="Arial" w:hAnsi="Arial" w:cs="Arial" w:eastAsia="Arial" w:hint="default"/>
        </w:rPr>
        <w:t>5</w:t>
      </w:r>
      <w:r>
        <w:rPr/>
        <w:t>）</w:t>
      </w:r>
      <w:r>
        <w:rPr>
          <w:rFonts w:ascii="Arial" w:hAnsi="Arial" w:cs="Arial" w:eastAsia="Arial" w:hint="default"/>
        </w:rPr>
        <w:t>2017</w:t>
      </w:r>
      <w:r>
        <w:rPr>
          <w:rFonts w:ascii="Arial" w:hAnsi="Arial" w:cs="Arial" w:eastAsia="Arial" w:hint="default"/>
          <w:spacing w:val="-9"/>
        </w:rPr>
        <w:t> </w:t>
      </w:r>
      <w:r>
        <w:rPr/>
        <w:t>年</w:t>
      </w:r>
      <w:r>
        <w:rPr>
          <w:spacing w:val="-63"/>
        </w:rPr>
        <w:t> </w:t>
      </w:r>
      <w:r>
        <w:rPr>
          <w:rFonts w:ascii="Arial" w:hAnsi="Arial" w:cs="Arial" w:eastAsia="Arial" w:hint="default"/>
        </w:rPr>
        <w:t>6</w:t>
      </w:r>
      <w:r>
        <w:rPr>
          <w:rFonts w:ascii="Arial" w:hAnsi="Arial" w:cs="Arial" w:eastAsia="Arial" w:hint="default"/>
          <w:spacing w:val="-9"/>
        </w:rPr>
        <w:t> </w:t>
      </w:r>
      <w:r>
        <w:rPr/>
        <w:t>月，因公司限制性股票解锁条件达成，解除限制性股票数量</w:t>
      </w:r>
      <w:r>
        <w:rPr>
          <w:spacing w:val="-62"/>
        </w:rPr>
        <w:t> </w:t>
      </w:r>
      <w:r>
        <w:rPr>
          <w:rFonts w:ascii="Arial" w:hAnsi="Arial" w:cs="Arial" w:eastAsia="Arial" w:hint="default"/>
        </w:rPr>
        <w:t>4,556,760</w:t>
      </w:r>
    </w:p>
    <w:p>
      <w:pPr>
        <w:pStyle w:val="BodyText"/>
        <w:spacing w:line="240" w:lineRule="auto" w:before="57"/>
        <w:ind w:right="0"/>
        <w:jc w:val="both"/>
      </w:pPr>
      <w:r>
        <w:rPr/>
        <w:t>股，其中实际上市流通股份为</w:t>
      </w:r>
      <w:r>
        <w:rPr>
          <w:spacing w:val="-61"/>
        </w:rPr>
        <w:t> </w:t>
      </w:r>
      <w:r>
        <w:rPr>
          <w:rFonts w:ascii="Arial" w:hAnsi="Arial" w:cs="Arial" w:eastAsia="Arial" w:hint="default"/>
        </w:rPr>
        <w:t>4,556,760</w:t>
      </w:r>
      <w:r>
        <w:rPr>
          <w:rFonts w:ascii="Arial" w:hAnsi="Arial" w:cs="Arial" w:eastAsia="Arial" w:hint="default"/>
          <w:spacing w:val="-7"/>
        </w:rPr>
        <w:t> </w:t>
      </w:r>
      <w:r>
        <w:rPr/>
        <w:t>股。</w:t>
      </w:r>
    </w:p>
    <w:p>
      <w:pPr>
        <w:spacing w:line="240" w:lineRule="auto" w:before="7"/>
        <w:rPr>
          <w:rFonts w:ascii="宋体" w:hAnsi="宋体" w:cs="宋体" w:eastAsia="宋体" w:hint="default"/>
          <w:sz w:val="16"/>
          <w:szCs w:val="16"/>
        </w:rPr>
      </w:pPr>
    </w:p>
    <w:p>
      <w:pPr>
        <w:pStyle w:val="BodyText"/>
        <w:spacing w:line="240" w:lineRule="auto"/>
        <w:ind w:left="633" w:right="0"/>
        <w:jc w:val="left"/>
      </w:pPr>
      <w:r>
        <w:rPr/>
        <w:t>（</w:t>
      </w:r>
      <w:r>
        <w:rPr>
          <w:rFonts w:ascii="Arial" w:hAnsi="Arial" w:cs="Arial" w:eastAsia="Arial" w:hint="default"/>
        </w:rPr>
        <w:t>6</w:t>
      </w:r>
      <w:r>
        <w:rPr/>
        <w:t>）</w:t>
      </w:r>
      <w:r>
        <w:rPr>
          <w:rFonts w:ascii="Arial" w:hAnsi="Arial" w:cs="Arial" w:eastAsia="Arial" w:hint="default"/>
        </w:rPr>
        <w:t>2017</w:t>
      </w:r>
      <w:r>
        <w:rPr>
          <w:rFonts w:ascii="Arial" w:hAnsi="Arial" w:cs="Arial" w:eastAsia="Arial" w:hint="default"/>
          <w:spacing w:val="-9"/>
        </w:rPr>
        <w:t> </w:t>
      </w:r>
      <w:r>
        <w:rPr/>
        <w:t>年</w:t>
      </w:r>
      <w:r>
        <w:rPr>
          <w:spacing w:val="-63"/>
        </w:rPr>
        <w:t> </w:t>
      </w:r>
      <w:r>
        <w:rPr>
          <w:rFonts w:ascii="Arial" w:hAnsi="Arial" w:cs="Arial" w:eastAsia="Arial" w:hint="default"/>
        </w:rPr>
        <w:t>8</w:t>
      </w:r>
      <w:r>
        <w:rPr>
          <w:rFonts w:ascii="Arial" w:hAnsi="Arial" w:cs="Arial" w:eastAsia="Arial" w:hint="default"/>
          <w:spacing w:val="-9"/>
        </w:rPr>
        <w:t> </w:t>
      </w:r>
      <w:r>
        <w:rPr/>
        <w:t>月，限制性股票（暂缓授予部分）解锁条件达成，解除限制性股票数量</w:t>
      </w:r>
    </w:p>
    <w:p>
      <w:pPr>
        <w:pStyle w:val="BodyText"/>
        <w:spacing w:line="240" w:lineRule="auto" w:before="57"/>
        <w:ind w:right="0"/>
        <w:jc w:val="both"/>
      </w:pPr>
      <w:r>
        <w:rPr>
          <w:rFonts w:ascii="Arial" w:hAnsi="Arial" w:cs="Arial" w:eastAsia="Arial" w:hint="default"/>
        </w:rPr>
        <w:t>47,614</w:t>
      </w:r>
      <w:r>
        <w:rPr>
          <w:rFonts w:ascii="Arial" w:hAnsi="Arial" w:cs="Arial" w:eastAsia="Arial" w:hint="default"/>
          <w:spacing w:val="-10"/>
        </w:rPr>
        <w:t> </w:t>
      </w:r>
      <w:r>
        <w:rPr/>
        <w:t>股，因涉及的股权激励对象为公司高管，根据高管任职规定，实际可上市流通股数</w:t>
      </w:r>
    </w:p>
    <w:p>
      <w:pPr>
        <w:pStyle w:val="BodyText"/>
        <w:spacing w:line="240" w:lineRule="auto" w:before="60"/>
        <w:ind w:right="0"/>
        <w:jc w:val="both"/>
      </w:pPr>
      <w:r>
        <w:rPr/>
        <w:t>为</w:t>
      </w:r>
      <w:r>
        <w:rPr>
          <w:spacing w:val="-60"/>
        </w:rPr>
        <w:t> </w:t>
      </w:r>
      <w:r>
        <w:rPr>
          <w:rFonts w:ascii="Arial" w:hAnsi="Arial" w:cs="Arial" w:eastAsia="Arial" w:hint="default"/>
        </w:rPr>
        <w:t>0</w:t>
      </w:r>
      <w:r>
        <w:rPr>
          <w:rFonts w:ascii="Arial" w:hAnsi="Arial" w:cs="Arial" w:eastAsia="Arial" w:hint="default"/>
          <w:spacing w:val="-6"/>
        </w:rPr>
        <w:t> </w:t>
      </w:r>
      <w:r>
        <w:rPr/>
        <w:t>股。</w:t>
      </w:r>
    </w:p>
    <w:p>
      <w:pPr>
        <w:pStyle w:val="BodyText"/>
        <w:spacing w:line="240" w:lineRule="auto" w:before="213"/>
        <w:ind w:left="633" w:right="0"/>
        <w:jc w:val="left"/>
        <w:rPr>
          <w:rFonts w:ascii="Arial" w:hAnsi="Arial" w:cs="Arial" w:eastAsia="Arial" w:hint="default"/>
        </w:rPr>
      </w:pPr>
      <w:r>
        <w:rPr/>
        <w:t>（</w:t>
      </w:r>
      <w:r>
        <w:rPr>
          <w:rFonts w:ascii="Arial" w:hAnsi="Arial" w:cs="Arial" w:eastAsia="Arial" w:hint="default"/>
        </w:rPr>
        <w:t>7</w:t>
      </w:r>
      <w:r>
        <w:rPr/>
        <w:t>）</w:t>
      </w:r>
      <w:r>
        <w:rPr>
          <w:rFonts w:ascii="Arial" w:hAnsi="Arial" w:cs="Arial" w:eastAsia="Arial" w:hint="default"/>
        </w:rPr>
        <w:t>2017</w:t>
      </w:r>
      <w:r>
        <w:rPr>
          <w:rFonts w:ascii="Arial" w:hAnsi="Arial" w:cs="Arial" w:eastAsia="Arial" w:hint="default"/>
          <w:spacing w:val="-9"/>
        </w:rPr>
        <w:t> </w:t>
      </w:r>
      <w:r>
        <w:rPr/>
        <w:t>年</w:t>
      </w:r>
      <w:r>
        <w:rPr>
          <w:spacing w:val="-63"/>
        </w:rPr>
        <w:t> </w:t>
      </w:r>
      <w:r>
        <w:rPr>
          <w:rFonts w:ascii="Arial" w:hAnsi="Arial" w:cs="Arial" w:eastAsia="Arial" w:hint="default"/>
        </w:rPr>
        <w:t>9</w:t>
      </w:r>
      <w:r>
        <w:rPr>
          <w:rFonts w:ascii="Arial" w:hAnsi="Arial" w:cs="Arial" w:eastAsia="Arial" w:hint="default"/>
          <w:spacing w:val="-9"/>
        </w:rPr>
        <w:t> </w:t>
      </w:r>
      <w:r>
        <w:rPr/>
        <w:t>月，公司发行股份购买资产并配套募集资金，发行股份</w:t>
      </w:r>
      <w:r>
        <w:rPr>
          <w:spacing w:val="-62"/>
        </w:rPr>
        <w:t> </w:t>
      </w:r>
      <w:r>
        <w:rPr>
          <w:rFonts w:ascii="Arial" w:hAnsi="Arial" w:cs="Arial" w:eastAsia="Arial" w:hint="default"/>
        </w:rPr>
        <w:t>91,753,235</w:t>
      </w:r>
    </w:p>
    <w:p>
      <w:pPr>
        <w:pStyle w:val="BodyText"/>
        <w:spacing w:line="240" w:lineRule="auto" w:before="60"/>
        <w:ind w:right="0"/>
        <w:jc w:val="both"/>
      </w:pPr>
      <w:r>
        <w:rPr/>
        <w:t>股，均为有限售条件股份。</w:t>
      </w:r>
    </w:p>
    <w:p>
      <w:pPr>
        <w:spacing w:line="240" w:lineRule="auto" w:before="9"/>
        <w:rPr>
          <w:rFonts w:ascii="宋体" w:hAnsi="宋体" w:cs="宋体" w:eastAsia="宋体" w:hint="default"/>
          <w:sz w:val="17"/>
          <w:szCs w:val="17"/>
        </w:rPr>
      </w:pPr>
    </w:p>
    <w:p>
      <w:pPr>
        <w:pStyle w:val="BodyText"/>
        <w:spacing w:line="240" w:lineRule="auto"/>
        <w:ind w:left="633" w:right="0"/>
        <w:jc w:val="left"/>
      </w:pPr>
      <w:r>
        <w:rPr/>
        <w:t>（</w:t>
      </w:r>
      <w:r>
        <w:rPr>
          <w:rFonts w:ascii="Arial" w:hAnsi="Arial" w:cs="Arial" w:eastAsia="Arial" w:hint="default"/>
        </w:rPr>
        <w:t>8</w:t>
      </w:r>
      <w:r>
        <w:rPr/>
        <w:t>）</w:t>
      </w:r>
      <w:r>
        <w:rPr>
          <w:rFonts w:ascii="Arial" w:hAnsi="Arial" w:cs="Arial" w:eastAsia="Arial" w:hint="default"/>
        </w:rPr>
        <w:t>2017</w:t>
      </w:r>
      <w:r>
        <w:rPr>
          <w:rFonts w:ascii="Arial" w:hAnsi="Arial" w:cs="Arial" w:eastAsia="Arial" w:hint="default"/>
          <w:spacing w:val="-9"/>
        </w:rPr>
        <w:t> </w:t>
      </w:r>
      <w:r>
        <w:rPr/>
        <w:t>年</w:t>
      </w:r>
      <w:r>
        <w:rPr>
          <w:spacing w:val="-63"/>
        </w:rPr>
        <w:t> </w:t>
      </w:r>
      <w:r>
        <w:rPr>
          <w:rFonts w:ascii="Arial" w:hAnsi="Arial" w:cs="Arial" w:eastAsia="Arial" w:hint="default"/>
        </w:rPr>
        <w:t>10</w:t>
      </w:r>
      <w:r>
        <w:rPr>
          <w:rFonts w:ascii="Arial" w:hAnsi="Arial" w:cs="Arial" w:eastAsia="Arial" w:hint="default"/>
          <w:spacing w:val="-9"/>
        </w:rPr>
        <w:t> </w:t>
      </w:r>
      <w:r>
        <w:rPr/>
        <w:t>月，因限制性股票回购注销，限售股份减少</w:t>
      </w:r>
      <w:r>
        <w:rPr>
          <w:spacing w:val="-62"/>
        </w:rPr>
        <w:t> </w:t>
      </w:r>
      <w:r>
        <w:rPr>
          <w:rFonts w:ascii="Arial" w:hAnsi="Arial" w:cs="Arial" w:eastAsia="Arial" w:hint="default"/>
        </w:rPr>
        <w:t>127,207</w:t>
      </w:r>
      <w:r>
        <w:rPr>
          <w:rFonts w:ascii="Arial" w:hAnsi="Arial" w:cs="Arial" w:eastAsia="Arial" w:hint="default"/>
          <w:spacing w:val="-8"/>
        </w:rPr>
        <w:t> </w:t>
      </w:r>
      <w:r>
        <w:rPr/>
        <w:t>股。</w:t>
      </w:r>
    </w:p>
    <w:p>
      <w:pPr>
        <w:spacing w:line="240" w:lineRule="auto" w:before="7"/>
        <w:rPr>
          <w:rFonts w:ascii="宋体" w:hAnsi="宋体" w:cs="宋体" w:eastAsia="宋体" w:hint="default"/>
          <w:sz w:val="16"/>
          <w:szCs w:val="16"/>
        </w:rPr>
      </w:pPr>
    </w:p>
    <w:p>
      <w:pPr>
        <w:pStyle w:val="BodyText"/>
        <w:spacing w:line="240" w:lineRule="auto"/>
        <w:ind w:left="633" w:right="0"/>
        <w:jc w:val="left"/>
      </w:pPr>
      <w:r>
        <w:rPr/>
        <w:t>（</w:t>
      </w:r>
      <w:r>
        <w:rPr>
          <w:rFonts w:ascii="Arial" w:hAnsi="Arial" w:cs="Arial" w:eastAsia="Arial" w:hint="default"/>
        </w:rPr>
        <w:t>9</w:t>
      </w:r>
      <w:r>
        <w:rPr/>
        <w:t>）</w:t>
      </w:r>
      <w:r>
        <w:rPr>
          <w:rFonts w:ascii="Arial" w:hAnsi="Arial" w:cs="Arial" w:eastAsia="Arial" w:hint="default"/>
        </w:rPr>
        <w:t>2017</w:t>
      </w:r>
      <w:r>
        <w:rPr>
          <w:rFonts w:ascii="Arial" w:hAnsi="Arial" w:cs="Arial" w:eastAsia="Arial" w:hint="default"/>
          <w:spacing w:val="-9"/>
        </w:rPr>
        <w:t> </w:t>
      </w:r>
      <w:r>
        <w:rPr/>
        <w:t>年</w:t>
      </w:r>
      <w:r>
        <w:rPr>
          <w:spacing w:val="-63"/>
        </w:rPr>
        <w:t> </w:t>
      </w:r>
      <w:r>
        <w:rPr>
          <w:rFonts w:ascii="Arial" w:hAnsi="Arial" w:cs="Arial" w:eastAsia="Arial" w:hint="default"/>
        </w:rPr>
        <w:t>12</w:t>
      </w:r>
      <w:r>
        <w:rPr>
          <w:rFonts w:ascii="Arial" w:hAnsi="Arial" w:cs="Arial" w:eastAsia="Arial" w:hint="default"/>
          <w:spacing w:val="-9"/>
        </w:rPr>
        <w:t> </w:t>
      </w:r>
      <w:r>
        <w:rPr/>
        <w:t>月，因公司发行股份购买资产解锁条件达成，解除限售股份数量为</w:t>
      </w:r>
    </w:p>
    <w:p>
      <w:pPr>
        <w:pStyle w:val="BodyText"/>
        <w:spacing w:line="240" w:lineRule="auto" w:before="57"/>
        <w:ind w:right="0"/>
        <w:jc w:val="both"/>
      </w:pPr>
      <w:r>
        <w:rPr>
          <w:rFonts w:ascii="Arial" w:hAnsi="Arial" w:cs="Arial" w:eastAsia="Arial" w:hint="default"/>
        </w:rPr>
        <w:t>3,226,795</w:t>
      </w:r>
      <w:r>
        <w:rPr>
          <w:rFonts w:ascii="Arial" w:hAnsi="Arial" w:cs="Arial" w:eastAsia="Arial" w:hint="default"/>
          <w:spacing w:val="-8"/>
        </w:rPr>
        <w:t> </w:t>
      </w:r>
      <w:r>
        <w:rPr/>
        <w:t>股，实际可上市流通股份为</w:t>
      </w:r>
      <w:r>
        <w:rPr>
          <w:spacing w:val="-63"/>
        </w:rPr>
        <w:t> </w:t>
      </w:r>
      <w:r>
        <w:rPr>
          <w:rFonts w:ascii="Arial" w:hAnsi="Arial" w:cs="Arial" w:eastAsia="Arial" w:hint="default"/>
        </w:rPr>
        <w:t>1,196,599</w:t>
      </w:r>
      <w:r>
        <w:rPr>
          <w:rFonts w:ascii="Arial" w:hAnsi="Arial" w:cs="Arial" w:eastAsia="Arial" w:hint="default"/>
          <w:spacing w:val="-8"/>
        </w:rPr>
        <w:t> </w:t>
      </w:r>
      <w:r>
        <w:rPr/>
        <w:t>股。</w:t>
      </w:r>
    </w:p>
    <w:p>
      <w:pPr>
        <w:spacing w:line="240" w:lineRule="auto" w:before="7"/>
        <w:rPr>
          <w:rFonts w:ascii="宋体" w:hAnsi="宋体" w:cs="宋体" w:eastAsia="宋体" w:hint="default"/>
          <w:sz w:val="16"/>
          <w:szCs w:val="16"/>
        </w:rPr>
      </w:pPr>
    </w:p>
    <w:p>
      <w:pPr>
        <w:pStyle w:val="BodyText"/>
        <w:spacing w:line="364" w:lineRule="auto"/>
        <w:ind w:right="2323" w:firstLine="480"/>
        <w:jc w:val="left"/>
      </w:pPr>
      <w:r>
        <w:rPr/>
        <w:t>（</w:t>
      </w:r>
      <w:r>
        <w:rPr>
          <w:rFonts w:ascii="Arial" w:hAnsi="Arial" w:cs="Arial" w:eastAsia="Arial" w:hint="default"/>
        </w:rPr>
        <w:t>10</w:t>
      </w:r>
      <w:r>
        <w:rPr/>
        <w:t>）报告期内，公司股票期权激励计划共计行权</w:t>
      </w:r>
      <w:r>
        <w:rPr>
          <w:spacing w:val="-62"/>
        </w:rPr>
        <w:t> </w:t>
      </w:r>
      <w:r>
        <w:rPr>
          <w:rFonts w:ascii="Arial" w:hAnsi="Arial" w:cs="Arial" w:eastAsia="Arial" w:hint="default"/>
        </w:rPr>
        <w:t>2,985,860</w:t>
      </w:r>
      <w:r>
        <w:rPr>
          <w:rFonts w:ascii="Arial" w:hAnsi="Arial" w:cs="Arial" w:eastAsia="Arial" w:hint="default"/>
          <w:spacing w:val="-8"/>
        </w:rPr>
        <w:t> </w:t>
      </w:r>
      <w:r>
        <w:rPr/>
        <w:t>股。 股份变动的批准情况</w:t>
      </w:r>
    </w:p>
    <w:p>
      <w:pPr>
        <w:pStyle w:val="BodyText"/>
        <w:spacing w:line="245" w:lineRule="exact"/>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177"/>
        <w:ind w:left="633" w:right="0"/>
        <w:jc w:val="left"/>
      </w:pPr>
      <w:r>
        <w:rPr>
          <w:rFonts w:ascii="Arial" w:hAnsi="Arial" w:cs="Arial" w:eastAsia="Arial" w:hint="default"/>
        </w:rPr>
        <w:t>2016</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16</w:t>
      </w:r>
      <w:r>
        <w:rPr>
          <w:rFonts w:ascii="Arial" w:hAnsi="Arial" w:cs="Arial" w:eastAsia="Arial" w:hint="default"/>
          <w:spacing w:val="-7"/>
        </w:rPr>
        <w:t> </w:t>
      </w:r>
      <w:r>
        <w:rPr/>
        <w:t>日，公司</w:t>
      </w:r>
      <w:r>
        <w:rPr>
          <w:spacing w:val="-61"/>
        </w:rPr>
        <w:t> </w:t>
      </w:r>
      <w:r>
        <w:rPr>
          <w:rFonts w:ascii="Arial" w:hAnsi="Arial" w:cs="Arial" w:eastAsia="Arial" w:hint="default"/>
        </w:rPr>
        <w:t>2016</w:t>
      </w:r>
      <w:r>
        <w:rPr>
          <w:rFonts w:ascii="Arial" w:hAnsi="Arial" w:cs="Arial" w:eastAsia="Arial" w:hint="default"/>
          <w:spacing w:val="-7"/>
        </w:rPr>
        <w:t> </w:t>
      </w:r>
      <w:r>
        <w:rPr/>
        <w:t>年第六次临时股东大会审议通过了《关于</w:t>
      </w:r>
      <w:r>
        <w:rPr>
          <w:rFonts w:ascii="Arial" w:hAnsi="Arial" w:cs="Arial" w:eastAsia="Arial" w:hint="default"/>
        </w:rPr>
        <w:t>&lt;2016</w:t>
      </w:r>
      <w:r>
        <w:rPr>
          <w:rFonts w:ascii="Arial" w:hAnsi="Arial" w:cs="Arial" w:eastAsia="Arial" w:hint="default"/>
          <w:spacing w:val="-6"/>
        </w:rPr>
        <w:t> </w:t>
      </w:r>
      <w:r>
        <w:rPr/>
        <w:t>年限</w:t>
      </w:r>
    </w:p>
    <w:p>
      <w:pPr>
        <w:pStyle w:val="BodyText"/>
        <w:spacing w:line="240" w:lineRule="auto" w:before="60"/>
        <w:ind w:right="0"/>
        <w:jc w:val="both"/>
      </w:pPr>
      <w:r>
        <w:rPr/>
        <w:t>制性股票激励计划（草案）</w:t>
      </w:r>
      <w:r>
        <w:rPr>
          <w:rFonts w:ascii="Arial" w:hAnsi="Arial" w:cs="Arial" w:eastAsia="Arial" w:hint="default"/>
        </w:rPr>
        <w:t>&gt;</w:t>
      </w:r>
      <w:r>
        <w:rPr/>
        <w:t>及其摘要的议案》及其相关事项的议案。</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23</w:t>
      </w:r>
      <w:r>
        <w:rPr>
          <w:rFonts w:ascii="Arial" w:hAnsi="Arial" w:cs="Arial" w:eastAsia="Arial" w:hint="default"/>
          <w:spacing w:val="-7"/>
        </w:rPr>
        <w:t> </w:t>
      </w:r>
      <w:r>
        <w:rPr/>
        <w:t>日，</w:t>
      </w:r>
    </w:p>
    <w:p>
      <w:pPr>
        <w:pStyle w:val="BodyText"/>
        <w:spacing w:line="240" w:lineRule="auto" w:before="58"/>
        <w:ind w:right="0"/>
        <w:jc w:val="both"/>
        <w:rPr>
          <w:rFonts w:ascii="Arial" w:hAnsi="Arial" w:cs="Arial" w:eastAsia="Arial" w:hint="default"/>
        </w:rPr>
      </w:pPr>
      <w:r>
        <w:rPr/>
        <w:t>公司发布了《关于限制性股票授予登记完成公告</w:t>
      </w:r>
      <w:r>
        <w:rPr>
          <w:spacing w:val="-120"/>
        </w:rPr>
        <w:t>》</w:t>
      </w:r>
      <w:r>
        <w:rPr/>
        <w:t>，授予限制性股票的上市日期为</w:t>
      </w:r>
      <w:r>
        <w:rPr>
          <w:spacing w:val="-58"/>
        </w:rPr>
        <w:t> </w:t>
      </w:r>
      <w:r>
        <w:rPr>
          <w:rFonts w:ascii="Arial" w:hAnsi="Arial" w:cs="Arial" w:eastAsia="Arial" w:hint="default"/>
          <w:w w:val="99"/>
        </w:rPr>
        <w:t>2017</w:t>
      </w:r>
      <w:r>
        <w:rPr>
          <w:rFonts w:ascii="Arial" w:hAnsi="Arial" w:cs="Arial" w:eastAsia="Arial" w:hint="default"/>
          <w:spacing w:val="-6"/>
        </w:rPr>
        <w:t> </w:t>
      </w:r>
      <w:r>
        <w:rPr/>
        <w:t>年</w:t>
      </w:r>
      <w:r>
        <w:rPr>
          <w:spacing w:val="-63"/>
        </w:rPr>
        <w:t> </w:t>
      </w:r>
      <w:r>
        <w:rPr>
          <w:rFonts w:ascii="Arial" w:hAnsi="Arial" w:cs="Arial" w:eastAsia="Arial" w:hint="default"/>
          <w:w w:val="99"/>
        </w:rPr>
        <w:t>1</w:t>
      </w:r>
      <w:r>
        <w:rPr>
          <w:rFonts w:ascii="Arial" w:hAnsi="Arial" w:cs="Arial" w:eastAsia="Arial" w:hint="default"/>
        </w:rPr>
      </w:r>
    </w:p>
    <w:p>
      <w:pPr>
        <w:pStyle w:val="BodyText"/>
        <w:spacing w:line="240" w:lineRule="auto" w:before="60"/>
        <w:ind w:right="0"/>
        <w:jc w:val="both"/>
      </w:pPr>
      <w:r>
        <w:rPr/>
        <w:t>月</w:t>
      </w:r>
      <w:r>
        <w:rPr>
          <w:spacing w:val="-61"/>
        </w:rPr>
        <w:t> </w:t>
      </w:r>
      <w:r>
        <w:rPr>
          <w:rFonts w:ascii="Arial" w:hAnsi="Arial" w:cs="Arial" w:eastAsia="Arial" w:hint="default"/>
        </w:rPr>
        <w:t>24</w:t>
      </w:r>
      <w:r>
        <w:rPr>
          <w:rFonts w:ascii="Arial" w:hAnsi="Arial" w:cs="Arial" w:eastAsia="Arial" w:hint="default"/>
          <w:spacing w:val="-7"/>
        </w:rPr>
        <w:t> </w:t>
      </w:r>
      <w:r>
        <w:rPr/>
        <w:t>日。</w:t>
      </w:r>
    </w:p>
    <w:p>
      <w:pPr>
        <w:pStyle w:val="BodyText"/>
        <w:spacing w:line="283" w:lineRule="auto" w:before="213"/>
        <w:ind w:right="148" w:firstLine="48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spacing w:val="-62"/>
        </w:rPr>
        <w:t> </w:t>
      </w:r>
      <w:r>
        <w:rPr>
          <w:rFonts w:ascii="Arial" w:hAnsi="Arial" w:cs="Arial" w:eastAsia="Arial" w:hint="default"/>
        </w:rPr>
        <w:t>26</w:t>
      </w:r>
      <w:r>
        <w:rPr>
          <w:rFonts w:ascii="Arial" w:hAnsi="Arial" w:cs="Arial" w:eastAsia="Arial" w:hint="default"/>
          <w:spacing w:val="-8"/>
        </w:rPr>
        <w:t> </w:t>
      </w:r>
      <w:r>
        <w:rPr/>
        <w:t>日，公司召开了第六届董事会第十八次会议，审议通过了《关于公司发 行股份及支付现金购买资产并募集配套资金具体方案的议案》等相关议案。</w:t>
      </w:r>
    </w:p>
    <w:p>
      <w:pPr>
        <w:pStyle w:val="BodyText"/>
        <w:spacing w:line="290" w:lineRule="auto" w:before="187"/>
        <w:ind w:right="148" w:firstLine="48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5</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日，公司第六届董事会第十九次会议审议通过了《关于公司限制性股票 </w:t>
      </w:r>
      <w:r>
        <w:rPr>
          <w:spacing w:val="-3"/>
        </w:rPr>
        <w:t>激励计划第二个解锁期可解锁的议案》，公司限制性股票激励计划第二个解锁期解锁条件已</w:t>
      </w:r>
      <w:r>
        <w:rPr/>
        <w:t> 满足，同意公司</w:t>
      </w:r>
      <w:r>
        <w:rPr>
          <w:spacing w:val="-62"/>
        </w:rPr>
        <w:t> </w:t>
      </w:r>
      <w:r>
        <w:rPr>
          <w:rFonts w:ascii="Arial" w:hAnsi="Arial" w:cs="Arial" w:eastAsia="Arial" w:hint="default"/>
        </w:rPr>
        <w:t>444</w:t>
      </w:r>
      <w:r>
        <w:rPr>
          <w:rFonts w:ascii="Arial" w:hAnsi="Arial" w:cs="Arial" w:eastAsia="Arial" w:hint="default"/>
          <w:spacing w:val="-8"/>
        </w:rPr>
        <w:t> </w:t>
      </w:r>
      <w:r>
        <w:rPr/>
        <w:t>名激励对象第二个解锁期可解锁的限制性股票数量为</w:t>
      </w:r>
      <w:r>
        <w:rPr>
          <w:spacing w:val="-61"/>
        </w:rPr>
        <w:t> </w:t>
      </w:r>
      <w:r>
        <w:rPr>
          <w:rFonts w:ascii="Arial" w:hAnsi="Arial" w:cs="Arial" w:eastAsia="Arial" w:hint="default"/>
        </w:rPr>
        <w:t>4,556,760</w:t>
      </w:r>
      <w:r>
        <w:rPr>
          <w:rFonts w:ascii="Arial" w:hAnsi="Arial" w:cs="Arial" w:eastAsia="Arial" w:hint="default"/>
          <w:spacing w:val="-7"/>
        </w:rPr>
        <w:t> </w:t>
      </w:r>
      <w:r>
        <w:rPr/>
        <w:t>股；审</w:t>
      </w:r>
    </w:p>
    <w:p>
      <w:pPr>
        <w:pStyle w:val="BodyText"/>
        <w:spacing w:line="290" w:lineRule="auto" w:before="3"/>
        <w:ind w:right="161"/>
        <w:jc w:val="both"/>
      </w:pPr>
      <w:r>
        <w:rPr>
          <w:spacing w:val="-4"/>
        </w:rPr>
        <w:t>议通过了《关于回购注销部分限制性股票的议案》，公司原激励对象唐新宇等</w:t>
      </w:r>
      <w:r>
        <w:rPr>
          <w:spacing w:val="-55"/>
        </w:rPr>
        <w:t> </w:t>
      </w:r>
      <w:r>
        <w:rPr>
          <w:rFonts w:ascii="Arial" w:hAnsi="Arial" w:cs="Arial" w:eastAsia="Arial" w:hint="default"/>
          <w:w w:val="99"/>
        </w:rPr>
        <w:t>6</w:t>
      </w:r>
      <w:r>
        <w:rPr>
          <w:rFonts w:ascii="Arial" w:hAnsi="Arial" w:cs="Arial" w:eastAsia="Arial" w:hint="default"/>
          <w:spacing w:val="-3"/>
          <w:w w:val="99"/>
        </w:rPr>
        <w:t> </w:t>
      </w:r>
      <w:r>
        <w:rPr/>
        <w:t>人因个人原</w:t>
      </w:r>
      <w:r>
        <w:rPr>
          <w:spacing w:val="-112"/>
        </w:rPr>
        <w:t> </w:t>
      </w:r>
      <w:r>
        <w:rPr>
          <w:spacing w:val="-3"/>
        </w:rPr>
        <w:t>因离职，根据《限制性股票激励计划（草案）》的规定，其不再符合公司股权激励计划的激</w:t>
      </w:r>
      <w:r>
        <w:rPr/>
        <w:t> 励条件，公司拟对上述员工获授予但尚未解锁的</w:t>
      </w:r>
      <w:r>
        <w:rPr>
          <w:spacing w:val="-62"/>
        </w:rPr>
        <w:t> </w:t>
      </w:r>
      <w:r>
        <w:rPr>
          <w:rFonts w:ascii="Arial" w:hAnsi="Arial" w:cs="Arial" w:eastAsia="Arial" w:hint="default"/>
        </w:rPr>
        <w:t>127,207</w:t>
      </w:r>
      <w:r>
        <w:rPr>
          <w:rFonts w:ascii="Arial" w:hAnsi="Arial" w:cs="Arial" w:eastAsia="Arial" w:hint="default"/>
          <w:spacing w:val="-8"/>
        </w:rPr>
        <w:t> </w:t>
      </w:r>
      <w:r>
        <w:rPr/>
        <w:t>股限制性股票进行回购注销。公司</w:t>
      </w:r>
    </w:p>
    <w:p>
      <w:pPr>
        <w:pStyle w:val="BodyText"/>
        <w:spacing w:line="240" w:lineRule="auto" w:before="1"/>
        <w:ind w:right="0"/>
        <w:jc w:val="both"/>
      </w:pPr>
      <w:r>
        <w:rPr/>
        <w:t>于</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10</w:t>
      </w:r>
      <w:r>
        <w:rPr>
          <w:rFonts w:ascii="Arial" w:hAnsi="Arial" w:cs="Arial" w:eastAsia="Arial" w:hint="default"/>
          <w:spacing w:val="-7"/>
        </w:rPr>
        <w:t> </w:t>
      </w:r>
      <w:r>
        <w:rPr/>
        <w:t>月</w:t>
      </w:r>
      <w:r>
        <w:rPr>
          <w:spacing w:val="-64"/>
        </w:rPr>
        <w:t> </w:t>
      </w:r>
      <w:r>
        <w:rPr>
          <w:rFonts w:ascii="Arial" w:hAnsi="Arial" w:cs="Arial" w:eastAsia="Arial" w:hint="default"/>
        </w:rPr>
        <w:t>23</w:t>
      </w:r>
      <w:r>
        <w:rPr>
          <w:rFonts w:ascii="Arial" w:hAnsi="Arial" w:cs="Arial" w:eastAsia="Arial" w:hint="default"/>
          <w:spacing w:val="-7"/>
        </w:rPr>
        <w:t> </w:t>
      </w:r>
      <w:r>
        <w:rPr/>
        <w:t>日在中国证券登记结算有限公司深圳分公司完成回购注销。</w:t>
      </w:r>
    </w:p>
    <w:p>
      <w:pPr>
        <w:spacing w:line="240" w:lineRule="auto" w:before="7"/>
        <w:rPr>
          <w:rFonts w:ascii="宋体" w:hAnsi="宋体" w:cs="宋体" w:eastAsia="宋体" w:hint="default"/>
          <w:sz w:val="16"/>
          <w:szCs w:val="16"/>
        </w:rPr>
      </w:pPr>
    </w:p>
    <w:p>
      <w:pPr>
        <w:pStyle w:val="BodyText"/>
        <w:spacing w:line="290" w:lineRule="auto"/>
        <w:ind w:right="148" w:firstLine="48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14</w:t>
      </w:r>
      <w:r>
        <w:rPr>
          <w:rFonts w:ascii="Arial" w:hAnsi="Arial" w:cs="Arial" w:eastAsia="Arial" w:hint="default"/>
          <w:spacing w:val="-8"/>
        </w:rPr>
        <w:t> </w:t>
      </w:r>
      <w:r>
        <w:rPr/>
        <w:t>日，公司第六届董事会第二十次会议审议通过了《关于公司股票期权激 </w:t>
      </w:r>
      <w:r>
        <w:rPr>
          <w:spacing w:val="-3"/>
        </w:rPr>
        <w:t>励计划预留期权第四个行权期可行权的议案》，同意以定向发行公司股票的方式给予预留期</w:t>
      </w:r>
      <w:r>
        <w:rPr/>
        <w:t> 权的</w:t>
      </w:r>
      <w:r>
        <w:rPr>
          <w:spacing w:val="-62"/>
        </w:rPr>
        <w:t> </w:t>
      </w:r>
      <w:r>
        <w:rPr>
          <w:rFonts w:ascii="Arial" w:hAnsi="Arial" w:cs="Arial" w:eastAsia="Arial" w:hint="default"/>
        </w:rPr>
        <w:t>41</w:t>
      </w:r>
      <w:r>
        <w:rPr>
          <w:rFonts w:ascii="Arial" w:hAnsi="Arial" w:cs="Arial" w:eastAsia="Arial" w:hint="default"/>
          <w:spacing w:val="-8"/>
        </w:rPr>
        <w:t> </w:t>
      </w:r>
      <w:r>
        <w:rPr/>
        <w:t>名激励对象在第四个行权期内可行权股票期权共计</w:t>
      </w:r>
      <w:r>
        <w:rPr>
          <w:spacing w:val="-61"/>
        </w:rPr>
        <w:t> </w:t>
      </w:r>
      <w:r>
        <w:rPr>
          <w:rFonts w:ascii="Arial" w:hAnsi="Arial" w:cs="Arial" w:eastAsia="Arial" w:hint="default"/>
        </w:rPr>
        <w:t>412,653</w:t>
      </w:r>
      <w:r>
        <w:rPr>
          <w:rFonts w:ascii="Arial" w:hAnsi="Arial" w:cs="Arial" w:eastAsia="Arial" w:hint="default"/>
          <w:spacing w:val="-9"/>
        </w:rPr>
        <w:t> </w:t>
      </w:r>
      <w:r>
        <w:rPr/>
        <w:t>份。股票期权激励计划</w:t>
      </w:r>
    </w:p>
    <w:p>
      <w:pPr>
        <w:spacing w:after="0" w:line="290" w:lineRule="auto"/>
        <w:jc w:val="left"/>
        <w:sectPr>
          <w:pgSz w:w="11910" w:h="16840"/>
          <w:pgMar w:header="877" w:footer="980" w:top="1100" w:bottom="1160" w:left="980" w:right="980"/>
        </w:sectPr>
      </w:pPr>
    </w:p>
    <w:p>
      <w:pPr>
        <w:spacing w:line="240" w:lineRule="auto" w:before="8"/>
        <w:rPr>
          <w:rFonts w:ascii="宋体" w:hAnsi="宋体" w:cs="宋体" w:eastAsia="宋体" w:hint="default"/>
          <w:sz w:val="22"/>
          <w:szCs w:val="22"/>
        </w:rPr>
      </w:pPr>
    </w:p>
    <w:p>
      <w:pPr>
        <w:pStyle w:val="BodyText"/>
        <w:spacing w:line="283" w:lineRule="auto" w:before="26"/>
        <w:ind w:right="148"/>
        <w:jc w:val="left"/>
      </w:pPr>
      <w:r>
        <w:rPr/>
        <w:t>预留期权第四个行权期拟采用自主行权模式。</w:t>
      </w: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15</w:t>
      </w:r>
      <w:r>
        <w:rPr>
          <w:rFonts w:ascii="Arial" w:hAnsi="Arial" w:cs="Arial" w:eastAsia="Arial" w:hint="default"/>
          <w:spacing w:val="-8"/>
        </w:rPr>
        <w:t> </w:t>
      </w:r>
      <w:r>
        <w:rPr/>
        <w:t>日，公司发布了《关于公司股 </w:t>
      </w:r>
      <w:r>
        <w:rPr>
          <w:spacing w:val="-5"/>
        </w:rPr>
        <w:t>票期权激励计划预留期权第四个行权期可行权的公告》。</w:t>
      </w:r>
    </w:p>
    <w:p>
      <w:pPr>
        <w:pStyle w:val="BodyText"/>
        <w:spacing w:line="240" w:lineRule="auto" w:before="190"/>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22</w:t>
      </w:r>
      <w:r>
        <w:rPr>
          <w:rFonts w:ascii="Arial" w:hAnsi="Arial" w:cs="Arial" w:eastAsia="Arial" w:hint="default"/>
          <w:spacing w:val="-8"/>
        </w:rPr>
        <w:t> </w:t>
      </w:r>
      <w:r>
        <w:rPr/>
        <w:t>日，公司发布了《关于股票期权激励计划预留期权第四个行权期采用自</w:t>
      </w:r>
    </w:p>
    <w:p>
      <w:pPr>
        <w:pStyle w:val="BodyText"/>
        <w:spacing w:line="240" w:lineRule="auto" w:before="57"/>
        <w:ind w:right="0"/>
        <w:jc w:val="left"/>
      </w:pPr>
      <w:r>
        <w:rPr/>
        <w:t>主行权模式的提示性公告</w:t>
      </w:r>
      <w:r>
        <w:rPr>
          <w:spacing w:val="-120"/>
        </w:rPr>
        <w:t>》</w:t>
      </w:r>
      <w:r>
        <w:rPr/>
        <w:t>，预留期权第四个行权期行权期限为</w:t>
      </w:r>
      <w:r>
        <w:rPr>
          <w:spacing w:val="1"/>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w w:val="99"/>
        </w:rPr>
        <w:t>17</w:t>
      </w:r>
      <w:r>
        <w:rPr>
          <w:rFonts w:ascii="Arial" w:hAnsi="Arial" w:cs="Arial" w:eastAsia="Arial" w:hint="default"/>
          <w:spacing w:val="-6"/>
        </w:rPr>
        <w:t> </w:t>
      </w:r>
      <w:r>
        <w:rPr/>
        <w:t>年</w:t>
      </w:r>
      <w:r>
        <w:rPr>
          <w:spacing w:val="-60"/>
        </w:rPr>
        <w:t> </w:t>
      </w:r>
      <w:r>
        <w:rPr>
          <w:rFonts w:ascii="Arial" w:hAnsi="Arial" w:cs="Arial" w:eastAsia="Arial" w:hint="default"/>
          <w:w w:val="99"/>
        </w:rPr>
        <w:t>8</w:t>
      </w:r>
      <w:r>
        <w:rPr>
          <w:rFonts w:ascii="Arial" w:hAnsi="Arial" w:cs="Arial" w:eastAsia="Arial" w:hint="default"/>
          <w:spacing w:val="-6"/>
        </w:rPr>
        <w:t> </w:t>
      </w:r>
      <w:r>
        <w:rPr/>
        <w:t>月</w:t>
      </w:r>
      <w:r>
        <w:rPr>
          <w:spacing w:val="-60"/>
        </w:rPr>
        <w:t> </w:t>
      </w:r>
      <w:r>
        <w:rPr>
          <w:rFonts w:ascii="Arial" w:hAnsi="Arial" w:cs="Arial" w:eastAsia="Arial" w:hint="default"/>
          <w:spacing w:val="-2"/>
          <w:w w:val="99"/>
        </w:rPr>
        <w:t>2</w:t>
      </w:r>
      <w:r>
        <w:rPr>
          <w:rFonts w:ascii="Arial" w:hAnsi="Arial" w:cs="Arial" w:eastAsia="Arial" w:hint="default"/>
          <w:w w:val="99"/>
        </w:rPr>
        <w:t>2</w:t>
      </w:r>
      <w:r>
        <w:rPr>
          <w:rFonts w:ascii="Arial" w:hAnsi="Arial" w:cs="Arial" w:eastAsia="Arial" w:hint="default"/>
          <w:spacing w:val="-6"/>
        </w:rPr>
        <w:t> </w:t>
      </w:r>
      <w:r>
        <w:rPr/>
        <w:t>日起至</w:t>
      </w:r>
    </w:p>
    <w:p>
      <w:pPr>
        <w:pStyle w:val="BodyText"/>
        <w:spacing w:line="240" w:lineRule="auto" w:before="60"/>
        <w:ind w:right="0"/>
        <w:jc w:val="left"/>
      </w:pPr>
      <w:r>
        <w:rPr>
          <w:rFonts w:ascii="Arial" w:hAnsi="Arial" w:cs="Arial" w:eastAsia="Arial" w:hint="default"/>
        </w:rPr>
        <w:t>2018</w:t>
      </w:r>
      <w:r>
        <w:rPr>
          <w:rFonts w:ascii="Arial" w:hAnsi="Arial" w:cs="Arial" w:eastAsia="Arial" w:hint="default"/>
          <w:spacing w:val="-6"/>
        </w:rPr>
        <w:t> </w:t>
      </w:r>
      <w:r>
        <w:rPr/>
        <w:t>年</w:t>
      </w:r>
      <w:r>
        <w:rPr>
          <w:spacing w:val="-62"/>
        </w:rPr>
        <w:t> </w:t>
      </w:r>
      <w:r>
        <w:rPr>
          <w:rFonts w:ascii="Arial" w:hAnsi="Arial" w:cs="Arial" w:eastAsia="Arial" w:hint="default"/>
        </w:rPr>
        <w:t>7</w:t>
      </w:r>
      <w:r>
        <w:rPr>
          <w:rFonts w:ascii="Arial" w:hAnsi="Arial" w:cs="Arial" w:eastAsia="Arial" w:hint="default"/>
          <w:spacing w:val="-7"/>
        </w:rPr>
        <w:t> </w:t>
      </w:r>
      <w:r>
        <w:rPr/>
        <w:t>月</w:t>
      </w:r>
      <w:r>
        <w:rPr>
          <w:spacing w:val="-61"/>
        </w:rPr>
        <w:t> </w:t>
      </w:r>
      <w:r>
        <w:rPr>
          <w:rFonts w:ascii="Arial" w:hAnsi="Arial" w:cs="Arial" w:eastAsia="Arial" w:hint="default"/>
        </w:rPr>
        <w:t>13</w:t>
      </w:r>
      <w:r>
        <w:rPr>
          <w:rFonts w:ascii="Arial" w:hAnsi="Arial" w:cs="Arial" w:eastAsia="Arial" w:hint="default"/>
          <w:spacing w:val="-7"/>
        </w:rPr>
        <w:t> </w:t>
      </w:r>
      <w:r>
        <w:rPr/>
        <w:t>日止。</w:t>
      </w:r>
    </w:p>
    <w:p>
      <w:pPr>
        <w:pStyle w:val="BodyText"/>
        <w:spacing w:line="290" w:lineRule="auto" w:before="213"/>
        <w:ind w:right="148" w:firstLine="480"/>
        <w:jc w:val="left"/>
        <w:rPr>
          <w:rFonts w:ascii="Arial" w:hAnsi="Arial" w:cs="Arial" w:eastAsia="Arial" w:hint="default"/>
        </w:rPr>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29</w:t>
      </w:r>
      <w:r>
        <w:rPr>
          <w:rFonts w:ascii="Arial" w:hAnsi="Arial" w:cs="Arial" w:eastAsia="Arial" w:hint="default"/>
          <w:spacing w:val="-8"/>
        </w:rPr>
        <w:t> </w:t>
      </w:r>
      <w:r>
        <w:rPr/>
        <w:t>日公司第六届董事会第二十一次会议和第六届监事会第十七次会议审议 </w:t>
      </w:r>
      <w:r>
        <w:rPr>
          <w:spacing w:val="-3"/>
        </w:rPr>
        <w:t>通过了《关于公司限制性股票激励计划（暂缓授予部分）第二个解锁期可解锁的议案》，同</w:t>
      </w:r>
      <w:r>
        <w:rPr/>
        <w:t> 意为公司限制性股票激励计划（暂缓授予部分）</w:t>
      </w:r>
      <w:r>
        <w:rPr>
          <w:rFonts w:ascii="Arial" w:hAnsi="Arial" w:cs="Arial" w:eastAsia="Arial" w:hint="default"/>
        </w:rPr>
        <w:t>1 </w:t>
      </w:r>
      <w:r>
        <w:rPr/>
        <w:t>名激励对象解锁限制性股票共计</w:t>
      </w:r>
      <w:r>
        <w:rPr>
          <w:spacing w:val="-66"/>
        </w:rPr>
        <w:t> </w:t>
      </w:r>
      <w:r>
        <w:rPr>
          <w:rFonts w:ascii="Arial" w:hAnsi="Arial" w:cs="Arial" w:eastAsia="Arial" w:hint="default"/>
        </w:rPr>
        <w:t>47,614</w:t>
      </w:r>
    </w:p>
    <w:p>
      <w:pPr>
        <w:pStyle w:val="BodyText"/>
        <w:spacing w:line="288" w:lineRule="auto" w:before="3"/>
        <w:ind w:right="276"/>
        <w:jc w:val="left"/>
      </w:pPr>
      <w:r>
        <w:rPr/>
        <w:t>股。</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9</w:t>
      </w:r>
      <w:r>
        <w:rPr>
          <w:rFonts w:ascii="Arial" w:hAnsi="Arial" w:cs="Arial" w:eastAsia="Arial" w:hint="default"/>
          <w:spacing w:val="-7"/>
        </w:rPr>
        <w:t> </w:t>
      </w:r>
      <w:r>
        <w:rPr/>
        <w:t>月</w:t>
      </w:r>
      <w:r>
        <w:rPr>
          <w:spacing w:val="-61"/>
        </w:rPr>
        <w:t> </w:t>
      </w:r>
      <w:r>
        <w:rPr>
          <w:rFonts w:ascii="Arial" w:hAnsi="Arial" w:cs="Arial" w:eastAsia="Arial" w:hint="default"/>
        </w:rPr>
        <w:t>8</w:t>
      </w:r>
      <w:r>
        <w:rPr>
          <w:rFonts w:ascii="Arial" w:hAnsi="Arial" w:cs="Arial" w:eastAsia="Arial" w:hint="default"/>
          <w:spacing w:val="-7"/>
        </w:rPr>
        <w:t> </w:t>
      </w:r>
      <w:r>
        <w:rPr/>
        <w:t>日，公司发布了《关于限制性股票激励计划（暂缓授予部分）第二期可 </w:t>
      </w:r>
      <w:r>
        <w:rPr>
          <w:spacing w:val="-3"/>
        </w:rPr>
        <w:t>解锁股份上市流通的提示性公告》，本次限制性股票激励计划授予的限制性股票（暂缓授予</w:t>
      </w:r>
      <w:r>
        <w:rPr/>
        <w:t> 部分）第二个解锁期可解锁的股份数量为</w:t>
      </w:r>
      <w:r>
        <w:rPr>
          <w:spacing w:val="-61"/>
        </w:rPr>
        <w:t> </w:t>
      </w:r>
      <w:r>
        <w:rPr>
          <w:rFonts w:ascii="Arial" w:hAnsi="Arial" w:cs="Arial" w:eastAsia="Arial" w:hint="default"/>
        </w:rPr>
        <w:t>47,614</w:t>
      </w:r>
      <w:r>
        <w:rPr>
          <w:rFonts w:ascii="Arial" w:hAnsi="Arial" w:cs="Arial" w:eastAsia="Arial" w:hint="default"/>
          <w:spacing w:val="-7"/>
        </w:rPr>
        <w:t> </w:t>
      </w:r>
      <w:r>
        <w:rPr/>
        <w:t>股，占公司目前股本总额的</w:t>
      </w:r>
      <w:r>
        <w:rPr>
          <w:spacing w:val="-61"/>
        </w:rPr>
        <w:t> </w:t>
      </w:r>
      <w:r>
        <w:rPr>
          <w:rFonts w:ascii="Arial" w:hAnsi="Arial" w:cs="Arial" w:eastAsia="Arial" w:hint="default"/>
        </w:rPr>
        <w:t>0.007%</w:t>
      </w:r>
      <w:r>
        <w:rPr/>
        <w:t>。本 次限制性股票的上市流通日为</w:t>
      </w:r>
      <w:r>
        <w:rPr>
          <w:spacing w:val="-59"/>
        </w:rPr>
        <w:t> </w:t>
      </w:r>
      <w:r>
        <w:rPr>
          <w:rFonts w:ascii="Arial" w:hAnsi="Arial" w:cs="Arial" w:eastAsia="Arial" w:hint="default"/>
        </w:rPr>
        <w:t>2017</w:t>
      </w:r>
      <w:r>
        <w:rPr>
          <w:rFonts w:ascii="Arial" w:hAnsi="Arial" w:cs="Arial" w:eastAsia="Arial" w:hint="default"/>
          <w:spacing w:val="-6"/>
        </w:rPr>
        <w:t> </w:t>
      </w:r>
      <w:r>
        <w:rPr/>
        <w:t>年</w:t>
      </w:r>
      <w:r>
        <w:rPr>
          <w:spacing w:val="-63"/>
        </w:rPr>
        <w:t> </w:t>
      </w:r>
      <w:r>
        <w:rPr>
          <w:rFonts w:ascii="Arial" w:hAnsi="Arial" w:cs="Arial" w:eastAsia="Arial" w:hint="default"/>
        </w:rPr>
        <w:t>9</w:t>
      </w:r>
      <w:r>
        <w:rPr>
          <w:rFonts w:ascii="Arial" w:hAnsi="Arial" w:cs="Arial" w:eastAsia="Arial" w:hint="default"/>
          <w:spacing w:val="-6"/>
        </w:rPr>
        <w:t> </w:t>
      </w:r>
      <w:r>
        <w:rPr/>
        <w:t>月</w:t>
      </w:r>
      <w:r>
        <w:rPr>
          <w:spacing w:val="-63"/>
        </w:rPr>
        <w:t> </w:t>
      </w:r>
      <w:r>
        <w:rPr>
          <w:rFonts w:ascii="Arial" w:hAnsi="Arial" w:cs="Arial" w:eastAsia="Arial" w:hint="default"/>
          <w:spacing w:val="-10"/>
        </w:rPr>
        <w:t>11</w:t>
      </w:r>
      <w:r>
        <w:rPr>
          <w:rFonts w:ascii="Arial" w:hAnsi="Arial" w:cs="Arial" w:eastAsia="Arial" w:hint="default"/>
          <w:spacing w:val="-6"/>
        </w:rPr>
        <w:t> </w:t>
      </w:r>
      <w:r>
        <w:rPr/>
        <w:t>日，因本次涉及的股权激励对象为公司高</w:t>
      </w:r>
    </w:p>
    <w:p>
      <w:pPr>
        <w:pStyle w:val="BodyText"/>
        <w:spacing w:line="240" w:lineRule="auto" w:before="6"/>
        <w:ind w:right="0"/>
        <w:jc w:val="left"/>
      </w:pPr>
      <w:r>
        <w:rPr/>
        <w:t>管，根据高管任职规定，本次实际可上市流通股数为</w:t>
      </w:r>
      <w:r>
        <w:rPr>
          <w:spacing w:val="-59"/>
        </w:rPr>
        <w:t> </w:t>
      </w:r>
      <w:r>
        <w:rPr>
          <w:rFonts w:ascii="Arial" w:hAnsi="Arial" w:cs="Arial" w:eastAsia="Arial" w:hint="default"/>
        </w:rPr>
        <w:t>0</w:t>
      </w:r>
      <w:r>
        <w:rPr>
          <w:rFonts w:ascii="Arial" w:hAnsi="Arial" w:cs="Arial" w:eastAsia="Arial" w:hint="default"/>
          <w:spacing w:val="-6"/>
        </w:rPr>
        <w:t> </w:t>
      </w:r>
      <w:r>
        <w:rPr/>
        <w:t>股。</w:t>
      </w:r>
    </w:p>
    <w:p>
      <w:pPr>
        <w:pStyle w:val="BodyText"/>
        <w:spacing w:line="240" w:lineRule="auto" w:before="213"/>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9</w:t>
      </w:r>
      <w:r>
        <w:rPr>
          <w:rFonts w:ascii="Arial" w:hAnsi="Arial" w:cs="Arial" w:eastAsia="Arial" w:hint="default"/>
          <w:spacing w:val="-8"/>
        </w:rPr>
        <w:t> </w:t>
      </w:r>
      <w:r>
        <w:rPr/>
        <w:t>月</w:t>
      </w:r>
      <w:r>
        <w:rPr>
          <w:spacing w:val="-62"/>
        </w:rPr>
        <w:t> </w:t>
      </w:r>
      <w:r>
        <w:rPr>
          <w:rFonts w:ascii="Arial" w:hAnsi="Arial" w:cs="Arial" w:eastAsia="Arial" w:hint="default"/>
        </w:rPr>
        <w:t>6</w:t>
      </w:r>
      <w:r>
        <w:rPr>
          <w:rFonts w:ascii="Arial" w:hAnsi="Arial" w:cs="Arial" w:eastAsia="Arial" w:hint="default"/>
          <w:spacing w:val="-8"/>
        </w:rPr>
        <w:t> </w:t>
      </w:r>
      <w:r>
        <w:rPr/>
        <w:t>日，公司披露了《发行股份及支付现金购买资产并募集配套资金暨关联</w:t>
      </w:r>
    </w:p>
    <w:p>
      <w:pPr>
        <w:pStyle w:val="BodyText"/>
        <w:spacing w:line="240" w:lineRule="auto" w:before="60"/>
        <w:ind w:right="0"/>
        <w:jc w:val="left"/>
      </w:pPr>
      <w:r>
        <w:rPr/>
        <w:t>交易实施情况暨新增股份上市报告书》等公告，</w:t>
      </w:r>
      <w:r>
        <w:rPr>
          <w:rFonts w:ascii="Arial" w:hAnsi="Arial" w:cs="Arial" w:eastAsia="Arial" w:hint="default"/>
        </w:rPr>
        <w:t>2017</w:t>
      </w:r>
      <w:r>
        <w:rPr>
          <w:rFonts w:ascii="Arial" w:hAnsi="Arial" w:cs="Arial" w:eastAsia="Arial" w:hint="default"/>
          <w:spacing w:val="-6"/>
        </w:rPr>
        <w:t> </w:t>
      </w:r>
      <w:r>
        <w:rPr/>
        <w:t>年</w:t>
      </w:r>
      <w:r>
        <w:rPr>
          <w:spacing w:val="-61"/>
        </w:rPr>
        <w:t> </w:t>
      </w:r>
      <w:r>
        <w:rPr>
          <w:rFonts w:ascii="Arial" w:hAnsi="Arial" w:cs="Arial" w:eastAsia="Arial" w:hint="default"/>
        </w:rPr>
        <w:t>9</w:t>
      </w:r>
      <w:r>
        <w:rPr>
          <w:rFonts w:ascii="Arial" w:hAnsi="Arial" w:cs="Arial" w:eastAsia="Arial" w:hint="default"/>
          <w:spacing w:val="-7"/>
        </w:rPr>
        <w:t> </w:t>
      </w:r>
      <w:r>
        <w:rPr/>
        <w:t>月</w:t>
      </w:r>
      <w:r>
        <w:rPr>
          <w:spacing w:val="-61"/>
        </w:rPr>
        <w:t> </w:t>
      </w:r>
      <w:r>
        <w:rPr>
          <w:rFonts w:ascii="Arial" w:hAnsi="Arial" w:cs="Arial" w:eastAsia="Arial" w:hint="default"/>
        </w:rPr>
        <w:t>7</w:t>
      </w:r>
      <w:r>
        <w:rPr>
          <w:rFonts w:ascii="Arial" w:hAnsi="Arial" w:cs="Arial" w:eastAsia="Arial" w:hint="default"/>
          <w:spacing w:val="-7"/>
        </w:rPr>
        <w:t> </w:t>
      </w:r>
      <w:r>
        <w:rPr/>
        <w:t>日，本次交易发行股份购买</w:t>
      </w:r>
    </w:p>
    <w:p>
      <w:pPr>
        <w:pStyle w:val="BodyText"/>
        <w:spacing w:line="240" w:lineRule="auto" w:before="57"/>
        <w:ind w:right="0"/>
        <w:jc w:val="left"/>
      </w:pPr>
      <w:r>
        <w:rPr/>
        <w:t>资产部分的新增股份</w:t>
      </w:r>
      <w:r>
        <w:rPr>
          <w:spacing w:val="-63"/>
        </w:rPr>
        <w:t> </w:t>
      </w:r>
      <w:r>
        <w:rPr>
          <w:rFonts w:ascii="Arial" w:hAnsi="Arial" w:cs="Arial" w:eastAsia="Arial" w:hint="default"/>
        </w:rPr>
        <w:t>60,661,865</w:t>
      </w:r>
      <w:r>
        <w:rPr>
          <w:rFonts w:ascii="Arial" w:hAnsi="Arial" w:cs="Arial" w:eastAsia="Arial" w:hint="default"/>
          <w:spacing w:val="-7"/>
        </w:rPr>
        <w:t> </w:t>
      </w:r>
      <w:r>
        <w:rPr/>
        <w:t>股完成上市。</w:t>
      </w:r>
    </w:p>
    <w:p>
      <w:pPr>
        <w:spacing w:line="240" w:lineRule="auto" w:before="7"/>
        <w:rPr>
          <w:rFonts w:ascii="宋体" w:hAnsi="宋体" w:cs="宋体" w:eastAsia="宋体" w:hint="default"/>
          <w:sz w:val="16"/>
          <w:szCs w:val="16"/>
        </w:rPr>
      </w:pPr>
    </w:p>
    <w:p>
      <w:pPr>
        <w:pStyle w:val="BodyText"/>
        <w:spacing w:line="240" w:lineRule="auto"/>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10</w:t>
      </w:r>
      <w:r>
        <w:rPr>
          <w:rFonts w:ascii="Arial" w:hAnsi="Arial" w:cs="Arial" w:eastAsia="Arial" w:hint="default"/>
          <w:spacing w:val="-8"/>
        </w:rPr>
        <w:t> </w:t>
      </w:r>
      <w:r>
        <w:rPr/>
        <w:t>月</w:t>
      </w:r>
      <w:r>
        <w:rPr>
          <w:spacing w:val="-64"/>
        </w:rPr>
        <w:t> </w:t>
      </w:r>
      <w:r>
        <w:rPr>
          <w:rFonts w:ascii="Arial" w:hAnsi="Arial" w:cs="Arial" w:eastAsia="Arial" w:hint="default"/>
        </w:rPr>
        <w:t>13</w:t>
      </w:r>
      <w:r>
        <w:rPr>
          <w:rFonts w:ascii="Arial" w:hAnsi="Arial" w:cs="Arial" w:eastAsia="Arial" w:hint="default"/>
          <w:spacing w:val="-8"/>
        </w:rPr>
        <w:t> </w:t>
      </w:r>
      <w:r>
        <w:rPr/>
        <w:t>日，公司披露了《发行股份及支付现金购买资产并募集配套资金实施</w:t>
      </w:r>
    </w:p>
    <w:p>
      <w:pPr>
        <w:pStyle w:val="BodyText"/>
        <w:spacing w:line="240" w:lineRule="auto" w:before="57"/>
        <w:ind w:right="0"/>
        <w:jc w:val="left"/>
      </w:pPr>
      <w:r>
        <w:rPr/>
        <w:t>情况暨配套资金募集新增股份上市报告书》等公告，</w:t>
      </w:r>
      <w:r>
        <w:rPr>
          <w:rFonts w:ascii="Arial" w:hAnsi="Arial" w:cs="Arial" w:eastAsia="Arial" w:hint="default"/>
        </w:rPr>
        <w:t>2017</w:t>
      </w:r>
      <w:r>
        <w:rPr>
          <w:rFonts w:ascii="Arial" w:hAnsi="Arial" w:cs="Arial" w:eastAsia="Arial" w:hint="default"/>
          <w:spacing w:val="-7"/>
        </w:rPr>
        <w:t> </w:t>
      </w:r>
      <w:r>
        <w:rPr/>
        <w:t>年</w:t>
      </w:r>
      <w:r>
        <w:rPr>
          <w:spacing w:val="-64"/>
        </w:rPr>
        <w:t> </w:t>
      </w:r>
      <w:r>
        <w:rPr>
          <w:rFonts w:ascii="Arial" w:hAnsi="Arial" w:cs="Arial" w:eastAsia="Arial" w:hint="default"/>
        </w:rPr>
        <w:t>10</w:t>
      </w:r>
      <w:r>
        <w:rPr>
          <w:rFonts w:ascii="Arial" w:hAnsi="Arial" w:cs="Arial" w:eastAsia="Arial" w:hint="default"/>
          <w:spacing w:val="-7"/>
        </w:rPr>
        <w:t> </w:t>
      </w:r>
      <w:r>
        <w:rPr/>
        <w:t>月</w:t>
      </w:r>
      <w:r>
        <w:rPr>
          <w:spacing w:val="-64"/>
        </w:rPr>
        <w:t> </w:t>
      </w:r>
      <w:r>
        <w:rPr>
          <w:rFonts w:ascii="Arial" w:hAnsi="Arial" w:cs="Arial" w:eastAsia="Arial" w:hint="default"/>
        </w:rPr>
        <w:t>14</w:t>
      </w:r>
      <w:r>
        <w:rPr>
          <w:rFonts w:ascii="Arial" w:hAnsi="Arial" w:cs="Arial" w:eastAsia="Arial" w:hint="default"/>
          <w:spacing w:val="-7"/>
        </w:rPr>
        <w:t> </w:t>
      </w:r>
      <w:r>
        <w:rPr/>
        <w:t>日，本次交易发行股</w:t>
      </w:r>
    </w:p>
    <w:p>
      <w:pPr>
        <w:pStyle w:val="BodyText"/>
        <w:spacing w:line="364" w:lineRule="auto" w:before="60"/>
        <w:ind w:right="4136"/>
        <w:jc w:val="left"/>
      </w:pPr>
      <w:r>
        <w:rPr/>
        <w:t>份购买资产部分的新增股份</w:t>
      </w:r>
      <w:r>
        <w:rPr>
          <w:spacing w:val="-62"/>
        </w:rPr>
        <w:t> </w:t>
      </w:r>
      <w:r>
        <w:rPr>
          <w:rFonts w:ascii="Arial" w:hAnsi="Arial" w:cs="Arial" w:eastAsia="Arial" w:hint="default"/>
        </w:rPr>
        <w:t>31,091,370</w:t>
      </w:r>
      <w:r>
        <w:rPr>
          <w:rFonts w:ascii="Arial" w:hAnsi="Arial" w:cs="Arial" w:eastAsia="Arial" w:hint="default"/>
          <w:spacing w:val="-8"/>
        </w:rPr>
        <w:t> </w:t>
      </w:r>
      <w:r>
        <w:rPr/>
        <w:t>股完成上市。 股份变动的过户情况</w:t>
      </w:r>
    </w:p>
    <w:p>
      <w:pPr>
        <w:pStyle w:val="BodyText"/>
        <w:spacing w:line="245" w:lineRule="exact"/>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312" w:lineRule="exact" w:before="52"/>
        <w:ind w:right="174"/>
        <w:jc w:val="left"/>
      </w:pPr>
      <w:r>
        <w:rPr/>
        <w:t>股份变动对最近一年和最近一期基本每股收益和稀释每股收益、归属于公司普通股股东的每 股净资产等财务指标的影响</w:t>
      </w:r>
    </w:p>
    <w:p>
      <w:pPr>
        <w:pStyle w:val="BodyText"/>
        <w:spacing w:line="256" w:lineRule="auto" w:before="7"/>
        <w:ind w:right="44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公司认为必要或证券监管机构要求披露的其他内容</w:t>
      </w:r>
    </w:p>
    <w:p>
      <w:pPr>
        <w:pStyle w:val="BodyText"/>
        <w:spacing w:line="240" w:lineRule="auto" w:before="22"/>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4"/>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、限售股份变动情况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877" w:footer="980" w:top="1100" w:bottom="1160" w:left="980" w:right="980"/>
        </w:sectPr>
      </w:pPr>
    </w:p>
    <w:p>
      <w:pPr>
        <w:pStyle w:val="BodyText"/>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52"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60" w:bottom="1160" w:left="980" w:right="980"/>
          <w:cols w:num="2" w:equalWidth="0">
            <w:col w:w="1990" w:space="6811"/>
            <w:col w:w="1149"/>
          </w:cols>
        </w:sectPr>
      </w:pP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634"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45"/>
              <w:jc w:val="right"/>
              <w:rPr>
                <w:rFonts w:ascii="宋体" w:hAnsi="宋体" w:cs="宋体" w:eastAsia="宋体" w:hint="default"/>
                <w:sz w:val="21"/>
                <w:szCs w:val="21"/>
              </w:rPr>
            </w:pPr>
            <w:r>
              <w:rPr>
                <w:rFonts w:ascii="宋体" w:hAnsi="宋体" w:cs="宋体" w:eastAsia="宋体" w:hint="default"/>
                <w:spacing w:val="-1"/>
                <w:sz w:val="21"/>
                <w:szCs w:val="21"/>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70" w:right="43" w:hanging="420"/>
              <w:jc w:val="left"/>
              <w:rPr>
                <w:rFonts w:ascii="宋体" w:hAnsi="宋体" w:cs="宋体" w:eastAsia="宋体" w:hint="default"/>
                <w:sz w:val="21"/>
                <w:szCs w:val="21"/>
              </w:rPr>
            </w:pPr>
            <w:r>
              <w:rPr>
                <w:rFonts w:ascii="宋体" w:hAnsi="宋体" w:cs="宋体" w:eastAsia="宋体" w:hint="default"/>
                <w:sz w:val="21"/>
                <w:szCs w:val="21"/>
              </w:rPr>
              <w:t>本期解除限售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70" w:right="46" w:hanging="420"/>
              <w:jc w:val="left"/>
              <w:rPr>
                <w:rFonts w:ascii="宋体" w:hAnsi="宋体" w:cs="宋体" w:eastAsia="宋体" w:hint="default"/>
                <w:sz w:val="21"/>
                <w:szCs w:val="21"/>
              </w:rPr>
            </w:pPr>
            <w:r>
              <w:rPr>
                <w:rFonts w:ascii="宋体" w:hAnsi="宋体" w:cs="宋体" w:eastAsia="宋体" w:hint="default"/>
                <w:sz w:val="21"/>
                <w:szCs w:val="21"/>
              </w:rPr>
              <w:t>本期增加限售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59"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71" w:right="43" w:hanging="526"/>
              <w:jc w:val="left"/>
              <w:rPr>
                <w:rFonts w:ascii="宋体" w:hAnsi="宋体" w:cs="宋体" w:eastAsia="宋体" w:hint="default"/>
                <w:sz w:val="21"/>
                <w:szCs w:val="21"/>
              </w:rPr>
            </w:pPr>
            <w:r>
              <w:rPr>
                <w:rFonts w:ascii="宋体" w:hAnsi="宋体" w:cs="宋体" w:eastAsia="宋体" w:hint="default"/>
                <w:sz w:val="21"/>
                <w:szCs w:val="21"/>
              </w:rPr>
              <w:t>拟解除限售日</w:t>
            </w:r>
            <w:r>
              <w:rPr>
                <w:rFonts w:ascii="宋体" w:hAnsi="宋体" w:cs="宋体" w:eastAsia="宋体" w:hint="default"/>
                <w:w w:val="100"/>
                <w:sz w:val="21"/>
                <w:szCs w:val="21"/>
              </w:rPr>
              <w:t> </w:t>
            </w:r>
            <w:r>
              <w:rPr>
                <w:rFonts w:ascii="宋体" w:hAnsi="宋体" w:cs="宋体" w:eastAsia="宋体" w:hint="default"/>
                <w:sz w:val="21"/>
                <w:szCs w:val="21"/>
              </w:rPr>
              <w:t>期</w:t>
            </w:r>
          </w:p>
        </w:tc>
      </w:tr>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邵学</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103,155,674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85" w:right="0"/>
              <w:jc w:val="left"/>
              <w:rPr>
                <w:rFonts w:ascii="Arial" w:hAnsi="Arial" w:cs="Arial" w:eastAsia="Arial" w:hint="default"/>
                <w:sz w:val="21"/>
                <w:szCs w:val="21"/>
              </w:rPr>
            </w:pPr>
            <w:r>
              <w:rPr>
                <w:rFonts w:ascii="Arial"/>
                <w:sz w:val="21"/>
              </w:rPr>
              <w:t>12,992,905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48" w:right="0"/>
              <w:jc w:val="center"/>
              <w:rPr>
                <w:rFonts w:ascii="Arial" w:hAnsi="Arial" w:cs="Arial" w:eastAsia="Arial" w:hint="default"/>
                <w:sz w:val="21"/>
                <w:szCs w:val="21"/>
              </w:rPr>
            </w:pPr>
            <w:r>
              <w:rPr>
                <w:rFonts w:ascii="Arial"/>
                <w:sz w:val="21"/>
              </w:rPr>
              <w:t>116,148,579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70"/>
              <w:jc w:val="left"/>
              <w:rPr>
                <w:rFonts w:ascii="宋体" w:hAnsi="宋体" w:cs="宋体" w:eastAsia="宋体" w:hint="default"/>
                <w:sz w:val="21"/>
                <w:szCs w:val="21"/>
              </w:rPr>
            </w:pPr>
            <w:r>
              <w:rPr>
                <w:rFonts w:ascii="宋体" w:hAnsi="宋体" w:cs="宋体" w:eastAsia="宋体" w:hint="default"/>
                <w:sz w:val="21"/>
                <w:szCs w:val="21"/>
              </w:rPr>
              <w:t>高管锁定；首</w:t>
            </w:r>
            <w:r>
              <w:rPr>
                <w:rFonts w:ascii="宋体" w:hAnsi="宋体" w:cs="宋体" w:eastAsia="宋体" w:hint="default"/>
                <w:w w:val="100"/>
                <w:sz w:val="21"/>
                <w:szCs w:val="21"/>
              </w:rPr>
              <w:t> </w:t>
            </w:r>
            <w:r>
              <w:rPr>
                <w:rFonts w:ascii="宋体" w:hAnsi="宋体" w:cs="宋体" w:eastAsia="宋体" w:hint="default"/>
                <w:sz w:val="21"/>
                <w:szCs w:val="21"/>
              </w:rPr>
              <w:t>发后限售股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5" w:right="43" w:firstLine="211"/>
              <w:jc w:val="left"/>
              <w:rPr>
                <w:rFonts w:ascii="宋体" w:hAnsi="宋体" w:cs="宋体" w:eastAsia="宋体" w:hint="default"/>
                <w:sz w:val="21"/>
                <w:szCs w:val="21"/>
              </w:rPr>
            </w:pPr>
            <w:r>
              <w:rPr>
                <w:rFonts w:ascii="宋体" w:hAnsi="宋体" w:cs="宋体" w:eastAsia="宋体" w:hint="default"/>
                <w:sz w:val="21"/>
                <w:szCs w:val="21"/>
              </w:rPr>
              <w:t>每年解锁</w:t>
            </w:r>
            <w:r>
              <w:rPr>
                <w:rFonts w:ascii="宋体" w:hAnsi="宋体" w:cs="宋体" w:eastAsia="宋体" w:hint="default"/>
                <w:w w:val="100"/>
                <w:sz w:val="21"/>
                <w:szCs w:val="21"/>
              </w:rPr>
              <w:t> </w:t>
            </w:r>
            <w:r>
              <w:rPr>
                <w:rFonts w:ascii="Arial" w:hAnsi="Arial" w:cs="Arial" w:eastAsia="Arial" w:hint="default"/>
                <w:sz w:val="21"/>
                <w:szCs w:val="21"/>
              </w:rPr>
              <w:t>25%</w:t>
            </w:r>
            <w:r>
              <w:rPr>
                <w:rFonts w:ascii="宋体" w:hAnsi="宋体" w:cs="宋体" w:eastAsia="宋体" w:hint="default"/>
                <w:sz w:val="21"/>
                <w:szCs w:val="21"/>
              </w:rPr>
              <w:t>；首发后</w:t>
            </w:r>
            <w:r>
              <w:rPr>
                <w:rFonts w:ascii="宋体" w:hAnsi="宋体" w:cs="宋体" w:eastAsia="宋体" w:hint="default"/>
                <w:w w:val="100"/>
                <w:sz w:val="21"/>
                <w:szCs w:val="21"/>
              </w:rPr>
              <w:t> </w:t>
            </w:r>
            <w:r>
              <w:rPr>
                <w:rFonts w:ascii="宋体" w:hAnsi="宋体" w:cs="宋体" w:eastAsia="宋体" w:hint="default"/>
                <w:sz w:val="21"/>
                <w:szCs w:val="21"/>
              </w:rPr>
              <w:t>承诺：自股份</w:t>
            </w:r>
          </w:p>
        </w:tc>
      </w:tr>
    </w:tbl>
    <w:p>
      <w:pPr>
        <w:spacing w:after="0" w:line="266"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634"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5" w:right="31" w:hanging="12"/>
              <w:jc w:val="left"/>
              <w:rPr>
                <w:rFonts w:ascii="宋体" w:hAnsi="宋体" w:cs="宋体" w:eastAsia="宋体" w:hint="default"/>
                <w:sz w:val="21"/>
                <w:szCs w:val="21"/>
              </w:rPr>
            </w:pPr>
            <w:r>
              <w:rPr>
                <w:rFonts w:ascii="宋体" w:hAnsi="宋体" w:cs="宋体" w:eastAsia="宋体" w:hint="default"/>
                <w:sz w:val="21"/>
                <w:szCs w:val="21"/>
              </w:rPr>
              <w:t>发行之日起</w:t>
            </w:r>
            <w:r>
              <w:rPr>
                <w:rFonts w:ascii="Arial" w:hAnsi="Arial" w:cs="Arial" w:eastAsia="Arial" w:hint="default"/>
                <w:sz w:val="21"/>
                <w:szCs w:val="21"/>
              </w:rPr>
              <w:t>36</w:t>
            </w:r>
            <w:r>
              <w:rPr>
                <w:rFonts w:ascii="Arial" w:hAnsi="Arial" w:cs="Arial" w:eastAsia="Arial" w:hint="default"/>
                <w:w w:val="100"/>
                <w:sz w:val="21"/>
                <w:szCs w:val="21"/>
              </w:rPr>
              <w:t> </w:t>
            </w:r>
            <w:r>
              <w:rPr>
                <w:rFonts w:ascii="宋体" w:hAnsi="宋体" w:cs="宋体" w:eastAsia="宋体" w:hint="default"/>
                <w:sz w:val="21"/>
                <w:szCs w:val="21"/>
              </w:rPr>
              <w:t>个月不得转让</w:t>
            </w:r>
          </w:p>
        </w:tc>
      </w:tr>
      <w:tr>
        <w:trPr>
          <w:trHeight w:val="157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2" w:right="0"/>
              <w:jc w:val="center"/>
              <w:rPr>
                <w:rFonts w:ascii="宋体" w:hAnsi="宋体" w:cs="宋体" w:eastAsia="宋体" w:hint="default"/>
                <w:sz w:val="21"/>
                <w:szCs w:val="21"/>
              </w:rPr>
            </w:pPr>
            <w:r>
              <w:rPr>
                <w:rFonts w:ascii="宋体" w:hAnsi="宋体" w:cs="宋体" w:eastAsia="宋体" w:hint="default"/>
                <w:sz w:val="21"/>
                <w:szCs w:val="21"/>
              </w:rPr>
              <w:t>任刚</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26,176,898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26,176,898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24"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45" w:right="43"/>
              <w:jc w:val="both"/>
              <w:rPr>
                <w:rFonts w:ascii="宋体" w:hAnsi="宋体" w:cs="宋体" w:eastAsia="宋体" w:hint="default"/>
                <w:sz w:val="21"/>
                <w:szCs w:val="21"/>
              </w:rPr>
            </w:pPr>
            <w:r>
              <w:rPr>
                <w:rFonts w:ascii="宋体" w:hAnsi="宋体" w:cs="宋体" w:eastAsia="宋体" w:hint="default"/>
                <w:sz w:val="21"/>
                <w:szCs w:val="21"/>
              </w:rPr>
              <w:t>首发后承诺：</w:t>
            </w:r>
            <w:r>
              <w:rPr>
                <w:rFonts w:ascii="宋体" w:hAnsi="宋体" w:cs="宋体" w:eastAsia="宋体" w:hint="default"/>
                <w:w w:val="100"/>
                <w:sz w:val="21"/>
                <w:szCs w:val="21"/>
              </w:rPr>
              <w:t> </w:t>
            </w:r>
            <w:r>
              <w:rPr>
                <w:rFonts w:ascii="宋体" w:hAnsi="宋体" w:cs="宋体" w:eastAsia="宋体" w:hint="default"/>
                <w:sz w:val="21"/>
                <w:szCs w:val="21"/>
              </w:rPr>
              <w:t>自股份发行结</w:t>
            </w:r>
            <w:r>
              <w:rPr>
                <w:rFonts w:ascii="宋体" w:hAnsi="宋体" w:cs="宋体" w:eastAsia="宋体" w:hint="default"/>
                <w:w w:val="100"/>
                <w:sz w:val="21"/>
                <w:szCs w:val="21"/>
              </w:rPr>
              <w:t> </w:t>
            </w:r>
            <w:r>
              <w:rPr>
                <w:rFonts w:ascii="宋体" w:hAnsi="宋体" w:cs="宋体" w:eastAsia="宋体" w:hint="default"/>
                <w:sz w:val="21"/>
                <w:szCs w:val="21"/>
              </w:rPr>
              <w:t>束之日起锁定</w:t>
            </w:r>
            <w:r>
              <w:rPr>
                <w:rFonts w:ascii="宋体" w:hAnsi="宋体" w:cs="宋体" w:eastAsia="宋体" w:hint="default"/>
                <w:w w:val="100"/>
                <w:sz w:val="21"/>
                <w:szCs w:val="21"/>
              </w:rPr>
              <w:t> </w:t>
            </w:r>
            <w:r>
              <w:rPr>
                <w:rFonts w:ascii="Arial" w:hAnsi="Arial" w:cs="Arial" w:eastAsia="Arial" w:hint="default"/>
                <w:sz w:val="21"/>
                <w:szCs w:val="21"/>
              </w:rPr>
              <w:t>12</w:t>
            </w:r>
            <w:r>
              <w:rPr>
                <w:rFonts w:ascii="Arial" w:hAnsi="Arial" w:cs="Arial" w:eastAsia="Arial" w:hint="default"/>
                <w:spacing w:val="45"/>
                <w:sz w:val="21"/>
                <w:szCs w:val="21"/>
              </w:rPr>
              <w:t> </w:t>
            </w:r>
            <w:r>
              <w:rPr>
                <w:rFonts w:ascii="宋体" w:hAnsi="宋体" w:cs="宋体" w:eastAsia="宋体" w:hint="default"/>
                <w:sz w:val="21"/>
                <w:szCs w:val="21"/>
              </w:rPr>
              <w:t>个月，之</w:t>
            </w:r>
            <w:r>
              <w:rPr>
                <w:rFonts w:ascii="宋体" w:hAnsi="宋体" w:cs="宋体" w:eastAsia="宋体" w:hint="default"/>
                <w:w w:val="100"/>
                <w:sz w:val="21"/>
                <w:szCs w:val="21"/>
              </w:rPr>
              <w:t> </w:t>
            </w:r>
            <w:r>
              <w:rPr>
                <w:rFonts w:ascii="宋体" w:hAnsi="宋体" w:cs="宋体" w:eastAsia="宋体" w:hint="default"/>
                <w:sz w:val="21"/>
                <w:szCs w:val="21"/>
              </w:rPr>
              <w:t>后分三次解锁</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任涛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w:hAnsi="Arial" w:cs="Arial" w:eastAsia="Arial" w:hint="default"/>
                <w:sz w:val="21"/>
                <w:szCs w:val="21"/>
              </w:rPr>
            </w:pPr>
            <w:r>
              <w:rPr>
                <w:rFonts w:ascii="Arial"/>
                <w:spacing w:val="-1"/>
                <w:sz w:val="21"/>
              </w:rPr>
              <w:t>19,217,021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w:hAnsi="Arial" w:cs="Arial" w:eastAsia="Arial" w:hint="default"/>
                <w:sz w:val="21"/>
                <w:szCs w:val="21"/>
              </w:rPr>
            </w:pPr>
            <w:r>
              <w:rPr>
                <w:rFonts w:ascii="Arial"/>
                <w:w w:val="100"/>
                <w:sz w:val="21"/>
              </w:rPr>
              <w:t>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w:hAnsi="Arial" w:cs="Arial" w:eastAsia="Arial" w:hint="default"/>
                <w:sz w:val="21"/>
                <w:szCs w:val="21"/>
              </w:rPr>
            </w:pPr>
            <w:r>
              <w:rPr>
                <w:rFonts w:ascii="Arial"/>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w:hAnsi="Arial" w:cs="Arial" w:eastAsia="Arial" w:hint="default"/>
                <w:sz w:val="21"/>
                <w:szCs w:val="21"/>
              </w:rPr>
            </w:pPr>
            <w:r>
              <w:rPr>
                <w:rFonts w:ascii="Arial"/>
                <w:spacing w:val="-1"/>
                <w:sz w:val="21"/>
              </w:rPr>
              <w:t>19,217,018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5" w:right="0"/>
              <w:jc w:val="left"/>
              <w:rPr>
                <w:rFonts w:ascii="Arial" w:hAnsi="Arial" w:cs="Arial" w:eastAsia="Arial" w:hint="default"/>
                <w:sz w:val="21"/>
                <w:szCs w:val="21"/>
              </w:rPr>
            </w:pPr>
            <w:r>
              <w:rPr>
                <w:rFonts w:ascii="宋体" w:hAnsi="宋体" w:cs="宋体" w:eastAsia="宋体" w:hint="default"/>
                <w:sz w:val="21"/>
                <w:szCs w:val="21"/>
              </w:rPr>
              <w:t>每年解锁</w:t>
            </w:r>
            <w:r>
              <w:rPr>
                <w:rFonts w:ascii="Arial" w:hAnsi="Arial" w:cs="Arial" w:eastAsia="Arial" w:hint="default"/>
                <w:sz w:val="21"/>
                <w:szCs w:val="21"/>
              </w:rPr>
              <w:t>25%</w:t>
            </w:r>
          </w:p>
        </w:tc>
      </w:tr>
      <w:tr>
        <w:trPr>
          <w:trHeight w:val="126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王莉丽</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10,209,392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10,209,392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41"/>
              <w:jc w:val="both"/>
              <w:rPr>
                <w:rFonts w:ascii="宋体" w:hAnsi="宋体" w:cs="宋体" w:eastAsia="宋体" w:hint="default"/>
                <w:sz w:val="21"/>
                <w:szCs w:val="21"/>
              </w:rPr>
            </w:pPr>
            <w:r>
              <w:rPr>
                <w:rFonts w:ascii="宋体" w:hAnsi="宋体" w:cs="宋体" w:eastAsia="宋体" w:hint="default"/>
                <w:sz w:val="21"/>
                <w:szCs w:val="21"/>
              </w:rPr>
              <w:t>首发后承诺：</w:t>
            </w:r>
            <w:r>
              <w:rPr>
                <w:rFonts w:ascii="宋体" w:hAnsi="宋体" w:cs="宋体" w:eastAsia="宋体" w:hint="default"/>
                <w:w w:val="100"/>
                <w:sz w:val="21"/>
                <w:szCs w:val="21"/>
              </w:rPr>
              <w:t> </w:t>
            </w:r>
            <w:r>
              <w:rPr>
                <w:rFonts w:ascii="宋体" w:hAnsi="宋体" w:cs="宋体" w:eastAsia="宋体" w:hint="default"/>
                <w:sz w:val="21"/>
                <w:szCs w:val="21"/>
              </w:rPr>
              <w:t>自股份发行之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Arial" w:hAnsi="Arial" w:cs="Arial" w:eastAsia="Arial" w:hint="default"/>
                <w:sz w:val="21"/>
                <w:szCs w:val="21"/>
              </w:rPr>
              <w:t>36</w:t>
            </w:r>
            <w:r>
              <w:rPr>
                <w:rFonts w:ascii="宋体" w:hAnsi="宋体" w:cs="宋体" w:eastAsia="宋体" w:hint="default"/>
                <w:sz w:val="21"/>
                <w:szCs w:val="21"/>
              </w:rPr>
              <w:t>个月不</w:t>
            </w:r>
            <w:r>
              <w:rPr>
                <w:rFonts w:ascii="宋体" w:hAnsi="宋体" w:cs="宋体" w:eastAsia="宋体" w:hint="default"/>
                <w:w w:val="100"/>
                <w:sz w:val="21"/>
                <w:szCs w:val="21"/>
              </w:rPr>
              <w:t> </w:t>
            </w:r>
            <w:r>
              <w:rPr>
                <w:rFonts w:ascii="宋体" w:hAnsi="宋体" w:cs="宋体" w:eastAsia="宋体" w:hint="default"/>
                <w:sz w:val="21"/>
                <w:szCs w:val="21"/>
              </w:rPr>
              <w:t>得转让</w:t>
            </w:r>
          </w:p>
        </w:tc>
      </w:tr>
      <w:tr>
        <w:trPr>
          <w:trHeight w:val="125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45" w:right="41"/>
              <w:jc w:val="center"/>
              <w:rPr>
                <w:rFonts w:ascii="宋体" w:hAnsi="宋体" w:cs="宋体" w:eastAsia="宋体" w:hint="default"/>
                <w:sz w:val="21"/>
                <w:szCs w:val="21"/>
              </w:rPr>
            </w:pPr>
            <w:r>
              <w:rPr>
                <w:rFonts w:ascii="宋体" w:hAnsi="宋体" w:cs="宋体" w:eastAsia="宋体" w:hint="default"/>
                <w:spacing w:val="-1"/>
                <w:sz w:val="21"/>
                <w:szCs w:val="21"/>
              </w:rPr>
              <w:t>广州奕力腾投</w:t>
            </w:r>
            <w:r>
              <w:rPr>
                <w:rFonts w:ascii="宋体" w:hAnsi="宋体" w:cs="宋体" w:eastAsia="宋体" w:hint="default"/>
                <w:w w:val="100"/>
                <w:sz w:val="21"/>
                <w:szCs w:val="21"/>
              </w:rPr>
              <w:t> </w:t>
            </w:r>
            <w:r>
              <w:rPr>
                <w:rFonts w:ascii="宋体" w:hAnsi="宋体" w:cs="宋体" w:eastAsia="宋体" w:hint="default"/>
                <w:spacing w:val="-1"/>
                <w:sz w:val="21"/>
                <w:szCs w:val="21"/>
              </w:rPr>
              <w:t>资企业（有限</w:t>
            </w:r>
            <w:r>
              <w:rPr>
                <w:rFonts w:ascii="宋体" w:hAnsi="宋体" w:cs="宋体" w:eastAsia="宋体" w:hint="default"/>
                <w:w w:val="100"/>
                <w:sz w:val="21"/>
                <w:szCs w:val="21"/>
              </w:rPr>
              <w:t> </w:t>
            </w:r>
            <w:r>
              <w:rPr>
                <w:rFonts w:ascii="宋体" w:hAnsi="宋体" w:cs="宋体" w:eastAsia="宋体" w:hint="default"/>
                <w:sz w:val="21"/>
                <w:szCs w:val="21"/>
              </w:rPr>
              <w:t>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Arial" w:hAnsi="Arial" w:cs="Arial" w:eastAsia="Arial" w:hint="default"/>
                <w:sz w:val="21"/>
                <w:szCs w:val="21"/>
              </w:rPr>
            </w:pPr>
            <w:r>
              <w:rPr>
                <w:rFonts w:ascii="Arial"/>
                <w:spacing w:val="-1"/>
                <w:sz w:val="21"/>
              </w:rPr>
              <w:t>8,474,820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Arial" w:hAnsi="Arial" w:cs="Arial" w:eastAsia="Arial" w:hint="default"/>
                <w:sz w:val="21"/>
                <w:szCs w:val="21"/>
              </w:rPr>
            </w:pPr>
            <w:r>
              <w:rPr>
                <w:rFonts w:ascii="Arial"/>
                <w:spacing w:val="-1"/>
                <w:sz w:val="21"/>
              </w:rPr>
              <w:t>8,474,820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41"/>
              <w:jc w:val="both"/>
              <w:rPr>
                <w:rFonts w:ascii="宋体" w:hAnsi="宋体" w:cs="宋体" w:eastAsia="宋体" w:hint="default"/>
                <w:sz w:val="21"/>
                <w:szCs w:val="21"/>
              </w:rPr>
            </w:pPr>
            <w:r>
              <w:rPr>
                <w:rFonts w:ascii="宋体" w:hAnsi="宋体" w:cs="宋体" w:eastAsia="宋体" w:hint="default"/>
                <w:sz w:val="21"/>
                <w:szCs w:val="21"/>
              </w:rPr>
              <w:t>首发后承诺：</w:t>
            </w:r>
            <w:r>
              <w:rPr>
                <w:rFonts w:ascii="宋体" w:hAnsi="宋体" w:cs="宋体" w:eastAsia="宋体" w:hint="default"/>
                <w:w w:val="100"/>
                <w:sz w:val="21"/>
                <w:szCs w:val="21"/>
              </w:rPr>
              <w:t> </w:t>
            </w:r>
            <w:r>
              <w:rPr>
                <w:rFonts w:ascii="宋体" w:hAnsi="宋体" w:cs="宋体" w:eastAsia="宋体" w:hint="default"/>
                <w:sz w:val="21"/>
                <w:szCs w:val="21"/>
              </w:rPr>
              <w:t>自股份发行之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Arial" w:hAnsi="Arial" w:cs="Arial" w:eastAsia="Arial" w:hint="default"/>
                <w:sz w:val="21"/>
                <w:szCs w:val="21"/>
              </w:rPr>
              <w:t>12</w:t>
            </w:r>
            <w:r>
              <w:rPr>
                <w:rFonts w:ascii="宋体" w:hAnsi="宋体" w:cs="宋体" w:eastAsia="宋体" w:hint="default"/>
                <w:sz w:val="21"/>
                <w:szCs w:val="21"/>
              </w:rPr>
              <w:t>个月不</w:t>
            </w:r>
            <w:r>
              <w:rPr>
                <w:rFonts w:ascii="宋体" w:hAnsi="宋体" w:cs="宋体" w:eastAsia="宋体" w:hint="default"/>
                <w:w w:val="100"/>
                <w:sz w:val="21"/>
                <w:szCs w:val="21"/>
              </w:rPr>
              <w:t> </w:t>
            </w:r>
            <w:r>
              <w:rPr>
                <w:rFonts w:ascii="宋体" w:hAnsi="宋体" w:cs="宋体" w:eastAsia="宋体" w:hint="default"/>
                <w:sz w:val="21"/>
                <w:szCs w:val="21"/>
              </w:rPr>
              <w:t>得转让</w:t>
            </w:r>
          </w:p>
        </w:tc>
      </w:tr>
      <w:tr>
        <w:trPr>
          <w:trHeight w:val="281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19"/>
              <w:jc w:val="right"/>
              <w:rPr>
                <w:rFonts w:ascii="Arial" w:hAnsi="Arial" w:cs="Arial" w:eastAsia="Arial" w:hint="default"/>
                <w:sz w:val="21"/>
                <w:szCs w:val="21"/>
              </w:rPr>
            </w:pPr>
            <w:r>
              <w:rPr>
                <w:rFonts w:ascii="Arial"/>
                <w:spacing w:val="-1"/>
                <w:sz w:val="21"/>
              </w:rPr>
              <w:t>7,142,067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19"/>
              <w:jc w:val="right"/>
              <w:rPr>
                <w:rFonts w:ascii="Arial" w:hAnsi="Arial" w:cs="Arial" w:eastAsia="Arial" w:hint="default"/>
                <w:sz w:val="21"/>
                <w:szCs w:val="21"/>
              </w:rPr>
            </w:pPr>
            <w:r>
              <w:rPr>
                <w:rFonts w:ascii="Arial"/>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22"/>
              <w:jc w:val="right"/>
              <w:rPr>
                <w:rFonts w:ascii="Arial" w:hAnsi="Arial" w:cs="Arial" w:eastAsia="Arial" w:hint="default"/>
                <w:sz w:val="21"/>
                <w:szCs w:val="21"/>
              </w:rPr>
            </w:pPr>
            <w:r>
              <w:rPr>
                <w:rFonts w:ascii="Arial"/>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17"/>
              <w:jc w:val="right"/>
              <w:rPr>
                <w:rFonts w:ascii="Arial" w:hAnsi="Arial" w:cs="Arial" w:eastAsia="Arial" w:hint="default"/>
                <w:sz w:val="21"/>
                <w:szCs w:val="21"/>
              </w:rPr>
            </w:pPr>
            <w:r>
              <w:rPr>
                <w:rFonts w:ascii="Arial"/>
                <w:spacing w:val="-1"/>
                <w:sz w:val="21"/>
              </w:rPr>
              <w:t>7,142,067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9"/>
              <w:ind w:left="24" w:right="70"/>
              <w:jc w:val="left"/>
              <w:rPr>
                <w:rFonts w:ascii="宋体" w:hAnsi="宋体" w:cs="宋体" w:eastAsia="宋体" w:hint="default"/>
                <w:sz w:val="21"/>
                <w:szCs w:val="21"/>
              </w:rPr>
            </w:pPr>
            <w:r>
              <w:rPr>
                <w:rFonts w:ascii="宋体" w:hAnsi="宋体" w:cs="宋体" w:eastAsia="宋体" w:hint="default"/>
                <w:sz w:val="21"/>
                <w:szCs w:val="21"/>
              </w:rPr>
              <w:t>高管锁定、股</w:t>
            </w:r>
            <w:r>
              <w:rPr>
                <w:rFonts w:ascii="宋体" w:hAnsi="宋体" w:cs="宋体" w:eastAsia="宋体" w:hint="default"/>
                <w:w w:val="100"/>
                <w:sz w:val="21"/>
                <w:szCs w:val="21"/>
              </w:rPr>
              <w:t> </w:t>
            </w:r>
            <w:r>
              <w:rPr>
                <w:rFonts w:ascii="宋体" w:hAnsi="宋体" w:cs="宋体" w:eastAsia="宋体" w:hint="default"/>
                <w:sz w:val="21"/>
                <w:szCs w:val="21"/>
              </w:rPr>
              <w:t>权激励限售股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65"/>
              <w:jc w:val="left"/>
              <w:rPr>
                <w:rFonts w:ascii="宋体" w:hAnsi="宋体" w:cs="宋体" w:eastAsia="宋体" w:hint="default"/>
                <w:sz w:val="21"/>
                <w:szCs w:val="21"/>
              </w:rPr>
            </w:pPr>
            <w:r>
              <w:rPr>
                <w:rFonts w:ascii="宋体" w:hAnsi="宋体" w:cs="宋体" w:eastAsia="宋体" w:hint="default"/>
                <w:sz w:val="21"/>
                <w:szCs w:val="21"/>
              </w:rPr>
              <w:t>高管锁定：每</w:t>
            </w:r>
            <w:r>
              <w:rPr>
                <w:rFonts w:ascii="宋体" w:hAnsi="宋体" w:cs="宋体" w:eastAsia="宋体" w:hint="default"/>
                <w:w w:val="100"/>
                <w:sz w:val="21"/>
                <w:szCs w:val="21"/>
              </w:rPr>
              <w:t> </w:t>
            </w:r>
            <w:r>
              <w:rPr>
                <w:rFonts w:ascii="宋体" w:hAnsi="宋体" w:cs="宋体" w:eastAsia="宋体" w:hint="default"/>
                <w:sz w:val="21"/>
                <w:szCs w:val="21"/>
              </w:rPr>
              <w:t>年解锁</w:t>
            </w:r>
            <w:r>
              <w:rPr>
                <w:rFonts w:ascii="Arial" w:hAnsi="Arial" w:cs="Arial" w:eastAsia="Arial" w:hint="default"/>
                <w:sz w:val="21"/>
                <w:szCs w:val="21"/>
              </w:rPr>
              <w:t>25%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股权激励限售</w:t>
            </w:r>
            <w:r>
              <w:rPr>
                <w:rFonts w:ascii="宋体" w:hAnsi="宋体" w:cs="宋体" w:eastAsia="宋体" w:hint="default"/>
                <w:w w:val="100"/>
                <w:sz w:val="21"/>
                <w:szCs w:val="21"/>
              </w:rPr>
              <w:t> </w:t>
            </w:r>
            <w:r>
              <w:rPr>
                <w:rFonts w:ascii="宋体" w:hAnsi="宋体" w:cs="宋体" w:eastAsia="宋体" w:hint="default"/>
                <w:sz w:val="21"/>
                <w:szCs w:val="21"/>
              </w:rPr>
              <w:t>股：自股份发</w:t>
            </w:r>
            <w:r>
              <w:rPr>
                <w:rFonts w:ascii="宋体" w:hAnsi="宋体" w:cs="宋体" w:eastAsia="宋体" w:hint="default"/>
                <w:w w:val="100"/>
                <w:sz w:val="21"/>
                <w:szCs w:val="21"/>
              </w:rPr>
              <w:t> </w:t>
            </w:r>
            <w:r>
              <w:rPr>
                <w:rFonts w:ascii="宋体" w:hAnsi="宋体" w:cs="宋体" w:eastAsia="宋体" w:hint="default"/>
                <w:sz w:val="21"/>
                <w:szCs w:val="21"/>
              </w:rPr>
              <w:t>行结束之日起</w:t>
            </w:r>
            <w:r>
              <w:rPr>
                <w:rFonts w:ascii="宋体" w:hAnsi="宋体" w:cs="宋体" w:eastAsia="宋体" w:hint="default"/>
                <w:w w:val="100"/>
                <w:sz w:val="21"/>
                <w:szCs w:val="21"/>
              </w:rPr>
              <w:t> </w:t>
            </w:r>
            <w:r>
              <w:rPr>
                <w:rFonts w:ascii="宋体" w:hAnsi="宋体" w:cs="宋体" w:eastAsia="宋体" w:hint="default"/>
                <w:sz w:val="21"/>
                <w:szCs w:val="21"/>
              </w:rPr>
              <w:t>锁定</w:t>
            </w:r>
            <w:r>
              <w:rPr>
                <w:rFonts w:ascii="宋体" w:hAnsi="宋体" w:cs="宋体" w:eastAsia="宋体" w:hint="default"/>
                <w:spacing w:val="-1"/>
                <w:sz w:val="21"/>
                <w:szCs w:val="21"/>
              </w:rPr>
              <w:t> </w:t>
            </w:r>
            <w:r>
              <w:rPr>
                <w:rFonts w:ascii="Arial" w:hAnsi="Arial" w:cs="Arial" w:eastAsia="Arial" w:hint="default"/>
                <w:sz w:val="21"/>
                <w:szCs w:val="21"/>
              </w:rPr>
              <w:t>12</w:t>
            </w:r>
            <w:r>
              <w:rPr>
                <w:rFonts w:ascii="Arial" w:hAnsi="Arial" w:cs="Arial" w:eastAsia="Arial" w:hint="default"/>
                <w:spacing w:val="45"/>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月，之后按照</w:t>
            </w:r>
            <w:r>
              <w:rPr>
                <w:rFonts w:ascii="宋体" w:hAnsi="宋体" w:cs="宋体" w:eastAsia="宋体" w:hint="default"/>
                <w:w w:val="100"/>
                <w:sz w:val="21"/>
                <w:szCs w:val="21"/>
              </w:rPr>
              <w:t> </w:t>
            </w: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30%</w:t>
            </w:r>
            <w:r>
              <w:rPr>
                <w:rFonts w:ascii="宋体" w:hAnsi="宋体" w:cs="宋体" w:eastAsia="宋体" w:hint="default"/>
                <w:sz w:val="21"/>
                <w:szCs w:val="21"/>
              </w:rPr>
              <w:t>、</w:t>
            </w:r>
          </w:p>
          <w:p>
            <w:pPr>
              <w:pStyle w:val="TableParagraph"/>
              <w:spacing w:line="284" w:lineRule="exact"/>
              <w:ind w:left="23" w:right="0"/>
              <w:jc w:val="left"/>
              <w:rPr>
                <w:rFonts w:ascii="宋体" w:hAnsi="宋体" w:cs="宋体" w:eastAsia="宋体" w:hint="default"/>
                <w:sz w:val="21"/>
                <w:szCs w:val="21"/>
              </w:rPr>
            </w:pPr>
            <w:r>
              <w:rPr>
                <w:rFonts w:ascii="Arial" w:hAnsi="Arial" w:cs="Arial" w:eastAsia="Arial" w:hint="default"/>
                <w:sz w:val="21"/>
                <w:szCs w:val="21"/>
              </w:rPr>
              <w:t>40%</w:t>
            </w:r>
            <w:r>
              <w:rPr>
                <w:rFonts w:ascii="宋体" w:hAnsi="宋体" w:cs="宋体" w:eastAsia="宋体" w:hint="default"/>
                <w:sz w:val="21"/>
                <w:szCs w:val="21"/>
              </w:rPr>
              <w:t>分批解锁</w:t>
            </w:r>
          </w:p>
        </w:tc>
      </w:tr>
      <w:tr>
        <w:trPr>
          <w:trHeight w:val="219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 w:right="41"/>
              <w:jc w:val="both"/>
              <w:rPr>
                <w:rFonts w:ascii="宋体" w:hAnsi="宋体" w:cs="宋体" w:eastAsia="宋体" w:hint="default"/>
                <w:sz w:val="21"/>
                <w:szCs w:val="21"/>
              </w:rPr>
            </w:pPr>
            <w:r>
              <w:rPr>
                <w:rFonts w:ascii="宋体" w:hAnsi="宋体" w:cs="宋体" w:eastAsia="宋体" w:hint="default"/>
                <w:sz w:val="21"/>
                <w:szCs w:val="21"/>
              </w:rPr>
              <w:t>北京中关村大</w:t>
            </w:r>
            <w:r>
              <w:rPr>
                <w:rFonts w:ascii="宋体" w:hAnsi="宋体" w:cs="宋体" w:eastAsia="宋体" w:hint="default"/>
                <w:w w:val="100"/>
                <w:sz w:val="21"/>
                <w:szCs w:val="21"/>
              </w:rPr>
              <w:t> </w:t>
            </w:r>
            <w:r>
              <w:rPr>
                <w:rFonts w:ascii="宋体" w:hAnsi="宋体" w:cs="宋体" w:eastAsia="宋体" w:hint="default"/>
                <w:sz w:val="21"/>
                <w:szCs w:val="21"/>
              </w:rPr>
              <w:t>河资本投资管</w:t>
            </w:r>
            <w:r>
              <w:rPr>
                <w:rFonts w:ascii="宋体" w:hAnsi="宋体" w:cs="宋体" w:eastAsia="宋体" w:hint="default"/>
                <w:w w:val="100"/>
                <w:sz w:val="21"/>
                <w:szCs w:val="21"/>
              </w:rPr>
              <w:t> </w:t>
            </w:r>
            <w:r>
              <w:rPr>
                <w:rFonts w:ascii="宋体" w:hAnsi="宋体" w:cs="宋体" w:eastAsia="宋体" w:hint="default"/>
                <w:sz w:val="21"/>
                <w:szCs w:val="21"/>
              </w:rPr>
              <w:t>理中心（有限</w:t>
            </w:r>
            <w:r>
              <w:rPr>
                <w:rFonts w:ascii="宋体" w:hAnsi="宋体" w:cs="宋体" w:eastAsia="宋体" w:hint="default"/>
                <w:w w:val="100"/>
                <w:sz w:val="21"/>
                <w:szCs w:val="21"/>
              </w:rPr>
              <w:t> </w:t>
            </w:r>
            <w:r>
              <w:rPr>
                <w:rFonts w:ascii="宋体" w:hAnsi="宋体" w:cs="宋体" w:eastAsia="宋体" w:hint="default"/>
                <w:sz w:val="21"/>
                <w:szCs w:val="21"/>
              </w:rPr>
              <w:t>合伙）－北京</w:t>
            </w:r>
            <w:r>
              <w:rPr>
                <w:rFonts w:ascii="宋体" w:hAnsi="宋体" w:cs="宋体" w:eastAsia="宋体" w:hint="default"/>
                <w:w w:val="100"/>
                <w:sz w:val="21"/>
                <w:szCs w:val="21"/>
              </w:rPr>
              <w:t> </w:t>
            </w:r>
            <w:r>
              <w:rPr>
                <w:rFonts w:ascii="宋体" w:hAnsi="宋体" w:cs="宋体" w:eastAsia="宋体" w:hint="default"/>
                <w:sz w:val="21"/>
                <w:szCs w:val="21"/>
              </w:rPr>
              <w:t>中关村并购母</w:t>
            </w:r>
            <w:r>
              <w:rPr>
                <w:rFonts w:ascii="宋体" w:hAnsi="宋体" w:cs="宋体" w:eastAsia="宋体" w:hint="default"/>
                <w:w w:val="100"/>
                <w:sz w:val="21"/>
                <w:szCs w:val="21"/>
              </w:rPr>
              <w:t> </w:t>
            </w:r>
            <w:r>
              <w:rPr>
                <w:rFonts w:ascii="宋体" w:hAnsi="宋体" w:cs="宋体" w:eastAsia="宋体" w:hint="default"/>
                <w:sz w:val="21"/>
                <w:szCs w:val="21"/>
              </w:rPr>
              <w:t>基金投资中心</w:t>
            </w:r>
          </w:p>
          <w:p>
            <w:pPr>
              <w:pStyle w:val="TableParagraph"/>
              <w:spacing w:line="240" w:lineRule="auto" w:before="7"/>
              <w:ind w:left="45" w:right="0"/>
              <w:jc w:val="both"/>
              <w:rPr>
                <w:rFonts w:ascii="宋体" w:hAnsi="宋体" w:cs="宋体" w:eastAsia="宋体" w:hint="default"/>
                <w:sz w:val="21"/>
                <w:szCs w:val="21"/>
              </w:rPr>
            </w:pPr>
            <w:r>
              <w:rPr>
                <w:rFonts w:ascii="宋体" w:hAnsi="宋体" w:cs="宋体" w:eastAsia="宋体" w:hint="default"/>
                <w:sz w:val="21"/>
                <w:szCs w:val="21"/>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Arial" w:hAnsi="Arial" w:cs="Arial" w:eastAsia="Arial" w:hint="default"/>
                <w:sz w:val="21"/>
                <w:szCs w:val="21"/>
              </w:rPr>
            </w:pPr>
            <w:r>
              <w:rPr>
                <w:rFonts w:ascii="Arial"/>
                <w:spacing w:val="-1"/>
                <w:sz w:val="21"/>
              </w:rPr>
              <w:t>6,345,177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Arial" w:hAnsi="Arial" w:cs="Arial" w:eastAsia="Arial" w:hint="default"/>
                <w:sz w:val="21"/>
                <w:szCs w:val="21"/>
              </w:rPr>
            </w:pPr>
            <w:r>
              <w:rPr>
                <w:rFonts w:ascii="Arial"/>
                <w:spacing w:val="-1"/>
                <w:sz w:val="21"/>
              </w:rPr>
              <w:t>6,345,177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68" w:lineRule="auto"/>
              <w:ind w:left="23" w:right="41"/>
              <w:jc w:val="both"/>
              <w:rPr>
                <w:rFonts w:ascii="宋体" w:hAnsi="宋体" w:cs="宋体" w:eastAsia="宋体" w:hint="default"/>
                <w:sz w:val="21"/>
                <w:szCs w:val="21"/>
              </w:rPr>
            </w:pPr>
            <w:r>
              <w:rPr>
                <w:rFonts w:ascii="宋体" w:hAnsi="宋体" w:cs="宋体" w:eastAsia="宋体" w:hint="default"/>
                <w:sz w:val="21"/>
                <w:szCs w:val="21"/>
              </w:rPr>
              <w:t>首发后承诺：</w:t>
            </w:r>
            <w:r>
              <w:rPr>
                <w:rFonts w:ascii="宋体" w:hAnsi="宋体" w:cs="宋体" w:eastAsia="宋体" w:hint="default"/>
                <w:w w:val="100"/>
                <w:sz w:val="21"/>
                <w:szCs w:val="21"/>
              </w:rPr>
              <w:t> </w:t>
            </w:r>
            <w:r>
              <w:rPr>
                <w:rFonts w:ascii="宋体" w:hAnsi="宋体" w:cs="宋体" w:eastAsia="宋体" w:hint="default"/>
                <w:sz w:val="21"/>
                <w:szCs w:val="21"/>
              </w:rPr>
              <w:t>自股份发行之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Arial" w:hAnsi="Arial" w:cs="Arial" w:eastAsia="Arial" w:hint="default"/>
                <w:sz w:val="21"/>
                <w:szCs w:val="21"/>
              </w:rPr>
              <w:t>12</w:t>
            </w:r>
            <w:r>
              <w:rPr>
                <w:rFonts w:ascii="宋体" w:hAnsi="宋体" w:cs="宋体" w:eastAsia="宋体" w:hint="default"/>
                <w:sz w:val="21"/>
                <w:szCs w:val="21"/>
              </w:rPr>
              <w:t>个月不</w:t>
            </w:r>
            <w:r>
              <w:rPr>
                <w:rFonts w:ascii="宋体" w:hAnsi="宋体" w:cs="宋体" w:eastAsia="宋体" w:hint="default"/>
                <w:w w:val="100"/>
                <w:sz w:val="21"/>
                <w:szCs w:val="21"/>
              </w:rPr>
              <w:t> </w:t>
            </w:r>
            <w:r>
              <w:rPr>
                <w:rFonts w:ascii="宋体" w:hAnsi="宋体" w:cs="宋体" w:eastAsia="宋体" w:hint="default"/>
                <w:sz w:val="21"/>
                <w:szCs w:val="21"/>
              </w:rPr>
              <w:t>得转让</w:t>
            </w:r>
          </w:p>
        </w:tc>
      </w:tr>
      <w:tr>
        <w:trPr>
          <w:trHeight w:val="125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5" w:right="41"/>
              <w:jc w:val="center"/>
              <w:rPr>
                <w:rFonts w:ascii="宋体" w:hAnsi="宋体" w:cs="宋体" w:eastAsia="宋体" w:hint="default"/>
                <w:sz w:val="21"/>
                <w:szCs w:val="21"/>
              </w:rPr>
            </w:pPr>
            <w:r>
              <w:rPr>
                <w:rFonts w:ascii="宋体" w:hAnsi="宋体" w:cs="宋体" w:eastAsia="宋体" w:hint="default"/>
                <w:spacing w:val="-1"/>
                <w:sz w:val="21"/>
                <w:szCs w:val="21"/>
              </w:rPr>
              <w:t>石河子鼎诺投</w:t>
            </w:r>
            <w:r>
              <w:rPr>
                <w:rFonts w:ascii="宋体" w:hAnsi="宋体" w:cs="宋体" w:eastAsia="宋体" w:hint="default"/>
                <w:w w:val="100"/>
                <w:sz w:val="21"/>
                <w:szCs w:val="21"/>
              </w:rPr>
              <w:t> </w:t>
            </w:r>
            <w:r>
              <w:rPr>
                <w:rFonts w:ascii="宋体" w:hAnsi="宋体" w:cs="宋体" w:eastAsia="宋体" w:hint="default"/>
                <w:spacing w:val="-1"/>
                <w:sz w:val="21"/>
                <w:szCs w:val="21"/>
              </w:rPr>
              <w:t>资管理有限公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Arial" w:hAnsi="Arial" w:cs="Arial" w:eastAsia="Arial" w:hint="default"/>
                <w:sz w:val="21"/>
                <w:szCs w:val="21"/>
              </w:rPr>
            </w:pPr>
            <w:r>
              <w:rPr>
                <w:rFonts w:ascii="Arial"/>
                <w:spacing w:val="-1"/>
                <w:sz w:val="21"/>
              </w:rPr>
              <w:t>5,326,415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Arial" w:hAnsi="Arial" w:cs="Arial" w:eastAsia="Arial" w:hint="default"/>
                <w:sz w:val="21"/>
                <w:szCs w:val="21"/>
              </w:rPr>
            </w:pPr>
            <w:r>
              <w:rPr>
                <w:rFonts w:ascii="Arial"/>
                <w:spacing w:val="-1"/>
                <w:sz w:val="21"/>
              </w:rPr>
              <w:t>5,326,415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41"/>
              <w:jc w:val="both"/>
              <w:rPr>
                <w:rFonts w:ascii="宋体" w:hAnsi="宋体" w:cs="宋体" w:eastAsia="宋体" w:hint="default"/>
                <w:sz w:val="21"/>
                <w:szCs w:val="21"/>
              </w:rPr>
            </w:pPr>
            <w:r>
              <w:rPr>
                <w:rFonts w:ascii="宋体" w:hAnsi="宋体" w:cs="宋体" w:eastAsia="宋体" w:hint="default"/>
                <w:sz w:val="21"/>
                <w:szCs w:val="21"/>
              </w:rPr>
              <w:t>首发后承诺：</w:t>
            </w:r>
            <w:r>
              <w:rPr>
                <w:rFonts w:ascii="宋体" w:hAnsi="宋体" w:cs="宋体" w:eastAsia="宋体" w:hint="default"/>
                <w:w w:val="100"/>
                <w:sz w:val="21"/>
                <w:szCs w:val="21"/>
              </w:rPr>
              <w:t> </w:t>
            </w:r>
            <w:r>
              <w:rPr>
                <w:rFonts w:ascii="宋体" w:hAnsi="宋体" w:cs="宋体" w:eastAsia="宋体" w:hint="default"/>
                <w:sz w:val="21"/>
                <w:szCs w:val="21"/>
              </w:rPr>
              <w:t>自股份发行之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Arial" w:hAnsi="Arial" w:cs="Arial" w:eastAsia="Arial" w:hint="default"/>
                <w:sz w:val="21"/>
                <w:szCs w:val="21"/>
              </w:rPr>
              <w:t>12</w:t>
            </w:r>
            <w:r>
              <w:rPr>
                <w:rFonts w:ascii="宋体" w:hAnsi="宋体" w:cs="宋体" w:eastAsia="宋体" w:hint="default"/>
                <w:sz w:val="21"/>
                <w:szCs w:val="21"/>
              </w:rPr>
              <w:t>个月不</w:t>
            </w:r>
            <w:r>
              <w:rPr>
                <w:rFonts w:ascii="宋体" w:hAnsi="宋体" w:cs="宋体" w:eastAsia="宋体" w:hint="default"/>
                <w:w w:val="100"/>
                <w:sz w:val="21"/>
                <w:szCs w:val="21"/>
              </w:rPr>
              <w:t> </w:t>
            </w:r>
            <w:r>
              <w:rPr>
                <w:rFonts w:ascii="宋体" w:hAnsi="宋体" w:cs="宋体" w:eastAsia="宋体" w:hint="default"/>
                <w:sz w:val="21"/>
                <w:szCs w:val="21"/>
              </w:rPr>
              <w:t>得转让</w:t>
            </w:r>
          </w:p>
        </w:tc>
      </w:tr>
      <w:tr>
        <w:trPr>
          <w:trHeight w:val="125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45" w:right="41"/>
              <w:jc w:val="left"/>
              <w:rPr>
                <w:rFonts w:ascii="宋体" w:hAnsi="宋体" w:cs="宋体" w:eastAsia="宋体" w:hint="default"/>
                <w:sz w:val="21"/>
                <w:szCs w:val="21"/>
              </w:rPr>
            </w:pPr>
            <w:r>
              <w:rPr>
                <w:rFonts w:ascii="宋体" w:hAnsi="宋体" w:cs="宋体" w:eastAsia="宋体" w:hint="default"/>
                <w:sz w:val="21"/>
                <w:szCs w:val="21"/>
              </w:rPr>
              <w:t>上海国鑫投资</w:t>
            </w:r>
            <w:r>
              <w:rPr>
                <w:rFonts w:ascii="宋体" w:hAnsi="宋体" w:cs="宋体" w:eastAsia="宋体" w:hint="default"/>
                <w:w w:val="100"/>
                <w:sz w:val="21"/>
                <w:szCs w:val="21"/>
              </w:rPr>
              <w:t> </w:t>
            </w:r>
            <w:r>
              <w:rPr>
                <w:rFonts w:ascii="宋体" w:hAnsi="宋体" w:cs="宋体" w:eastAsia="宋体" w:hint="default"/>
                <w:sz w:val="21"/>
                <w:szCs w:val="21"/>
              </w:rPr>
              <w:t>发展有限公司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Arial" w:hAnsi="Arial" w:cs="Arial" w:eastAsia="Arial" w:hint="default"/>
                <w:sz w:val="21"/>
                <w:szCs w:val="21"/>
              </w:rPr>
            </w:pPr>
            <w:r>
              <w:rPr>
                <w:rFonts w:ascii="Arial"/>
                <w:spacing w:val="-1"/>
                <w:sz w:val="21"/>
              </w:rPr>
              <w:t>5,076,142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Arial" w:hAnsi="Arial" w:cs="Arial" w:eastAsia="Arial" w:hint="default"/>
                <w:sz w:val="21"/>
                <w:szCs w:val="21"/>
              </w:rPr>
            </w:pPr>
            <w:r>
              <w:rPr>
                <w:rFonts w:ascii="Arial"/>
                <w:spacing w:val="-1"/>
                <w:sz w:val="21"/>
              </w:rPr>
              <w:t>5,076,142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41"/>
              <w:jc w:val="both"/>
              <w:rPr>
                <w:rFonts w:ascii="宋体" w:hAnsi="宋体" w:cs="宋体" w:eastAsia="宋体" w:hint="default"/>
                <w:sz w:val="21"/>
                <w:szCs w:val="21"/>
              </w:rPr>
            </w:pPr>
            <w:r>
              <w:rPr>
                <w:rFonts w:ascii="宋体" w:hAnsi="宋体" w:cs="宋体" w:eastAsia="宋体" w:hint="default"/>
                <w:sz w:val="21"/>
                <w:szCs w:val="21"/>
              </w:rPr>
              <w:t>首发后承诺：</w:t>
            </w:r>
            <w:r>
              <w:rPr>
                <w:rFonts w:ascii="宋体" w:hAnsi="宋体" w:cs="宋体" w:eastAsia="宋体" w:hint="default"/>
                <w:w w:val="100"/>
                <w:sz w:val="21"/>
                <w:szCs w:val="21"/>
              </w:rPr>
              <w:t> </w:t>
            </w:r>
            <w:r>
              <w:rPr>
                <w:rFonts w:ascii="宋体" w:hAnsi="宋体" w:cs="宋体" w:eastAsia="宋体" w:hint="default"/>
                <w:sz w:val="21"/>
                <w:szCs w:val="21"/>
              </w:rPr>
              <w:t>自股份发行之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Arial" w:hAnsi="Arial" w:cs="Arial" w:eastAsia="Arial" w:hint="default"/>
                <w:sz w:val="21"/>
                <w:szCs w:val="21"/>
              </w:rPr>
              <w:t>12</w:t>
            </w:r>
            <w:r>
              <w:rPr>
                <w:rFonts w:ascii="宋体" w:hAnsi="宋体" w:cs="宋体" w:eastAsia="宋体" w:hint="default"/>
                <w:sz w:val="21"/>
                <w:szCs w:val="21"/>
              </w:rPr>
              <w:t>个月不</w:t>
            </w:r>
            <w:r>
              <w:rPr>
                <w:rFonts w:ascii="宋体" w:hAnsi="宋体" w:cs="宋体" w:eastAsia="宋体" w:hint="default"/>
                <w:w w:val="100"/>
                <w:sz w:val="21"/>
                <w:szCs w:val="21"/>
              </w:rPr>
              <w:t> </w:t>
            </w:r>
            <w:r>
              <w:rPr>
                <w:rFonts w:ascii="宋体" w:hAnsi="宋体" w:cs="宋体" w:eastAsia="宋体" w:hint="default"/>
                <w:sz w:val="21"/>
                <w:szCs w:val="21"/>
              </w:rPr>
              <w:t>得转让</w:t>
            </w:r>
          </w:p>
        </w:tc>
      </w:tr>
      <w:tr>
        <w:trPr>
          <w:trHeight w:val="126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51" w:right="41" w:hanging="107"/>
              <w:jc w:val="left"/>
              <w:rPr>
                <w:rFonts w:ascii="宋体" w:hAnsi="宋体" w:cs="宋体" w:eastAsia="宋体" w:hint="default"/>
                <w:sz w:val="21"/>
                <w:szCs w:val="21"/>
              </w:rPr>
            </w:pPr>
            <w:r>
              <w:rPr>
                <w:rFonts w:ascii="宋体" w:hAnsi="宋体" w:cs="宋体" w:eastAsia="宋体" w:hint="default"/>
                <w:sz w:val="21"/>
                <w:szCs w:val="21"/>
              </w:rPr>
              <w:t>全国社保基金</w:t>
            </w:r>
            <w:r>
              <w:rPr>
                <w:rFonts w:ascii="宋体" w:hAnsi="宋体" w:cs="宋体" w:eastAsia="宋体" w:hint="default"/>
                <w:w w:val="100"/>
                <w:sz w:val="21"/>
                <w:szCs w:val="21"/>
              </w:rPr>
              <w:t> </w:t>
            </w:r>
            <w:r>
              <w:rPr>
                <w:rFonts w:ascii="宋体" w:hAnsi="宋体" w:cs="宋体" w:eastAsia="宋体" w:hint="default"/>
                <w:sz w:val="21"/>
                <w:szCs w:val="21"/>
              </w:rPr>
              <w:t>五零四组合</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Arial" w:hAnsi="Arial" w:cs="Arial" w:eastAsia="Arial" w:hint="default"/>
                <w:sz w:val="21"/>
                <w:szCs w:val="21"/>
              </w:rPr>
            </w:pPr>
            <w:r>
              <w:rPr>
                <w:rFonts w:ascii="Arial"/>
                <w:spacing w:val="-1"/>
                <w:sz w:val="21"/>
              </w:rPr>
              <w:t>5,057,751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Arial" w:hAnsi="Arial" w:cs="Arial" w:eastAsia="Arial" w:hint="default"/>
                <w:sz w:val="21"/>
                <w:szCs w:val="21"/>
              </w:rPr>
            </w:pPr>
            <w:r>
              <w:rPr>
                <w:rFonts w:ascii="Arial"/>
                <w:spacing w:val="-1"/>
                <w:sz w:val="21"/>
              </w:rPr>
              <w:t>5,057,751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41"/>
              <w:jc w:val="both"/>
              <w:rPr>
                <w:rFonts w:ascii="宋体" w:hAnsi="宋体" w:cs="宋体" w:eastAsia="宋体" w:hint="default"/>
                <w:sz w:val="21"/>
                <w:szCs w:val="21"/>
              </w:rPr>
            </w:pPr>
            <w:r>
              <w:rPr>
                <w:rFonts w:ascii="宋体" w:hAnsi="宋体" w:cs="宋体" w:eastAsia="宋体" w:hint="default"/>
                <w:sz w:val="21"/>
                <w:szCs w:val="21"/>
              </w:rPr>
              <w:t>首发后承诺：</w:t>
            </w:r>
            <w:r>
              <w:rPr>
                <w:rFonts w:ascii="宋体" w:hAnsi="宋体" w:cs="宋体" w:eastAsia="宋体" w:hint="default"/>
                <w:w w:val="100"/>
                <w:sz w:val="21"/>
                <w:szCs w:val="21"/>
              </w:rPr>
              <w:t> </w:t>
            </w:r>
            <w:r>
              <w:rPr>
                <w:rFonts w:ascii="宋体" w:hAnsi="宋体" w:cs="宋体" w:eastAsia="宋体" w:hint="default"/>
                <w:sz w:val="21"/>
                <w:szCs w:val="21"/>
              </w:rPr>
              <w:t>自股份发行之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Arial" w:hAnsi="Arial" w:cs="Arial" w:eastAsia="Arial" w:hint="default"/>
                <w:sz w:val="21"/>
                <w:szCs w:val="21"/>
              </w:rPr>
              <w:t>12</w:t>
            </w:r>
            <w:r>
              <w:rPr>
                <w:rFonts w:ascii="宋体" w:hAnsi="宋体" w:cs="宋体" w:eastAsia="宋体" w:hint="default"/>
                <w:sz w:val="21"/>
                <w:szCs w:val="21"/>
              </w:rPr>
              <w:t>个月不</w:t>
            </w:r>
            <w:r>
              <w:rPr>
                <w:rFonts w:ascii="宋体" w:hAnsi="宋体" w:cs="宋体" w:eastAsia="宋体" w:hint="default"/>
                <w:w w:val="100"/>
                <w:sz w:val="21"/>
                <w:szCs w:val="21"/>
              </w:rPr>
              <w:t> </w:t>
            </w:r>
            <w:r>
              <w:rPr>
                <w:rFonts w:ascii="宋体" w:hAnsi="宋体" w:cs="宋体" w:eastAsia="宋体" w:hint="default"/>
                <w:sz w:val="21"/>
                <w:szCs w:val="21"/>
              </w:rPr>
              <w:t>得转让</w:t>
            </w:r>
          </w:p>
        </w:tc>
      </w:tr>
    </w:tbl>
    <w:p>
      <w:pPr>
        <w:spacing w:after="0" w:line="268" w:lineRule="auto"/>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53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73" w:lineRule="auto"/>
              <w:ind w:left="571" w:right="41" w:hanging="527"/>
              <w:jc w:val="left"/>
              <w:rPr>
                <w:rFonts w:ascii="宋体" w:hAnsi="宋体" w:cs="宋体" w:eastAsia="宋体" w:hint="default"/>
                <w:sz w:val="21"/>
                <w:szCs w:val="21"/>
              </w:rPr>
            </w:pPr>
            <w:r>
              <w:rPr>
                <w:rFonts w:ascii="宋体" w:hAnsi="宋体" w:cs="宋体" w:eastAsia="宋体" w:hint="default"/>
                <w:sz w:val="21"/>
                <w:szCs w:val="21"/>
              </w:rPr>
              <w:t>其他限售股股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51,246,702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Arial" w:hAnsi="Arial" w:cs="Arial" w:eastAsia="Arial" w:hint="default"/>
                <w:sz w:val="21"/>
                <w:szCs w:val="21"/>
              </w:rPr>
            </w:pPr>
            <w:r>
              <w:rPr>
                <w:rFonts w:ascii="Arial"/>
                <w:spacing w:val="-1"/>
                <w:sz w:val="21"/>
              </w:rPr>
              <w:t>29,553,998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Arial" w:hAnsi="Arial" w:cs="Arial" w:eastAsia="Arial" w:hint="default"/>
                <w:sz w:val="21"/>
                <w:szCs w:val="21"/>
              </w:rPr>
            </w:pPr>
            <w:r>
              <w:rPr>
                <w:rFonts w:ascii="Arial"/>
                <w:spacing w:val="-1"/>
                <w:sz w:val="21"/>
              </w:rPr>
              <w:t>34,139,785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Arial" w:hAnsi="Arial" w:cs="Arial" w:eastAsia="Arial" w:hint="default"/>
                <w:sz w:val="21"/>
                <w:szCs w:val="21"/>
              </w:rPr>
            </w:pPr>
            <w:r>
              <w:rPr>
                <w:rFonts w:ascii="Arial"/>
                <w:spacing w:val="-1"/>
                <w:sz w:val="21"/>
              </w:rPr>
              <w:t>55,832,489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6"/>
              <w:ind w:left="24" w:right="70"/>
              <w:jc w:val="both"/>
              <w:rPr>
                <w:rFonts w:ascii="宋体" w:hAnsi="宋体" w:cs="宋体" w:eastAsia="宋体" w:hint="default"/>
                <w:sz w:val="21"/>
                <w:szCs w:val="21"/>
              </w:rPr>
            </w:pPr>
            <w:r>
              <w:rPr>
                <w:rFonts w:ascii="宋体" w:hAnsi="宋体" w:cs="宋体" w:eastAsia="宋体" w:hint="default"/>
                <w:sz w:val="21"/>
                <w:szCs w:val="21"/>
              </w:rPr>
              <w:t>高管锁定；首</w:t>
            </w:r>
            <w:r>
              <w:rPr>
                <w:rFonts w:ascii="宋体" w:hAnsi="宋体" w:cs="宋体" w:eastAsia="宋体" w:hint="default"/>
                <w:w w:val="100"/>
                <w:sz w:val="21"/>
                <w:szCs w:val="21"/>
              </w:rPr>
              <w:t> </w:t>
            </w:r>
            <w:r>
              <w:rPr>
                <w:rFonts w:ascii="宋体" w:hAnsi="宋体" w:cs="宋体" w:eastAsia="宋体" w:hint="default"/>
                <w:sz w:val="21"/>
                <w:szCs w:val="21"/>
              </w:rPr>
              <w:t>发后限售股；</w:t>
            </w:r>
            <w:r>
              <w:rPr>
                <w:rFonts w:ascii="宋体" w:hAnsi="宋体" w:cs="宋体" w:eastAsia="宋体" w:hint="default"/>
                <w:w w:val="100"/>
                <w:sz w:val="21"/>
                <w:szCs w:val="21"/>
              </w:rPr>
              <w:t> </w:t>
            </w:r>
            <w:r>
              <w:rPr>
                <w:rFonts w:ascii="宋体" w:hAnsi="宋体" w:cs="宋体" w:eastAsia="宋体" w:hint="default"/>
                <w:sz w:val="21"/>
                <w:szCs w:val="21"/>
              </w:rPr>
              <w:t>股权激励限售</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3" w:right="65"/>
              <w:jc w:val="left"/>
              <w:rPr>
                <w:rFonts w:ascii="宋体" w:hAnsi="宋体" w:cs="宋体" w:eastAsia="宋体" w:hint="default"/>
                <w:sz w:val="21"/>
                <w:szCs w:val="21"/>
              </w:rPr>
            </w:pPr>
            <w:r>
              <w:rPr>
                <w:rFonts w:ascii="宋体" w:hAnsi="宋体" w:cs="宋体" w:eastAsia="宋体" w:hint="default"/>
                <w:sz w:val="21"/>
                <w:szCs w:val="21"/>
              </w:rPr>
              <w:t>高管锁定：每</w:t>
            </w:r>
            <w:r>
              <w:rPr>
                <w:rFonts w:ascii="宋体" w:hAnsi="宋体" w:cs="宋体" w:eastAsia="宋体" w:hint="default"/>
                <w:w w:val="100"/>
                <w:sz w:val="21"/>
                <w:szCs w:val="21"/>
              </w:rPr>
              <w:t> </w:t>
            </w:r>
            <w:r>
              <w:rPr>
                <w:rFonts w:ascii="宋体" w:hAnsi="宋体" w:cs="宋体" w:eastAsia="宋体" w:hint="default"/>
                <w:sz w:val="21"/>
                <w:szCs w:val="21"/>
              </w:rPr>
              <w:t>年解锁</w:t>
            </w:r>
            <w:r>
              <w:rPr>
                <w:rFonts w:ascii="Arial" w:hAnsi="Arial" w:cs="Arial" w:eastAsia="Arial" w:hint="default"/>
                <w:sz w:val="21"/>
                <w:szCs w:val="21"/>
              </w:rPr>
              <w:t>25%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股权激励限售</w:t>
            </w:r>
            <w:r>
              <w:rPr>
                <w:rFonts w:ascii="宋体" w:hAnsi="宋体" w:cs="宋体" w:eastAsia="宋体" w:hint="default"/>
                <w:w w:val="100"/>
                <w:sz w:val="21"/>
                <w:szCs w:val="21"/>
              </w:rPr>
              <w:t> </w:t>
            </w:r>
            <w:r>
              <w:rPr>
                <w:rFonts w:ascii="宋体" w:hAnsi="宋体" w:cs="宋体" w:eastAsia="宋体" w:hint="default"/>
                <w:sz w:val="21"/>
                <w:szCs w:val="21"/>
              </w:rPr>
              <w:t>股：自股份发</w:t>
            </w:r>
            <w:r>
              <w:rPr>
                <w:rFonts w:ascii="宋体" w:hAnsi="宋体" w:cs="宋体" w:eastAsia="宋体" w:hint="default"/>
                <w:w w:val="100"/>
                <w:sz w:val="21"/>
                <w:szCs w:val="21"/>
              </w:rPr>
              <w:t> </w:t>
            </w:r>
            <w:r>
              <w:rPr>
                <w:rFonts w:ascii="宋体" w:hAnsi="宋体" w:cs="宋体" w:eastAsia="宋体" w:hint="default"/>
                <w:sz w:val="21"/>
                <w:szCs w:val="21"/>
              </w:rPr>
              <w:t>行结束之日起</w:t>
            </w:r>
            <w:r>
              <w:rPr>
                <w:rFonts w:ascii="宋体" w:hAnsi="宋体" w:cs="宋体" w:eastAsia="宋体" w:hint="default"/>
                <w:w w:val="100"/>
                <w:sz w:val="21"/>
                <w:szCs w:val="21"/>
              </w:rPr>
              <w:t> </w:t>
            </w:r>
            <w:r>
              <w:rPr>
                <w:rFonts w:ascii="宋体" w:hAnsi="宋体" w:cs="宋体" w:eastAsia="宋体" w:hint="default"/>
                <w:sz w:val="21"/>
                <w:szCs w:val="21"/>
              </w:rPr>
              <w:t>锁定</w:t>
            </w:r>
            <w:r>
              <w:rPr>
                <w:rFonts w:ascii="宋体" w:hAnsi="宋体" w:cs="宋体" w:eastAsia="宋体" w:hint="default"/>
                <w:spacing w:val="-1"/>
                <w:sz w:val="21"/>
                <w:szCs w:val="21"/>
              </w:rPr>
              <w:t> </w:t>
            </w:r>
            <w:r>
              <w:rPr>
                <w:rFonts w:ascii="Arial" w:hAnsi="Arial" w:cs="Arial" w:eastAsia="Arial" w:hint="default"/>
                <w:sz w:val="21"/>
                <w:szCs w:val="21"/>
              </w:rPr>
              <w:t>12</w:t>
            </w:r>
            <w:r>
              <w:rPr>
                <w:rFonts w:ascii="Arial" w:hAnsi="Arial" w:cs="Arial" w:eastAsia="Arial" w:hint="default"/>
                <w:spacing w:val="45"/>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月，之后按照</w:t>
            </w:r>
            <w:r>
              <w:rPr>
                <w:rFonts w:ascii="宋体" w:hAnsi="宋体" w:cs="宋体" w:eastAsia="宋体" w:hint="default"/>
                <w:w w:val="100"/>
                <w:sz w:val="21"/>
                <w:szCs w:val="21"/>
              </w:rPr>
              <w:t> </w:t>
            </w: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30%</w:t>
            </w:r>
            <w:r>
              <w:rPr>
                <w:rFonts w:ascii="宋体" w:hAnsi="宋体" w:cs="宋体" w:eastAsia="宋体" w:hint="default"/>
                <w:sz w:val="21"/>
                <w:szCs w:val="21"/>
              </w:rPr>
              <w:t>、</w:t>
            </w:r>
          </w:p>
          <w:p>
            <w:pPr>
              <w:pStyle w:val="TableParagraph"/>
              <w:spacing w:line="266" w:lineRule="auto"/>
              <w:ind w:left="23" w:right="41"/>
              <w:jc w:val="left"/>
              <w:rPr>
                <w:rFonts w:ascii="宋体" w:hAnsi="宋体" w:cs="宋体" w:eastAsia="宋体" w:hint="default"/>
                <w:sz w:val="21"/>
                <w:szCs w:val="21"/>
              </w:rPr>
            </w:pPr>
            <w:r>
              <w:rPr>
                <w:rFonts w:ascii="Arial" w:hAnsi="Arial" w:cs="Arial" w:eastAsia="Arial" w:hint="default"/>
                <w:sz w:val="21"/>
                <w:szCs w:val="21"/>
              </w:rPr>
              <w:t>40%</w:t>
            </w:r>
            <w:r>
              <w:rPr>
                <w:rFonts w:ascii="宋体" w:hAnsi="宋体" w:cs="宋体" w:eastAsia="宋体" w:hint="default"/>
                <w:sz w:val="21"/>
                <w:szCs w:val="21"/>
              </w:rPr>
              <w:t>分批解</w:t>
            </w:r>
            <w:r>
              <w:rPr>
                <w:rFonts w:ascii="宋体" w:hAnsi="宋体" w:cs="宋体" w:eastAsia="宋体" w:hint="default"/>
                <w:w w:val="100"/>
                <w:sz w:val="21"/>
                <w:szCs w:val="21"/>
              </w:rPr>
              <w:t> </w:t>
            </w:r>
            <w:r>
              <w:rPr>
                <w:rFonts w:ascii="宋体" w:hAnsi="宋体" w:cs="宋体" w:eastAsia="宋体" w:hint="default"/>
                <w:sz w:val="21"/>
                <w:szCs w:val="21"/>
              </w:rPr>
              <w:t>锁；首发后承</w:t>
            </w:r>
            <w:r>
              <w:rPr>
                <w:rFonts w:ascii="宋体" w:hAnsi="宋体" w:cs="宋体" w:eastAsia="宋体" w:hint="default"/>
                <w:w w:val="100"/>
                <w:sz w:val="21"/>
                <w:szCs w:val="21"/>
              </w:rPr>
              <w:t> </w:t>
            </w:r>
            <w:r>
              <w:rPr>
                <w:rFonts w:ascii="宋体" w:hAnsi="宋体" w:cs="宋体" w:eastAsia="宋体" w:hint="default"/>
                <w:sz w:val="21"/>
                <w:szCs w:val="21"/>
              </w:rPr>
              <w:t>诺：自股份发</w:t>
            </w:r>
            <w:r>
              <w:rPr>
                <w:rFonts w:ascii="宋体" w:hAnsi="宋体" w:cs="宋体" w:eastAsia="宋体" w:hint="default"/>
                <w:w w:val="100"/>
                <w:sz w:val="21"/>
                <w:szCs w:val="21"/>
              </w:rPr>
              <w:t> </w:t>
            </w:r>
            <w:r>
              <w:rPr>
                <w:rFonts w:ascii="宋体" w:hAnsi="宋体" w:cs="宋体" w:eastAsia="宋体" w:hint="default"/>
                <w:sz w:val="21"/>
                <w:szCs w:val="21"/>
              </w:rPr>
              <w:t>行之日起</w:t>
            </w:r>
            <w:r>
              <w:rPr>
                <w:rFonts w:ascii="Arial" w:hAnsi="Arial" w:cs="Arial" w:eastAsia="Arial" w:hint="default"/>
                <w:sz w:val="21"/>
                <w:szCs w:val="21"/>
              </w:rPr>
              <w:t>12</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月不得转让或</w:t>
            </w:r>
            <w:r>
              <w:rPr>
                <w:rFonts w:ascii="宋体" w:hAnsi="宋体" w:cs="宋体" w:eastAsia="宋体" w:hint="default"/>
                <w:w w:val="100"/>
                <w:sz w:val="21"/>
                <w:szCs w:val="21"/>
              </w:rPr>
              <w:t> </w:t>
            </w:r>
            <w:r>
              <w:rPr>
                <w:rFonts w:ascii="Arial" w:hAnsi="Arial" w:cs="Arial" w:eastAsia="Arial" w:hint="default"/>
                <w:sz w:val="21"/>
                <w:szCs w:val="21"/>
              </w:rPr>
              <w:t>12</w:t>
            </w:r>
            <w:r>
              <w:rPr>
                <w:rFonts w:ascii="宋体" w:hAnsi="宋体" w:cs="宋体" w:eastAsia="宋体" w:hint="default"/>
                <w:sz w:val="21"/>
                <w:szCs w:val="21"/>
              </w:rPr>
              <w:t>个月后分三</w:t>
            </w:r>
            <w:r>
              <w:rPr>
                <w:rFonts w:ascii="宋体" w:hAnsi="宋体" w:cs="宋体" w:eastAsia="宋体" w:hint="default"/>
                <w:w w:val="100"/>
                <w:sz w:val="21"/>
                <w:szCs w:val="21"/>
              </w:rPr>
              <w:t> </w:t>
            </w:r>
            <w:r>
              <w:rPr>
                <w:rFonts w:ascii="宋体" w:hAnsi="宋体" w:cs="宋体" w:eastAsia="宋体" w:hint="default"/>
                <w:sz w:val="21"/>
                <w:szCs w:val="21"/>
              </w:rPr>
              <w:t>次解锁或发行</w:t>
            </w:r>
            <w:r>
              <w:rPr>
                <w:rFonts w:ascii="宋体" w:hAnsi="宋体" w:cs="宋体" w:eastAsia="宋体" w:hint="default"/>
                <w:w w:val="100"/>
                <w:sz w:val="21"/>
                <w:szCs w:val="21"/>
              </w:rPr>
              <w:t> </w:t>
            </w:r>
            <w:r>
              <w:rPr>
                <w:rFonts w:ascii="宋体" w:hAnsi="宋体" w:cs="宋体" w:eastAsia="宋体" w:hint="default"/>
                <w:sz w:val="21"/>
                <w:szCs w:val="21"/>
              </w:rPr>
              <w:t>后</w:t>
            </w:r>
            <w:r>
              <w:rPr>
                <w:rFonts w:ascii="Arial" w:hAnsi="Arial" w:cs="Arial" w:eastAsia="Arial" w:hint="default"/>
                <w:sz w:val="21"/>
                <w:szCs w:val="21"/>
              </w:rPr>
              <w:t>36</w:t>
            </w:r>
            <w:r>
              <w:rPr>
                <w:rFonts w:ascii="宋体" w:hAnsi="宋体" w:cs="宋体" w:eastAsia="宋体" w:hint="default"/>
                <w:sz w:val="21"/>
                <w:szCs w:val="21"/>
              </w:rPr>
              <w:t>个月内不</w:t>
            </w:r>
            <w:r>
              <w:rPr>
                <w:rFonts w:ascii="宋体" w:hAnsi="宋体" w:cs="宋体" w:eastAsia="宋体" w:hint="default"/>
                <w:w w:val="100"/>
                <w:sz w:val="21"/>
                <w:szCs w:val="21"/>
              </w:rPr>
              <w:t> </w:t>
            </w:r>
            <w:r>
              <w:rPr>
                <w:rFonts w:ascii="宋体" w:hAnsi="宋体" w:cs="宋体" w:eastAsia="宋体" w:hint="default"/>
                <w:sz w:val="21"/>
                <w:szCs w:val="21"/>
              </w:rPr>
              <w:t>得转让</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w:hAnsi="Arial" w:cs="Arial" w:eastAsia="Arial" w:hint="default"/>
                <w:sz w:val="21"/>
                <w:szCs w:val="21"/>
              </w:rPr>
            </w:pPr>
            <w:r>
              <w:rPr>
                <w:rFonts w:ascii="Arial"/>
                <w:spacing w:val="-1"/>
                <w:sz w:val="21"/>
              </w:rPr>
              <w:t>180,761,464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w:hAnsi="Arial" w:cs="Arial" w:eastAsia="Arial" w:hint="default"/>
                <w:sz w:val="21"/>
                <w:szCs w:val="21"/>
              </w:rPr>
            </w:pPr>
            <w:r>
              <w:rPr>
                <w:rFonts w:ascii="Arial"/>
                <w:spacing w:val="-1"/>
                <w:sz w:val="21"/>
              </w:rPr>
              <w:t>29,554,001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w:hAnsi="Arial" w:cs="Arial" w:eastAsia="Arial" w:hint="default"/>
                <w:sz w:val="21"/>
                <w:szCs w:val="21"/>
              </w:rPr>
            </w:pPr>
            <w:r>
              <w:rPr>
                <w:rFonts w:ascii="Arial"/>
                <w:spacing w:val="-1"/>
                <w:sz w:val="21"/>
              </w:rPr>
              <w:t>113,799,285</w:t>
            </w:r>
          </w:p>
        </w:tc>
        <w:tc>
          <w:tcPr>
            <w:tcW w:w="13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3"/>
              <w:ind w:right="5"/>
              <w:jc w:val="right"/>
              <w:rPr>
                <w:rFonts w:ascii="Arial" w:hAnsi="Arial" w:cs="Arial" w:eastAsia="Arial" w:hint="default"/>
                <w:sz w:val="21"/>
                <w:szCs w:val="21"/>
              </w:rPr>
            </w:pPr>
            <w:r>
              <w:rPr>
                <w:rFonts w:ascii="Arial"/>
                <w:spacing w:val="-1"/>
                <w:sz w:val="21"/>
              </w:rPr>
              <w:t>265,006,748</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Arial" w:hAnsi="Arial" w:cs="Arial" w:eastAsia="Arial" w:hint="default"/>
                <w:sz w:val="21"/>
                <w:szCs w:val="21"/>
              </w:rPr>
            </w:pPr>
            <w:r>
              <w:rPr>
                <w:rFonts w:ascii="Arial"/>
                <w:sz w:val="21"/>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Arial" w:hAnsi="Arial" w:cs="Arial" w:eastAsia="Arial" w:hint="default"/>
                <w:sz w:val="21"/>
                <w:szCs w:val="21"/>
              </w:rPr>
            </w:pPr>
            <w:r>
              <w:rPr>
                <w:rFonts w:ascii="Arial"/>
                <w:sz w:val="21"/>
              </w:rPr>
              <w:t>--</w:t>
            </w:r>
          </w:p>
        </w:tc>
      </w:tr>
    </w:tbl>
    <w:p>
      <w:pPr>
        <w:spacing w:line="240" w:lineRule="auto" w:before="6"/>
        <w:rPr>
          <w:rFonts w:ascii="Times New Roman" w:hAnsi="Times New Roman" w:cs="Times New Roman" w:eastAsia="Times New Roman" w:hint="default"/>
          <w:sz w:val="20"/>
          <w:szCs w:val="20"/>
        </w:rPr>
      </w:pPr>
    </w:p>
    <w:p>
      <w:pPr>
        <w:pStyle w:val="Heading2"/>
        <w:spacing w:line="367" w:lineRule="exact"/>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、报告期内证券发行（不含优先股）情况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tbl>
      <w:tblPr>
        <w:tblW w:w="0" w:type="auto"/>
        <w:jc w:val="left"/>
        <w:tblInd w:w="181" w:type="dxa"/>
        <w:tblLayout w:type="fixed"/>
        <w:tblCellMar>
          <w:top w:w="0" w:type="dxa"/>
          <w:left w:w="0" w:type="dxa"/>
          <w:bottom w:w="0" w:type="dxa"/>
          <w:right w:w="0" w:type="dxa"/>
        </w:tblCellMar>
        <w:tblLook w:val="01E0"/>
      </w:tblPr>
      <w:tblGrid>
        <w:gridCol w:w="1412"/>
        <w:gridCol w:w="1565"/>
        <w:gridCol w:w="1022"/>
        <w:gridCol w:w="1296"/>
        <w:gridCol w:w="1296"/>
        <w:gridCol w:w="1296"/>
        <w:gridCol w:w="1683"/>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4"/>
              <w:ind w:left="57"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Arial" w:hAnsi="Arial" w:cs="Arial" w:eastAsia="Arial"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16</w:t>
            </w:r>
          </w:p>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0" w:right="0"/>
              <w:jc w:val="left"/>
              <w:rPr>
                <w:rFonts w:ascii="Arial" w:hAnsi="Arial" w:cs="Arial" w:eastAsia="Arial" w:hint="default"/>
                <w:sz w:val="18"/>
                <w:szCs w:val="18"/>
              </w:rPr>
            </w:pPr>
            <w:r>
              <w:rPr>
                <w:rFonts w:ascii="Arial"/>
                <w:sz w:val="18"/>
              </w:rPr>
              <w:t>10.03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Arial" w:hAnsi="Arial" w:cs="Arial" w:eastAsia="Arial" w:hint="default"/>
                <w:sz w:val="18"/>
                <w:szCs w:val="18"/>
              </w:rPr>
            </w:pPr>
            <w:r>
              <w:rPr>
                <w:rFonts w:ascii="Arial"/>
                <w:sz w:val="18"/>
              </w:rPr>
              <w:t>21,586,900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5" w:right="0"/>
              <w:jc w:val="center"/>
              <w:rPr>
                <w:rFonts w:ascii="宋体" w:hAnsi="宋体" w:cs="宋体" w:eastAsia="宋体" w:hint="default"/>
                <w:sz w:val="18"/>
                <w:szCs w:val="18"/>
              </w:rPr>
            </w:pPr>
            <w:r>
              <w:rPr>
                <w:rFonts w:ascii="Arial" w:hAnsi="Arial" w:cs="Arial" w:eastAsia="Arial" w:hint="default"/>
                <w:sz w:val="18"/>
                <w:szCs w:val="18"/>
              </w:rPr>
              <w:t>24</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21,586,900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2130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06</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0" w:right="0"/>
              <w:jc w:val="left"/>
              <w:rPr>
                <w:rFonts w:ascii="Arial" w:hAnsi="Arial" w:cs="Arial" w:eastAsia="Arial" w:hint="default"/>
                <w:sz w:val="18"/>
                <w:szCs w:val="18"/>
              </w:rPr>
            </w:pPr>
            <w:r>
              <w:rPr>
                <w:rFonts w:ascii="Arial"/>
                <w:sz w:val="18"/>
              </w:rPr>
              <w:t>16.68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Arial" w:hAnsi="Arial" w:cs="Arial" w:eastAsia="Arial" w:hint="default"/>
                <w:sz w:val="18"/>
                <w:szCs w:val="18"/>
              </w:rPr>
            </w:pPr>
            <w:r>
              <w:rPr>
                <w:rFonts w:ascii="Arial"/>
                <w:sz w:val="18"/>
              </w:rPr>
              <w:t>60,661,865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5" w:right="0"/>
              <w:jc w:val="center"/>
              <w:rPr>
                <w:rFonts w:ascii="宋体" w:hAnsi="宋体" w:cs="宋体" w:eastAsia="宋体" w:hint="default"/>
                <w:sz w:val="18"/>
                <w:szCs w:val="18"/>
              </w:rPr>
            </w:pPr>
            <w:r>
              <w:rPr>
                <w:rFonts w:ascii="Arial" w:hAnsi="Arial" w:cs="Arial" w:eastAsia="Arial" w:hint="default"/>
                <w:sz w:val="18"/>
                <w:szCs w:val="18"/>
              </w:rPr>
              <w:t>07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60,661,865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2101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配套募集资金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p>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0" w:right="0"/>
              <w:jc w:val="left"/>
              <w:rPr>
                <w:rFonts w:ascii="Arial" w:hAnsi="Arial" w:cs="Arial" w:eastAsia="Arial" w:hint="default"/>
                <w:sz w:val="18"/>
                <w:szCs w:val="18"/>
              </w:rPr>
            </w:pPr>
            <w:r>
              <w:rPr>
                <w:rFonts w:ascii="Arial"/>
                <w:sz w:val="18"/>
              </w:rPr>
              <w:t>15.76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Arial" w:hAnsi="Arial" w:cs="Arial" w:eastAsia="Arial" w:hint="default"/>
                <w:sz w:val="18"/>
                <w:szCs w:val="18"/>
              </w:rPr>
            </w:pPr>
            <w:r>
              <w:rPr>
                <w:rFonts w:ascii="Arial"/>
                <w:sz w:val="18"/>
              </w:rPr>
              <w:t>31,091,370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5" w:right="0"/>
              <w:jc w:val="center"/>
              <w:rPr>
                <w:rFonts w:ascii="宋体" w:hAnsi="宋体" w:cs="宋体" w:eastAsia="宋体" w:hint="default"/>
                <w:sz w:val="18"/>
                <w:szCs w:val="18"/>
              </w:rPr>
            </w:pPr>
            <w:r>
              <w:rPr>
                <w:rFonts w:ascii="Arial" w:hAnsi="Arial" w:cs="Arial" w:eastAsia="Arial" w:hint="default"/>
                <w:sz w:val="18"/>
                <w:szCs w:val="18"/>
              </w:rPr>
              <w:t>16</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31,091,370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pacing w:val="-7"/>
                <w:sz w:val="18"/>
                <w:szCs w:val="18"/>
              </w:rPr>
              <w:t>2111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02</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预留期权第四个 行权期</w:t>
            </w:r>
          </w:p>
        </w:tc>
        <w:tc>
          <w:tcPr>
            <w:tcW w:w="15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1" w:right="0"/>
              <w:jc w:val="left"/>
              <w:rPr>
                <w:rFonts w:ascii="Arial" w:hAnsi="Arial" w:cs="Arial" w:eastAsia="Arial" w:hint="default"/>
                <w:sz w:val="18"/>
                <w:szCs w:val="18"/>
              </w:rPr>
            </w:pPr>
            <w:r>
              <w:rPr>
                <w:rFonts w:ascii="Arial"/>
                <w:sz w:val="18"/>
              </w:rPr>
              <w:t>4.95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Arial" w:hAnsi="Arial" w:cs="Arial" w:eastAsia="Arial" w:hint="default"/>
                <w:sz w:val="18"/>
                <w:szCs w:val="18"/>
              </w:rPr>
            </w:pPr>
            <w:r>
              <w:rPr>
                <w:rFonts w:ascii="Arial"/>
                <w:sz w:val="18"/>
              </w:rPr>
              <w:t>412,653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5" w:right="0"/>
              <w:jc w:val="center"/>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412,653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w:t>
            </w:r>
          </w:p>
        </w:tc>
      </w:tr>
    </w:tbl>
    <w:p>
      <w:pPr>
        <w:pStyle w:val="BodyText"/>
        <w:spacing w:line="240" w:lineRule="auto" w:before="22"/>
        <w:ind w:right="0"/>
        <w:jc w:val="left"/>
      </w:pPr>
      <w:r>
        <w:rPr/>
        <w:t>报告期内证券发行（不含优先股）情况的说明</w:t>
      </w:r>
    </w:p>
    <w:p>
      <w:pPr>
        <w:pStyle w:val="BodyText"/>
        <w:spacing w:line="240" w:lineRule="auto" w:before="36"/>
        <w:ind w:right="0"/>
        <w:jc w:val="left"/>
      </w:pPr>
      <w:r>
        <w:rPr/>
        <w:t>（</w:t>
      </w:r>
      <w:r>
        <w:rPr>
          <w:rFonts w:ascii="Arial" w:hAnsi="Arial" w:cs="Arial" w:eastAsia="Arial" w:hint="default"/>
        </w:rPr>
        <w:t>1</w:t>
      </w:r>
      <w:r>
        <w:rPr/>
        <w:t>）</w:t>
      </w: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1</w:t>
      </w:r>
      <w:r>
        <w:rPr>
          <w:rFonts w:ascii="Arial" w:hAnsi="Arial" w:cs="Arial" w:eastAsia="Arial" w:hint="default"/>
          <w:spacing w:val="-8"/>
        </w:rPr>
        <w:t> </w:t>
      </w:r>
      <w:r>
        <w:rPr/>
        <w:t>月，公司进行股权激励发行限制性股票新增股份上市</w:t>
      </w:r>
      <w:r>
        <w:rPr>
          <w:spacing w:val="-61"/>
        </w:rPr>
        <w:t> </w:t>
      </w:r>
      <w:r>
        <w:rPr>
          <w:rFonts w:ascii="Arial" w:hAnsi="Arial" w:cs="Arial" w:eastAsia="Arial" w:hint="default"/>
        </w:rPr>
        <w:t>21,586,900</w:t>
      </w:r>
      <w:r>
        <w:rPr>
          <w:rFonts w:ascii="Arial" w:hAnsi="Arial" w:cs="Arial" w:eastAsia="Arial" w:hint="default"/>
          <w:spacing w:val="-6"/>
        </w:rPr>
        <w:t> </w:t>
      </w:r>
      <w:r>
        <w:rPr/>
        <w:t>股。</w:t>
      </w:r>
    </w:p>
    <w:p>
      <w:pPr>
        <w:pStyle w:val="BodyText"/>
        <w:spacing w:line="240" w:lineRule="auto" w:before="21"/>
        <w:ind w:right="0"/>
        <w:jc w:val="left"/>
      </w:pPr>
      <w:r>
        <w:rPr/>
        <w:t>（</w:t>
      </w:r>
      <w:r>
        <w:rPr>
          <w:rFonts w:ascii="Arial" w:hAnsi="Arial" w:cs="Arial" w:eastAsia="Arial" w:hint="default"/>
        </w:rPr>
        <w:t>2</w:t>
      </w:r>
      <w:r>
        <w:rPr/>
        <w:t>）</w:t>
      </w: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9</w:t>
      </w:r>
      <w:r>
        <w:rPr>
          <w:rFonts w:ascii="Arial" w:hAnsi="Arial" w:cs="Arial" w:eastAsia="Arial" w:hint="default"/>
          <w:spacing w:val="-8"/>
        </w:rPr>
        <w:t> </w:t>
      </w:r>
      <w:r>
        <w:rPr/>
        <w:t>月，公司发行股票及支付现金购买资产新增股份上市</w:t>
      </w:r>
      <w:r>
        <w:rPr>
          <w:spacing w:val="-62"/>
        </w:rPr>
        <w:t> </w:t>
      </w:r>
      <w:r>
        <w:rPr>
          <w:rFonts w:ascii="Arial" w:hAnsi="Arial" w:cs="Arial" w:eastAsia="Arial" w:hint="default"/>
        </w:rPr>
        <w:t>60,661,865</w:t>
      </w:r>
      <w:r>
        <w:rPr>
          <w:rFonts w:ascii="Arial" w:hAnsi="Arial" w:cs="Arial" w:eastAsia="Arial" w:hint="default"/>
          <w:spacing w:val="-6"/>
        </w:rPr>
        <w:t> </w:t>
      </w:r>
      <w:r>
        <w:rPr/>
        <w:t>股。</w:t>
      </w:r>
    </w:p>
    <w:p>
      <w:pPr>
        <w:pStyle w:val="BodyText"/>
        <w:spacing w:line="240" w:lineRule="auto" w:before="19"/>
        <w:ind w:right="0"/>
        <w:jc w:val="left"/>
      </w:pPr>
      <w:r>
        <w:rPr/>
        <w:t>（</w:t>
      </w:r>
      <w:r>
        <w:rPr>
          <w:rFonts w:ascii="Arial" w:hAnsi="Arial" w:cs="Arial" w:eastAsia="Arial" w:hint="default"/>
        </w:rPr>
        <w:t>3</w:t>
      </w:r>
      <w:r>
        <w:rPr/>
        <w:t>）</w:t>
      </w:r>
      <w:r>
        <w:rPr>
          <w:rFonts w:ascii="Arial" w:hAnsi="Arial" w:cs="Arial" w:eastAsia="Arial" w:hint="default"/>
        </w:rPr>
        <w:t>2017</w:t>
      </w:r>
      <w:r>
        <w:rPr>
          <w:rFonts w:ascii="Arial" w:hAnsi="Arial" w:cs="Arial" w:eastAsia="Arial" w:hint="default"/>
          <w:spacing w:val="-9"/>
        </w:rPr>
        <w:t> </w:t>
      </w:r>
      <w:r>
        <w:rPr/>
        <w:t>年</w:t>
      </w:r>
      <w:r>
        <w:rPr>
          <w:spacing w:val="-63"/>
        </w:rPr>
        <w:t> </w:t>
      </w:r>
      <w:r>
        <w:rPr>
          <w:rFonts w:ascii="Arial" w:hAnsi="Arial" w:cs="Arial" w:eastAsia="Arial" w:hint="default"/>
        </w:rPr>
        <w:t>10</w:t>
      </w:r>
      <w:r>
        <w:rPr>
          <w:rFonts w:ascii="Arial" w:hAnsi="Arial" w:cs="Arial" w:eastAsia="Arial" w:hint="default"/>
          <w:spacing w:val="-9"/>
        </w:rPr>
        <w:t> </w:t>
      </w:r>
      <w:r>
        <w:rPr/>
        <w:t>月，公司配套募集资金部分新增股份上市</w:t>
      </w:r>
      <w:r>
        <w:rPr>
          <w:spacing w:val="-62"/>
        </w:rPr>
        <w:t> </w:t>
      </w:r>
      <w:r>
        <w:rPr>
          <w:rFonts w:ascii="Arial" w:hAnsi="Arial" w:cs="Arial" w:eastAsia="Arial" w:hint="default"/>
        </w:rPr>
        <w:t>31,091,370</w:t>
      </w:r>
      <w:r>
        <w:rPr>
          <w:rFonts w:ascii="Arial" w:hAnsi="Arial" w:cs="Arial" w:eastAsia="Arial" w:hint="default"/>
          <w:spacing w:val="-8"/>
        </w:rPr>
        <w:t> </w:t>
      </w:r>
      <w:r>
        <w:rPr/>
        <w:t>股。</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、公司股份总数及股东结构的变动、公司资产和负债结构的变动情况说明</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45"/>
        <w:ind w:left="633" w:right="0"/>
        <w:jc w:val="left"/>
      </w:pPr>
      <w:r>
        <w:rPr>
          <w:rFonts w:ascii="Arial" w:hAnsi="Arial" w:cs="Arial" w:eastAsia="Arial" w:hint="default"/>
        </w:rPr>
        <w:t>2016</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16</w:t>
      </w:r>
      <w:r>
        <w:rPr>
          <w:rFonts w:ascii="Arial" w:hAnsi="Arial" w:cs="Arial" w:eastAsia="Arial" w:hint="default"/>
          <w:spacing w:val="-7"/>
        </w:rPr>
        <w:t> </w:t>
      </w:r>
      <w:r>
        <w:rPr/>
        <w:t>日，公司</w:t>
      </w:r>
      <w:r>
        <w:rPr>
          <w:spacing w:val="-61"/>
        </w:rPr>
        <w:t> </w:t>
      </w:r>
      <w:r>
        <w:rPr>
          <w:rFonts w:ascii="Arial" w:hAnsi="Arial" w:cs="Arial" w:eastAsia="Arial" w:hint="default"/>
        </w:rPr>
        <w:t>2016</w:t>
      </w:r>
      <w:r>
        <w:rPr>
          <w:rFonts w:ascii="Arial" w:hAnsi="Arial" w:cs="Arial" w:eastAsia="Arial" w:hint="default"/>
          <w:spacing w:val="-7"/>
        </w:rPr>
        <w:t> </w:t>
      </w:r>
      <w:r>
        <w:rPr/>
        <w:t>年第六次临时股东大会审议通过了《关于</w:t>
      </w:r>
      <w:r>
        <w:rPr>
          <w:rFonts w:ascii="Arial" w:hAnsi="Arial" w:cs="Arial" w:eastAsia="Arial" w:hint="default"/>
        </w:rPr>
        <w:t>&lt;2016</w:t>
      </w:r>
      <w:r>
        <w:rPr>
          <w:rFonts w:ascii="Arial" w:hAnsi="Arial" w:cs="Arial" w:eastAsia="Arial" w:hint="default"/>
          <w:spacing w:val="-6"/>
        </w:rPr>
        <w:t> </w:t>
      </w:r>
      <w:r>
        <w:rPr/>
        <w:t>年限</w:t>
      </w:r>
    </w:p>
    <w:p>
      <w:pPr>
        <w:pStyle w:val="BodyText"/>
        <w:spacing w:line="240" w:lineRule="auto" w:before="29"/>
        <w:ind w:right="0"/>
        <w:jc w:val="left"/>
      </w:pPr>
      <w:r>
        <w:rPr/>
        <w:t>制性股票激励计划（草案）</w:t>
      </w:r>
      <w:r>
        <w:rPr>
          <w:rFonts w:ascii="Arial" w:hAnsi="Arial" w:cs="Arial" w:eastAsia="Arial" w:hint="default"/>
        </w:rPr>
        <w:t>&gt;</w:t>
      </w:r>
      <w:r>
        <w:rPr/>
        <w:t>及其摘要的议案》及其相关事项的议案。</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23</w:t>
      </w:r>
      <w:r>
        <w:rPr>
          <w:rFonts w:ascii="Arial" w:hAnsi="Arial" w:cs="Arial" w:eastAsia="Arial" w:hint="default"/>
          <w:spacing w:val="-7"/>
        </w:rPr>
        <w:t> </w:t>
      </w:r>
      <w:r>
        <w:rPr/>
        <w:t>日，</w:t>
      </w:r>
    </w:p>
    <w:p>
      <w:pPr>
        <w:pStyle w:val="BodyText"/>
        <w:spacing w:line="240" w:lineRule="auto" w:before="26"/>
        <w:ind w:right="0"/>
        <w:jc w:val="left"/>
        <w:rPr>
          <w:rFonts w:ascii="Arial" w:hAnsi="Arial" w:cs="Arial" w:eastAsia="Arial" w:hint="default"/>
        </w:rPr>
      </w:pPr>
      <w:r>
        <w:rPr/>
        <w:t>公司发布了《关于限制性股票授予登记完成公告</w:t>
      </w:r>
      <w:r>
        <w:rPr>
          <w:spacing w:val="-120"/>
        </w:rPr>
        <w:t>》</w:t>
      </w:r>
      <w:r>
        <w:rPr/>
        <w:t>，授予限制性股票的上市日期为</w:t>
      </w:r>
      <w:r>
        <w:rPr>
          <w:spacing w:val="-58"/>
        </w:rPr>
        <w:t> </w:t>
      </w:r>
      <w:r>
        <w:rPr>
          <w:rFonts w:ascii="Arial" w:hAnsi="Arial" w:cs="Arial" w:eastAsia="Arial" w:hint="default"/>
          <w:w w:val="99"/>
        </w:rPr>
        <w:t>2017</w:t>
      </w:r>
      <w:r>
        <w:rPr>
          <w:rFonts w:ascii="Arial" w:hAnsi="Arial" w:cs="Arial" w:eastAsia="Arial" w:hint="default"/>
          <w:spacing w:val="-6"/>
        </w:rPr>
        <w:t> </w:t>
      </w:r>
      <w:r>
        <w:rPr/>
        <w:t>年</w:t>
      </w:r>
      <w:r>
        <w:rPr>
          <w:spacing w:val="-63"/>
        </w:rPr>
        <w:t> </w:t>
      </w:r>
      <w:r>
        <w:rPr>
          <w:rFonts w:ascii="Arial" w:hAnsi="Arial" w:cs="Arial" w:eastAsia="Arial" w:hint="default"/>
          <w:w w:val="99"/>
        </w:rPr>
        <w:t>1</w:t>
      </w:r>
      <w:r>
        <w:rPr>
          <w:rFonts w:ascii="Arial" w:hAnsi="Arial" w:cs="Arial" w:eastAsia="Arial" w:hint="default"/>
        </w:rPr>
      </w:r>
    </w:p>
    <w:p>
      <w:pPr>
        <w:pStyle w:val="BodyText"/>
        <w:spacing w:line="240" w:lineRule="auto" w:before="29"/>
        <w:ind w:right="0"/>
        <w:jc w:val="left"/>
      </w:pPr>
      <w:r>
        <w:rPr/>
        <w:t>月</w:t>
      </w:r>
      <w:r>
        <w:rPr>
          <w:spacing w:val="-61"/>
        </w:rPr>
        <w:t> </w:t>
      </w:r>
      <w:r>
        <w:rPr>
          <w:rFonts w:ascii="Arial" w:hAnsi="Arial" w:cs="Arial" w:eastAsia="Arial" w:hint="default"/>
        </w:rPr>
        <w:t>24</w:t>
      </w:r>
      <w:r>
        <w:rPr>
          <w:rFonts w:ascii="Arial" w:hAnsi="Arial" w:cs="Arial" w:eastAsia="Arial" w:hint="default"/>
          <w:spacing w:val="-7"/>
        </w:rPr>
        <w:t> </w:t>
      </w:r>
      <w:r>
        <w:rPr/>
        <w:t>日。</w:t>
      </w:r>
    </w:p>
    <w:p>
      <w:pPr>
        <w:pStyle w:val="BodyText"/>
        <w:spacing w:line="259" w:lineRule="auto" w:before="67"/>
        <w:ind w:right="148" w:firstLine="48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spacing w:val="-62"/>
        </w:rPr>
        <w:t> </w:t>
      </w:r>
      <w:r>
        <w:rPr>
          <w:rFonts w:ascii="Arial" w:hAnsi="Arial" w:cs="Arial" w:eastAsia="Arial" w:hint="default"/>
        </w:rPr>
        <w:t>26</w:t>
      </w:r>
      <w:r>
        <w:rPr>
          <w:rFonts w:ascii="Arial" w:hAnsi="Arial" w:cs="Arial" w:eastAsia="Arial" w:hint="default"/>
          <w:spacing w:val="-8"/>
        </w:rPr>
        <w:t> </w:t>
      </w:r>
      <w:r>
        <w:rPr/>
        <w:t>日，公司召开了第六届董事会第十八次会议，审议通过了《关于公司发 行股份及支付现金购买资产并募集配套资金具体方案的议案》等相关议案。</w:t>
      </w:r>
    </w:p>
    <w:p>
      <w:pPr>
        <w:pStyle w:val="BodyText"/>
        <w:spacing w:line="266" w:lineRule="auto" w:before="67"/>
        <w:ind w:right="148" w:firstLine="48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5</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日，公司第六届董事会第十九次会议审议通过了《关于公司限制性股票 </w:t>
      </w:r>
      <w:r>
        <w:rPr>
          <w:spacing w:val="-3"/>
        </w:rPr>
        <w:t>激励计划第二个解锁期可解锁的议案》，公司限制性股票激励计划第二个解锁期解锁条件已</w:t>
      </w:r>
      <w:r>
        <w:rPr/>
        <w:t> 满足，同意公司</w:t>
      </w:r>
      <w:r>
        <w:rPr>
          <w:spacing w:val="-62"/>
        </w:rPr>
        <w:t> </w:t>
      </w:r>
      <w:r>
        <w:rPr>
          <w:rFonts w:ascii="Arial" w:hAnsi="Arial" w:cs="Arial" w:eastAsia="Arial" w:hint="default"/>
        </w:rPr>
        <w:t>444</w:t>
      </w:r>
      <w:r>
        <w:rPr>
          <w:rFonts w:ascii="Arial" w:hAnsi="Arial" w:cs="Arial" w:eastAsia="Arial" w:hint="default"/>
          <w:spacing w:val="-8"/>
        </w:rPr>
        <w:t> </w:t>
      </w:r>
      <w:r>
        <w:rPr/>
        <w:t>名激励对象第二个解锁期可解锁的限制性股票数量为</w:t>
      </w:r>
      <w:r>
        <w:rPr>
          <w:spacing w:val="-61"/>
        </w:rPr>
        <w:t> </w:t>
      </w:r>
      <w:r>
        <w:rPr>
          <w:rFonts w:ascii="Arial" w:hAnsi="Arial" w:cs="Arial" w:eastAsia="Arial" w:hint="default"/>
        </w:rPr>
        <w:t>4,556,760</w:t>
      </w:r>
      <w:r>
        <w:rPr>
          <w:rFonts w:ascii="Arial" w:hAnsi="Arial" w:cs="Arial" w:eastAsia="Arial" w:hint="default"/>
          <w:spacing w:val="-7"/>
        </w:rPr>
        <w:t> </w:t>
      </w:r>
      <w:r>
        <w:rPr/>
        <w:t>股；审</w:t>
      </w:r>
    </w:p>
    <w:p>
      <w:pPr>
        <w:pStyle w:val="BodyText"/>
        <w:spacing w:line="266" w:lineRule="auto"/>
        <w:ind w:right="161"/>
        <w:jc w:val="both"/>
      </w:pPr>
      <w:r>
        <w:rPr>
          <w:spacing w:val="-4"/>
        </w:rPr>
        <w:t>议通过了《关于回购注销部分限制性股票的议案》，公司原激励对象唐新宇等</w:t>
      </w:r>
      <w:r>
        <w:rPr>
          <w:spacing w:val="-55"/>
        </w:rPr>
        <w:t> </w:t>
      </w:r>
      <w:r>
        <w:rPr>
          <w:rFonts w:ascii="Arial" w:hAnsi="Arial" w:cs="Arial" w:eastAsia="Arial" w:hint="default"/>
          <w:w w:val="99"/>
        </w:rPr>
        <w:t>6</w:t>
      </w:r>
      <w:r>
        <w:rPr>
          <w:rFonts w:ascii="Arial" w:hAnsi="Arial" w:cs="Arial" w:eastAsia="Arial" w:hint="default"/>
          <w:spacing w:val="-3"/>
          <w:w w:val="99"/>
        </w:rPr>
        <w:t> </w:t>
      </w:r>
      <w:r>
        <w:rPr/>
        <w:t>人因个人原</w:t>
      </w:r>
      <w:r>
        <w:rPr>
          <w:spacing w:val="-112"/>
        </w:rPr>
        <w:t> </w:t>
      </w:r>
      <w:r>
        <w:rPr>
          <w:spacing w:val="-3"/>
        </w:rPr>
        <w:t>因离职，根据《限制性股票激励计划（草案）》的规定，其不再符合公司股权激励计划的激</w:t>
      </w:r>
      <w:r>
        <w:rPr/>
        <w:t> 励条件，公司拟对上述员工获授予但尚未解锁的</w:t>
      </w:r>
      <w:r>
        <w:rPr>
          <w:spacing w:val="-62"/>
        </w:rPr>
        <w:t> </w:t>
      </w:r>
      <w:r>
        <w:rPr>
          <w:rFonts w:ascii="Arial" w:hAnsi="Arial" w:cs="Arial" w:eastAsia="Arial" w:hint="default"/>
        </w:rPr>
        <w:t>127,207</w:t>
      </w:r>
      <w:r>
        <w:rPr>
          <w:rFonts w:ascii="Arial" w:hAnsi="Arial" w:cs="Arial" w:eastAsia="Arial" w:hint="default"/>
          <w:spacing w:val="-8"/>
        </w:rPr>
        <w:t> </w:t>
      </w:r>
      <w:r>
        <w:rPr/>
        <w:t>股限制性股票进行回购注销。公司</w:t>
      </w:r>
    </w:p>
    <w:p>
      <w:pPr>
        <w:pStyle w:val="BodyText"/>
        <w:spacing w:line="331" w:lineRule="exact"/>
        <w:ind w:right="0"/>
        <w:jc w:val="left"/>
      </w:pPr>
      <w:r>
        <w:rPr/>
        <w:t>于</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10</w:t>
      </w:r>
      <w:r>
        <w:rPr>
          <w:rFonts w:ascii="Arial" w:hAnsi="Arial" w:cs="Arial" w:eastAsia="Arial" w:hint="default"/>
          <w:spacing w:val="-7"/>
        </w:rPr>
        <w:t> </w:t>
      </w:r>
      <w:r>
        <w:rPr/>
        <w:t>月</w:t>
      </w:r>
      <w:r>
        <w:rPr>
          <w:spacing w:val="-64"/>
        </w:rPr>
        <w:t> </w:t>
      </w:r>
      <w:r>
        <w:rPr>
          <w:rFonts w:ascii="Arial" w:hAnsi="Arial" w:cs="Arial" w:eastAsia="Arial" w:hint="default"/>
        </w:rPr>
        <w:t>23</w:t>
      </w:r>
      <w:r>
        <w:rPr>
          <w:rFonts w:ascii="Arial" w:hAnsi="Arial" w:cs="Arial" w:eastAsia="Arial" w:hint="default"/>
          <w:spacing w:val="-7"/>
        </w:rPr>
        <w:t> </w:t>
      </w:r>
      <w:r>
        <w:rPr/>
        <w:t>日在中国证券登记结算有限公司深圳分公司完成回购注销。</w:t>
      </w:r>
    </w:p>
    <w:p>
      <w:pPr>
        <w:pStyle w:val="BodyText"/>
        <w:spacing w:line="266" w:lineRule="auto" w:before="67"/>
        <w:ind w:right="148" w:firstLine="48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14</w:t>
      </w:r>
      <w:r>
        <w:rPr>
          <w:rFonts w:ascii="Arial" w:hAnsi="Arial" w:cs="Arial" w:eastAsia="Arial" w:hint="default"/>
          <w:spacing w:val="-8"/>
        </w:rPr>
        <w:t> </w:t>
      </w:r>
      <w:r>
        <w:rPr/>
        <w:t>日，公司第六届董事会第二十次会议审议通过了《关于公司股票期权激 </w:t>
      </w:r>
      <w:r>
        <w:rPr>
          <w:spacing w:val="-3"/>
        </w:rPr>
        <w:t>励计划预留期权第四个行权期可行权的议案》，同意以定向发行公司股票的方式给予预留期</w:t>
      </w:r>
      <w:r>
        <w:rPr/>
        <w:t> 权的</w:t>
      </w:r>
      <w:r>
        <w:rPr>
          <w:spacing w:val="-62"/>
        </w:rPr>
        <w:t> </w:t>
      </w:r>
      <w:r>
        <w:rPr>
          <w:rFonts w:ascii="Arial" w:hAnsi="Arial" w:cs="Arial" w:eastAsia="Arial" w:hint="default"/>
        </w:rPr>
        <w:t>41</w:t>
      </w:r>
      <w:r>
        <w:rPr>
          <w:rFonts w:ascii="Arial" w:hAnsi="Arial" w:cs="Arial" w:eastAsia="Arial" w:hint="default"/>
          <w:spacing w:val="-8"/>
        </w:rPr>
        <w:t> </w:t>
      </w:r>
      <w:r>
        <w:rPr/>
        <w:t>名激励对象在第四个行权期内可行权股票期权共计</w:t>
      </w:r>
      <w:r>
        <w:rPr>
          <w:spacing w:val="-61"/>
        </w:rPr>
        <w:t> </w:t>
      </w:r>
      <w:r>
        <w:rPr>
          <w:rFonts w:ascii="Arial" w:hAnsi="Arial" w:cs="Arial" w:eastAsia="Arial" w:hint="default"/>
        </w:rPr>
        <w:t>412,653</w:t>
      </w:r>
      <w:r>
        <w:rPr>
          <w:rFonts w:ascii="Arial" w:hAnsi="Arial" w:cs="Arial" w:eastAsia="Arial" w:hint="default"/>
          <w:spacing w:val="-9"/>
        </w:rPr>
        <w:t> </w:t>
      </w:r>
      <w:r>
        <w:rPr/>
        <w:t>份。股票期权激励计划</w:t>
      </w:r>
    </w:p>
    <w:p>
      <w:pPr>
        <w:pStyle w:val="BodyText"/>
        <w:spacing w:line="261" w:lineRule="auto"/>
        <w:ind w:right="148"/>
        <w:jc w:val="left"/>
      </w:pPr>
      <w:r>
        <w:rPr/>
        <w:t>预留期权第四个行权期拟采用自主行权模式。</w:t>
      </w: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15</w:t>
      </w:r>
      <w:r>
        <w:rPr>
          <w:rFonts w:ascii="Arial" w:hAnsi="Arial" w:cs="Arial" w:eastAsia="Arial" w:hint="default"/>
          <w:spacing w:val="-8"/>
        </w:rPr>
        <w:t> </w:t>
      </w:r>
      <w:r>
        <w:rPr/>
        <w:t>日，公司发布了《关于公司股 </w:t>
      </w:r>
      <w:r>
        <w:rPr>
          <w:spacing w:val="-5"/>
        </w:rPr>
        <w:t>票期权激励计划预留期权第四个行权期可行权的公告》。</w:t>
      </w:r>
    </w:p>
    <w:p>
      <w:pPr>
        <w:pStyle w:val="BodyText"/>
        <w:spacing w:line="240" w:lineRule="auto" w:before="62"/>
        <w:ind w:right="0"/>
        <w:jc w:val="left"/>
      </w:pPr>
      <w:r>
        <w:rPr>
          <w:rFonts w:ascii="Arial" w:hAnsi="Arial" w:cs="Arial" w:eastAsia="Arial" w:hint="default"/>
        </w:rPr>
        <w:t>2017</w:t>
      </w:r>
      <w:r>
        <w:rPr>
          <w:rFonts w:ascii="Arial" w:hAnsi="Arial" w:cs="Arial" w:eastAsia="Arial" w:hint="default"/>
          <w:spacing w:val="-7"/>
        </w:rPr>
        <w:t> </w:t>
      </w:r>
      <w:r>
        <w:rPr/>
        <w:t>年</w:t>
      </w:r>
      <w:r>
        <w:rPr>
          <w:spacing w:val="-63"/>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22</w:t>
      </w:r>
      <w:r>
        <w:rPr>
          <w:rFonts w:ascii="Arial" w:hAnsi="Arial" w:cs="Arial" w:eastAsia="Arial" w:hint="default"/>
          <w:spacing w:val="-8"/>
        </w:rPr>
        <w:t> </w:t>
      </w:r>
      <w:r>
        <w:rPr/>
        <w:t>日，公司发布了《关于股票期权激励计划预留期权第四个行权期采用自主行</w:t>
      </w:r>
    </w:p>
    <w:p>
      <w:pPr>
        <w:pStyle w:val="BodyText"/>
        <w:spacing w:line="240" w:lineRule="auto" w:before="27"/>
        <w:ind w:right="0"/>
        <w:jc w:val="left"/>
        <w:rPr>
          <w:rFonts w:ascii="Arial" w:hAnsi="Arial" w:cs="Arial" w:eastAsia="Arial" w:hint="default"/>
        </w:rPr>
      </w:pPr>
      <w:r>
        <w:rPr/>
        <w:t>权模式的提示性公告</w:t>
      </w:r>
      <w:r>
        <w:rPr>
          <w:spacing w:val="-120"/>
        </w:rPr>
        <w:t>》</w:t>
      </w:r>
      <w:r>
        <w:rPr/>
        <w:t>，预留期权第四个行权期行权期限为</w:t>
      </w:r>
      <w:r>
        <w:rPr>
          <w:spacing w:val="1"/>
        </w:rPr>
        <w:t>：</w:t>
      </w:r>
      <w:r>
        <w:rPr>
          <w:rFonts w:ascii="Arial" w:hAnsi="Arial" w:cs="Arial" w:eastAsia="Arial" w:hint="default"/>
          <w:w w:val="99"/>
        </w:rPr>
        <w:t>2017</w:t>
      </w:r>
      <w:r>
        <w:rPr>
          <w:rFonts w:ascii="Arial" w:hAnsi="Arial" w:cs="Arial" w:eastAsia="Arial" w:hint="default"/>
          <w:spacing w:val="-9"/>
        </w:rPr>
        <w:t> </w:t>
      </w:r>
      <w:r>
        <w:rPr/>
        <w:t>年</w:t>
      </w:r>
      <w:r>
        <w:rPr>
          <w:spacing w:val="-60"/>
        </w:rPr>
        <w:t> </w:t>
      </w:r>
      <w:r>
        <w:rPr>
          <w:rFonts w:ascii="Arial" w:hAnsi="Arial" w:cs="Arial" w:eastAsia="Arial" w:hint="default"/>
          <w:w w:val="99"/>
        </w:rPr>
        <w:t>8</w:t>
      </w:r>
      <w:r>
        <w:rPr>
          <w:rFonts w:ascii="Arial" w:hAnsi="Arial" w:cs="Arial" w:eastAsia="Arial" w:hint="default"/>
          <w:spacing w:val="-6"/>
        </w:rPr>
        <w:t> </w:t>
      </w:r>
      <w:r>
        <w:rPr/>
        <w:t>月</w:t>
      </w:r>
      <w:r>
        <w:rPr>
          <w:spacing w:val="-60"/>
        </w:rPr>
        <w:t> </w:t>
      </w:r>
      <w:r>
        <w:rPr>
          <w:rFonts w:ascii="Arial" w:hAnsi="Arial" w:cs="Arial" w:eastAsia="Arial" w:hint="default"/>
          <w:w w:val="99"/>
        </w:rPr>
        <w:t>22</w:t>
      </w:r>
      <w:r>
        <w:rPr>
          <w:rFonts w:ascii="Arial" w:hAnsi="Arial" w:cs="Arial" w:eastAsia="Arial" w:hint="default"/>
          <w:spacing w:val="-6"/>
        </w:rPr>
        <w:t> </w:t>
      </w:r>
      <w:r>
        <w:rPr/>
        <w:t>日起至</w:t>
      </w:r>
      <w:r>
        <w:rPr>
          <w:spacing w:val="-60"/>
        </w:rPr>
        <w:t> </w:t>
      </w:r>
      <w:r>
        <w:rPr>
          <w:rFonts w:ascii="Arial" w:hAnsi="Arial" w:cs="Arial" w:eastAsia="Arial" w:hint="default"/>
          <w:spacing w:val="-2"/>
          <w:w w:val="99"/>
        </w:rPr>
        <w:t>2</w:t>
      </w:r>
      <w:r>
        <w:rPr>
          <w:rFonts w:ascii="Arial" w:hAnsi="Arial" w:cs="Arial" w:eastAsia="Arial" w:hint="default"/>
          <w:w w:val="99"/>
        </w:rPr>
        <w:t>0</w:t>
      </w:r>
      <w:r>
        <w:rPr>
          <w:rFonts w:ascii="Arial" w:hAnsi="Arial" w:cs="Arial" w:eastAsia="Arial" w:hint="default"/>
          <w:spacing w:val="-2"/>
          <w:w w:val="99"/>
        </w:rPr>
        <w:t>1</w:t>
      </w:r>
      <w:r>
        <w:rPr>
          <w:rFonts w:ascii="Arial" w:hAnsi="Arial" w:cs="Arial" w:eastAsia="Arial" w:hint="default"/>
          <w:w w:val="99"/>
        </w:rPr>
        <w:t>8</w:t>
      </w:r>
      <w:r>
        <w:rPr>
          <w:rFonts w:ascii="Arial" w:hAnsi="Arial" w:cs="Arial" w:eastAsia="Arial" w:hint="default"/>
        </w:rPr>
      </w:r>
    </w:p>
    <w:p>
      <w:pPr>
        <w:pStyle w:val="BodyText"/>
        <w:spacing w:line="240" w:lineRule="auto" w:before="29"/>
        <w:ind w:right="0"/>
        <w:jc w:val="left"/>
      </w:pPr>
      <w:r>
        <w:rPr/>
        <w:t>年</w:t>
      </w:r>
      <w:r>
        <w:rPr>
          <w:spacing w:val="-61"/>
        </w:rPr>
        <w:t> </w:t>
      </w:r>
      <w:r>
        <w:rPr>
          <w:rFonts w:ascii="Arial" w:hAnsi="Arial" w:cs="Arial" w:eastAsia="Arial" w:hint="default"/>
        </w:rPr>
        <w:t>7</w:t>
      </w:r>
      <w:r>
        <w:rPr>
          <w:rFonts w:ascii="Arial" w:hAnsi="Arial" w:cs="Arial" w:eastAsia="Arial" w:hint="default"/>
          <w:spacing w:val="-7"/>
        </w:rPr>
        <w:t> </w:t>
      </w:r>
      <w:r>
        <w:rPr/>
        <w:t>月</w:t>
      </w:r>
      <w:r>
        <w:rPr>
          <w:spacing w:val="-61"/>
        </w:rPr>
        <w:t> </w:t>
      </w:r>
      <w:r>
        <w:rPr>
          <w:rFonts w:ascii="Arial" w:hAnsi="Arial" w:cs="Arial" w:eastAsia="Arial" w:hint="default"/>
        </w:rPr>
        <w:t>13</w:t>
      </w:r>
      <w:r>
        <w:rPr>
          <w:rFonts w:ascii="Arial" w:hAnsi="Arial" w:cs="Arial" w:eastAsia="Arial" w:hint="default"/>
          <w:spacing w:val="-7"/>
        </w:rPr>
        <w:t> </w:t>
      </w:r>
      <w:r>
        <w:rPr/>
        <w:t>日止。</w:t>
      </w:r>
    </w:p>
    <w:p>
      <w:pPr>
        <w:pStyle w:val="BodyText"/>
        <w:spacing w:line="266" w:lineRule="auto" w:before="67"/>
        <w:ind w:right="148" w:firstLine="480"/>
        <w:jc w:val="left"/>
        <w:rPr>
          <w:rFonts w:ascii="Arial" w:hAnsi="Arial" w:cs="Arial" w:eastAsia="Arial" w:hint="default"/>
        </w:rPr>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29</w:t>
      </w:r>
      <w:r>
        <w:rPr>
          <w:rFonts w:ascii="Arial" w:hAnsi="Arial" w:cs="Arial" w:eastAsia="Arial" w:hint="default"/>
          <w:spacing w:val="-8"/>
        </w:rPr>
        <w:t> </w:t>
      </w:r>
      <w:r>
        <w:rPr/>
        <w:t>日公司第六届董事会第二十一次会议和第六届监事会第十七次会议审议 </w:t>
      </w:r>
      <w:r>
        <w:rPr>
          <w:spacing w:val="-3"/>
        </w:rPr>
        <w:t>通过了《关于公司限制性股票激励计划（暂缓授予部分）第二个解锁期可解锁的议案》，同</w:t>
      </w:r>
      <w:r>
        <w:rPr/>
        <w:t> 意为公司限制性股票激励计划（暂缓授予部分）</w:t>
      </w:r>
      <w:r>
        <w:rPr>
          <w:rFonts w:ascii="Arial" w:hAnsi="Arial" w:cs="Arial" w:eastAsia="Arial" w:hint="default"/>
        </w:rPr>
        <w:t>1 </w:t>
      </w:r>
      <w:r>
        <w:rPr/>
        <w:t>名激励对象解锁限制性股票共计</w:t>
      </w:r>
      <w:r>
        <w:rPr>
          <w:spacing w:val="-66"/>
        </w:rPr>
        <w:t> </w:t>
      </w:r>
      <w:r>
        <w:rPr>
          <w:rFonts w:ascii="Arial" w:hAnsi="Arial" w:cs="Arial" w:eastAsia="Arial" w:hint="default"/>
        </w:rPr>
        <w:t>47,614</w:t>
      </w:r>
    </w:p>
    <w:p>
      <w:pPr>
        <w:pStyle w:val="BodyText"/>
        <w:tabs>
          <w:tab w:pos="1833" w:val="left" w:leader="none"/>
        </w:tabs>
        <w:spacing w:line="266" w:lineRule="auto"/>
        <w:ind w:right="295"/>
        <w:jc w:val="left"/>
      </w:pPr>
      <w:r>
        <w:rPr/>
        <w:t>股。</w:t>
        <w:tab/>
      </w:r>
      <w:r>
        <w:rPr>
          <w:rFonts w:ascii="Arial" w:hAnsi="Arial" w:cs="Arial" w:eastAsia="Arial" w:hint="default"/>
        </w:rPr>
        <w:t>2017</w:t>
      </w:r>
      <w:r>
        <w:rPr>
          <w:rFonts w:ascii="Arial" w:hAnsi="Arial" w:cs="Arial" w:eastAsia="Arial" w:hint="default"/>
          <w:spacing w:val="-10"/>
        </w:rPr>
        <w:t> </w:t>
      </w:r>
      <w:r>
        <w:rPr/>
        <w:t>年</w:t>
      </w:r>
      <w:r>
        <w:rPr>
          <w:spacing w:val="-61"/>
        </w:rPr>
        <w:t> </w:t>
      </w:r>
      <w:r>
        <w:rPr>
          <w:rFonts w:ascii="Arial" w:hAnsi="Arial" w:cs="Arial" w:eastAsia="Arial" w:hint="default"/>
        </w:rPr>
        <w:t>9</w:t>
      </w:r>
      <w:r>
        <w:rPr>
          <w:rFonts w:ascii="Arial" w:hAnsi="Arial" w:cs="Arial" w:eastAsia="Arial" w:hint="default"/>
          <w:spacing w:val="-7"/>
        </w:rPr>
        <w:t> </w:t>
      </w:r>
      <w:r>
        <w:rPr/>
        <w:t>月</w:t>
      </w:r>
      <w:r>
        <w:rPr>
          <w:spacing w:val="-61"/>
        </w:rPr>
        <w:t> </w:t>
      </w:r>
      <w:r>
        <w:rPr>
          <w:rFonts w:ascii="Arial" w:hAnsi="Arial" w:cs="Arial" w:eastAsia="Arial" w:hint="default"/>
        </w:rPr>
        <w:t>8</w:t>
      </w:r>
      <w:r>
        <w:rPr>
          <w:rFonts w:ascii="Arial" w:hAnsi="Arial" w:cs="Arial" w:eastAsia="Arial" w:hint="default"/>
          <w:spacing w:val="-7"/>
        </w:rPr>
        <w:t> </w:t>
      </w:r>
      <w:r>
        <w:rPr/>
        <w:t>日，公司发布了《关于限制性股票激励计划（暂缓授予部 </w:t>
      </w:r>
      <w:r>
        <w:rPr>
          <w:spacing w:val="-3"/>
        </w:rPr>
        <w:t>分）第二期可解锁股份上市流通的提示性公告》，本次限制性股票激励计划授予的限制性股</w:t>
      </w:r>
      <w:r>
        <w:rPr/>
        <w:t> 票（暂缓授予部分）第二个解锁期可解锁的股份数量为</w:t>
      </w:r>
      <w:r>
        <w:rPr>
          <w:spacing w:val="-62"/>
        </w:rPr>
        <w:t> </w:t>
      </w:r>
      <w:r>
        <w:rPr>
          <w:rFonts w:ascii="Arial" w:hAnsi="Arial" w:cs="Arial" w:eastAsia="Arial" w:hint="default"/>
        </w:rPr>
        <w:t>47,614</w:t>
      </w:r>
      <w:r>
        <w:rPr>
          <w:rFonts w:ascii="Arial" w:hAnsi="Arial" w:cs="Arial" w:eastAsia="Arial" w:hint="default"/>
          <w:spacing w:val="-8"/>
        </w:rPr>
        <w:t> </w:t>
      </w:r>
      <w:r>
        <w:rPr/>
        <w:t>股，占公司目前股本总额的</w:t>
      </w:r>
    </w:p>
    <w:p>
      <w:pPr>
        <w:pStyle w:val="BodyText"/>
        <w:spacing w:line="331" w:lineRule="exact"/>
        <w:ind w:right="0"/>
        <w:jc w:val="left"/>
      </w:pPr>
      <w:r>
        <w:rPr>
          <w:rFonts w:ascii="Arial" w:hAnsi="Arial" w:cs="Arial" w:eastAsia="Arial" w:hint="default"/>
        </w:rPr>
        <w:t>0.007%</w:t>
      </w:r>
      <w:r>
        <w:rPr/>
        <w:t>。本次限制性股票的上市流通日为</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4"/>
        </w:rPr>
        <w:t> </w:t>
      </w:r>
      <w:r>
        <w:rPr>
          <w:rFonts w:ascii="Arial" w:hAnsi="Arial" w:cs="Arial" w:eastAsia="Arial" w:hint="default"/>
        </w:rPr>
        <w:t>9</w:t>
      </w:r>
      <w:r>
        <w:rPr>
          <w:rFonts w:ascii="Arial" w:hAnsi="Arial" w:cs="Arial" w:eastAsia="Arial" w:hint="default"/>
          <w:spacing w:val="-7"/>
        </w:rPr>
        <w:t> </w:t>
      </w:r>
      <w:r>
        <w:rPr/>
        <w:t>月</w:t>
      </w:r>
      <w:r>
        <w:rPr>
          <w:spacing w:val="-61"/>
        </w:rPr>
        <w:t> </w:t>
      </w:r>
      <w:r>
        <w:rPr>
          <w:rFonts w:ascii="Arial" w:hAnsi="Arial" w:cs="Arial" w:eastAsia="Arial" w:hint="default"/>
          <w:spacing w:val="-10"/>
        </w:rPr>
        <w:t>11</w:t>
      </w:r>
      <w:r>
        <w:rPr>
          <w:rFonts w:ascii="Arial" w:hAnsi="Arial" w:cs="Arial" w:eastAsia="Arial" w:hint="default"/>
          <w:spacing w:val="-7"/>
        </w:rPr>
        <w:t> </w:t>
      </w:r>
      <w:r>
        <w:rPr/>
        <w:t>日，因本次涉及的股权激励对象</w:t>
      </w:r>
    </w:p>
    <w:p>
      <w:pPr>
        <w:pStyle w:val="BodyText"/>
        <w:spacing w:line="240" w:lineRule="auto" w:before="26"/>
        <w:ind w:right="0"/>
        <w:jc w:val="left"/>
      </w:pPr>
      <w:r>
        <w:rPr/>
        <w:t>为公司高管，根据高管任职规定，本次实际可上市流通股数为</w:t>
      </w:r>
      <w:r>
        <w:rPr>
          <w:spacing w:val="-59"/>
        </w:rPr>
        <w:t> </w:t>
      </w:r>
      <w:r>
        <w:rPr>
          <w:rFonts w:ascii="Arial" w:hAnsi="Arial" w:cs="Arial" w:eastAsia="Arial" w:hint="default"/>
        </w:rPr>
        <w:t>0</w:t>
      </w:r>
      <w:r>
        <w:rPr>
          <w:rFonts w:ascii="Arial" w:hAnsi="Arial" w:cs="Arial" w:eastAsia="Arial" w:hint="default"/>
          <w:spacing w:val="-6"/>
        </w:rPr>
        <w:t> </w:t>
      </w:r>
      <w:r>
        <w:rPr/>
        <w:t>股。</w:t>
      </w:r>
    </w:p>
    <w:p>
      <w:pPr>
        <w:pStyle w:val="BodyText"/>
        <w:spacing w:line="240" w:lineRule="auto" w:before="70"/>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9</w:t>
      </w:r>
      <w:r>
        <w:rPr>
          <w:rFonts w:ascii="Arial" w:hAnsi="Arial" w:cs="Arial" w:eastAsia="Arial" w:hint="default"/>
          <w:spacing w:val="-8"/>
        </w:rPr>
        <w:t> </w:t>
      </w:r>
      <w:r>
        <w:rPr/>
        <w:t>月</w:t>
      </w:r>
      <w:r>
        <w:rPr>
          <w:spacing w:val="-62"/>
        </w:rPr>
        <w:t> </w:t>
      </w:r>
      <w:r>
        <w:rPr>
          <w:rFonts w:ascii="Arial" w:hAnsi="Arial" w:cs="Arial" w:eastAsia="Arial" w:hint="default"/>
        </w:rPr>
        <w:t>6</w:t>
      </w:r>
      <w:r>
        <w:rPr>
          <w:rFonts w:ascii="Arial" w:hAnsi="Arial" w:cs="Arial" w:eastAsia="Arial" w:hint="default"/>
          <w:spacing w:val="-8"/>
        </w:rPr>
        <w:t> </w:t>
      </w:r>
      <w:r>
        <w:rPr/>
        <w:t>日，公司披露了《发行股份及支付现金购买资产并募集配套资金暨关联</w:t>
      </w:r>
    </w:p>
    <w:p>
      <w:pPr>
        <w:pStyle w:val="BodyText"/>
        <w:spacing w:line="240" w:lineRule="auto" w:before="26"/>
        <w:ind w:right="0"/>
        <w:jc w:val="left"/>
      </w:pPr>
      <w:r>
        <w:rPr/>
        <w:t>交易实施情况暨新增股份上市报告书》等公告，</w:t>
      </w:r>
      <w:r>
        <w:rPr>
          <w:rFonts w:ascii="Arial" w:hAnsi="Arial" w:cs="Arial" w:eastAsia="Arial" w:hint="default"/>
        </w:rPr>
        <w:t>2017</w:t>
      </w:r>
      <w:r>
        <w:rPr>
          <w:rFonts w:ascii="Arial" w:hAnsi="Arial" w:cs="Arial" w:eastAsia="Arial" w:hint="default"/>
          <w:spacing w:val="-6"/>
        </w:rPr>
        <w:t> </w:t>
      </w:r>
      <w:r>
        <w:rPr/>
        <w:t>年</w:t>
      </w:r>
      <w:r>
        <w:rPr>
          <w:spacing w:val="-61"/>
        </w:rPr>
        <w:t> </w:t>
      </w:r>
      <w:r>
        <w:rPr>
          <w:rFonts w:ascii="Arial" w:hAnsi="Arial" w:cs="Arial" w:eastAsia="Arial" w:hint="default"/>
        </w:rPr>
        <w:t>9</w:t>
      </w:r>
      <w:r>
        <w:rPr>
          <w:rFonts w:ascii="Arial" w:hAnsi="Arial" w:cs="Arial" w:eastAsia="Arial" w:hint="default"/>
          <w:spacing w:val="-7"/>
        </w:rPr>
        <w:t> </w:t>
      </w:r>
      <w:r>
        <w:rPr/>
        <w:t>月</w:t>
      </w:r>
      <w:r>
        <w:rPr>
          <w:spacing w:val="-61"/>
        </w:rPr>
        <w:t> </w:t>
      </w:r>
      <w:r>
        <w:rPr>
          <w:rFonts w:ascii="Arial" w:hAnsi="Arial" w:cs="Arial" w:eastAsia="Arial" w:hint="default"/>
        </w:rPr>
        <w:t>7</w:t>
      </w:r>
      <w:r>
        <w:rPr>
          <w:rFonts w:ascii="Arial" w:hAnsi="Arial" w:cs="Arial" w:eastAsia="Arial" w:hint="default"/>
          <w:spacing w:val="-7"/>
        </w:rPr>
        <w:t> </w:t>
      </w:r>
      <w:r>
        <w:rPr/>
        <w:t>日，本次交易发行股份购买</w:t>
      </w:r>
    </w:p>
    <w:p>
      <w:pPr>
        <w:pStyle w:val="BodyText"/>
        <w:spacing w:line="240" w:lineRule="auto" w:before="29"/>
        <w:ind w:right="0"/>
        <w:jc w:val="left"/>
      </w:pPr>
      <w:r>
        <w:rPr/>
        <w:t>资产部分的新增股份</w:t>
      </w:r>
      <w:r>
        <w:rPr>
          <w:spacing w:val="-63"/>
        </w:rPr>
        <w:t> </w:t>
      </w:r>
      <w:r>
        <w:rPr>
          <w:rFonts w:ascii="Arial" w:hAnsi="Arial" w:cs="Arial" w:eastAsia="Arial" w:hint="default"/>
        </w:rPr>
        <w:t>60,661,865</w:t>
      </w:r>
      <w:r>
        <w:rPr>
          <w:rFonts w:ascii="Arial" w:hAnsi="Arial" w:cs="Arial" w:eastAsia="Arial" w:hint="default"/>
          <w:spacing w:val="-7"/>
        </w:rPr>
        <w:t> </w:t>
      </w:r>
      <w:r>
        <w:rPr/>
        <w:t>股完成上市。</w:t>
      </w:r>
    </w:p>
    <w:p>
      <w:pPr>
        <w:pStyle w:val="BodyText"/>
        <w:spacing w:line="240" w:lineRule="auto" w:before="67"/>
        <w:ind w:left="633" w:right="0"/>
        <w:jc w:val="left"/>
      </w:pPr>
      <w:r>
        <w:rPr>
          <w:rFonts w:ascii="Arial" w:hAnsi="Arial" w:cs="Arial" w:eastAsia="Arial" w:hint="default"/>
        </w:rPr>
        <w:t>2017</w:t>
      </w:r>
      <w:r>
        <w:rPr>
          <w:rFonts w:ascii="Arial" w:hAnsi="Arial" w:cs="Arial" w:eastAsia="Arial" w:hint="default"/>
          <w:spacing w:val="-8"/>
        </w:rPr>
        <w:t> </w:t>
      </w:r>
      <w:r>
        <w:rPr/>
        <w:t>年</w:t>
      </w:r>
      <w:r>
        <w:rPr>
          <w:spacing w:val="-62"/>
        </w:rPr>
        <w:t> </w:t>
      </w:r>
      <w:r>
        <w:rPr>
          <w:rFonts w:ascii="Arial" w:hAnsi="Arial" w:cs="Arial" w:eastAsia="Arial" w:hint="default"/>
        </w:rPr>
        <w:t>10</w:t>
      </w:r>
      <w:r>
        <w:rPr>
          <w:rFonts w:ascii="Arial" w:hAnsi="Arial" w:cs="Arial" w:eastAsia="Arial" w:hint="default"/>
          <w:spacing w:val="-8"/>
        </w:rPr>
        <w:t> </w:t>
      </w:r>
      <w:r>
        <w:rPr/>
        <w:t>月</w:t>
      </w:r>
      <w:r>
        <w:rPr>
          <w:spacing w:val="-64"/>
        </w:rPr>
        <w:t> </w:t>
      </w:r>
      <w:r>
        <w:rPr>
          <w:rFonts w:ascii="Arial" w:hAnsi="Arial" w:cs="Arial" w:eastAsia="Arial" w:hint="default"/>
        </w:rPr>
        <w:t>13</w:t>
      </w:r>
      <w:r>
        <w:rPr>
          <w:rFonts w:ascii="Arial" w:hAnsi="Arial" w:cs="Arial" w:eastAsia="Arial" w:hint="default"/>
          <w:spacing w:val="-8"/>
        </w:rPr>
        <w:t> </w:t>
      </w:r>
      <w:r>
        <w:rPr/>
        <w:t>日，公司披露了《发行股份及支付现金购买资产并募集配套资金实施</w:t>
      </w:r>
    </w:p>
    <w:p>
      <w:pPr>
        <w:pStyle w:val="BodyText"/>
        <w:spacing w:line="240" w:lineRule="auto" w:before="26"/>
        <w:ind w:right="0"/>
        <w:jc w:val="left"/>
      </w:pPr>
      <w:r>
        <w:rPr/>
        <w:t>情况暨配套资金募集新增股份上市报告书》等公告，</w:t>
      </w:r>
      <w:r>
        <w:rPr>
          <w:rFonts w:ascii="Arial" w:hAnsi="Arial" w:cs="Arial" w:eastAsia="Arial" w:hint="default"/>
        </w:rPr>
        <w:t>2017</w:t>
      </w:r>
      <w:r>
        <w:rPr>
          <w:rFonts w:ascii="Arial" w:hAnsi="Arial" w:cs="Arial" w:eastAsia="Arial" w:hint="default"/>
          <w:spacing w:val="-7"/>
        </w:rPr>
        <w:t> </w:t>
      </w:r>
      <w:r>
        <w:rPr/>
        <w:t>年</w:t>
      </w:r>
      <w:r>
        <w:rPr>
          <w:spacing w:val="-64"/>
        </w:rPr>
        <w:t> </w:t>
      </w:r>
      <w:r>
        <w:rPr>
          <w:rFonts w:ascii="Arial" w:hAnsi="Arial" w:cs="Arial" w:eastAsia="Arial" w:hint="default"/>
        </w:rPr>
        <w:t>10</w:t>
      </w:r>
      <w:r>
        <w:rPr>
          <w:rFonts w:ascii="Arial" w:hAnsi="Arial" w:cs="Arial" w:eastAsia="Arial" w:hint="default"/>
          <w:spacing w:val="-7"/>
        </w:rPr>
        <w:t> </w:t>
      </w:r>
      <w:r>
        <w:rPr/>
        <w:t>月</w:t>
      </w:r>
      <w:r>
        <w:rPr>
          <w:spacing w:val="-64"/>
        </w:rPr>
        <w:t> </w:t>
      </w:r>
      <w:r>
        <w:rPr>
          <w:rFonts w:ascii="Arial" w:hAnsi="Arial" w:cs="Arial" w:eastAsia="Arial" w:hint="default"/>
        </w:rPr>
        <w:t>14</w:t>
      </w:r>
      <w:r>
        <w:rPr>
          <w:rFonts w:ascii="Arial" w:hAnsi="Arial" w:cs="Arial" w:eastAsia="Arial" w:hint="default"/>
          <w:spacing w:val="-7"/>
        </w:rPr>
        <w:t> </w:t>
      </w:r>
      <w:r>
        <w:rPr/>
        <w:t>日，本次交易发行股</w:t>
      </w:r>
    </w:p>
    <w:p>
      <w:pPr>
        <w:pStyle w:val="BodyText"/>
        <w:spacing w:line="240" w:lineRule="auto" w:before="28"/>
        <w:ind w:right="0"/>
        <w:jc w:val="left"/>
      </w:pPr>
      <w:r>
        <w:rPr/>
        <w:t>份购买资产部分的新增股份</w:t>
      </w:r>
      <w:r>
        <w:rPr>
          <w:spacing w:val="-63"/>
        </w:rPr>
        <w:t> </w:t>
      </w:r>
      <w:r>
        <w:rPr>
          <w:rFonts w:ascii="Arial" w:hAnsi="Arial" w:cs="Arial" w:eastAsia="Arial" w:hint="default"/>
        </w:rPr>
        <w:t>31091370</w:t>
      </w:r>
      <w:r>
        <w:rPr>
          <w:rFonts w:ascii="Arial" w:hAnsi="Arial" w:cs="Arial" w:eastAsia="Arial" w:hint="default"/>
          <w:spacing w:val="-9"/>
        </w:rPr>
        <w:t> </w:t>
      </w:r>
      <w:r>
        <w:rPr/>
        <w:t>股完成上市。</w:t>
      </w:r>
    </w:p>
    <w:p>
      <w:pPr>
        <w:spacing w:after="0" w:line="240" w:lineRule="auto"/>
        <w:jc w:val="left"/>
        <w:sectPr>
          <w:pgSz w:w="11910" w:h="16840"/>
          <w:pgMar w:header="877" w:footer="980" w:top="1100" w:bottom="1160" w:left="980" w:right="980"/>
        </w:sectPr>
      </w:pPr>
    </w:p>
    <w:p>
      <w:pPr>
        <w:spacing w:line="240" w:lineRule="auto" w:before="7"/>
        <w:rPr>
          <w:rFonts w:ascii="宋体" w:hAnsi="宋体" w:cs="宋体" w:eastAsia="宋体" w:hint="default"/>
          <w:sz w:val="21"/>
          <w:szCs w:val="21"/>
        </w:rPr>
      </w:pPr>
    </w:p>
    <w:p>
      <w:pPr>
        <w:pStyle w:val="BodyText"/>
        <w:spacing w:line="240" w:lineRule="auto" w:before="26"/>
        <w:ind w:left="633" w:right="0"/>
        <w:jc w:val="left"/>
      </w:pPr>
      <w:r>
        <w:rPr/>
        <w:t>报告期内，公司股票期权激励计划共计行权</w:t>
      </w:r>
      <w:r>
        <w:rPr>
          <w:spacing w:val="-63"/>
        </w:rPr>
        <w:t> </w:t>
      </w:r>
      <w:r>
        <w:rPr>
          <w:rFonts w:ascii="Arial" w:hAnsi="Arial" w:cs="Arial" w:eastAsia="Arial" w:hint="default"/>
        </w:rPr>
        <w:t>2,985,860</w:t>
      </w:r>
      <w:r>
        <w:rPr>
          <w:rFonts w:ascii="Arial" w:hAnsi="Arial" w:cs="Arial" w:eastAsia="Arial" w:hint="default"/>
          <w:spacing w:val="-7"/>
        </w:rPr>
        <w:t> </w:t>
      </w:r>
      <w:r>
        <w:rPr/>
        <w:t>股。</w:t>
      </w:r>
    </w:p>
    <w:p>
      <w:pPr>
        <w:spacing w:line="240" w:lineRule="auto" w:before="13"/>
        <w:rPr>
          <w:rFonts w:ascii="宋体" w:hAnsi="宋体" w:cs="宋体" w:eastAsia="宋体" w:hint="default"/>
          <w:sz w:val="19"/>
          <w:szCs w:val="19"/>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、现存的内部职工股情况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spacing w:line="381" w:lineRule="auto" w:before="0"/>
        <w:ind w:left="152" w:right="6894" w:firstLine="0"/>
        <w:jc w:val="left"/>
        <w:rPr>
          <w:rFonts w:ascii="Microsoft JhengHei" w:hAnsi="Microsoft JhengHei" w:cs="Microsoft JhengHei" w:eastAsia="Microsoft JhengHei" w:hint="default"/>
          <w:sz w:val="21"/>
          <w:szCs w:val="21"/>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三、股东和实际控制人情况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、公司股东数量及持股情况</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6"/>
          <w:szCs w:val="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335"/>
        <w:gridCol w:w="386"/>
        <w:gridCol w:w="420"/>
        <w:gridCol w:w="814"/>
        <w:gridCol w:w="625"/>
        <w:gridCol w:w="172"/>
        <w:gridCol w:w="1076"/>
        <w:gridCol w:w="1038"/>
        <w:gridCol w:w="239"/>
        <w:gridCol w:w="908"/>
        <w:gridCol w:w="178"/>
        <w:gridCol w:w="845"/>
        <w:gridCol w:w="496"/>
        <w:gridCol w:w="1037"/>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6"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12" w:right="0"/>
              <w:jc w:val="left"/>
              <w:rPr>
                <w:rFonts w:ascii="Arial" w:hAnsi="Arial" w:cs="Arial" w:eastAsia="Arial" w:hint="default"/>
                <w:sz w:val="21"/>
                <w:szCs w:val="21"/>
              </w:rPr>
            </w:pPr>
            <w:r>
              <w:rPr>
                <w:rFonts w:ascii="Arial"/>
                <w:sz w:val="21"/>
              </w:rPr>
              <w:t>21,692</w:t>
            </w:r>
          </w:p>
        </w:tc>
        <w:tc>
          <w:tcPr>
            <w:tcW w:w="1439" w:type="dxa"/>
            <w:gridSpan w:val="2"/>
            <w:vMerge w:val="restart"/>
            <w:tcBorders>
              <w:top w:val="single" w:sz="4" w:space="0" w:color="000000"/>
              <w:left w:val="single" w:sz="4" w:space="0" w:color="000000"/>
              <w:right w:val="single" w:sz="4" w:space="0" w:color="000000"/>
            </w:tcBorders>
            <w:shd w:val="clear" w:color="auto" w:fill="D2D2D2"/>
          </w:tcPr>
          <w:p>
            <w:pPr/>
          </w:p>
        </w:tc>
        <w:tc>
          <w:tcPr>
            <w:tcW w:w="124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26" w:right="0"/>
              <w:jc w:val="left"/>
              <w:rPr>
                <w:rFonts w:ascii="Arial" w:hAnsi="Arial" w:cs="Arial" w:eastAsia="Arial" w:hint="default"/>
                <w:sz w:val="21"/>
                <w:szCs w:val="21"/>
              </w:rPr>
            </w:pPr>
            <w:r>
              <w:rPr>
                <w:rFonts w:ascii="Arial"/>
                <w:sz w:val="21"/>
              </w:rPr>
              <w:t>21,564</w:t>
            </w:r>
          </w:p>
        </w:tc>
        <w:tc>
          <w:tcPr>
            <w:tcW w:w="127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3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 w:right="55"/>
              <w:jc w:val="both"/>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w w:val="100"/>
                <w:sz w:val="21"/>
                <w:szCs w:val="21"/>
              </w:rPr>
              <w:t> </w:t>
            </w:r>
            <w:r>
              <w:rPr>
                <w:rFonts w:ascii="宋体" w:hAnsi="宋体" w:cs="宋体" w:eastAsia="宋体" w:hint="default"/>
                <w:sz w:val="21"/>
                <w:szCs w:val="21"/>
              </w:rPr>
              <w:t>日前上一月末</w:t>
            </w:r>
            <w:r>
              <w:rPr>
                <w:rFonts w:ascii="宋体" w:hAnsi="宋体" w:cs="宋体" w:eastAsia="宋体" w:hint="default"/>
                <w:w w:val="100"/>
                <w:sz w:val="21"/>
                <w:szCs w:val="21"/>
              </w:rPr>
              <w:t> </w:t>
            </w:r>
            <w:r>
              <w:rPr>
                <w:rFonts w:ascii="宋体" w:hAnsi="宋体" w:cs="宋体" w:eastAsia="宋体" w:hint="default"/>
                <w:sz w:val="21"/>
                <w:szCs w:val="21"/>
              </w:rPr>
              <w:t>表决权恢复的</w:t>
            </w:r>
            <w:r>
              <w:rPr>
                <w:rFonts w:ascii="宋体" w:hAnsi="宋体" w:cs="宋体" w:eastAsia="宋体" w:hint="default"/>
                <w:w w:val="100"/>
                <w:sz w:val="21"/>
                <w:szCs w:val="21"/>
              </w:rPr>
              <w:t> </w:t>
            </w:r>
            <w:r>
              <w:rPr>
                <w:rFonts w:ascii="宋体" w:hAnsi="宋体" w:cs="宋体" w:eastAsia="宋体" w:hint="default"/>
                <w:sz w:val="21"/>
                <w:szCs w:val="21"/>
              </w:rPr>
              <w:t>优先股股东总</w:t>
            </w:r>
            <w:r>
              <w:rPr>
                <w:rFonts w:ascii="宋体" w:hAnsi="宋体" w:cs="宋体" w:eastAsia="宋体" w:hint="default"/>
                <w:w w:val="100"/>
                <w:sz w:val="21"/>
                <w:szCs w:val="21"/>
              </w:rPr>
              <w:t> </w:t>
            </w:r>
            <w:r>
              <w:rPr>
                <w:rFonts w:ascii="宋体" w:hAnsi="宋体" w:cs="宋体" w:eastAsia="宋体" w:hint="default"/>
                <w:sz w:val="21"/>
                <w:szCs w:val="21"/>
              </w:rPr>
              <w:t>数（如有）</w:t>
            </w:r>
          </w:p>
          <w:p>
            <w:pPr>
              <w:pStyle w:val="TableParagraph"/>
              <w:spacing w:line="240" w:lineRule="auto" w:before="7"/>
              <w:ind w:left="11" w:right="0"/>
              <w:jc w:val="both"/>
              <w:rPr>
                <w:rFonts w:ascii="宋体" w:hAnsi="宋体" w:cs="宋体" w:eastAsia="宋体" w:hint="default"/>
                <w:sz w:val="21"/>
                <w:szCs w:val="21"/>
              </w:rPr>
            </w:pPr>
            <w:r>
              <w:rPr>
                <w:rFonts w:ascii="宋体" w:hAnsi="宋体" w:cs="宋体" w:eastAsia="宋体" w:hint="default"/>
                <w:sz w:val="21"/>
                <w:szCs w:val="21"/>
              </w:rPr>
              <w:t>（参见注</w:t>
            </w:r>
            <w:r>
              <w:rPr>
                <w:rFonts w:ascii="宋体" w:hAnsi="宋体" w:cs="宋体" w:eastAsia="宋体" w:hint="default"/>
                <w:spacing w:val="-52"/>
                <w:sz w:val="21"/>
                <w:szCs w:val="21"/>
              </w:rPr>
              <w:t> </w:t>
            </w:r>
            <w:r>
              <w:rPr>
                <w:rFonts w:ascii="Arial" w:hAnsi="Arial" w:cs="Arial" w:eastAsia="Arial" w:hint="default"/>
                <w:sz w:val="21"/>
                <w:szCs w:val="21"/>
              </w:rPr>
              <w:t>9</w:t>
            </w:r>
            <w:r>
              <w:rPr>
                <w:rFonts w:ascii="宋体" w:hAnsi="宋体" w:cs="宋体" w:eastAsia="宋体" w:hint="default"/>
                <w:sz w:val="21"/>
                <w:szCs w:val="21"/>
              </w:rPr>
              <w:t>）</w:t>
            </w:r>
          </w:p>
        </w:tc>
        <w:tc>
          <w:tcPr>
            <w:tcW w:w="1037"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6" w:type="dxa"/>
            <w:gridSpan w:val="2"/>
            <w:vMerge/>
            <w:tcBorders>
              <w:left w:val="single" w:sz="10" w:space="0" w:color="D2D2D2"/>
              <w:right w:val="single" w:sz="9" w:space="0" w:color="D2D2D2"/>
            </w:tcBorders>
          </w:tcPr>
          <w:p>
            <w:pPr/>
          </w:p>
        </w:tc>
        <w:tc>
          <w:tcPr>
            <w:tcW w:w="1439" w:type="dxa"/>
            <w:gridSpan w:val="2"/>
            <w:vMerge/>
            <w:tcBorders>
              <w:left w:val="single" w:sz="4" w:space="0" w:color="000000"/>
              <w:bottom w:val="nil" w:sz="6" w:space="0" w:color="auto"/>
              <w:right w:val="single" w:sz="4" w:space="0" w:color="000000"/>
            </w:tcBorders>
            <w:shd w:val="clear" w:color="auto" w:fill="D2D2D2"/>
          </w:tcPr>
          <w:p>
            <w:pPr/>
          </w:p>
        </w:tc>
        <w:tc>
          <w:tcPr>
            <w:tcW w:w="1248" w:type="dxa"/>
            <w:gridSpan w:val="2"/>
            <w:vMerge/>
            <w:tcBorders>
              <w:left w:val="single" w:sz="10" w:space="0" w:color="D2D2D2"/>
              <w:right w:val="single" w:sz="9" w:space="0" w:color="D2D2D2"/>
            </w:tcBorders>
          </w:tcPr>
          <w:p>
            <w:pPr/>
          </w:p>
        </w:tc>
        <w:tc>
          <w:tcPr>
            <w:tcW w:w="127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9" w:right="21"/>
              <w:jc w:val="both"/>
              <w:rPr>
                <w:rFonts w:ascii="宋体" w:hAnsi="宋体" w:cs="宋体" w:eastAsia="宋体" w:hint="default"/>
                <w:sz w:val="21"/>
                <w:szCs w:val="21"/>
              </w:rPr>
            </w:pPr>
            <w:r>
              <w:rPr>
                <w:rFonts w:ascii="宋体" w:hAnsi="宋体" w:cs="宋体" w:eastAsia="宋体" w:hint="default"/>
                <w:sz w:val="21"/>
                <w:szCs w:val="21"/>
              </w:rPr>
              <w:t>报告期末表决</w:t>
            </w:r>
            <w:r>
              <w:rPr>
                <w:rFonts w:ascii="宋体" w:hAnsi="宋体" w:cs="宋体" w:eastAsia="宋体" w:hint="default"/>
                <w:w w:val="100"/>
                <w:sz w:val="21"/>
                <w:szCs w:val="21"/>
              </w:rPr>
              <w:t> </w:t>
            </w:r>
            <w:r>
              <w:rPr>
                <w:rFonts w:ascii="宋体" w:hAnsi="宋体" w:cs="宋体" w:eastAsia="宋体" w:hint="default"/>
                <w:sz w:val="21"/>
                <w:szCs w:val="21"/>
              </w:rPr>
              <w:t>权恢复的优先</w:t>
            </w:r>
            <w:r>
              <w:rPr>
                <w:rFonts w:ascii="宋体" w:hAnsi="宋体" w:cs="宋体" w:eastAsia="宋体" w:hint="default"/>
                <w:w w:val="100"/>
                <w:sz w:val="21"/>
                <w:szCs w:val="21"/>
              </w:rPr>
              <w:t> </w:t>
            </w:r>
            <w:r>
              <w:rPr>
                <w:rFonts w:ascii="宋体" w:hAnsi="宋体" w:cs="宋体" w:eastAsia="宋体" w:hint="default"/>
                <w:sz w:val="21"/>
                <w:szCs w:val="21"/>
              </w:rPr>
              <w:t>股股东总数</w:t>
            </w:r>
          </w:p>
          <w:p>
            <w:pPr>
              <w:pStyle w:val="TableParagraph"/>
              <w:spacing w:line="273" w:lineRule="auto" w:before="7"/>
              <w:ind w:left="-19" w:right="126"/>
              <w:jc w:val="left"/>
              <w:rPr>
                <w:rFonts w:ascii="宋体" w:hAnsi="宋体" w:cs="宋体" w:eastAsia="宋体" w:hint="default"/>
                <w:sz w:val="21"/>
                <w:szCs w:val="21"/>
              </w:rPr>
            </w:pPr>
            <w:r>
              <w:rPr>
                <w:rFonts w:ascii="宋体" w:hAnsi="宋体" w:cs="宋体" w:eastAsia="宋体" w:hint="default"/>
                <w:spacing w:val="-19"/>
                <w:w w:val="100"/>
                <w:sz w:val="21"/>
                <w:szCs w:val="21"/>
              </w:rPr>
              <w:t>（如有）（参</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见注</w:t>
            </w:r>
            <w:r>
              <w:rPr>
                <w:rFonts w:ascii="宋体" w:hAnsi="宋体" w:cs="宋体" w:eastAsia="宋体" w:hint="default"/>
                <w:spacing w:val="-51"/>
                <w:sz w:val="21"/>
                <w:szCs w:val="21"/>
              </w:rPr>
              <w:t> </w:t>
            </w:r>
            <w:r>
              <w:rPr>
                <w:rFonts w:ascii="Arial" w:hAnsi="Arial" w:cs="Arial" w:eastAsia="Arial" w:hint="default"/>
                <w:sz w:val="21"/>
                <w:szCs w:val="21"/>
              </w:rPr>
              <w:t>9</w:t>
            </w:r>
            <w:r>
              <w:rPr>
                <w:rFonts w:ascii="宋体" w:hAnsi="宋体" w:cs="宋体" w:eastAsia="宋体" w:hint="default"/>
                <w:sz w:val="21"/>
                <w:szCs w:val="21"/>
              </w:rPr>
              <w:t>）</w:t>
            </w:r>
          </w:p>
        </w:tc>
        <w:tc>
          <w:tcPr>
            <w:tcW w:w="1086" w:type="dxa"/>
            <w:gridSpan w:val="2"/>
            <w:vMerge/>
            <w:tcBorders>
              <w:left w:val="single" w:sz="9" w:space="0" w:color="D2D2D2"/>
              <w:right w:val="single" w:sz="13" w:space="0" w:color="D2D2D2"/>
            </w:tcBorders>
          </w:tcPr>
          <w:p>
            <w:pPr/>
          </w:p>
        </w:tc>
        <w:tc>
          <w:tcPr>
            <w:tcW w:w="1342" w:type="dxa"/>
            <w:gridSpan w:val="2"/>
            <w:vMerge/>
            <w:tcBorders>
              <w:left w:val="single" w:sz="4" w:space="0" w:color="000000"/>
              <w:right w:val="single" w:sz="4" w:space="0" w:color="000000"/>
            </w:tcBorders>
            <w:shd w:val="clear" w:color="auto" w:fill="D2D2D2"/>
          </w:tcPr>
          <w:p>
            <w:pPr/>
          </w:p>
        </w:tc>
        <w:tc>
          <w:tcPr>
            <w:tcW w:w="1037" w:type="dxa"/>
            <w:vMerge/>
            <w:tcBorders>
              <w:left w:val="single" w:sz="12" w:space="0" w:color="D2D2D2"/>
              <w:right w:val="single" w:sz="4" w:space="0" w:color="000000"/>
            </w:tcBorders>
          </w:tcPr>
          <w:p>
            <w:pPr/>
          </w:p>
        </w:tc>
      </w:tr>
      <w:tr>
        <w:trPr>
          <w:trHeight w:val="312"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6" w:type="dxa"/>
            <w:gridSpan w:val="2"/>
            <w:vMerge/>
            <w:tcBorders>
              <w:left w:val="single" w:sz="10" w:space="0" w:color="D2D2D2"/>
              <w:right w:val="single" w:sz="9" w:space="0" w:color="D2D2D2"/>
            </w:tcBorders>
          </w:tcPr>
          <w:p>
            <w:pPr/>
          </w:p>
        </w:tc>
        <w:tc>
          <w:tcPr>
            <w:tcW w:w="14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 w:right="153"/>
              <w:jc w:val="both"/>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w w:val="100"/>
                <w:sz w:val="21"/>
                <w:szCs w:val="21"/>
              </w:rPr>
              <w:t> </w:t>
            </w:r>
            <w:r>
              <w:rPr>
                <w:rFonts w:ascii="宋体" w:hAnsi="宋体" w:cs="宋体" w:eastAsia="宋体" w:hint="default"/>
                <w:sz w:val="21"/>
                <w:szCs w:val="21"/>
              </w:rPr>
              <w:t>日前上一月末</w:t>
            </w:r>
            <w:r>
              <w:rPr>
                <w:rFonts w:ascii="宋体" w:hAnsi="宋体" w:cs="宋体" w:eastAsia="宋体" w:hint="default"/>
                <w:w w:val="100"/>
                <w:sz w:val="21"/>
                <w:szCs w:val="21"/>
              </w:rPr>
              <w:t> </w:t>
            </w:r>
            <w:r>
              <w:rPr>
                <w:rFonts w:ascii="宋体" w:hAnsi="宋体" w:cs="宋体" w:eastAsia="宋体" w:hint="default"/>
                <w:sz w:val="21"/>
                <w:szCs w:val="21"/>
              </w:rPr>
              <w:t>普通股股东总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48" w:type="dxa"/>
            <w:gridSpan w:val="2"/>
            <w:vMerge/>
            <w:tcBorders>
              <w:left w:val="single" w:sz="10" w:space="0" w:color="D2D2D2"/>
              <w:right w:val="single" w:sz="9" w:space="0" w:color="D2D2D2"/>
            </w:tcBorders>
          </w:tcPr>
          <w:p>
            <w:pPr/>
          </w:p>
        </w:tc>
        <w:tc>
          <w:tcPr>
            <w:tcW w:w="1277"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42" w:type="dxa"/>
            <w:gridSpan w:val="2"/>
            <w:vMerge/>
            <w:tcBorders>
              <w:left w:val="single" w:sz="4" w:space="0" w:color="000000"/>
              <w:right w:val="single" w:sz="4" w:space="0" w:color="000000"/>
            </w:tcBorders>
            <w:shd w:val="clear" w:color="auto" w:fill="D2D2D2"/>
          </w:tcPr>
          <w:p>
            <w:pPr/>
          </w:p>
        </w:tc>
        <w:tc>
          <w:tcPr>
            <w:tcW w:w="1037" w:type="dxa"/>
            <w:vMerge/>
            <w:tcBorders>
              <w:left w:val="single" w:sz="12" w:space="0" w:color="D2D2D2"/>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9"/>
              <w:ind w:left="24" w:right="36"/>
              <w:jc w:val="left"/>
              <w:rPr>
                <w:rFonts w:ascii="宋体" w:hAnsi="宋体" w:cs="宋体" w:eastAsia="宋体" w:hint="default"/>
                <w:sz w:val="21"/>
                <w:szCs w:val="21"/>
              </w:rPr>
            </w:pPr>
            <w:r>
              <w:rPr>
                <w:rFonts w:ascii="宋体" w:hAnsi="宋体" w:cs="宋体" w:eastAsia="宋体" w:hint="default"/>
                <w:sz w:val="21"/>
                <w:szCs w:val="21"/>
              </w:rPr>
              <w:t>报告期末普通</w:t>
            </w:r>
            <w:r>
              <w:rPr>
                <w:rFonts w:ascii="宋体" w:hAnsi="宋体" w:cs="宋体" w:eastAsia="宋体" w:hint="default"/>
                <w:w w:val="100"/>
                <w:sz w:val="21"/>
                <w:szCs w:val="21"/>
              </w:rPr>
              <w:t> </w:t>
            </w:r>
            <w:r>
              <w:rPr>
                <w:rFonts w:ascii="宋体" w:hAnsi="宋体" w:cs="宋体" w:eastAsia="宋体" w:hint="default"/>
                <w:sz w:val="21"/>
                <w:szCs w:val="21"/>
              </w:rPr>
              <w:t>股股东总数</w:t>
            </w:r>
          </w:p>
        </w:tc>
        <w:tc>
          <w:tcPr>
            <w:tcW w:w="806" w:type="dxa"/>
            <w:gridSpan w:val="2"/>
            <w:vMerge/>
            <w:tcBorders>
              <w:left w:val="single" w:sz="10" w:space="0" w:color="D2D2D2"/>
              <w:right w:val="single" w:sz="9"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248" w:type="dxa"/>
            <w:gridSpan w:val="2"/>
            <w:vMerge/>
            <w:tcBorders>
              <w:left w:val="single" w:sz="10" w:space="0" w:color="D2D2D2"/>
              <w:right w:val="single" w:sz="9" w:space="0" w:color="D2D2D2"/>
            </w:tcBorders>
          </w:tcPr>
          <w:p>
            <w:pPr/>
          </w:p>
        </w:tc>
        <w:tc>
          <w:tcPr>
            <w:tcW w:w="1277"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42" w:type="dxa"/>
            <w:gridSpan w:val="2"/>
            <w:vMerge/>
            <w:tcBorders>
              <w:left w:val="single" w:sz="4" w:space="0" w:color="000000"/>
              <w:right w:val="single" w:sz="4" w:space="0" w:color="000000"/>
            </w:tcBorders>
            <w:shd w:val="clear" w:color="auto" w:fill="D2D2D2"/>
          </w:tcPr>
          <w:p>
            <w:pPr/>
          </w:p>
        </w:tc>
        <w:tc>
          <w:tcPr>
            <w:tcW w:w="1037" w:type="dxa"/>
            <w:vMerge/>
            <w:tcBorders>
              <w:left w:val="single" w:sz="12" w:space="0" w:color="D2D2D2"/>
              <w:right w:val="single" w:sz="4" w:space="0" w:color="000000"/>
            </w:tcBorders>
          </w:tcPr>
          <w:p>
            <w:pPr/>
          </w:p>
        </w:tc>
      </w:tr>
      <w:tr>
        <w:trPr>
          <w:trHeight w:val="312"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6" w:type="dxa"/>
            <w:gridSpan w:val="2"/>
            <w:vMerge/>
            <w:tcBorders>
              <w:left w:val="single" w:sz="10" w:space="0" w:color="D2D2D2"/>
              <w:right w:val="single" w:sz="9" w:space="0" w:color="D2D2D2"/>
            </w:tcBorders>
          </w:tcPr>
          <w:p>
            <w:pPr/>
          </w:p>
        </w:tc>
        <w:tc>
          <w:tcPr>
            <w:tcW w:w="1439" w:type="dxa"/>
            <w:gridSpan w:val="2"/>
            <w:vMerge/>
            <w:tcBorders>
              <w:left w:val="single" w:sz="4" w:space="0" w:color="000000"/>
              <w:bottom w:val="nil" w:sz="6" w:space="0" w:color="auto"/>
              <w:right w:val="single" w:sz="4" w:space="0" w:color="000000"/>
            </w:tcBorders>
            <w:shd w:val="clear" w:color="auto" w:fill="D2D2D2"/>
          </w:tcPr>
          <w:p>
            <w:pPr/>
          </w:p>
        </w:tc>
        <w:tc>
          <w:tcPr>
            <w:tcW w:w="1248" w:type="dxa"/>
            <w:gridSpan w:val="2"/>
            <w:vMerge/>
            <w:tcBorders>
              <w:left w:val="single" w:sz="10" w:space="0" w:color="D2D2D2"/>
              <w:right w:val="single" w:sz="9" w:space="0" w:color="D2D2D2"/>
            </w:tcBorders>
          </w:tcPr>
          <w:p>
            <w:pPr/>
          </w:p>
        </w:tc>
        <w:tc>
          <w:tcPr>
            <w:tcW w:w="1277"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42" w:type="dxa"/>
            <w:gridSpan w:val="2"/>
            <w:vMerge/>
            <w:tcBorders>
              <w:left w:val="single" w:sz="4" w:space="0" w:color="000000"/>
              <w:right w:val="single" w:sz="4" w:space="0" w:color="000000"/>
            </w:tcBorders>
            <w:shd w:val="clear" w:color="auto" w:fill="D2D2D2"/>
          </w:tcPr>
          <w:p>
            <w:pPr/>
          </w:p>
        </w:tc>
        <w:tc>
          <w:tcPr>
            <w:tcW w:w="1037" w:type="dxa"/>
            <w:vMerge/>
            <w:tcBorders>
              <w:left w:val="single" w:sz="12" w:space="0" w:color="D2D2D2"/>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6" w:type="dxa"/>
            <w:gridSpan w:val="2"/>
            <w:vMerge/>
            <w:tcBorders>
              <w:left w:val="single" w:sz="10" w:space="0" w:color="D2D2D2"/>
              <w:right w:val="single" w:sz="9" w:space="0" w:color="D2D2D2"/>
            </w:tcBorders>
          </w:tcPr>
          <w:p>
            <w:pPr/>
          </w:p>
        </w:tc>
        <w:tc>
          <w:tcPr>
            <w:tcW w:w="1439" w:type="dxa"/>
            <w:gridSpan w:val="2"/>
            <w:vMerge w:val="restart"/>
            <w:tcBorders>
              <w:top w:val="nil" w:sz="6" w:space="0" w:color="auto"/>
              <w:left w:val="single" w:sz="4" w:space="0" w:color="000000"/>
              <w:right w:val="single" w:sz="4" w:space="0" w:color="000000"/>
            </w:tcBorders>
            <w:shd w:val="clear" w:color="auto" w:fill="D2D2D2"/>
          </w:tcPr>
          <w:p>
            <w:pPr/>
          </w:p>
        </w:tc>
        <w:tc>
          <w:tcPr>
            <w:tcW w:w="1248" w:type="dxa"/>
            <w:gridSpan w:val="2"/>
            <w:vMerge/>
            <w:tcBorders>
              <w:left w:val="single" w:sz="10" w:space="0" w:color="D2D2D2"/>
              <w:right w:val="single" w:sz="9" w:space="0" w:color="D2D2D2"/>
            </w:tcBorders>
          </w:tcPr>
          <w:p>
            <w:pPr/>
          </w:p>
        </w:tc>
        <w:tc>
          <w:tcPr>
            <w:tcW w:w="1277"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13" w:space="0" w:color="D2D2D2"/>
            </w:tcBorders>
          </w:tcPr>
          <w:p>
            <w:pPr/>
          </w:p>
        </w:tc>
        <w:tc>
          <w:tcPr>
            <w:tcW w:w="1342" w:type="dxa"/>
            <w:gridSpan w:val="2"/>
            <w:vMerge/>
            <w:tcBorders>
              <w:left w:val="single" w:sz="4" w:space="0" w:color="000000"/>
              <w:right w:val="single" w:sz="4" w:space="0" w:color="000000"/>
            </w:tcBorders>
            <w:shd w:val="clear" w:color="auto" w:fill="D2D2D2"/>
          </w:tcPr>
          <w:p>
            <w:pPr/>
          </w:p>
        </w:tc>
        <w:tc>
          <w:tcPr>
            <w:tcW w:w="1037" w:type="dxa"/>
            <w:vMerge/>
            <w:tcBorders>
              <w:left w:val="single" w:sz="12" w:space="0" w:color="D2D2D2"/>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6" w:type="dxa"/>
            <w:gridSpan w:val="2"/>
            <w:vMerge/>
            <w:tcBorders>
              <w:left w:val="single" w:sz="10" w:space="0" w:color="D2D2D2"/>
              <w:bottom w:val="single" w:sz="4" w:space="0" w:color="000000"/>
              <w:right w:val="single" w:sz="9" w:space="0" w:color="D2D2D2"/>
            </w:tcBorders>
          </w:tcPr>
          <w:p>
            <w:pPr/>
          </w:p>
        </w:tc>
        <w:tc>
          <w:tcPr>
            <w:tcW w:w="1439" w:type="dxa"/>
            <w:gridSpan w:val="2"/>
            <w:vMerge/>
            <w:tcBorders>
              <w:left w:val="single" w:sz="4" w:space="0" w:color="000000"/>
              <w:bottom w:val="single" w:sz="4" w:space="0" w:color="000000"/>
              <w:right w:val="single" w:sz="4" w:space="0" w:color="000000"/>
            </w:tcBorders>
            <w:shd w:val="clear" w:color="auto" w:fill="D2D2D2"/>
          </w:tcPr>
          <w:p>
            <w:pPr/>
          </w:p>
        </w:tc>
        <w:tc>
          <w:tcPr>
            <w:tcW w:w="1248" w:type="dxa"/>
            <w:gridSpan w:val="2"/>
            <w:vMerge/>
            <w:tcBorders>
              <w:left w:val="single" w:sz="10" w:space="0" w:color="D2D2D2"/>
              <w:bottom w:val="single" w:sz="4" w:space="0" w:color="000000"/>
              <w:right w:val="single" w:sz="9" w:space="0" w:color="D2D2D2"/>
            </w:tcBorders>
          </w:tcPr>
          <w:p>
            <w:pPr/>
          </w:p>
        </w:tc>
        <w:tc>
          <w:tcPr>
            <w:tcW w:w="127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13" w:space="0" w:color="D2D2D2"/>
            </w:tcBorders>
          </w:tcPr>
          <w:p>
            <w:pPr/>
          </w:p>
        </w:tc>
        <w:tc>
          <w:tcPr>
            <w:tcW w:w="1342" w:type="dxa"/>
            <w:gridSpan w:val="2"/>
            <w:vMerge/>
            <w:tcBorders>
              <w:left w:val="single" w:sz="4" w:space="0" w:color="000000"/>
              <w:bottom w:val="single" w:sz="4" w:space="0" w:color="000000"/>
              <w:right w:val="single" w:sz="4" w:space="0" w:color="000000"/>
            </w:tcBorders>
            <w:shd w:val="clear" w:color="auto" w:fill="D2D2D2"/>
          </w:tcPr>
          <w:p>
            <w:pPr/>
          </w:p>
        </w:tc>
        <w:tc>
          <w:tcPr>
            <w:tcW w:w="1037" w:type="dxa"/>
            <w:vMerge/>
            <w:tcBorders>
              <w:left w:val="single" w:sz="12" w:space="0" w:color="D2D2D2"/>
              <w:bottom w:val="single" w:sz="4" w:space="0" w:color="000000"/>
              <w:right w:val="single" w:sz="4" w:space="0" w:color="000000"/>
            </w:tcBorders>
          </w:tcPr>
          <w:p>
            <w:pPr/>
          </w:p>
        </w:tc>
      </w:tr>
      <w:tr>
        <w:trPr>
          <w:trHeight w:val="394"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75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Arial" w:hAnsi="Arial" w:cs="Arial" w:eastAsia="Arial"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6"/>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名股东持股情况</w:t>
            </w:r>
          </w:p>
        </w:tc>
      </w:tr>
      <w:tr>
        <w:trPr>
          <w:trHeight w:val="211" w:hRule="exact"/>
        </w:trPr>
        <w:tc>
          <w:tcPr>
            <w:tcW w:w="1721" w:type="dxa"/>
            <w:gridSpan w:val="2"/>
            <w:vMerge w:val="restart"/>
            <w:tcBorders>
              <w:top w:val="single" w:sz="4" w:space="0" w:color="000000"/>
              <w:left w:val="single" w:sz="4" w:space="0" w:color="000000"/>
              <w:right w:val="single" w:sz="4" w:space="0" w:color="000000"/>
            </w:tcBorders>
            <w:shd w:val="clear" w:color="auto" w:fill="D2D2D2"/>
          </w:tcPr>
          <w:p>
            <w:pPr/>
          </w:p>
        </w:tc>
        <w:tc>
          <w:tcPr>
            <w:tcW w:w="1234" w:type="dxa"/>
            <w:gridSpan w:val="2"/>
            <w:vMerge w:val="restart"/>
            <w:tcBorders>
              <w:top w:val="single" w:sz="4" w:space="0" w:color="000000"/>
              <w:left w:val="single" w:sz="4" w:space="0" w:color="000000"/>
              <w:right w:val="single" w:sz="4" w:space="0" w:color="000000"/>
            </w:tcBorders>
            <w:shd w:val="clear" w:color="auto" w:fill="D2D2D2"/>
          </w:tcPr>
          <w:p>
            <w:pPr/>
          </w:p>
        </w:tc>
        <w:tc>
          <w:tcPr>
            <w:tcW w:w="79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8"/>
              <w:ind w:left="109" w:right="75"/>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11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8"/>
              <w:ind w:left="43" w:right="38"/>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0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8"/>
              <w:ind w:left="86" w:right="82"/>
              <w:jc w:val="both"/>
              <w:rPr>
                <w:rFonts w:ascii="宋体" w:hAnsi="宋体" w:cs="宋体" w:eastAsia="宋体" w:hint="default"/>
                <w:sz w:val="21"/>
                <w:szCs w:val="21"/>
              </w:rPr>
            </w:pPr>
            <w:r>
              <w:rPr>
                <w:rFonts w:ascii="宋体" w:hAnsi="宋体" w:cs="宋体" w:eastAsia="宋体" w:hint="default"/>
                <w:sz w:val="21"/>
                <w:szCs w:val="21"/>
              </w:rPr>
              <w:t>持有无限</w:t>
            </w:r>
            <w:r>
              <w:rPr>
                <w:rFonts w:ascii="宋体" w:hAnsi="宋体" w:cs="宋体" w:eastAsia="宋体" w:hint="default"/>
                <w:w w:val="100"/>
                <w:sz w:val="21"/>
                <w:szCs w:val="21"/>
              </w:rPr>
              <w:t> </w:t>
            </w:r>
            <w:r>
              <w:rPr>
                <w:rFonts w:ascii="宋体" w:hAnsi="宋体" w:cs="宋体" w:eastAsia="宋体" w:hint="default"/>
                <w:sz w:val="21"/>
                <w:szCs w:val="21"/>
              </w:rPr>
              <w:t>售条件的</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6"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75" w:hRule="exact"/>
        </w:trPr>
        <w:tc>
          <w:tcPr>
            <w:tcW w:w="1721" w:type="dxa"/>
            <w:gridSpan w:val="2"/>
            <w:vMerge/>
            <w:tcBorders>
              <w:left w:val="single" w:sz="4" w:space="0" w:color="000000"/>
              <w:bottom w:val="nil" w:sz="6" w:space="0" w:color="auto"/>
              <w:right w:val="single" w:sz="4" w:space="0" w:color="000000"/>
            </w:tcBorders>
            <w:shd w:val="clear" w:color="auto" w:fill="D2D2D2"/>
          </w:tcPr>
          <w:p>
            <w:pPr/>
          </w:p>
        </w:tc>
        <w:tc>
          <w:tcPr>
            <w:tcW w:w="1234" w:type="dxa"/>
            <w:gridSpan w:val="2"/>
            <w:vMerge/>
            <w:tcBorders>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88" w:right="72" w:hanging="209"/>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32" w:right="-11" w:hanging="209"/>
              <w:jc w:val="left"/>
              <w:rPr>
                <w:rFonts w:ascii="宋体" w:hAnsi="宋体" w:cs="宋体" w:eastAsia="宋体" w:hint="default"/>
                <w:sz w:val="21"/>
                <w:szCs w:val="21"/>
              </w:rPr>
            </w:pPr>
            <w:r>
              <w:rPr>
                <w:rFonts w:ascii="宋体" w:hAnsi="宋体" w:cs="宋体" w:eastAsia="宋体" w:hint="default"/>
                <w:sz w:val="21"/>
                <w:szCs w:val="21"/>
              </w:rPr>
              <w:t>报告期末持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股数量</w:t>
            </w:r>
          </w:p>
        </w:tc>
        <w:tc>
          <w:tcPr>
            <w:tcW w:w="1038" w:type="dxa"/>
            <w:vMerge/>
            <w:tcBorders>
              <w:left w:val="single" w:sz="4" w:space="0" w:color="000000"/>
              <w:right w:val="single" w:sz="4" w:space="0" w:color="000000"/>
            </w:tcBorders>
            <w:shd w:val="clear" w:color="auto" w:fill="D2D2D2"/>
          </w:tcPr>
          <w:p>
            <w:pPr/>
          </w:p>
        </w:tc>
        <w:tc>
          <w:tcPr>
            <w:tcW w:w="1147" w:type="dxa"/>
            <w:gridSpan w:val="2"/>
            <w:vMerge/>
            <w:tcBorders>
              <w:left w:val="single" w:sz="4" w:space="0" w:color="000000"/>
              <w:right w:val="single" w:sz="4" w:space="0" w:color="000000"/>
            </w:tcBorders>
            <w:shd w:val="clear" w:color="auto" w:fill="D2D2D2"/>
          </w:tcPr>
          <w:p>
            <w:pPr/>
          </w:p>
        </w:tc>
        <w:tc>
          <w:tcPr>
            <w:tcW w:w="1023" w:type="dxa"/>
            <w:gridSpan w:val="2"/>
            <w:vMerge/>
            <w:tcBorders>
              <w:left w:val="single" w:sz="4" w:space="0" w:color="000000"/>
              <w:right w:val="single" w:sz="4" w:space="0" w:color="000000"/>
            </w:tcBorders>
            <w:shd w:val="clear" w:color="auto" w:fill="D2D2D2"/>
          </w:tcPr>
          <w:p>
            <w:pPr/>
          </w:p>
        </w:tc>
        <w:tc>
          <w:tcPr>
            <w:tcW w:w="1534" w:type="dxa"/>
            <w:gridSpan w:val="2"/>
            <w:vMerge/>
            <w:tcBorders>
              <w:left w:val="single" w:sz="4" w:space="0" w:color="000000"/>
              <w:bottom w:val="single" w:sz="4" w:space="0" w:color="000000"/>
              <w:right w:val="single" w:sz="4" w:space="0" w:color="000000"/>
            </w:tcBorders>
            <w:shd w:val="clear" w:color="auto" w:fill="D2D2D2"/>
          </w:tcPr>
          <w:p>
            <w:pPr/>
          </w:p>
        </w:tc>
      </w:tr>
      <w:tr>
        <w:trPr>
          <w:trHeight w:val="180" w:hRule="exact"/>
        </w:trPr>
        <w:tc>
          <w:tcPr>
            <w:tcW w:w="17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9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97" w:type="dxa"/>
            <w:gridSpan w:val="2"/>
            <w:vMerge/>
            <w:tcBorders>
              <w:left w:val="single" w:sz="4" w:space="0" w:color="000000"/>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1038" w:type="dxa"/>
            <w:vMerge/>
            <w:tcBorders>
              <w:left w:val="single" w:sz="4" w:space="0" w:color="000000"/>
              <w:right w:val="single" w:sz="4" w:space="0" w:color="000000"/>
            </w:tcBorders>
            <w:shd w:val="clear" w:color="auto" w:fill="D2D2D2"/>
          </w:tcPr>
          <w:p>
            <w:pPr/>
          </w:p>
        </w:tc>
        <w:tc>
          <w:tcPr>
            <w:tcW w:w="1147" w:type="dxa"/>
            <w:gridSpan w:val="2"/>
            <w:vMerge/>
            <w:tcBorders>
              <w:left w:val="single" w:sz="4" w:space="0" w:color="000000"/>
              <w:right w:val="single" w:sz="4" w:space="0" w:color="000000"/>
            </w:tcBorders>
            <w:shd w:val="clear" w:color="auto" w:fill="D2D2D2"/>
          </w:tcPr>
          <w:p>
            <w:pPr/>
          </w:p>
        </w:tc>
        <w:tc>
          <w:tcPr>
            <w:tcW w:w="1023" w:type="dxa"/>
            <w:gridSpan w:val="2"/>
            <w:vMerge/>
            <w:tcBorders>
              <w:left w:val="single" w:sz="4" w:space="0" w:color="000000"/>
              <w:right w:val="single" w:sz="4" w:space="0" w:color="000000"/>
            </w:tcBorders>
            <w:shd w:val="clear" w:color="auto" w:fill="D2D2D2"/>
          </w:tcPr>
          <w:p>
            <w:pPr/>
          </w:p>
        </w:tc>
        <w:tc>
          <w:tcPr>
            <w:tcW w:w="49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7"/>
              <w:ind w:left="50" w:right="1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03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21" w:type="dxa"/>
            <w:gridSpan w:val="2"/>
            <w:vMerge/>
            <w:tcBorders>
              <w:left w:val="single" w:sz="4" w:space="0" w:color="000000"/>
              <w:bottom w:val="nil" w:sz="6" w:space="0" w:color="auto"/>
              <w:right w:val="single" w:sz="4" w:space="0" w:color="000000"/>
            </w:tcBorders>
            <w:shd w:val="clear" w:color="auto" w:fill="D2D2D2"/>
          </w:tcPr>
          <w:p>
            <w:pPr/>
          </w:p>
        </w:tc>
        <w:tc>
          <w:tcPr>
            <w:tcW w:w="1234" w:type="dxa"/>
            <w:gridSpan w:val="2"/>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1038" w:type="dxa"/>
            <w:vMerge/>
            <w:tcBorders>
              <w:left w:val="single" w:sz="4" w:space="0" w:color="000000"/>
              <w:right w:val="single" w:sz="4" w:space="0" w:color="000000"/>
            </w:tcBorders>
            <w:shd w:val="clear" w:color="auto" w:fill="D2D2D2"/>
          </w:tcPr>
          <w:p>
            <w:pPr/>
          </w:p>
        </w:tc>
        <w:tc>
          <w:tcPr>
            <w:tcW w:w="1147" w:type="dxa"/>
            <w:gridSpan w:val="2"/>
            <w:vMerge/>
            <w:tcBorders>
              <w:left w:val="single" w:sz="4" w:space="0" w:color="000000"/>
              <w:right w:val="single" w:sz="4" w:space="0" w:color="000000"/>
            </w:tcBorders>
            <w:shd w:val="clear" w:color="auto" w:fill="D2D2D2"/>
          </w:tcPr>
          <w:p>
            <w:pPr/>
          </w:p>
        </w:tc>
        <w:tc>
          <w:tcPr>
            <w:tcW w:w="1023" w:type="dxa"/>
            <w:gridSpan w:val="2"/>
            <w:vMerge/>
            <w:tcBorders>
              <w:left w:val="single" w:sz="4" w:space="0" w:color="000000"/>
              <w:right w:val="single" w:sz="4" w:space="0" w:color="000000"/>
            </w:tcBorders>
            <w:shd w:val="clear" w:color="auto" w:fill="D2D2D2"/>
          </w:tcPr>
          <w:p>
            <w:pPr/>
          </w:p>
        </w:tc>
        <w:tc>
          <w:tcPr>
            <w:tcW w:w="496" w:type="dxa"/>
            <w:vMerge/>
            <w:tcBorders>
              <w:left w:val="single" w:sz="4" w:space="0" w:color="000000"/>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22"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79" w:hRule="exact"/>
        </w:trPr>
        <w:tc>
          <w:tcPr>
            <w:tcW w:w="1721" w:type="dxa"/>
            <w:gridSpan w:val="2"/>
            <w:vMerge w:val="restart"/>
            <w:tcBorders>
              <w:top w:val="nil" w:sz="6" w:space="0" w:color="auto"/>
              <w:left w:val="single" w:sz="4" w:space="0" w:color="000000"/>
              <w:right w:val="single" w:sz="4" w:space="0" w:color="000000"/>
            </w:tcBorders>
            <w:shd w:val="clear" w:color="auto" w:fill="D2D2D2"/>
          </w:tcPr>
          <w:p>
            <w:pPr/>
          </w:p>
        </w:tc>
        <w:tc>
          <w:tcPr>
            <w:tcW w:w="1234" w:type="dxa"/>
            <w:gridSpan w:val="2"/>
            <w:vMerge w:val="restart"/>
            <w:tcBorders>
              <w:top w:val="nil" w:sz="6" w:space="0" w:color="auto"/>
              <w:left w:val="single" w:sz="4" w:space="0" w:color="000000"/>
              <w:right w:val="single" w:sz="4" w:space="0" w:color="000000"/>
            </w:tcBorders>
            <w:shd w:val="clear" w:color="auto" w:fill="D2D2D2"/>
          </w:tcPr>
          <w:p>
            <w:pPr/>
          </w:p>
        </w:tc>
        <w:tc>
          <w:tcPr>
            <w:tcW w:w="797" w:type="dxa"/>
            <w:gridSpan w:val="2"/>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38" w:type="dxa"/>
            <w:vMerge/>
            <w:tcBorders>
              <w:left w:val="single" w:sz="4" w:space="0" w:color="000000"/>
              <w:right w:val="single" w:sz="4" w:space="0" w:color="000000"/>
            </w:tcBorders>
            <w:shd w:val="clear" w:color="auto" w:fill="D2D2D2"/>
          </w:tcPr>
          <w:p>
            <w:pPr/>
          </w:p>
        </w:tc>
        <w:tc>
          <w:tcPr>
            <w:tcW w:w="1147" w:type="dxa"/>
            <w:gridSpan w:val="2"/>
            <w:vMerge/>
            <w:tcBorders>
              <w:left w:val="single" w:sz="4" w:space="0" w:color="000000"/>
              <w:right w:val="single" w:sz="4" w:space="0" w:color="000000"/>
            </w:tcBorders>
            <w:shd w:val="clear" w:color="auto" w:fill="D2D2D2"/>
          </w:tcPr>
          <w:p>
            <w:pPr/>
          </w:p>
        </w:tc>
        <w:tc>
          <w:tcPr>
            <w:tcW w:w="1023" w:type="dxa"/>
            <w:gridSpan w:val="2"/>
            <w:vMerge/>
            <w:tcBorders>
              <w:left w:val="single" w:sz="4" w:space="0" w:color="000000"/>
              <w:right w:val="single" w:sz="4" w:space="0" w:color="000000"/>
            </w:tcBorders>
            <w:shd w:val="clear" w:color="auto" w:fill="D2D2D2"/>
          </w:tcPr>
          <w:p>
            <w:pPr/>
          </w:p>
        </w:tc>
        <w:tc>
          <w:tcPr>
            <w:tcW w:w="496" w:type="dxa"/>
            <w:vMerge/>
            <w:tcBorders>
              <w:left w:val="single" w:sz="4" w:space="0" w:color="000000"/>
              <w:right w:val="single" w:sz="4" w:space="0" w:color="000000"/>
            </w:tcBorders>
            <w:shd w:val="clear" w:color="auto" w:fill="D2D2D2"/>
          </w:tcPr>
          <w:p>
            <w:pPr/>
          </w:p>
        </w:tc>
        <w:tc>
          <w:tcPr>
            <w:tcW w:w="1037"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721" w:type="dxa"/>
            <w:gridSpan w:val="2"/>
            <w:vMerge/>
            <w:tcBorders>
              <w:left w:val="single" w:sz="4" w:space="0" w:color="000000"/>
              <w:bottom w:val="single" w:sz="4" w:space="0" w:color="000000"/>
              <w:right w:val="single" w:sz="4" w:space="0" w:color="000000"/>
            </w:tcBorders>
            <w:shd w:val="clear" w:color="auto" w:fill="D2D2D2"/>
          </w:tcPr>
          <w:p>
            <w:pPr/>
          </w:p>
        </w:tc>
        <w:tc>
          <w:tcPr>
            <w:tcW w:w="1234" w:type="dxa"/>
            <w:gridSpan w:val="2"/>
            <w:vMerge/>
            <w:tcBorders>
              <w:left w:val="single" w:sz="4" w:space="0" w:color="000000"/>
              <w:bottom w:val="single" w:sz="4" w:space="0" w:color="000000"/>
              <w:right w:val="single" w:sz="4" w:space="0" w:color="000000"/>
            </w:tcBorders>
            <w:shd w:val="clear" w:color="auto" w:fill="D2D2D2"/>
          </w:tcPr>
          <w:p>
            <w:pPr/>
          </w:p>
        </w:tc>
        <w:tc>
          <w:tcPr>
            <w:tcW w:w="79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147" w:type="dxa"/>
            <w:gridSpan w:val="2"/>
            <w:vMerge/>
            <w:tcBorders>
              <w:left w:val="single" w:sz="4" w:space="0" w:color="000000"/>
              <w:bottom w:val="single" w:sz="4" w:space="0" w:color="000000"/>
              <w:right w:val="single" w:sz="4" w:space="0" w:color="000000"/>
            </w:tcBorders>
            <w:shd w:val="clear" w:color="auto" w:fill="D2D2D2"/>
          </w:tcPr>
          <w:p>
            <w:pPr/>
          </w:p>
        </w:tc>
        <w:tc>
          <w:tcPr>
            <w:tcW w:w="1023" w:type="dxa"/>
            <w:gridSpan w:val="2"/>
            <w:vMerge/>
            <w:tcBorders>
              <w:left w:val="single" w:sz="4" w:space="0" w:color="000000"/>
              <w:bottom w:val="single" w:sz="4" w:space="0" w:color="000000"/>
              <w:right w:val="single" w:sz="4" w:space="0" w:color="000000"/>
            </w:tcBorders>
            <w:shd w:val="clear" w:color="auto" w:fill="D2D2D2"/>
          </w:tcPr>
          <w:p>
            <w:pPr/>
          </w:p>
        </w:tc>
        <w:tc>
          <w:tcPr>
            <w:tcW w:w="496" w:type="dxa"/>
            <w:vMerge/>
            <w:tcBorders>
              <w:left w:val="single" w:sz="4" w:space="0" w:color="000000"/>
              <w:bottom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2" w:right="0"/>
              <w:jc w:val="left"/>
              <w:rPr>
                <w:rFonts w:ascii="Arial" w:hAnsi="Arial" w:cs="Arial" w:eastAsia="Arial" w:hint="default"/>
                <w:sz w:val="21"/>
                <w:szCs w:val="21"/>
              </w:rPr>
            </w:pPr>
            <w:r>
              <w:rPr>
                <w:rFonts w:ascii="Arial"/>
                <w:sz w:val="21"/>
              </w:rPr>
              <w:t>19.80%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
              <w:jc w:val="right"/>
              <w:rPr>
                <w:rFonts w:ascii="Arial" w:hAnsi="Arial" w:cs="Arial" w:eastAsia="Arial" w:hint="default"/>
                <w:sz w:val="21"/>
                <w:szCs w:val="21"/>
              </w:rPr>
            </w:pPr>
            <w:r>
              <w:rPr>
                <w:rFonts w:ascii="Arial"/>
                <w:spacing w:val="-1"/>
                <w:sz w:val="21"/>
              </w:rPr>
              <w:t>150,634,6</w:t>
            </w:r>
          </w:p>
          <w:p>
            <w:pPr>
              <w:pStyle w:val="TableParagraph"/>
              <w:spacing w:line="240" w:lineRule="auto" w:before="70"/>
              <w:ind w:right="-11"/>
              <w:jc w:val="right"/>
              <w:rPr>
                <w:rFonts w:ascii="Arial" w:hAnsi="Arial" w:cs="Arial" w:eastAsia="Arial" w:hint="default"/>
                <w:sz w:val="21"/>
                <w:szCs w:val="21"/>
              </w:rPr>
            </w:pPr>
            <w:r>
              <w:rPr>
                <w:rFonts w:ascii="Arial"/>
                <w:sz w:val="21"/>
              </w:rPr>
              <w:t>55</w:t>
            </w:r>
          </w:p>
        </w:tc>
        <w:tc>
          <w:tcPr>
            <w:tcW w:w="103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166"/>
              <w:ind w:left="29" w:right="0"/>
              <w:jc w:val="center"/>
              <w:rPr>
                <w:rFonts w:ascii="宋体" w:hAnsi="宋体" w:cs="宋体" w:eastAsia="宋体" w:hint="default"/>
                <w:sz w:val="21"/>
                <w:szCs w:val="21"/>
              </w:rPr>
            </w:pPr>
            <w:r>
              <w:rPr>
                <w:rFonts w:ascii="宋体" w:hAnsi="宋体" w:cs="宋体" w:eastAsia="宋体" w:hint="default"/>
                <w:sz w:val="21"/>
                <w:szCs w:val="21"/>
              </w:rPr>
              <w:t>增加</w:t>
            </w:r>
          </w:p>
        </w:tc>
        <w:tc>
          <w:tcPr>
            <w:tcW w:w="1147" w:type="dxa"/>
            <w:gridSpan w:val="2"/>
            <w:tcBorders>
              <w:top w:val="single" w:sz="18" w:space="0" w:color="D2D2D2"/>
              <w:left w:val="single" w:sz="4" w:space="0" w:color="000000"/>
              <w:bottom w:val="single" w:sz="4" w:space="0" w:color="000000"/>
              <w:right w:val="single" w:sz="4" w:space="0" w:color="000000"/>
            </w:tcBorders>
          </w:tcPr>
          <w:p>
            <w:pPr>
              <w:pStyle w:val="TableParagraph"/>
              <w:spacing w:line="240" w:lineRule="auto" w:before="56"/>
              <w:ind w:right="17"/>
              <w:jc w:val="right"/>
              <w:rPr>
                <w:rFonts w:ascii="Arial" w:hAnsi="Arial" w:cs="Arial" w:eastAsia="Arial" w:hint="default"/>
                <w:sz w:val="21"/>
                <w:szCs w:val="21"/>
              </w:rPr>
            </w:pPr>
            <w:r>
              <w:rPr>
                <w:rFonts w:ascii="Arial"/>
                <w:spacing w:val="-3"/>
                <w:sz w:val="21"/>
              </w:rPr>
              <w:t>116,148,57</w:t>
            </w:r>
          </w:p>
          <w:p>
            <w:pPr>
              <w:pStyle w:val="TableParagraph"/>
              <w:spacing w:line="240" w:lineRule="auto" w:before="70"/>
              <w:ind w:right="19"/>
              <w:jc w:val="right"/>
              <w:rPr>
                <w:rFonts w:ascii="Arial" w:hAnsi="Arial" w:cs="Arial" w:eastAsia="Arial" w:hint="default"/>
                <w:sz w:val="21"/>
                <w:szCs w:val="21"/>
              </w:rPr>
            </w:pPr>
            <w:r>
              <w:rPr>
                <w:rFonts w:ascii="Arial"/>
                <w:w w:val="100"/>
                <w:sz w:val="21"/>
              </w:rPr>
              <w:t>9</w:t>
            </w:r>
          </w:p>
        </w:tc>
        <w:tc>
          <w:tcPr>
            <w:tcW w:w="1023" w:type="dxa"/>
            <w:gridSpan w:val="2"/>
            <w:tcBorders>
              <w:top w:val="single" w:sz="18" w:space="0" w:color="D2D2D2"/>
              <w:left w:val="single" w:sz="4" w:space="0" w:color="000000"/>
              <w:bottom w:val="single" w:sz="4" w:space="0" w:color="000000"/>
              <w:right w:val="single" w:sz="4" w:space="0" w:color="000000"/>
            </w:tcBorders>
          </w:tcPr>
          <w:p>
            <w:pPr>
              <w:pStyle w:val="TableParagraph"/>
              <w:spacing w:line="240" w:lineRule="auto" w:before="56"/>
              <w:ind w:right="17"/>
              <w:jc w:val="right"/>
              <w:rPr>
                <w:rFonts w:ascii="Arial" w:hAnsi="Arial" w:cs="Arial" w:eastAsia="Arial" w:hint="default"/>
                <w:sz w:val="21"/>
                <w:szCs w:val="21"/>
              </w:rPr>
            </w:pPr>
            <w:r>
              <w:rPr>
                <w:rFonts w:ascii="Arial"/>
                <w:spacing w:val="-1"/>
                <w:sz w:val="21"/>
              </w:rPr>
              <w:t>34,486,07</w:t>
            </w:r>
          </w:p>
          <w:p>
            <w:pPr>
              <w:pStyle w:val="TableParagraph"/>
              <w:spacing w:line="240" w:lineRule="auto" w:before="70"/>
              <w:ind w:right="20"/>
              <w:jc w:val="right"/>
              <w:rPr>
                <w:rFonts w:ascii="Arial" w:hAnsi="Arial" w:cs="Arial" w:eastAsia="Arial" w:hint="default"/>
                <w:sz w:val="21"/>
                <w:szCs w:val="21"/>
              </w:rPr>
            </w:pPr>
            <w:r>
              <w:rPr>
                <w:rFonts w:ascii="Arial"/>
                <w:w w:val="100"/>
                <w:sz w:val="21"/>
              </w:rPr>
              <w:t>6</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质押</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38,060,00</w:t>
            </w:r>
          </w:p>
          <w:p>
            <w:pPr>
              <w:pStyle w:val="TableParagraph"/>
              <w:spacing w:line="240" w:lineRule="auto" w:before="70"/>
              <w:ind w:right="19"/>
              <w:jc w:val="right"/>
              <w:rPr>
                <w:rFonts w:ascii="Arial" w:hAnsi="Arial" w:cs="Arial" w:eastAsia="Arial" w:hint="default"/>
                <w:sz w:val="21"/>
                <w:szCs w:val="21"/>
              </w:rPr>
            </w:pPr>
            <w:r>
              <w:rPr>
                <w:rFonts w:ascii="Arial"/>
                <w:w w:val="100"/>
                <w:sz w:val="21"/>
              </w:rPr>
              <w:t>0</w:t>
            </w:r>
          </w:p>
        </w:tc>
      </w:tr>
      <w:tr>
        <w:trPr>
          <w:trHeight w:val="716" w:hRule="exact"/>
        </w:trPr>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任刚</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0" w:right="0"/>
              <w:jc w:val="left"/>
              <w:rPr>
                <w:rFonts w:ascii="Arial" w:hAnsi="Arial" w:cs="Arial" w:eastAsia="Arial" w:hint="default"/>
                <w:sz w:val="21"/>
                <w:szCs w:val="21"/>
              </w:rPr>
            </w:pPr>
            <w:r>
              <w:rPr>
                <w:rFonts w:ascii="Arial"/>
                <w:sz w:val="21"/>
              </w:rPr>
              <w:t>3.44%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
              <w:jc w:val="right"/>
              <w:rPr>
                <w:rFonts w:ascii="Arial" w:hAnsi="Arial" w:cs="Arial" w:eastAsia="Arial" w:hint="default"/>
                <w:sz w:val="21"/>
                <w:szCs w:val="21"/>
              </w:rPr>
            </w:pPr>
            <w:r>
              <w:rPr>
                <w:rFonts w:ascii="Arial"/>
                <w:spacing w:val="-1"/>
                <w:sz w:val="21"/>
              </w:rPr>
              <w:t>26,176,89</w:t>
            </w:r>
          </w:p>
          <w:p>
            <w:pPr>
              <w:pStyle w:val="TableParagraph"/>
              <w:spacing w:line="240" w:lineRule="auto" w:before="70"/>
              <w:ind w:right="-9"/>
              <w:jc w:val="right"/>
              <w:rPr>
                <w:rFonts w:ascii="Arial" w:hAnsi="Arial" w:cs="Arial" w:eastAsia="Arial" w:hint="default"/>
                <w:sz w:val="21"/>
                <w:szCs w:val="21"/>
              </w:rPr>
            </w:pPr>
            <w:r>
              <w:rPr>
                <w:rFonts w:ascii="Arial"/>
                <w:w w:val="100"/>
                <w:sz w:val="21"/>
              </w:rPr>
              <w:t>8</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增加</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4" w:right="0"/>
              <w:jc w:val="left"/>
              <w:rPr>
                <w:rFonts w:ascii="Arial" w:hAnsi="Arial" w:cs="Arial" w:eastAsia="Arial" w:hint="default"/>
                <w:sz w:val="21"/>
                <w:szCs w:val="21"/>
              </w:rPr>
            </w:pPr>
            <w:r>
              <w:rPr>
                <w:rFonts w:ascii="Arial"/>
                <w:sz w:val="21"/>
              </w:rPr>
              <w:t>26,176,898</w:t>
            </w: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49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任涛</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0" w:right="0"/>
              <w:jc w:val="left"/>
              <w:rPr>
                <w:rFonts w:ascii="Arial" w:hAnsi="Arial" w:cs="Arial" w:eastAsia="Arial" w:hint="default"/>
                <w:sz w:val="21"/>
                <w:szCs w:val="21"/>
              </w:rPr>
            </w:pPr>
            <w:r>
              <w:rPr>
                <w:rFonts w:ascii="Arial"/>
                <w:sz w:val="21"/>
              </w:rPr>
              <w:t>2.87%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
              <w:jc w:val="right"/>
              <w:rPr>
                <w:rFonts w:ascii="Arial" w:hAnsi="Arial" w:cs="Arial" w:eastAsia="Arial" w:hint="default"/>
                <w:sz w:val="21"/>
                <w:szCs w:val="21"/>
              </w:rPr>
            </w:pPr>
            <w:r>
              <w:rPr>
                <w:rFonts w:ascii="Arial"/>
                <w:spacing w:val="-1"/>
                <w:sz w:val="21"/>
              </w:rPr>
              <w:t>21,818,96</w:t>
            </w:r>
          </w:p>
          <w:p>
            <w:pPr>
              <w:pStyle w:val="TableParagraph"/>
              <w:spacing w:line="240" w:lineRule="auto" w:before="70"/>
              <w:ind w:right="-9"/>
              <w:jc w:val="right"/>
              <w:rPr>
                <w:rFonts w:ascii="Arial" w:hAnsi="Arial" w:cs="Arial" w:eastAsia="Arial" w:hint="default"/>
                <w:sz w:val="21"/>
                <w:szCs w:val="21"/>
              </w:rPr>
            </w:pPr>
            <w:r>
              <w:rPr>
                <w:rFonts w:ascii="Arial"/>
                <w:w w:val="100"/>
                <w:sz w:val="21"/>
              </w:rPr>
              <w:t>1</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不变</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4" w:right="0"/>
              <w:jc w:val="left"/>
              <w:rPr>
                <w:rFonts w:ascii="Arial" w:hAnsi="Arial" w:cs="Arial" w:eastAsia="Arial" w:hint="default"/>
                <w:sz w:val="21"/>
                <w:szCs w:val="21"/>
              </w:rPr>
            </w:pPr>
            <w:r>
              <w:rPr>
                <w:rFonts w:ascii="Arial"/>
                <w:sz w:val="21"/>
              </w:rPr>
              <w:t>19,217,018</w:t>
            </w: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Arial" w:hAnsi="Arial" w:cs="Arial" w:eastAsia="Arial" w:hint="default"/>
                <w:sz w:val="21"/>
                <w:szCs w:val="21"/>
              </w:rPr>
            </w:pPr>
            <w:r>
              <w:rPr>
                <w:rFonts w:ascii="Arial"/>
                <w:sz w:val="21"/>
              </w:rPr>
              <w:t>481,943</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质押</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21,337,01</w:t>
            </w:r>
          </w:p>
          <w:p>
            <w:pPr>
              <w:pStyle w:val="TableParagraph"/>
              <w:spacing w:line="240" w:lineRule="auto" w:before="70"/>
              <w:ind w:right="19"/>
              <w:jc w:val="right"/>
              <w:rPr>
                <w:rFonts w:ascii="Arial" w:hAnsi="Arial" w:cs="Arial" w:eastAsia="Arial" w:hint="default"/>
                <w:sz w:val="21"/>
                <w:szCs w:val="21"/>
              </w:rPr>
            </w:pPr>
            <w:r>
              <w:rPr>
                <w:rFonts w:ascii="Arial"/>
                <w:w w:val="100"/>
                <w:sz w:val="21"/>
              </w:rPr>
              <w:t>8</w:t>
            </w:r>
          </w:p>
        </w:tc>
      </w:tr>
      <w:tr>
        <w:trPr>
          <w:trHeight w:val="715" w:hRule="exact"/>
        </w:trPr>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1"/>
              <w:jc w:val="left"/>
              <w:rPr>
                <w:rFonts w:ascii="宋体" w:hAnsi="宋体" w:cs="宋体" w:eastAsia="宋体" w:hint="default"/>
                <w:sz w:val="21"/>
                <w:szCs w:val="21"/>
              </w:rPr>
            </w:pPr>
            <w:r>
              <w:rPr>
                <w:rFonts w:ascii="宋体" w:hAnsi="宋体" w:cs="宋体" w:eastAsia="宋体" w:hint="default"/>
                <w:sz w:val="21"/>
                <w:szCs w:val="21"/>
              </w:rPr>
              <w:t>中国证券金融股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44"/>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0" w:right="0"/>
              <w:jc w:val="left"/>
              <w:rPr>
                <w:rFonts w:ascii="Arial" w:hAnsi="Arial" w:cs="Arial" w:eastAsia="Arial" w:hint="default"/>
                <w:sz w:val="21"/>
                <w:szCs w:val="21"/>
              </w:rPr>
            </w:pPr>
            <w:r>
              <w:rPr>
                <w:rFonts w:ascii="Arial"/>
                <w:sz w:val="21"/>
              </w:rPr>
              <w:t>2.59%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
              <w:jc w:val="right"/>
              <w:rPr>
                <w:rFonts w:ascii="Arial" w:hAnsi="Arial" w:cs="Arial" w:eastAsia="Arial" w:hint="default"/>
                <w:sz w:val="21"/>
                <w:szCs w:val="21"/>
              </w:rPr>
            </w:pPr>
            <w:r>
              <w:rPr>
                <w:rFonts w:ascii="Arial"/>
                <w:spacing w:val="-1"/>
                <w:sz w:val="21"/>
              </w:rPr>
              <w:t>19,720,78</w:t>
            </w:r>
          </w:p>
          <w:p>
            <w:pPr>
              <w:pStyle w:val="TableParagraph"/>
              <w:spacing w:line="240" w:lineRule="auto" w:before="70"/>
              <w:ind w:right="-9"/>
              <w:jc w:val="right"/>
              <w:rPr>
                <w:rFonts w:ascii="Arial" w:hAnsi="Arial" w:cs="Arial" w:eastAsia="Arial" w:hint="default"/>
                <w:sz w:val="21"/>
                <w:szCs w:val="21"/>
              </w:rPr>
            </w:pPr>
            <w:r>
              <w:rPr>
                <w:rFonts w:ascii="Arial"/>
                <w:w w:val="100"/>
                <w:sz w:val="21"/>
              </w:rPr>
              <w:t>8</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增加</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19,720,78</w:t>
            </w:r>
          </w:p>
          <w:p>
            <w:pPr>
              <w:pStyle w:val="TableParagraph"/>
              <w:spacing w:line="240" w:lineRule="auto" w:before="70"/>
              <w:ind w:right="20"/>
              <w:jc w:val="right"/>
              <w:rPr>
                <w:rFonts w:ascii="Arial" w:hAnsi="Arial" w:cs="Arial" w:eastAsia="Arial" w:hint="default"/>
                <w:sz w:val="21"/>
                <w:szCs w:val="21"/>
              </w:rPr>
            </w:pPr>
            <w:r>
              <w:rPr>
                <w:rFonts w:ascii="Arial"/>
                <w:w w:val="100"/>
                <w:sz w:val="21"/>
              </w:rPr>
              <w:t>8</w:t>
            </w:r>
          </w:p>
        </w:tc>
        <w:tc>
          <w:tcPr>
            <w:tcW w:w="49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1"/>
              <w:jc w:val="left"/>
              <w:rPr>
                <w:rFonts w:ascii="宋体" w:hAnsi="宋体" w:cs="宋体" w:eastAsia="宋体" w:hint="default"/>
                <w:sz w:val="21"/>
                <w:szCs w:val="21"/>
              </w:rPr>
            </w:pPr>
            <w:r>
              <w:rPr>
                <w:rFonts w:ascii="宋体" w:hAnsi="宋体" w:cs="宋体" w:eastAsia="宋体" w:hint="default"/>
                <w:sz w:val="21"/>
                <w:szCs w:val="21"/>
              </w:rPr>
              <w:t>广发聚丰混合型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证券投资基金</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44"/>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0" w:right="0"/>
              <w:jc w:val="left"/>
              <w:rPr>
                <w:rFonts w:ascii="Arial" w:hAnsi="Arial" w:cs="Arial" w:eastAsia="Arial" w:hint="default"/>
                <w:sz w:val="21"/>
                <w:szCs w:val="21"/>
              </w:rPr>
            </w:pPr>
            <w:r>
              <w:rPr>
                <w:rFonts w:ascii="Arial"/>
                <w:sz w:val="21"/>
              </w:rPr>
              <w:t>2.18%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
              <w:jc w:val="right"/>
              <w:rPr>
                <w:rFonts w:ascii="Arial" w:hAnsi="Arial" w:cs="Arial" w:eastAsia="Arial" w:hint="default"/>
                <w:sz w:val="21"/>
                <w:szCs w:val="21"/>
              </w:rPr>
            </w:pPr>
            <w:r>
              <w:rPr>
                <w:rFonts w:ascii="Arial"/>
                <w:spacing w:val="-1"/>
                <w:sz w:val="21"/>
              </w:rPr>
              <w:t>16,600,00</w:t>
            </w:r>
          </w:p>
          <w:p>
            <w:pPr>
              <w:pStyle w:val="TableParagraph"/>
              <w:spacing w:line="240" w:lineRule="auto" w:before="70"/>
              <w:ind w:right="-9"/>
              <w:jc w:val="right"/>
              <w:rPr>
                <w:rFonts w:ascii="Arial" w:hAnsi="Arial" w:cs="Arial" w:eastAsia="Arial" w:hint="default"/>
                <w:sz w:val="21"/>
                <w:szCs w:val="21"/>
              </w:rPr>
            </w:pPr>
            <w:r>
              <w:rPr>
                <w:rFonts w:ascii="Arial"/>
                <w:w w:val="100"/>
                <w:sz w:val="21"/>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减少</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16,600,00</w:t>
            </w:r>
          </w:p>
          <w:p>
            <w:pPr>
              <w:pStyle w:val="TableParagraph"/>
              <w:spacing w:line="240" w:lineRule="auto" w:before="70"/>
              <w:ind w:right="20"/>
              <w:jc w:val="right"/>
              <w:rPr>
                <w:rFonts w:ascii="Arial" w:hAnsi="Arial" w:cs="Arial" w:eastAsia="Arial" w:hint="default"/>
                <w:sz w:val="21"/>
                <w:szCs w:val="21"/>
              </w:rPr>
            </w:pPr>
            <w:r>
              <w:rPr>
                <w:rFonts w:ascii="Arial"/>
                <w:w w:val="100"/>
                <w:sz w:val="21"/>
              </w:rPr>
              <w:t>0</w:t>
            </w:r>
          </w:p>
        </w:tc>
        <w:tc>
          <w:tcPr>
            <w:tcW w:w="49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1"/>
              <w:jc w:val="left"/>
              <w:rPr>
                <w:rFonts w:ascii="宋体" w:hAnsi="宋体" w:cs="宋体" w:eastAsia="宋体" w:hint="default"/>
                <w:sz w:val="21"/>
                <w:szCs w:val="21"/>
              </w:rPr>
            </w:pPr>
            <w:r>
              <w:rPr>
                <w:rFonts w:ascii="宋体" w:hAnsi="宋体" w:cs="宋体" w:eastAsia="宋体" w:hint="default"/>
                <w:sz w:val="21"/>
                <w:szCs w:val="21"/>
              </w:rPr>
              <w:t>香港中央结算有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0" w:right="0"/>
              <w:jc w:val="left"/>
              <w:rPr>
                <w:rFonts w:ascii="Arial" w:hAnsi="Arial" w:cs="Arial" w:eastAsia="Arial" w:hint="default"/>
                <w:sz w:val="21"/>
                <w:szCs w:val="21"/>
              </w:rPr>
            </w:pPr>
            <w:r>
              <w:rPr>
                <w:rFonts w:ascii="Arial"/>
                <w:sz w:val="21"/>
              </w:rPr>
              <w:t>1.70%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
              <w:jc w:val="right"/>
              <w:rPr>
                <w:rFonts w:ascii="Arial" w:hAnsi="Arial" w:cs="Arial" w:eastAsia="Arial" w:hint="default"/>
                <w:sz w:val="21"/>
                <w:szCs w:val="21"/>
              </w:rPr>
            </w:pPr>
            <w:r>
              <w:rPr>
                <w:rFonts w:ascii="Arial"/>
                <w:spacing w:val="-1"/>
                <w:sz w:val="21"/>
              </w:rPr>
              <w:t>12,965,54</w:t>
            </w:r>
          </w:p>
          <w:p>
            <w:pPr>
              <w:pStyle w:val="TableParagraph"/>
              <w:spacing w:line="240" w:lineRule="auto" w:before="70"/>
              <w:ind w:right="-9"/>
              <w:jc w:val="right"/>
              <w:rPr>
                <w:rFonts w:ascii="Arial" w:hAnsi="Arial" w:cs="Arial" w:eastAsia="Arial" w:hint="default"/>
                <w:sz w:val="21"/>
                <w:szCs w:val="21"/>
              </w:rPr>
            </w:pPr>
            <w:r>
              <w:rPr>
                <w:rFonts w:ascii="Arial"/>
                <w:w w:val="100"/>
                <w:sz w:val="21"/>
              </w:rPr>
              <w:t>7</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增加</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12,965,54</w:t>
            </w:r>
          </w:p>
          <w:p>
            <w:pPr>
              <w:pStyle w:val="TableParagraph"/>
              <w:spacing w:line="240" w:lineRule="auto" w:before="70"/>
              <w:ind w:right="20"/>
              <w:jc w:val="right"/>
              <w:rPr>
                <w:rFonts w:ascii="Arial" w:hAnsi="Arial" w:cs="Arial" w:eastAsia="Arial" w:hint="default"/>
                <w:sz w:val="21"/>
                <w:szCs w:val="21"/>
              </w:rPr>
            </w:pPr>
            <w:r>
              <w:rPr>
                <w:rFonts w:ascii="Arial"/>
                <w:w w:val="100"/>
                <w:sz w:val="21"/>
              </w:rPr>
              <w:t>7</w:t>
            </w:r>
          </w:p>
        </w:tc>
        <w:tc>
          <w:tcPr>
            <w:tcW w:w="49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1"/>
              <w:jc w:val="both"/>
              <w:rPr>
                <w:rFonts w:ascii="宋体" w:hAnsi="宋体" w:cs="宋体" w:eastAsia="宋体" w:hint="default"/>
                <w:sz w:val="21"/>
                <w:szCs w:val="21"/>
              </w:rPr>
            </w:pPr>
            <w:r>
              <w:rPr>
                <w:rFonts w:ascii="宋体" w:hAnsi="宋体" w:cs="宋体" w:eastAsia="宋体" w:hint="default"/>
                <w:sz w:val="21"/>
                <w:szCs w:val="21"/>
              </w:rPr>
              <w:t>中邮战略新兴产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业混合型证券投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资基金</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23" w:right="144"/>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70" w:right="0"/>
              <w:jc w:val="left"/>
              <w:rPr>
                <w:rFonts w:ascii="Arial" w:hAnsi="Arial" w:cs="Arial" w:eastAsia="Arial" w:hint="default"/>
                <w:sz w:val="21"/>
                <w:szCs w:val="21"/>
              </w:rPr>
            </w:pPr>
            <w:r>
              <w:rPr>
                <w:rFonts w:ascii="Arial"/>
                <w:sz w:val="21"/>
              </w:rPr>
              <w:t>1.43%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
              <w:jc w:val="right"/>
              <w:rPr>
                <w:rFonts w:ascii="Arial" w:hAnsi="Arial" w:cs="Arial" w:eastAsia="Arial" w:hint="default"/>
                <w:sz w:val="21"/>
                <w:szCs w:val="21"/>
              </w:rPr>
            </w:pPr>
            <w:r>
              <w:rPr>
                <w:rFonts w:ascii="Arial"/>
                <w:spacing w:val="-1"/>
                <w:sz w:val="21"/>
              </w:rPr>
              <w:t>10,907,73</w:t>
            </w:r>
          </w:p>
          <w:p>
            <w:pPr>
              <w:pStyle w:val="TableParagraph"/>
              <w:spacing w:line="240" w:lineRule="auto" w:before="70"/>
              <w:ind w:right="-9"/>
              <w:jc w:val="right"/>
              <w:rPr>
                <w:rFonts w:ascii="Arial" w:hAnsi="Arial" w:cs="Arial" w:eastAsia="Arial" w:hint="default"/>
                <w:sz w:val="21"/>
                <w:szCs w:val="21"/>
              </w:rPr>
            </w:pPr>
            <w:r>
              <w:rPr>
                <w:rFonts w:ascii="Arial"/>
                <w:w w:val="100"/>
                <w:sz w:val="21"/>
              </w:rPr>
              <w:t>6</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减少</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10,907,73</w:t>
            </w:r>
          </w:p>
          <w:p>
            <w:pPr>
              <w:pStyle w:val="TableParagraph"/>
              <w:spacing w:line="240" w:lineRule="auto" w:before="70"/>
              <w:ind w:right="20"/>
              <w:jc w:val="right"/>
              <w:rPr>
                <w:rFonts w:ascii="Arial" w:hAnsi="Arial" w:cs="Arial" w:eastAsia="Arial" w:hint="default"/>
                <w:sz w:val="21"/>
                <w:szCs w:val="21"/>
              </w:rPr>
            </w:pPr>
            <w:r>
              <w:rPr>
                <w:rFonts w:ascii="Arial"/>
                <w:w w:val="100"/>
                <w:sz w:val="21"/>
              </w:rPr>
              <w:t>6</w:t>
            </w:r>
          </w:p>
        </w:tc>
        <w:tc>
          <w:tcPr>
            <w:tcW w:w="49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1"/>
              <w:jc w:val="both"/>
              <w:rPr>
                <w:rFonts w:ascii="宋体" w:hAnsi="宋体" w:cs="宋体" w:eastAsia="宋体" w:hint="default"/>
                <w:sz w:val="21"/>
                <w:szCs w:val="21"/>
              </w:rPr>
            </w:pPr>
            <w:r>
              <w:rPr>
                <w:rFonts w:ascii="宋体" w:hAnsi="宋体" w:cs="宋体" w:eastAsia="宋体" w:hint="default"/>
                <w:sz w:val="21"/>
                <w:szCs w:val="21"/>
              </w:rPr>
              <w:t>中邮信息产业灵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活配置混合型证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券投资基金</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44"/>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70" w:right="0"/>
              <w:jc w:val="left"/>
              <w:rPr>
                <w:rFonts w:ascii="Arial" w:hAnsi="Arial" w:cs="Arial" w:eastAsia="Arial" w:hint="default"/>
                <w:sz w:val="21"/>
                <w:szCs w:val="21"/>
              </w:rPr>
            </w:pPr>
            <w:r>
              <w:rPr>
                <w:rFonts w:ascii="Arial"/>
                <w:sz w:val="21"/>
              </w:rPr>
              <w:t>1.37%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
              <w:jc w:val="right"/>
              <w:rPr>
                <w:rFonts w:ascii="Arial" w:hAnsi="Arial" w:cs="Arial" w:eastAsia="Arial" w:hint="default"/>
                <w:sz w:val="21"/>
                <w:szCs w:val="21"/>
              </w:rPr>
            </w:pPr>
            <w:r>
              <w:rPr>
                <w:rFonts w:ascii="Arial"/>
                <w:spacing w:val="-1"/>
                <w:sz w:val="21"/>
              </w:rPr>
              <w:t>10,392,72</w:t>
            </w:r>
          </w:p>
          <w:p>
            <w:pPr>
              <w:pStyle w:val="TableParagraph"/>
              <w:spacing w:line="240" w:lineRule="auto" w:before="70"/>
              <w:ind w:right="-9"/>
              <w:jc w:val="right"/>
              <w:rPr>
                <w:rFonts w:ascii="Arial" w:hAnsi="Arial" w:cs="Arial" w:eastAsia="Arial" w:hint="default"/>
                <w:sz w:val="21"/>
                <w:szCs w:val="21"/>
              </w:rPr>
            </w:pPr>
            <w:r>
              <w:rPr>
                <w:rFonts w:ascii="Arial"/>
                <w:w w:val="100"/>
                <w:sz w:val="21"/>
              </w:rPr>
              <w:t>1</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减少</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10,392,72</w:t>
            </w:r>
          </w:p>
          <w:p>
            <w:pPr>
              <w:pStyle w:val="TableParagraph"/>
              <w:spacing w:line="240" w:lineRule="auto" w:before="70"/>
              <w:ind w:right="20"/>
              <w:jc w:val="right"/>
              <w:rPr>
                <w:rFonts w:ascii="Arial" w:hAnsi="Arial" w:cs="Arial" w:eastAsia="Arial" w:hint="default"/>
                <w:sz w:val="21"/>
                <w:szCs w:val="21"/>
              </w:rPr>
            </w:pPr>
            <w:r>
              <w:rPr>
                <w:rFonts w:ascii="Arial"/>
                <w:w w:val="100"/>
                <w:sz w:val="21"/>
              </w:rPr>
              <w:t>1</w:t>
            </w:r>
          </w:p>
        </w:tc>
        <w:tc>
          <w:tcPr>
            <w:tcW w:w="49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夏郁葱</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0" w:right="0"/>
              <w:jc w:val="left"/>
              <w:rPr>
                <w:rFonts w:ascii="Arial" w:hAnsi="Arial" w:cs="Arial" w:eastAsia="Arial" w:hint="default"/>
                <w:sz w:val="21"/>
                <w:szCs w:val="21"/>
              </w:rPr>
            </w:pPr>
            <w:r>
              <w:rPr>
                <w:rFonts w:ascii="Arial"/>
                <w:sz w:val="21"/>
              </w:rPr>
              <w:t>1.36%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11"/>
              <w:jc w:val="left"/>
              <w:rPr>
                <w:rFonts w:ascii="Arial" w:hAnsi="Arial" w:cs="Arial" w:eastAsia="Arial" w:hint="default"/>
                <w:sz w:val="21"/>
                <w:szCs w:val="21"/>
              </w:rPr>
            </w:pPr>
            <w:r>
              <w:rPr>
                <w:rFonts w:ascii="Arial"/>
                <w:sz w:val="21"/>
              </w:rPr>
              <w:t>10,316,31</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 w:right="0"/>
              <w:jc w:val="center"/>
              <w:rPr>
                <w:rFonts w:ascii="宋体" w:hAnsi="宋体" w:cs="宋体" w:eastAsia="宋体" w:hint="default"/>
                <w:sz w:val="21"/>
                <w:szCs w:val="21"/>
              </w:rPr>
            </w:pPr>
            <w:r>
              <w:rPr>
                <w:rFonts w:ascii="宋体" w:hAnsi="宋体" w:cs="宋体" w:eastAsia="宋体" w:hint="default"/>
                <w:sz w:val="21"/>
                <w:szCs w:val="21"/>
              </w:rPr>
              <w:t>不变</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Arial" w:hAnsi="Arial" w:cs="Arial" w:eastAsia="Arial" w:hint="default"/>
                <w:sz w:val="21"/>
                <w:szCs w:val="21"/>
              </w:rPr>
            </w:pPr>
            <w:r>
              <w:rPr>
                <w:rFonts w:ascii="Arial"/>
                <w:sz w:val="21"/>
              </w:rPr>
              <w:t>10,316,31</w:t>
            </w:r>
          </w:p>
        </w:tc>
        <w:tc>
          <w:tcPr>
            <w:tcW w:w="49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721"/>
        <w:gridCol w:w="1190"/>
        <w:gridCol w:w="841"/>
        <w:gridCol w:w="1106"/>
        <w:gridCol w:w="1008"/>
        <w:gridCol w:w="1003"/>
        <w:gridCol w:w="144"/>
        <w:gridCol w:w="1023"/>
        <w:gridCol w:w="182"/>
        <w:gridCol w:w="348"/>
        <w:gridCol w:w="1003"/>
      </w:tblGrid>
      <w:tr>
        <w:trPr>
          <w:trHeight w:val="363" w:hRule="exact"/>
        </w:trPr>
        <w:tc>
          <w:tcPr>
            <w:tcW w:w="172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w:hAnsi="Arial" w:cs="Arial" w:eastAsia="Arial" w:hint="default"/>
                <w:sz w:val="21"/>
                <w:szCs w:val="21"/>
              </w:rPr>
            </w:pPr>
            <w:r>
              <w:rPr>
                <w:rFonts w:ascii="Arial"/>
                <w:w w:val="100"/>
                <w:sz w:val="21"/>
              </w:rPr>
              <w:t>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147" w:type="dxa"/>
            <w:gridSpan w:val="2"/>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w:hAnsi="Arial" w:cs="Arial" w:eastAsia="Arial" w:hint="default"/>
                <w:sz w:val="21"/>
                <w:szCs w:val="21"/>
              </w:rPr>
            </w:pPr>
            <w:r>
              <w:rPr>
                <w:rFonts w:ascii="Arial"/>
                <w:w w:val="100"/>
                <w:sz w:val="21"/>
              </w:rPr>
              <w:t>8</w:t>
            </w:r>
          </w:p>
        </w:tc>
        <w:tc>
          <w:tcPr>
            <w:tcW w:w="530" w:type="dxa"/>
            <w:gridSpan w:val="2"/>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王莉丽</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14" w:right="0"/>
              <w:jc w:val="left"/>
              <w:rPr>
                <w:rFonts w:ascii="Arial" w:hAnsi="Arial" w:cs="Arial" w:eastAsia="Arial" w:hint="default"/>
                <w:sz w:val="21"/>
                <w:szCs w:val="21"/>
              </w:rPr>
            </w:pPr>
            <w:r>
              <w:rPr>
                <w:rFonts w:ascii="Arial"/>
                <w:sz w:val="21"/>
              </w:rPr>
              <w:t>1.34%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10,209,39</w:t>
            </w:r>
          </w:p>
          <w:p>
            <w:pPr>
              <w:pStyle w:val="TableParagraph"/>
              <w:spacing w:line="240" w:lineRule="auto" w:before="70"/>
              <w:ind w:right="19"/>
              <w:jc w:val="right"/>
              <w:rPr>
                <w:rFonts w:ascii="Arial" w:hAnsi="Arial" w:cs="Arial" w:eastAsia="Arial" w:hint="default"/>
                <w:sz w:val="21"/>
                <w:szCs w:val="21"/>
              </w:rPr>
            </w:pPr>
            <w:r>
              <w:rPr>
                <w:rFonts w:ascii="Arial"/>
                <w:w w:val="100"/>
                <w:sz w:val="21"/>
              </w:rPr>
              <w:t>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4" w:right="0"/>
              <w:jc w:val="left"/>
              <w:rPr>
                <w:rFonts w:ascii="Arial" w:hAnsi="Arial" w:cs="Arial" w:eastAsia="Arial" w:hint="default"/>
                <w:sz w:val="21"/>
                <w:szCs w:val="21"/>
              </w:rPr>
            </w:pPr>
            <w:r>
              <w:rPr>
                <w:rFonts w:ascii="Arial"/>
                <w:sz w:val="21"/>
              </w:rPr>
              <w:t>10,209,392</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530" w:type="dxa"/>
            <w:gridSpan w:val="2"/>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41"/>
              <w:jc w:val="left"/>
              <w:rPr>
                <w:rFonts w:ascii="宋体" w:hAnsi="宋体" w:cs="宋体" w:eastAsia="宋体" w:hint="default"/>
                <w:sz w:val="21"/>
                <w:szCs w:val="21"/>
              </w:rPr>
            </w:pPr>
            <w:r>
              <w:rPr>
                <w:rFonts w:ascii="宋体" w:hAnsi="宋体" w:cs="宋体" w:eastAsia="宋体" w:hint="default"/>
                <w:spacing w:val="-2"/>
                <w:sz w:val="21"/>
                <w:szCs w:val="21"/>
              </w:rPr>
              <w:t>战略投资者或一般法人因配售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新股成为前</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名股东的情况</w:t>
            </w:r>
          </w:p>
          <w:p>
            <w:pPr>
              <w:pStyle w:val="TableParagraph"/>
              <w:spacing w:line="27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（如</w:t>
            </w:r>
            <w:r>
              <w:rPr>
                <w:rFonts w:ascii="宋体" w:hAnsi="宋体" w:cs="宋体" w:eastAsia="宋体" w:hint="default"/>
                <w:spacing w:val="-3"/>
                <w:w w:val="100"/>
                <w:sz w:val="21"/>
                <w:szCs w:val="21"/>
              </w:rPr>
              <w:t>有</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参</w:t>
            </w:r>
            <w:r>
              <w:rPr>
                <w:rFonts w:ascii="宋体" w:hAnsi="宋体" w:cs="宋体" w:eastAsia="宋体" w:hint="default"/>
                <w:spacing w:val="-3"/>
                <w:w w:val="100"/>
                <w:sz w:val="21"/>
                <w:szCs w:val="21"/>
              </w:rPr>
              <w:t>见</w:t>
            </w:r>
            <w:r>
              <w:rPr>
                <w:rFonts w:ascii="宋体" w:hAnsi="宋体" w:cs="宋体" w:eastAsia="宋体" w:hint="default"/>
                <w:w w:val="100"/>
                <w:sz w:val="21"/>
                <w:szCs w:val="21"/>
              </w:rPr>
              <w:t>注</w:t>
            </w:r>
            <w:r>
              <w:rPr>
                <w:rFonts w:ascii="宋体" w:hAnsi="宋体" w:cs="宋体" w:eastAsia="宋体" w:hint="default"/>
                <w:spacing w:val="-53"/>
                <w:sz w:val="21"/>
                <w:szCs w:val="21"/>
              </w:rPr>
              <w:t> </w:t>
            </w:r>
            <w:r>
              <w:rPr>
                <w:rFonts w:ascii="Arial" w:hAnsi="Arial" w:cs="Arial" w:eastAsia="Arial" w:hint="default"/>
                <w:spacing w:val="-3"/>
                <w:w w:val="100"/>
                <w:sz w:val="21"/>
                <w:szCs w:val="21"/>
              </w:rPr>
              <w:t>4</w:t>
            </w:r>
            <w:r>
              <w:rPr>
                <w:rFonts w:ascii="宋体" w:hAnsi="宋体" w:cs="宋体" w:eastAsia="宋体" w:hint="default"/>
                <w:w w:val="100"/>
                <w:sz w:val="21"/>
                <w:szCs w:val="21"/>
              </w:rPr>
              <w:t>）</w:t>
            </w:r>
          </w:p>
        </w:tc>
        <w:tc>
          <w:tcPr>
            <w:tcW w:w="6659"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61" w:hRule="exact"/>
        </w:trPr>
        <w:tc>
          <w:tcPr>
            <w:tcW w:w="291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59" w:type="dxa"/>
            <w:gridSpan w:val="9"/>
            <w:vMerge w:val="restart"/>
            <w:tcBorders>
              <w:top w:val="single" w:sz="4" w:space="0" w:color="000000"/>
              <w:left w:val="single" w:sz="10" w:space="0" w:color="D2D2D2"/>
              <w:right w:val="single" w:sz="4" w:space="0" w:color="000000"/>
            </w:tcBorders>
          </w:tcPr>
          <w:p>
            <w:pPr>
              <w:pStyle w:val="TableParagraph"/>
              <w:spacing w:line="273" w:lineRule="auto" w:before="28"/>
              <w:ind w:left="60" w:right="62"/>
              <w:jc w:val="both"/>
              <w:rPr>
                <w:rFonts w:ascii="宋体" w:hAnsi="宋体" w:cs="宋体" w:eastAsia="宋体" w:hint="default"/>
                <w:sz w:val="21"/>
                <w:szCs w:val="21"/>
              </w:rPr>
            </w:pPr>
            <w:r>
              <w:rPr>
                <w:rFonts w:ascii="宋体" w:hAnsi="宋体" w:cs="宋体" w:eastAsia="宋体" w:hint="default"/>
                <w:spacing w:val="-2"/>
                <w:sz w:val="21"/>
                <w:szCs w:val="21"/>
              </w:rPr>
              <w:t>邵学先生为公司董事长，任涛先生为公司董事，任刚先生为联奕科技董</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事长，以上三人与其他股东之间不存在关联关系或一致行动关系。除此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之外，公司未知其他股东之间是否存在关联关系或一致行动关系。</w:t>
            </w:r>
          </w:p>
        </w:tc>
      </w:tr>
      <w:tr>
        <w:trPr>
          <w:trHeight w:val="703" w:hRule="exact"/>
        </w:trPr>
        <w:tc>
          <w:tcPr>
            <w:tcW w:w="291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4" w:right="141"/>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的说明</w:t>
            </w:r>
          </w:p>
        </w:tc>
        <w:tc>
          <w:tcPr>
            <w:tcW w:w="6659" w:type="dxa"/>
            <w:gridSpan w:val="9"/>
            <w:vMerge/>
            <w:tcBorders>
              <w:left w:val="single" w:sz="10" w:space="0" w:color="D2D2D2"/>
              <w:right w:val="single" w:sz="4" w:space="0" w:color="000000"/>
            </w:tcBorders>
          </w:tcPr>
          <w:p>
            <w:pPr/>
          </w:p>
        </w:tc>
      </w:tr>
      <w:tr>
        <w:trPr>
          <w:trHeight w:val="161" w:hRule="exact"/>
        </w:trPr>
        <w:tc>
          <w:tcPr>
            <w:tcW w:w="291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59" w:type="dxa"/>
            <w:gridSpan w:val="9"/>
            <w:vMerge/>
            <w:tcBorders>
              <w:left w:val="single" w:sz="10" w:space="0" w:color="D2D2D2"/>
              <w:bottom w:val="single" w:sz="4" w:space="0" w:color="000000"/>
              <w:right w:val="single" w:sz="4" w:space="0" w:color="000000"/>
            </w:tcBorders>
          </w:tcPr>
          <w:p>
            <w:pP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名无限售条件股东持股情况</w:t>
            </w:r>
          </w:p>
        </w:tc>
      </w:tr>
      <w:tr>
        <w:trPr>
          <w:trHeight w:val="206" w:hRule="exact"/>
        </w:trPr>
        <w:tc>
          <w:tcPr>
            <w:tcW w:w="291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0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0" w:hRule="exact"/>
        </w:trPr>
        <w:tc>
          <w:tcPr>
            <w:tcW w:w="29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26"/>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95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84"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701"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911" w:type="dxa"/>
            <w:gridSpan w:val="2"/>
            <w:vMerge/>
            <w:tcBorders>
              <w:left w:val="single" w:sz="4" w:space="0" w:color="000000"/>
              <w:bottom w:val="nil" w:sz="6" w:space="0" w:color="auto"/>
              <w:right w:val="single" w:sz="4" w:space="0" w:color="000000"/>
            </w:tcBorders>
            <w:shd w:val="clear" w:color="auto" w:fill="D2D2D2"/>
          </w:tcPr>
          <w:p>
            <w:pPr/>
          </w:p>
        </w:tc>
        <w:tc>
          <w:tcPr>
            <w:tcW w:w="3959" w:type="dxa"/>
            <w:gridSpan w:val="4"/>
            <w:vMerge/>
            <w:tcBorders>
              <w:left w:val="single" w:sz="4" w:space="0" w:color="000000"/>
              <w:bottom w:val="nil" w:sz="6" w:space="0" w:color="auto"/>
              <w:right w:val="single" w:sz="4" w:space="0" w:color="000000"/>
            </w:tcBorders>
            <w:shd w:val="clear" w:color="auto" w:fill="D2D2D2"/>
          </w:tcPr>
          <w:p>
            <w:pP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9"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06" w:hRule="exact"/>
        </w:trPr>
        <w:tc>
          <w:tcPr>
            <w:tcW w:w="291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c>
          <w:tcPr>
            <w:tcW w:w="1351"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39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34,486,076</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8" w:right="0"/>
              <w:jc w:val="left"/>
              <w:rPr>
                <w:rFonts w:ascii="Arial" w:hAnsi="Arial" w:cs="Arial" w:eastAsia="Arial" w:hint="default"/>
                <w:sz w:val="21"/>
                <w:szCs w:val="21"/>
              </w:rPr>
            </w:pPr>
            <w:r>
              <w:rPr>
                <w:rFonts w:ascii="Arial"/>
                <w:sz w:val="21"/>
              </w:rPr>
              <w:t>34,486,076</w:t>
            </w:r>
          </w:p>
        </w:tc>
      </w:tr>
      <w:tr>
        <w:trPr>
          <w:trHeight w:val="715" w:hRule="exact"/>
        </w:trPr>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39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19,720,788</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8" w:right="0"/>
              <w:jc w:val="left"/>
              <w:rPr>
                <w:rFonts w:ascii="Arial" w:hAnsi="Arial" w:cs="Arial" w:eastAsia="Arial" w:hint="default"/>
                <w:sz w:val="21"/>
                <w:szCs w:val="21"/>
              </w:rPr>
            </w:pPr>
            <w:r>
              <w:rPr>
                <w:rFonts w:ascii="Arial"/>
                <w:sz w:val="21"/>
              </w:rPr>
              <w:t>19,720,788</w:t>
            </w:r>
          </w:p>
        </w:tc>
      </w:tr>
      <w:tr>
        <w:trPr>
          <w:trHeight w:val="401" w:hRule="exact"/>
        </w:trPr>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广发聚丰混合型证券投资基金</w:t>
            </w:r>
          </w:p>
        </w:tc>
        <w:tc>
          <w:tcPr>
            <w:tcW w:w="39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16,600,000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8" w:right="0"/>
              <w:jc w:val="left"/>
              <w:rPr>
                <w:rFonts w:ascii="Arial" w:hAnsi="Arial" w:cs="Arial" w:eastAsia="Arial" w:hint="default"/>
                <w:sz w:val="21"/>
                <w:szCs w:val="21"/>
              </w:rPr>
            </w:pPr>
            <w:r>
              <w:rPr>
                <w:rFonts w:ascii="Arial"/>
                <w:sz w:val="21"/>
              </w:rPr>
              <w:t>16,600,000</w:t>
            </w:r>
          </w:p>
        </w:tc>
      </w:tr>
      <w:tr>
        <w:trPr>
          <w:trHeight w:val="403" w:hRule="exact"/>
        </w:trPr>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39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12,965,547</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8" w:right="0"/>
              <w:jc w:val="left"/>
              <w:rPr>
                <w:rFonts w:ascii="Arial" w:hAnsi="Arial" w:cs="Arial" w:eastAsia="Arial" w:hint="default"/>
                <w:sz w:val="21"/>
                <w:szCs w:val="21"/>
              </w:rPr>
            </w:pPr>
            <w:r>
              <w:rPr>
                <w:rFonts w:ascii="Arial"/>
                <w:sz w:val="21"/>
              </w:rPr>
              <w:t>12,965,547</w:t>
            </w:r>
          </w:p>
        </w:tc>
      </w:tr>
      <w:tr>
        <w:trPr>
          <w:trHeight w:val="713" w:hRule="exact"/>
        </w:trPr>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1"/>
              <w:jc w:val="left"/>
              <w:rPr>
                <w:rFonts w:ascii="宋体" w:hAnsi="宋体" w:cs="宋体" w:eastAsia="宋体" w:hint="default"/>
                <w:sz w:val="21"/>
                <w:szCs w:val="21"/>
              </w:rPr>
            </w:pPr>
            <w:r>
              <w:rPr>
                <w:rFonts w:ascii="宋体" w:hAnsi="宋体" w:cs="宋体" w:eastAsia="宋体" w:hint="default"/>
                <w:spacing w:val="-2"/>
                <w:sz w:val="21"/>
                <w:szCs w:val="21"/>
              </w:rPr>
              <w:t>中邮战略新兴产业混合型证券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投资基金</w:t>
            </w:r>
          </w:p>
        </w:tc>
        <w:tc>
          <w:tcPr>
            <w:tcW w:w="39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10,907,736</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8" w:right="0"/>
              <w:jc w:val="left"/>
              <w:rPr>
                <w:rFonts w:ascii="Arial" w:hAnsi="Arial" w:cs="Arial" w:eastAsia="Arial" w:hint="default"/>
                <w:sz w:val="21"/>
                <w:szCs w:val="21"/>
              </w:rPr>
            </w:pPr>
            <w:r>
              <w:rPr>
                <w:rFonts w:ascii="Arial"/>
                <w:sz w:val="21"/>
              </w:rPr>
              <w:t>10,907,736</w:t>
            </w:r>
          </w:p>
        </w:tc>
      </w:tr>
      <w:tr>
        <w:trPr>
          <w:trHeight w:val="715" w:hRule="exact"/>
        </w:trPr>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1"/>
              <w:jc w:val="left"/>
              <w:rPr>
                <w:rFonts w:ascii="宋体" w:hAnsi="宋体" w:cs="宋体" w:eastAsia="宋体" w:hint="default"/>
                <w:sz w:val="21"/>
                <w:szCs w:val="21"/>
              </w:rPr>
            </w:pPr>
            <w:r>
              <w:rPr>
                <w:rFonts w:ascii="宋体" w:hAnsi="宋体" w:cs="宋体" w:eastAsia="宋体" w:hint="default"/>
                <w:spacing w:val="-2"/>
                <w:sz w:val="21"/>
                <w:szCs w:val="21"/>
              </w:rPr>
              <w:t>中邮信息产业灵活配置混合型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证券投资基金</w:t>
            </w:r>
          </w:p>
        </w:tc>
        <w:tc>
          <w:tcPr>
            <w:tcW w:w="39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10,392,721</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8" w:right="0"/>
              <w:jc w:val="left"/>
              <w:rPr>
                <w:rFonts w:ascii="Arial" w:hAnsi="Arial" w:cs="Arial" w:eastAsia="Arial" w:hint="default"/>
                <w:sz w:val="21"/>
                <w:szCs w:val="21"/>
              </w:rPr>
            </w:pPr>
            <w:r>
              <w:rPr>
                <w:rFonts w:ascii="Arial"/>
                <w:sz w:val="21"/>
              </w:rPr>
              <w:t>10,392,721</w:t>
            </w:r>
          </w:p>
        </w:tc>
      </w:tr>
      <w:tr>
        <w:trPr>
          <w:trHeight w:val="401" w:hRule="exact"/>
        </w:trPr>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夏郁葱</w:t>
            </w:r>
          </w:p>
        </w:tc>
        <w:tc>
          <w:tcPr>
            <w:tcW w:w="39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10,316,318</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8" w:right="0"/>
              <w:jc w:val="left"/>
              <w:rPr>
                <w:rFonts w:ascii="Arial" w:hAnsi="Arial" w:cs="Arial" w:eastAsia="Arial" w:hint="default"/>
                <w:sz w:val="21"/>
                <w:szCs w:val="21"/>
              </w:rPr>
            </w:pPr>
            <w:r>
              <w:rPr>
                <w:rFonts w:ascii="Arial"/>
                <w:sz w:val="21"/>
              </w:rPr>
              <w:t>10,316,318</w:t>
            </w:r>
          </w:p>
        </w:tc>
      </w:tr>
      <w:tr>
        <w:trPr>
          <w:trHeight w:val="403" w:hRule="exact"/>
        </w:trPr>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全国社保基金四一八组合</w:t>
            </w:r>
          </w:p>
        </w:tc>
        <w:tc>
          <w:tcPr>
            <w:tcW w:w="39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9,019,106</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6" w:right="0"/>
              <w:jc w:val="left"/>
              <w:rPr>
                <w:rFonts w:ascii="Arial" w:hAnsi="Arial" w:cs="Arial" w:eastAsia="Arial" w:hint="default"/>
                <w:sz w:val="21"/>
                <w:szCs w:val="21"/>
              </w:rPr>
            </w:pPr>
            <w:r>
              <w:rPr>
                <w:rFonts w:ascii="Arial"/>
                <w:sz w:val="21"/>
              </w:rPr>
              <w:t>9,019,106</w:t>
            </w:r>
          </w:p>
        </w:tc>
      </w:tr>
      <w:tr>
        <w:trPr>
          <w:trHeight w:val="713" w:hRule="exact"/>
        </w:trPr>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1"/>
              <w:jc w:val="left"/>
              <w:rPr>
                <w:rFonts w:ascii="宋体" w:hAnsi="宋体" w:cs="宋体" w:eastAsia="宋体" w:hint="default"/>
                <w:sz w:val="21"/>
                <w:szCs w:val="21"/>
              </w:rPr>
            </w:pPr>
            <w:r>
              <w:rPr>
                <w:rFonts w:ascii="宋体" w:hAnsi="宋体" w:cs="宋体" w:eastAsia="宋体" w:hint="default"/>
                <w:spacing w:val="-2"/>
                <w:sz w:val="21"/>
                <w:szCs w:val="21"/>
              </w:rPr>
              <w:t>兴全商业模式优选混合型证券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投资基金（</w:t>
            </w:r>
            <w:r>
              <w:rPr>
                <w:rFonts w:ascii="Arial" w:hAnsi="Arial" w:cs="Arial" w:eastAsia="Arial" w:hint="default"/>
                <w:sz w:val="21"/>
                <w:szCs w:val="21"/>
              </w:rPr>
              <w:t>LOF</w:t>
            </w:r>
            <w:r>
              <w:rPr>
                <w:rFonts w:ascii="宋体" w:hAnsi="宋体" w:cs="宋体" w:eastAsia="宋体" w:hint="default"/>
                <w:sz w:val="21"/>
                <w:szCs w:val="21"/>
              </w:rPr>
              <w:t>）</w:t>
            </w:r>
          </w:p>
        </w:tc>
        <w:tc>
          <w:tcPr>
            <w:tcW w:w="39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8,688,500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6" w:right="0"/>
              <w:jc w:val="left"/>
              <w:rPr>
                <w:rFonts w:ascii="Arial" w:hAnsi="Arial" w:cs="Arial" w:eastAsia="Arial" w:hint="default"/>
                <w:sz w:val="21"/>
                <w:szCs w:val="21"/>
              </w:rPr>
            </w:pPr>
            <w:r>
              <w:rPr>
                <w:rFonts w:ascii="Arial"/>
                <w:sz w:val="21"/>
              </w:rPr>
              <w:t>8,688,500</w:t>
            </w:r>
          </w:p>
        </w:tc>
      </w:tr>
      <w:tr>
        <w:trPr>
          <w:trHeight w:val="403" w:hRule="exact"/>
        </w:trPr>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全国社保基金六零四组合</w:t>
            </w:r>
          </w:p>
        </w:tc>
        <w:tc>
          <w:tcPr>
            <w:tcW w:w="39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7,839,653</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6" w:right="0"/>
              <w:jc w:val="left"/>
              <w:rPr>
                <w:rFonts w:ascii="Arial" w:hAnsi="Arial" w:cs="Arial" w:eastAsia="Arial" w:hint="default"/>
                <w:sz w:val="21"/>
                <w:szCs w:val="21"/>
              </w:rPr>
            </w:pPr>
            <w:r>
              <w:rPr>
                <w:rFonts w:ascii="Arial"/>
                <w:sz w:val="21"/>
              </w:rPr>
              <w:t>7,839,653</w:t>
            </w:r>
          </w:p>
        </w:tc>
      </w:tr>
      <w:tr>
        <w:trPr>
          <w:trHeight w:val="1337" w:hRule="exact"/>
        </w:trPr>
        <w:tc>
          <w:tcPr>
            <w:tcW w:w="29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名无限售流通股股东之</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间，以及前</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名无限售流通</w:t>
            </w:r>
          </w:p>
          <w:p>
            <w:pPr>
              <w:pStyle w:val="TableParagraph"/>
              <w:spacing w:line="259" w:lineRule="auto" w:before="22"/>
              <w:ind w:left="24" w:right="225"/>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名股东之间关</w:t>
            </w:r>
            <w:r>
              <w:rPr>
                <w:rFonts w:ascii="宋体" w:hAnsi="宋体" w:cs="宋体" w:eastAsia="宋体" w:hint="default"/>
                <w:w w:val="100"/>
                <w:sz w:val="21"/>
                <w:szCs w:val="21"/>
              </w:rPr>
              <w:t> </w:t>
            </w:r>
            <w:r>
              <w:rPr>
                <w:rFonts w:ascii="宋体" w:hAnsi="宋体" w:cs="宋体" w:eastAsia="宋体" w:hint="default"/>
                <w:sz w:val="21"/>
                <w:szCs w:val="21"/>
              </w:rPr>
              <w:t>联关系或一致行动的说明</w:t>
            </w:r>
          </w:p>
        </w:tc>
        <w:tc>
          <w:tcPr>
            <w:tcW w:w="6659"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3" w:right="137"/>
              <w:jc w:val="left"/>
              <w:rPr>
                <w:rFonts w:ascii="宋体" w:hAnsi="宋体" w:cs="宋体" w:eastAsia="宋体" w:hint="default"/>
                <w:sz w:val="21"/>
                <w:szCs w:val="21"/>
              </w:rPr>
            </w:pPr>
            <w:r>
              <w:rPr>
                <w:rFonts w:ascii="宋体" w:hAnsi="宋体" w:cs="宋体" w:eastAsia="宋体" w:hint="default"/>
                <w:spacing w:val="-2"/>
                <w:sz w:val="21"/>
                <w:szCs w:val="21"/>
              </w:rPr>
              <w:t>邵学为公司董事长，与其他股东间不存在关联关系或一致行动关系。除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此之外，公司未知其他股东之间是否存在关联关系或一致行动关系。</w:t>
            </w:r>
          </w:p>
        </w:tc>
      </w:tr>
      <w:tr>
        <w:trPr>
          <w:trHeight w:val="716" w:hRule="exact"/>
        </w:trPr>
        <w:tc>
          <w:tcPr>
            <w:tcW w:w="29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41"/>
              <w:jc w:val="left"/>
              <w:rPr>
                <w:rFonts w:ascii="宋体" w:hAnsi="宋体" w:cs="宋体" w:eastAsia="宋体" w:hint="default"/>
                <w:sz w:val="21"/>
                <w:szCs w:val="21"/>
              </w:rPr>
            </w:pPr>
            <w:r>
              <w:rPr>
                <w:rFonts w:ascii="宋体" w:hAnsi="宋体" w:cs="宋体" w:eastAsia="宋体" w:hint="default"/>
                <w:spacing w:val="-2"/>
                <w:sz w:val="21"/>
                <w:szCs w:val="21"/>
              </w:rPr>
              <w:t>参与融资融券业务股东情况说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3"/>
                <w:w w:val="100"/>
                <w:sz w:val="21"/>
                <w:szCs w:val="21"/>
              </w:rPr>
              <w:t>明（如有）（参见注</w:t>
            </w:r>
            <w:r>
              <w:rPr>
                <w:rFonts w:ascii="宋体" w:hAnsi="宋体" w:cs="宋体" w:eastAsia="宋体" w:hint="default"/>
                <w:spacing w:val="-52"/>
                <w:w w:val="100"/>
                <w:sz w:val="21"/>
                <w:szCs w:val="21"/>
              </w:rPr>
              <w:t> </w:t>
            </w:r>
            <w:r>
              <w:rPr>
                <w:rFonts w:ascii="Arial" w:hAnsi="Arial" w:cs="Arial" w:eastAsia="Arial" w:hint="default"/>
                <w:w w:val="100"/>
                <w:sz w:val="21"/>
                <w:szCs w:val="21"/>
              </w:rPr>
              <w:t>5</w:t>
            </w:r>
            <w:r>
              <w:rPr>
                <w:rFonts w:ascii="宋体" w:hAnsi="宋体" w:cs="宋体" w:eastAsia="宋体" w:hint="default"/>
                <w:w w:val="100"/>
                <w:sz w:val="21"/>
                <w:szCs w:val="21"/>
              </w:rPr>
              <w:t>）</w:t>
            </w:r>
          </w:p>
        </w:tc>
        <w:tc>
          <w:tcPr>
            <w:tcW w:w="6659"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312" w:lineRule="exact" w:before="31"/>
        <w:ind w:right="367"/>
        <w:jc w:val="left"/>
      </w:pPr>
      <w:r>
        <w:rPr/>
        <w:t>公司前</w:t>
      </w:r>
      <w:r>
        <w:rPr>
          <w:spacing w:val="-62"/>
        </w:rPr>
        <w:t> </w:t>
      </w:r>
      <w:r>
        <w:rPr>
          <w:rFonts w:ascii="Arial" w:hAnsi="Arial" w:cs="Arial" w:eastAsia="Arial" w:hint="default"/>
        </w:rPr>
        <w:t>10</w:t>
      </w:r>
      <w:r>
        <w:rPr>
          <w:rFonts w:ascii="Arial" w:hAnsi="Arial" w:cs="Arial" w:eastAsia="Arial" w:hint="default"/>
          <w:spacing w:val="-8"/>
        </w:rPr>
        <w:t> </w:t>
      </w:r>
      <w:r>
        <w:rPr/>
        <w:t>名普通股股东、前</w:t>
      </w:r>
      <w:r>
        <w:rPr>
          <w:spacing w:val="-62"/>
        </w:rPr>
        <w:t> </w:t>
      </w:r>
      <w:r>
        <w:rPr>
          <w:rFonts w:ascii="Arial" w:hAnsi="Arial" w:cs="Arial" w:eastAsia="Arial" w:hint="default"/>
        </w:rPr>
        <w:t>10</w:t>
      </w:r>
      <w:r>
        <w:rPr>
          <w:rFonts w:ascii="Arial" w:hAnsi="Arial" w:cs="Arial" w:eastAsia="Arial" w:hint="default"/>
          <w:spacing w:val="-8"/>
        </w:rPr>
        <w:t> </w:t>
      </w:r>
      <w:r>
        <w:rPr/>
        <w:t>名无限售条件普通股股东在报告期内是否进行约定购回交 易</w:t>
      </w:r>
    </w:p>
    <w:p>
      <w:pPr>
        <w:pStyle w:val="BodyText"/>
        <w:spacing w:line="240" w:lineRule="auto" w:before="7"/>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pStyle w:val="BodyText"/>
        <w:spacing w:line="312" w:lineRule="exact" w:before="52"/>
        <w:ind w:right="607"/>
        <w:jc w:val="left"/>
      </w:pPr>
      <w:r>
        <w:rPr/>
        <w:t>公司前</w:t>
      </w:r>
      <w:r>
        <w:rPr>
          <w:spacing w:val="-62"/>
        </w:rPr>
        <w:t> </w:t>
      </w:r>
      <w:r>
        <w:rPr>
          <w:rFonts w:ascii="Arial" w:hAnsi="Arial" w:cs="Arial" w:eastAsia="Arial" w:hint="default"/>
        </w:rPr>
        <w:t>10</w:t>
      </w:r>
      <w:r>
        <w:rPr>
          <w:rFonts w:ascii="Arial" w:hAnsi="Arial" w:cs="Arial" w:eastAsia="Arial" w:hint="default"/>
          <w:spacing w:val="-8"/>
        </w:rPr>
        <w:t> </w:t>
      </w:r>
      <w:r>
        <w:rPr/>
        <w:t>名普通股股东、前</w:t>
      </w:r>
      <w:r>
        <w:rPr>
          <w:spacing w:val="-62"/>
        </w:rPr>
        <w:t> </w:t>
      </w:r>
      <w:r>
        <w:rPr>
          <w:rFonts w:ascii="Arial" w:hAnsi="Arial" w:cs="Arial" w:eastAsia="Arial" w:hint="default"/>
        </w:rPr>
        <w:t>10</w:t>
      </w:r>
      <w:r>
        <w:rPr>
          <w:rFonts w:ascii="Arial" w:hAnsi="Arial" w:cs="Arial" w:eastAsia="Arial" w:hint="default"/>
          <w:spacing w:val="-8"/>
        </w:rPr>
        <w:t> </w:t>
      </w:r>
      <w:r>
        <w:rPr/>
        <w:t>名无限售条件普通股股东在报告期内未进行约定购回交 易。</w:t>
      </w:r>
    </w:p>
    <w:p>
      <w:pPr>
        <w:spacing w:after="0" w:line="312" w:lineRule="exact"/>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、公司控股股东情况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68" w:lineRule="auto"/>
        <w:ind w:right="6894"/>
        <w:jc w:val="left"/>
      </w:pPr>
      <w:r>
        <w:rPr/>
        <w:t>控股股东性质：自然人控股 控股股东类型：自然人</w:t>
      </w:r>
    </w:p>
    <w:p>
      <w:pPr>
        <w:spacing w:line="240" w:lineRule="auto" w:before="11"/>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3402"/>
        <w:gridCol w:w="2045"/>
        <w:gridCol w:w="4121"/>
      </w:tblGrid>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6"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66"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715"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212"/>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上市公司的股权情况</w:t>
            </w:r>
          </w:p>
        </w:tc>
        <w:tc>
          <w:tcPr>
            <w:tcW w:w="6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ind w:right="0"/>
        <w:jc w:val="left"/>
      </w:pPr>
      <w:r>
        <w:rPr/>
        <w:t>控股股东报告期内变更</w:t>
      </w:r>
    </w:p>
    <w:p>
      <w:pPr>
        <w:pStyle w:val="BodyText"/>
        <w:spacing w:line="256" w:lineRule="auto" w:before="36"/>
        <w:ind w:right="6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公司报告期控股股东未发生变更。</w:t>
      </w:r>
    </w:p>
    <w:p>
      <w:pPr>
        <w:spacing w:line="240" w:lineRule="auto" w:before="7"/>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、公司实际控制人情况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68" w:lineRule="auto"/>
        <w:ind w:right="6654"/>
        <w:jc w:val="left"/>
      </w:pPr>
      <w:r>
        <w:rPr/>
        <w:t>实际控制人性质：境内自然人 实际控制人类型：自然人</w:t>
      </w:r>
    </w:p>
    <w:p>
      <w:pPr>
        <w:spacing w:line="240" w:lineRule="auto" w:before="11"/>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3335"/>
        <w:gridCol w:w="2057"/>
        <w:gridCol w:w="4177"/>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26"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r>
      <w:tr>
        <w:trPr>
          <w:trHeight w:val="715"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4" w:right="17"/>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年曾控股的境内外上市公司</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1"/>
        <w:ind w:right="0"/>
        <w:jc w:val="left"/>
      </w:pPr>
      <w:r>
        <w:rPr/>
        <w:t>实际控制人报告期内变更</w:t>
      </w:r>
    </w:p>
    <w:p>
      <w:pPr>
        <w:pStyle w:val="BodyText"/>
        <w:spacing w:line="261" w:lineRule="auto" w:before="36"/>
        <w:ind w:right="44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19"/>
          <w:szCs w:val="19"/>
        </w:rPr>
      </w:pPr>
    </w:p>
    <w:p>
      <w:pPr>
        <w:spacing w:line="3353" w:lineRule="exact"/>
        <w:ind w:left="135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582792" cy="212940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0" cstate="print"/>
                    <a:stretch>
                      <a:fillRect/>
                    </a:stretch>
                  </pic:blipFill>
                  <pic:spPr>
                    <a:xfrm>
                      <a:off x="0" y="0"/>
                      <a:ext cx="4582792" cy="2129408"/>
                    </a:xfrm>
                    <a:prstGeom prst="rect">
                      <a:avLst/>
                    </a:prstGeom>
                  </pic:spPr>
                </pic:pic>
              </a:graphicData>
            </a:graphic>
          </wp:inline>
        </w:drawing>
      </w:r>
      <w:r>
        <w:rPr>
          <w:rFonts w:ascii="宋体" w:hAnsi="宋体" w:cs="宋体" w:eastAsia="宋体" w:hint="default"/>
          <w:position w:val="-66"/>
          <w:sz w:val="20"/>
          <w:szCs w:val="20"/>
        </w:rPr>
      </w:r>
    </w:p>
    <w:p>
      <w:pPr>
        <w:pStyle w:val="BodyText"/>
        <w:spacing w:line="240" w:lineRule="auto" w:before="204"/>
        <w:ind w:right="0"/>
        <w:jc w:val="left"/>
      </w:pPr>
      <w:r>
        <w:rPr/>
        <w:t>实际控制人通过信托或其他资产管理方式控制公司</w:t>
      </w:r>
    </w:p>
    <w:p>
      <w:pPr>
        <w:pStyle w:val="BodyText"/>
        <w:spacing w:line="240" w:lineRule="auto" w:before="38"/>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、其他持股在</w:t>
      </w:r>
      <w:r>
        <w:rPr>
          <w:rFonts w:ascii="Microsoft JhengHei" w:hAnsi="Microsoft JhengHei" w:cs="Microsoft JhengHei" w:eastAsia="Microsoft JhengHei" w:hint="default"/>
          <w:b/>
          <w:bCs/>
          <w:spacing w:val="11"/>
          <w:sz w:val="21"/>
          <w:szCs w:val="21"/>
        </w:rPr>
        <w:t> </w:t>
      </w:r>
      <w:r>
        <w:rPr>
          <w:rFonts w:ascii="Arial" w:hAnsi="Arial" w:cs="Arial" w:eastAsia="Arial" w:hint="default"/>
          <w:b/>
          <w:bCs/>
          <w:sz w:val="21"/>
          <w:szCs w:val="21"/>
        </w:rPr>
        <w:t>10%</w:t>
      </w:r>
      <w:r>
        <w:rPr>
          <w:rFonts w:ascii="Microsoft JhengHei" w:hAnsi="Microsoft JhengHei" w:cs="Microsoft JhengHei" w:eastAsia="Microsoft JhengHei" w:hint="default"/>
          <w:b/>
          <w:bCs/>
          <w:sz w:val="21"/>
          <w:szCs w:val="21"/>
        </w:rPr>
        <w:t>以上的法人股东</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4"/>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、控股股东、实际控制人、重组方及其他承诺主体股份限制减持情况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456" w:lineRule="exact"/>
        <w:ind w:left="3285" w:right="0"/>
        <w:jc w:val="left"/>
        <w:rPr>
          <w:b w:val="0"/>
          <w:bCs w:val="0"/>
        </w:rPr>
      </w:pPr>
      <w:bookmarkStart w:name="_bookmark5" w:id="6"/>
      <w:bookmarkEnd w:id="6"/>
      <w:r>
        <w:rPr>
          <w:b w:val="0"/>
          <w:bCs w:val="0"/>
        </w:rPr>
      </w:r>
      <w:r>
        <w:rPr/>
        <w:t>第七节 </w:t>
      </w:r>
      <w:r>
        <w:rPr>
          <w:spacing w:val="8"/>
        </w:rPr>
        <w:t> </w:t>
      </w:r>
      <w:r>
        <w:rPr/>
        <w:t>优先股相关情况</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256" w:lineRule="auto" w:before="26"/>
        <w:ind w:right="68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报告期公司不存在优先股。</w:t>
      </w:r>
    </w:p>
    <w:p>
      <w:pPr>
        <w:spacing w:after="0" w:line="256" w:lineRule="auto"/>
        <w:jc w:val="left"/>
        <w:sectPr>
          <w:pgSz w:w="11910" w:h="16840"/>
          <w:pgMar w:header="877" w:footer="980" w:top="1100" w:bottom="1160" w:left="980" w:right="980"/>
        </w:sectPr>
      </w:pPr>
    </w:p>
    <w:p>
      <w:pPr>
        <w:spacing w:line="240" w:lineRule="auto" w:before="12"/>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59"/>
        <w:ind w:left="3826" w:right="0"/>
        <w:jc w:val="left"/>
        <w:rPr>
          <w:b w:val="0"/>
          <w:bCs w:val="0"/>
        </w:rPr>
      </w:pPr>
      <w:bookmarkStart w:name="_bookmark6" w:id="7"/>
      <w:bookmarkEnd w:id="7"/>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left="140" w:right="0"/>
        <w:jc w:val="left"/>
        <w:rPr>
          <w:b w:val="0"/>
          <w:bCs w:val="0"/>
        </w:rPr>
      </w:pPr>
      <w:r>
        <w:rPr/>
        <w:t>一、董事、监事和高级管理人员持股变动</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68" w:type="dxa"/>
        <w:tblLayout w:type="fixed"/>
        <w:tblCellMar>
          <w:top w:w="0" w:type="dxa"/>
          <w:left w:w="0" w:type="dxa"/>
          <w:bottom w:w="0" w:type="dxa"/>
          <w:right w:w="0" w:type="dxa"/>
        </w:tblCellMar>
        <w:tblLook w:val="01E0"/>
      </w:tblPr>
      <w:tblGrid>
        <w:gridCol w:w="1133"/>
        <w:gridCol w:w="1135"/>
        <w:gridCol w:w="994"/>
        <w:gridCol w:w="566"/>
        <w:gridCol w:w="567"/>
        <w:gridCol w:w="1843"/>
        <w:gridCol w:w="1841"/>
        <w:gridCol w:w="1272"/>
        <w:gridCol w:w="1147"/>
        <w:gridCol w:w="1191"/>
        <w:gridCol w:w="926"/>
        <w:gridCol w:w="1277"/>
      </w:tblGrid>
      <w:tr>
        <w:trPr>
          <w:trHeight w:val="1025"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期初持股数</w:t>
            </w:r>
          </w:p>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3" w:right="38"/>
              <w:jc w:val="center"/>
              <w:rPr>
                <w:rFonts w:ascii="宋体" w:hAnsi="宋体" w:cs="宋体" w:eastAsia="宋体" w:hint="default"/>
                <w:sz w:val="21"/>
                <w:szCs w:val="21"/>
              </w:rPr>
            </w:pPr>
            <w:r>
              <w:rPr>
                <w:rFonts w:ascii="宋体" w:hAnsi="宋体" w:cs="宋体" w:eastAsia="宋体" w:hint="default"/>
                <w:sz w:val="21"/>
                <w:szCs w:val="21"/>
              </w:rPr>
              <w:t>本期增持股</w:t>
            </w:r>
            <w:r>
              <w:rPr>
                <w:rFonts w:ascii="宋体" w:hAnsi="宋体" w:cs="宋体" w:eastAsia="宋体" w:hint="default"/>
                <w:w w:val="100"/>
                <w:sz w:val="21"/>
                <w:szCs w:val="21"/>
              </w:rPr>
              <w:t> </w:t>
            </w:r>
            <w:r>
              <w:rPr>
                <w:rFonts w:ascii="宋体" w:hAnsi="宋体" w:cs="宋体" w:eastAsia="宋体" w:hint="default"/>
                <w:sz w:val="21"/>
                <w:szCs w:val="21"/>
              </w:rPr>
              <w:t>份数量</w:t>
            </w:r>
          </w:p>
          <w:p>
            <w:pPr>
              <w:pStyle w:val="TableParagraph"/>
              <w:spacing w:line="240" w:lineRule="auto" w:before="10"/>
              <w:ind w:left="4"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64" w:right="60"/>
              <w:jc w:val="center"/>
              <w:rPr>
                <w:rFonts w:ascii="宋体" w:hAnsi="宋体" w:cs="宋体" w:eastAsia="宋体" w:hint="default"/>
                <w:sz w:val="21"/>
                <w:szCs w:val="21"/>
              </w:rPr>
            </w:pPr>
            <w:r>
              <w:rPr>
                <w:rFonts w:ascii="宋体" w:hAnsi="宋体" w:cs="宋体" w:eastAsia="宋体" w:hint="default"/>
                <w:sz w:val="21"/>
                <w:szCs w:val="21"/>
              </w:rPr>
              <w:t>本期减持股</w:t>
            </w:r>
            <w:r>
              <w:rPr>
                <w:rFonts w:ascii="宋体" w:hAnsi="宋体" w:cs="宋体" w:eastAsia="宋体" w:hint="default"/>
                <w:w w:val="100"/>
                <w:sz w:val="21"/>
                <w:szCs w:val="21"/>
              </w:rPr>
              <w:t> </w:t>
            </w:r>
            <w:r>
              <w:rPr>
                <w:rFonts w:ascii="宋体" w:hAnsi="宋体" w:cs="宋体" w:eastAsia="宋体" w:hint="default"/>
                <w:sz w:val="21"/>
                <w:szCs w:val="21"/>
              </w:rPr>
              <w:t>份数量</w:t>
            </w:r>
          </w:p>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36" w:right="36"/>
              <w:jc w:val="center"/>
              <w:rPr>
                <w:rFonts w:ascii="宋体" w:hAnsi="宋体" w:cs="宋体" w:eastAsia="宋体" w:hint="default"/>
                <w:sz w:val="21"/>
                <w:szCs w:val="21"/>
              </w:rPr>
            </w:pPr>
            <w:r>
              <w:rPr>
                <w:rFonts w:ascii="宋体" w:hAnsi="宋体" w:cs="宋体" w:eastAsia="宋体" w:hint="default"/>
                <w:sz w:val="21"/>
                <w:szCs w:val="21"/>
              </w:rPr>
              <w:t>其他增减</w:t>
            </w:r>
            <w:r>
              <w:rPr>
                <w:rFonts w:ascii="宋体" w:hAnsi="宋体" w:cs="宋体" w:eastAsia="宋体" w:hint="default"/>
                <w:w w:val="100"/>
                <w:sz w:val="21"/>
                <w:szCs w:val="21"/>
              </w:rPr>
              <w:t> </w:t>
            </w:r>
            <w:r>
              <w:rPr>
                <w:rFonts w:ascii="宋体" w:hAnsi="宋体" w:cs="宋体" w:eastAsia="宋体" w:hint="default"/>
                <w:sz w:val="21"/>
                <w:szCs w:val="21"/>
              </w:rPr>
              <w:t>变动</w:t>
            </w:r>
          </w:p>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期末持股数</w:t>
            </w:r>
          </w:p>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（股）</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邵学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Arial" w:hAnsi="Arial" w:cs="Arial" w:eastAsia="Arial" w:hint="default"/>
                <w:sz w:val="21"/>
                <w:szCs w:val="21"/>
              </w:rPr>
            </w:pPr>
            <w:r>
              <w:rPr>
                <w:rFonts w:ascii="Arial"/>
                <w:sz w:val="21"/>
              </w:rPr>
              <w:t>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hAnsi="Arial" w:cs="Arial" w:eastAsia="Arial" w:hint="default"/>
                <w:sz w:val="21"/>
                <w:szCs w:val="21"/>
              </w:rPr>
              <w:t>2003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14</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137,540,900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13,093,755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Arial" w:hAnsi="Arial" w:cs="Arial" w:eastAsia="Arial" w:hint="default"/>
                <w:sz w:val="21"/>
                <w:szCs w:val="21"/>
              </w:rPr>
            </w:pPr>
            <w:r>
              <w:rPr>
                <w:rFonts w:ascii="Arial"/>
                <w:spacing w:val="-1"/>
                <w:sz w:val="21"/>
              </w:rPr>
              <w:t>150,634,655</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456" w:right="113" w:hanging="344"/>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宋体" w:hAnsi="宋体" w:cs="宋体" w:eastAsia="宋体" w:hint="default"/>
                <w:sz w:val="21"/>
                <w:szCs w:val="21"/>
              </w:rPr>
              <w:t>总经</w:t>
            </w:r>
            <w:r>
              <w:rPr>
                <w:rFonts w:ascii="宋体" w:hAnsi="宋体" w:cs="宋体" w:eastAsia="宋体" w:hint="default"/>
                <w:spacing w:val="-3"/>
                <w:w w:val="100"/>
                <w:sz w:val="21"/>
                <w:szCs w:val="21"/>
              </w:rPr>
              <w:t> </w:t>
            </w:r>
            <w:r>
              <w:rPr>
                <w:rFonts w:ascii="宋体" w:hAnsi="宋体" w:cs="宋体" w:eastAsia="宋体" w:hint="default"/>
                <w:sz w:val="21"/>
                <w:szCs w:val="21"/>
              </w:rPr>
              <w:t>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Arial" w:hAnsi="Arial" w:cs="Arial" w:eastAsia="Arial" w:hint="default"/>
                <w:sz w:val="21"/>
                <w:szCs w:val="21"/>
              </w:rPr>
            </w:pPr>
            <w:r>
              <w:rPr>
                <w:rFonts w:ascii="Arial"/>
                <w:sz w:val="21"/>
              </w:rPr>
              <w:t>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03</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spacing w:val="-1"/>
                <w:sz w:val="21"/>
              </w:rPr>
              <w:t>2,901,592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7"/>
              <w:jc w:val="right"/>
              <w:rPr>
                <w:rFonts w:ascii="Arial" w:hAnsi="Arial" w:cs="Arial" w:eastAsia="Arial" w:hint="default"/>
                <w:sz w:val="21"/>
                <w:szCs w:val="21"/>
              </w:rPr>
            </w:pPr>
            <w:r>
              <w:rPr>
                <w:rFonts w:ascii="Arial"/>
                <w:spacing w:val="-1"/>
                <w:sz w:val="21"/>
              </w:rPr>
              <w:t>208,800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spacing w:val="-3"/>
                <w:sz w:val="21"/>
              </w:rPr>
              <w:t>3,110,392</w:t>
            </w:r>
          </w:p>
        </w:tc>
      </w:tr>
      <w:tr>
        <w:trPr>
          <w:trHeight w:val="71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Arial" w:hAnsi="Arial" w:cs="Arial" w:eastAsia="Arial" w:hint="default"/>
                <w:sz w:val="21"/>
                <w:szCs w:val="21"/>
              </w:rPr>
            </w:pPr>
            <w:r>
              <w:rPr>
                <w:rFonts w:ascii="Arial"/>
                <w:sz w:val="21"/>
              </w:rPr>
              <w:t>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28</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spacing w:val="-1"/>
                <w:sz w:val="21"/>
              </w:rPr>
              <w:t>21,818,961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spacing w:val="-1"/>
                <w:sz w:val="21"/>
              </w:rPr>
              <w:t>21,818,961</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352" w:right="113" w:hanging="240"/>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宋体" w:hAnsi="宋体" w:cs="宋体" w:eastAsia="宋体" w:hint="default"/>
                <w:sz w:val="21"/>
                <w:szCs w:val="21"/>
              </w:rPr>
              <w:t>副总</w:t>
            </w:r>
            <w:r>
              <w:rPr>
                <w:rFonts w:ascii="宋体" w:hAnsi="宋体" w:cs="宋体" w:eastAsia="宋体" w:hint="default"/>
                <w:spacing w:val="-3"/>
                <w:w w:val="100"/>
                <w:sz w:val="21"/>
                <w:szCs w:val="21"/>
              </w:rPr>
              <w:t> </w:t>
            </w:r>
            <w:r>
              <w:rPr>
                <w:rFonts w:ascii="宋体" w:hAnsi="宋体" w:cs="宋体" w:eastAsia="宋体" w:hint="default"/>
                <w:sz w:val="21"/>
                <w:szCs w:val="21"/>
              </w:rPr>
              <w:t>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Arial" w:hAnsi="Arial" w:cs="Arial" w:eastAsia="Arial" w:hint="default"/>
                <w:sz w:val="21"/>
                <w:szCs w:val="21"/>
              </w:rPr>
            </w:pPr>
            <w:r>
              <w:rPr>
                <w:rFonts w:ascii="Arial"/>
                <w:sz w:val="21"/>
              </w:rPr>
              <w:t>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hAnsi="Arial" w:cs="Arial" w:eastAsia="Arial" w:hint="default"/>
                <w:sz w:val="21"/>
                <w:szCs w:val="21"/>
              </w:rPr>
              <w:t>2002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spacing w:val="-1"/>
                <w:sz w:val="21"/>
              </w:rPr>
              <w:t>9,522,756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spacing w:val="-1"/>
                <w:sz w:val="21"/>
              </w:rPr>
              <w:t>9,522,756</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Arial" w:hAnsi="Arial" w:cs="Arial" w:eastAsia="Arial" w:hint="default"/>
                <w:sz w:val="21"/>
                <w:szCs w:val="21"/>
              </w:rPr>
            </w:pPr>
            <w:r>
              <w:rPr>
                <w:rFonts w:ascii="Arial"/>
                <w:sz w:val="21"/>
              </w:rPr>
              <w:t>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14</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Arial" w:hAnsi="Arial" w:cs="Arial" w:eastAsia="Arial" w:hint="default"/>
                <w:sz w:val="21"/>
                <w:szCs w:val="21"/>
              </w:rPr>
            </w:pPr>
            <w:r>
              <w:rPr>
                <w:rFonts w:ascii="Arial"/>
                <w:sz w:val="21"/>
              </w:rPr>
              <w:t>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21</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r>
      <w:tr>
        <w:trPr>
          <w:trHeight w:val="71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朱恒源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Arial" w:hAnsi="Arial" w:cs="Arial" w:eastAsia="Arial" w:hint="default"/>
                <w:sz w:val="21"/>
                <w:szCs w:val="21"/>
              </w:rPr>
            </w:pPr>
            <w:r>
              <w:rPr>
                <w:rFonts w:ascii="Arial"/>
                <w:sz w:val="21"/>
              </w:rPr>
              <w:t>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樊娇娇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Arial" w:hAnsi="Arial" w:cs="Arial" w:eastAsia="Arial" w:hint="default"/>
                <w:sz w:val="21"/>
                <w:szCs w:val="21"/>
              </w:rPr>
            </w:pPr>
            <w:r>
              <w:rPr>
                <w:rFonts w:ascii="Arial"/>
                <w:sz w:val="21"/>
              </w:rPr>
              <w:t>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21</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Arial" w:hAnsi="Arial" w:cs="Arial" w:eastAsia="Arial" w:hint="default"/>
                <w:sz w:val="21"/>
                <w:szCs w:val="21"/>
              </w:rPr>
            </w:pPr>
            <w:r>
              <w:rPr>
                <w:rFonts w:ascii="Arial"/>
                <w:sz w:val="21"/>
              </w:rPr>
              <w:t>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r>
    </w:tbl>
    <w:p>
      <w:pPr>
        <w:spacing w:after="0" w:line="240" w:lineRule="auto"/>
        <w:jc w:val="right"/>
        <w:rPr>
          <w:rFonts w:ascii="Arial" w:hAnsi="Arial" w:cs="Arial" w:eastAsia="Arial" w:hint="default"/>
          <w:sz w:val="21"/>
          <w:szCs w:val="21"/>
        </w:rPr>
        <w:sectPr>
          <w:headerReference w:type="default" r:id="rId21"/>
          <w:footerReference w:type="default" r:id="rId22"/>
          <w:pgSz w:w="16840" w:h="11910" w:orient="landscape"/>
          <w:pgMar w:header="866" w:footer="980" w:top="1060" w:bottom="1160" w:left="1300" w:right="1300"/>
          <w:pgNumType w:start="86"/>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133"/>
        <w:gridCol w:w="1135"/>
        <w:gridCol w:w="994"/>
        <w:gridCol w:w="566"/>
        <w:gridCol w:w="567"/>
        <w:gridCol w:w="1843"/>
        <w:gridCol w:w="1841"/>
        <w:gridCol w:w="1272"/>
        <w:gridCol w:w="1147"/>
        <w:gridCol w:w="1191"/>
        <w:gridCol w:w="926"/>
        <w:gridCol w:w="1277"/>
      </w:tblGrid>
      <w:tr>
        <w:trPr>
          <w:trHeight w:val="730" w:hRule="exact"/>
        </w:trPr>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王月</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21"/>
                <w:szCs w:val="21"/>
              </w:rPr>
            </w:pPr>
            <w:r>
              <w:rPr>
                <w:rFonts w:ascii="Arial"/>
                <w:sz w:val="21"/>
              </w:rPr>
              <w:t>24</w:t>
            </w:r>
          </w:p>
        </w:tc>
        <w:tc>
          <w:tcPr>
            <w:tcW w:w="18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06</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14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王子纯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21"/>
                <w:szCs w:val="21"/>
              </w:rPr>
            </w:pPr>
            <w:r>
              <w:rPr>
                <w:rFonts w:ascii="Arial"/>
                <w:sz w:val="21"/>
              </w:rPr>
              <w:t>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06</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141" w:right="109" w:hanging="29"/>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财务总监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21"/>
                <w:szCs w:val="21"/>
              </w:rPr>
            </w:pPr>
            <w:r>
              <w:rPr>
                <w:rFonts w:ascii="Arial"/>
                <w:sz w:val="21"/>
              </w:rPr>
              <w:t>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Arial" w:hAnsi="Arial" w:cs="Arial" w:eastAsia="Arial"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01</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171,633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before="80"/>
              <w:ind w:left="21" w:right="0"/>
              <w:jc w:val="left"/>
              <w:rPr>
                <w:rFonts w:ascii="Arial" w:hAnsi="Arial" w:cs="Arial" w:eastAsia="Arial" w:hint="default"/>
                <w:sz w:val="21"/>
                <w:szCs w:val="21"/>
              </w:rPr>
            </w:pPr>
            <w:r>
              <w:rPr>
                <w:rFonts w:ascii="Arial"/>
                <w:sz w:val="21"/>
              </w:rPr>
              <w:t>150,000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321,633</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邢立君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56" w:right="33" w:hanging="420"/>
              <w:jc w:val="left"/>
              <w:rPr>
                <w:rFonts w:ascii="宋体" w:hAnsi="宋体" w:cs="宋体" w:eastAsia="宋体" w:hint="default"/>
                <w:sz w:val="21"/>
                <w:szCs w:val="21"/>
              </w:rPr>
            </w:pPr>
            <w:r>
              <w:rPr>
                <w:rFonts w:ascii="宋体" w:hAnsi="宋体" w:cs="宋体" w:eastAsia="宋体" w:hint="default"/>
                <w:sz w:val="21"/>
                <w:szCs w:val="21"/>
              </w:rPr>
              <w:t>人力资源总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21"/>
                <w:szCs w:val="21"/>
              </w:rPr>
            </w:pPr>
            <w:r>
              <w:rPr>
                <w:rFonts w:ascii="Arial"/>
                <w:sz w:val="21"/>
              </w:rPr>
              <w:t>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01</w:t>
            </w:r>
          </w:p>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p>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148,713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before="83"/>
              <w:ind w:left="21" w:right="0"/>
              <w:jc w:val="left"/>
              <w:rPr>
                <w:rFonts w:ascii="Arial" w:hAnsi="Arial" w:cs="Arial" w:eastAsia="Arial" w:hint="default"/>
                <w:sz w:val="21"/>
                <w:szCs w:val="21"/>
              </w:rPr>
            </w:pPr>
            <w:r>
              <w:rPr>
                <w:rFonts w:ascii="Arial"/>
                <w:sz w:val="21"/>
              </w:rPr>
              <w:t>150,000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298,713</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韦光宇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21"/>
                <w:szCs w:val="21"/>
              </w:rPr>
            </w:pPr>
            <w:r>
              <w:rPr>
                <w:rFonts w:ascii="Arial"/>
                <w:sz w:val="21"/>
              </w:rPr>
              <w:t>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Arial" w:hAnsi="Arial" w:cs="Arial" w:eastAsia="Arial"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Arial" w:hAnsi="Arial" w:cs="Arial" w:eastAsia="Arial" w:hint="default"/>
                <w:sz w:val="21"/>
                <w:szCs w:val="21"/>
              </w:rPr>
            </w:pPr>
            <w:r>
              <w:rPr>
                <w:rFonts w:ascii="Arial"/>
                <w:spacing w:val="-1"/>
                <w:sz w:val="21"/>
              </w:rPr>
              <w:t>99,195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before="80"/>
              <w:ind w:left="21" w:right="0"/>
              <w:jc w:val="left"/>
              <w:rPr>
                <w:rFonts w:ascii="Arial" w:hAnsi="Arial" w:cs="Arial" w:eastAsia="Arial" w:hint="default"/>
                <w:sz w:val="21"/>
                <w:szCs w:val="21"/>
              </w:rPr>
            </w:pPr>
            <w:r>
              <w:rPr>
                <w:rFonts w:ascii="Arial"/>
                <w:sz w:val="21"/>
              </w:rPr>
              <w:t>150,000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249,195</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2"/>
              <w:jc w:val="center"/>
              <w:rPr>
                <w:rFonts w:ascii="Arial" w:hAnsi="Arial" w:cs="Arial" w:eastAsia="Arial" w:hint="default"/>
                <w:sz w:val="21"/>
                <w:szCs w:val="21"/>
              </w:rPr>
            </w:pPr>
            <w:r>
              <w:rPr>
                <w:rFonts w:ascii="Arial"/>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2"/>
              <w:jc w:val="center"/>
              <w:rPr>
                <w:rFonts w:ascii="Arial" w:hAnsi="Arial" w:cs="Arial" w:eastAsia="Arial" w:hint="default"/>
                <w:sz w:val="21"/>
                <w:szCs w:val="21"/>
              </w:rPr>
            </w:pPr>
            <w:r>
              <w:rPr>
                <w:rFonts w:ascii="Arial"/>
                <w:sz w:val="21"/>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3"/>
              <w:jc w:val="center"/>
              <w:rPr>
                <w:rFonts w:ascii="Arial" w:hAnsi="Arial" w:cs="Arial" w:eastAsia="Arial" w:hint="default"/>
                <w:sz w:val="21"/>
                <w:szCs w:val="21"/>
              </w:rPr>
            </w:pPr>
            <w:r>
              <w:rPr>
                <w:rFonts w:ascii="Arial"/>
                <w:sz w:val="21"/>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172,203,750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13,605,105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450,000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186,258,855</w:t>
            </w:r>
          </w:p>
        </w:tc>
      </w:tr>
    </w:tbl>
    <w:p>
      <w:pPr>
        <w:spacing w:after="0" w:line="240" w:lineRule="auto"/>
        <w:jc w:val="right"/>
        <w:rPr>
          <w:rFonts w:ascii="Arial" w:hAnsi="Arial" w:cs="Arial" w:eastAsia="Arial" w:hint="default"/>
          <w:sz w:val="21"/>
          <w:szCs w:val="21"/>
        </w:rPr>
        <w:sectPr>
          <w:pgSz w:w="16840" w:h="11910" w:orient="landscape"/>
          <w:pgMar w:header="866" w:footer="980" w:top="1060" w:bottom="1160" w:left="1360" w:right="1320"/>
        </w:sectPr>
      </w:pPr>
    </w:p>
    <w:p>
      <w:pPr>
        <w:spacing w:line="240" w:lineRule="auto" w:before="11"/>
        <w:rPr>
          <w:rFonts w:ascii="Times New Roman" w:hAnsi="Times New Roman" w:cs="Times New Roman" w:eastAsia="Times New Roman" w:hint="default"/>
          <w:sz w:val="26"/>
          <w:szCs w:val="26"/>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7"/>
        <w:rPr>
          <w:rFonts w:ascii="宋体" w:hAnsi="宋体" w:cs="宋体" w:eastAsia="宋体" w:hint="default"/>
          <w:sz w:val="4"/>
          <w:szCs w:val="4"/>
        </w:rPr>
      </w:pPr>
    </w:p>
    <w:tbl>
      <w:tblPr>
        <w:tblW w:w="0" w:type="auto"/>
        <w:jc w:val="left"/>
        <w:tblInd w:w="181" w:type="dxa"/>
        <w:tblLayout w:type="fixed"/>
        <w:tblCellMar>
          <w:top w:w="0" w:type="dxa"/>
          <w:left w:w="0" w:type="dxa"/>
          <w:bottom w:w="0" w:type="dxa"/>
          <w:right w:w="0" w:type="dxa"/>
        </w:tblCellMar>
        <w:tblLook w:val="01E0"/>
      </w:tblPr>
      <w:tblGrid>
        <w:gridCol w:w="1330"/>
        <w:gridCol w:w="1330"/>
        <w:gridCol w:w="1330"/>
        <w:gridCol w:w="2532"/>
        <w:gridCol w:w="30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44"/>
              <w:jc w:val="right"/>
              <w:rPr>
                <w:rFonts w:ascii="宋体" w:hAnsi="宋体" w:cs="宋体" w:eastAsia="宋体" w:hint="default"/>
                <w:sz w:val="21"/>
                <w:szCs w:val="21"/>
              </w:rPr>
            </w:pPr>
            <w:r>
              <w:rPr>
                <w:rFonts w:ascii="宋体" w:hAnsi="宋体" w:cs="宋体" w:eastAsia="宋体" w:hint="default"/>
                <w:sz w:val="21"/>
                <w:szCs w:val="21"/>
              </w:rPr>
              <w:t>类型</w:t>
            </w: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21"/>
                <w:szCs w:val="21"/>
              </w:rPr>
            </w:pPr>
            <w:r>
              <w:rPr>
                <w:rFonts w:ascii="宋体" w:hAnsi="宋体" w:cs="宋体" w:eastAsia="宋体" w:hint="default"/>
                <w:sz w:val="21"/>
                <w:szCs w:val="21"/>
              </w:rPr>
              <w:t>任免</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09</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5"/>
              <w:jc w:val="both"/>
              <w:rPr>
                <w:rFonts w:ascii="宋体" w:hAnsi="宋体" w:cs="宋体" w:eastAsia="宋体" w:hint="default"/>
                <w:sz w:val="21"/>
                <w:szCs w:val="21"/>
              </w:rPr>
            </w:pPr>
            <w:r>
              <w:rPr>
                <w:rFonts w:ascii="宋体" w:hAnsi="宋体" w:cs="宋体" w:eastAsia="宋体" w:hint="default"/>
                <w:spacing w:val="-2"/>
                <w:sz w:val="21"/>
                <w:szCs w:val="21"/>
              </w:rPr>
              <w:t>根据公司业务发展需要，经公司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董事会决定，聘任王琰先生为公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司副总经理</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444"/>
              <w:jc w:val="right"/>
              <w:rPr>
                <w:rFonts w:ascii="宋体" w:hAnsi="宋体" w:cs="宋体" w:eastAsia="宋体" w:hint="default"/>
                <w:sz w:val="21"/>
                <w:szCs w:val="21"/>
              </w:rPr>
            </w:pPr>
            <w:r>
              <w:rPr>
                <w:rFonts w:ascii="宋体" w:hAnsi="宋体" w:cs="宋体" w:eastAsia="宋体" w:hint="default"/>
                <w:sz w:val="21"/>
                <w:szCs w:val="21"/>
              </w:rPr>
              <w:t>任免</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5"/>
              <w:jc w:val="both"/>
              <w:rPr>
                <w:rFonts w:ascii="宋体" w:hAnsi="宋体" w:cs="宋体" w:eastAsia="宋体" w:hint="default"/>
                <w:sz w:val="21"/>
                <w:szCs w:val="21"/>
              </w:rPr>
            </w:pPr>
            <w:r>
              <w:rPr>
                <w:rFonts w:ascii="宋体" w:hAnsi="宋体" w:cs="宋体" w:eastAsia="宋体" w:hint="default"/>
                <w:spacing w:val="-2"/>
                <w:sz w:val="21"/>
                <w:szCs w:val="21"/>
              </w:rPr>
              <w:t>根据监事会对监事的职责要求，</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经公司股东大会决定，选举王月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为公司监事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王子纯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44"/>
              <w:jc w:val="right"/>
              <w:rPr>
                <w:rFonts w:ascii="宋体" w:hAnsi="宋体" w:cs="宋体" w:eastAsia="宋体" w:hint="default"/>
                <w:sz w:val="21"/>
                <w:szCs w:val="21"/>
              </w:rPr>
            </w:pPr>
            <w:r>
              <w:rPr>
                <w:rFonts w:ascii="宋体" w:hAnsi="宋体" w:cs="宋体" w:eastAsia="宋体" w:hint="default"/>
                <w:sz w:val="21"/>
                <w:szCs w:val="21"/>
              </w:rPr>
              <w:t>离任</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5"/>
              <w:jc w:val="left"/>
              <w:rPr>
                <w:rFonts w:ascii="宋体" w:hAnsi="宋体" w:cs="宋体" w:eastAsia="宋体" w:hint="default"/>
                <w:sz w:val="21"/>
                <w:szCs w:val="21"/>
              </w:rPr>
            </w:pPr>
            <w:r>
              <w:rPr>
                <w:rFonts w:ascii="宋体" w:hAnsi="宋体" w:cs="宋体" w:eastAsia="宋体" w:hint="default"/>
                <w:spacing w:val="-2"/>
                <w:sz w:val="21"/>
                <w:szCs w:val="21"/>
              </w:rPr>
              <w:t>王子纯先生因个人原因，辞去公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司监事职务</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三、任职情况</w:t>
      </w:r>
      <w:r>
        <w:rPr>
          <w:b w:val="0"/>
          <w:bCs w:val="0"/>
        </w:rPr>
      </w: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before="26"/>
        <w:ind w:left="633" w:right="0"/>
        <w:jc w:val="left"/>
      </w:pPr>
      <w:r>
        <w:rPr/>
        <w:t>公司现任董事、监事、高级管理人员专业背景、主要工作经历以及目前在公司的主要职</w:t>
      </w:r>
    </w:p>
    <w:p>
      <w:pPr>
        <w:pStyle w:val="BodyText"/>
        <w:spacing w:line="240" w:lineRule="auto" w:before="74"/>
        <w:ind w:right="0"/>
        <w:jc w:val="left"/>
      </w:pPr>
      <w:r>
        <w:rPr/>
        <w:t>责</w:t>
      </w:r>
    </w:p>
    <w:p>
      <w:pPr>
        <w:spacing w:line="240" w:lineRule="auto" w:before="9"/>
        <w:rPr>
          <w:rFonts w:ascii="宋体" w:hAnsi="宋体" w:cs="宋体" w:eastAsia="宋体" w:hint="default"/>
          <w:sz w:val="12"/>
          <w:szCs w:val="12"/>
        </w:rPr>
      </w:pPr>
    </w:p>
    <w:p>
      <w:pPr>
        <w:pStyle w:val="Heading2"/>
        <w:spacing w:line="367" w:lineRule="exact"/>
        <w:ind w:left="635" w:right="0"/>
        <w:jc w:val="left"/>
        <w:rPr>
          <w:b w:val="0"/>
          <w:bCs w:val="0"/>
        </w:rPr>
      </w:pPr>
      <w:r>
        <w:rPr/>
        <w:t>公司董事会共七名董事，具体情况如下：</w:t>
      </w:r>
      <w:r>
        <w:rPr>
          <w:b w:val="0"/>
          <w:bCs w:val="0"/>
        </w:rPr>
      </w:r>
    </w:p>
    <w:p>
      <w:pPr>
        <w:pStyle w:val="BodyText"/>
        <w:spacing w:line="283" w:lineRule="auto" w:before="167"/>
        <w:ind w:right="148" w:firstLine="480"/>
        <w:jc w:val="both"/>
      </w:pPr>
      <w:r>
        <w:rPr>
          <w:spacing w:val="-4"/>
        </w:rPr>
        <w:t>邵学先生，中国国籍，</w:t>
      </w:r>
      <w:r>
        <w:rPr>
          <w:rFonts w:ascii="Arial" w:hAnsi="Arial" w:cs="Arial" w:eastAsia="Arial" w:hint="default"/>
          <w:spacing w:val="-4"/>
        </w:rPr>
        <w:t>1961</w:t>
      </w:r>
      <w:r>
        <w:rPr>
          <w:spacing w:val="-4"/>
        </w:rPr>
        <w:t>年</w:t>
      </w:r>
      <w:r>
        <w:rPr>
          <w:rFonts w:ascii="Arial" w:hAnsi="Arial" w:cs="Arial" w:eastAsia="Arial" w:hint="default"/>
          <w:spacing w:val="-4"/>
        </w:rPr>
        <w:t>12</w:t>
      </w:r>
      <w:r>
        <w:rPr>
          <w:spacing w:val="-4"/>
        </w:rPr>
        <w:t>月出生，硕士学位，工程师职称。</w:t>
      </w:r>
      <w:r>
        <w:rPr>
          <w:rFonts w:ascii="Arial" w:hAnsi="Arial" w:cs="Arial" w:eastAsia="Arial" w:hint="default"/>
          <w:spacing w:val="-4"/>
        </w:rPr>
        <w:t>2001</w:t>
      </w:r>
      <w:r>
        <w:rPr>
          <w:spacing w:val="-4"/>
        </w:rPr>
        <w:t>年至</w:t>
      </w:r>
      <w:r>
        <w:rPr>
          <w:rFonts w:ascii="Arial" w:hAnsi="Arial" w:cs="Arial" w:eastAsia="Arial" w:hint="default"/>
          <w:spacing w:val="-4"/>
        </w:rPr>
        <w:t>2016</w:t>
      </w:r>
      <w:r>
        <w:rPr>
          <w:spacing w:val="-4"/>
        </w:rPr>
        <w:t>年任公</w:t>
      </w:r>
      <w:r>
        <w:rPr/>
        <w:t> </w:t>
      </w:r>
      <w:r>
        <w:rPr>
          <w:spacing w:val="-1"/>
        </w:rPr>
        <w:t>司总经理，</w:t>
      </w:r>
      <w:r>
        <w:rPr>
          <w:rFonts w:ascii="Arial" w:hAnsi="Arial" w:cs="Arial" w:eastAsia="Arial" w:hint="default"/>
          <w:spacing w:val="-1"/>
        </w:rPr>
        <w:t>2003</w:t>
      </w:r>
      <w:r>
        <w:rPr>
          <w:spacing w:val="-1"/>
        </w:rPr>
        <w:t>年至今任公司董事长。目前还兼任华宇元典董事长，捷视飞通、联奕科技董</w:t>
      </w:r>
      <w:r>
        <w:rPr>
          <w:spacing w:val="-102"/>
        </w:rPr>
        <w:t> </w:t>
      </w:r>
      <w:r>
        <w:rPr>
          <w:spacing w:val="-102"/>
        </w:rPr>
      </w:r>
      <w:r>
        <w:rPr/>
        <w:t>事，兼任华宇科创执行董事。</w:t>
      </w:r>
    </w:p>
    <w:p>
      <w:pPr>
        <w:pStyle w:val="BodyText"/>
        <w:spacing w:line="292" w:lineRule="auto" w:before="188"/>
        <w:ind w:right="146" w:firstLine="480"/>
        <w:jc w:val="both"/>
      </w:pPr>
      <w:r>
        <w:rPr>
          <w:spacing w:val="-1"/>
        </w:rPr>
        <w:t>吕宾先生，中国国籍，</w:t>
      </w:r>
      <w:r>
        <w:rPr>
          <w:rFonts w:ascii="Arial" w:hAnsi="Arial" w:cs="Arial" w:eastAsia="Arial" w:hint="default"/>
          <w:spacing w:val="-1"/>
        </w:rPr>
        <w:t>1973</w:t>
      </w:r>
      <w:r>
        <w:rPr>
          <w:spacing w:val="-1"/>
        </w:rPr>
        <w:t>年</w:t>
      </w:r>
      <w:r>
        <w:rPr>
          <w:rFonts w:ascii="Arial" w:hAnsi="Arial" w:cs="Arial" w:eastAsia="Arial" w:hint="default"/>
          <w:spacing w:val="-1"/>
        </w:rPr>
        <w:t>6</w:t>
      </w:r>
      <w:r>
        <w:rPr>
          <w:spacing w:val="-1"/>
        </w:rPr>
        <w:t>月出生，硕士学位，高级工程师职称。</w:t>
      </w:r>
      <w:r>
        <w:rPr>
          <w:rFonts w:ascii="Arial" w:hAnsi="Arial" w:cs="Arial" w:eastAsia="Arial" w:hint="default"/>
          <w:spacing w:val="-1"/>
        </w:rPr>
        <w:t>2006</w:t>
      </w:r>
      <w:r>
        <w:rPr>
          <w:spacing w:val="-1"/>
        </w:rPr>
        <w:t>年至</w:t>
      </w:r>
      <w:r>
        <w:rPr>
          <w:rFonts w:ascii="Arial" w:hAnsi="Arial" w:cs="Arial" w:eastAsia="Arial" w:hint="default"/>
          <w:spacing w:val="-1"/>
        </w:rPr>
        <w:t>2016</w:t>
      </w:r>
      <w:r>
        <w:rPr>
          <w:spacing w:val="-1"/>
        </w:rPr>
        <w:t>年</w:t>
      </w:r>
      <w:r>
        <w:rPr/>
        <w:t> 任公司董事、副总经理，现任公司董事、总经理。目前还兼任亿信华辰、万户网络董事长，</w:t>
      </w:r>
      <w:r>
        <w:rPr>
          <w:spacing w:val="-91"/>
        </w:rPr>
        <w:t> </w:t>
      </w:r>
      <w:r>
        <w:rPr>
          <w:spacing w:val="-91"/>
        </w:rPr>
      </w:r>
      <w:r>
        <w:rPr>
          <w:spacing w:val="-5"/>
        </w:rPr>
        <w:t>兼任华宇信息、广州华宇、华宇金信、浦东华宇、联奕科技，华宇元典、溯源云董事，兼任北</w:t>
      </w:r>
      <w:r>
        <w:rPr>
          <w:spacing w:val="-118"/>
        </w:rPr>
        <w:t> </w:t>
      </w:r>
      <w:r>
        <w:rPr>
          <w:spacing w:val="-118"/>
        </w:rPr>
      </w:r>
      <w:r>
        <w:rPr/>
        <w:t>京宗弈远承文化传播有限责任公司董事长，北京寰宇医道科技有限公司董事长。</w:t>
      </w:r>
    </w:p>
    <w:p>
      <w:pPr>
        <w:pStyle w:val="BodyText"/>
        <w:spacing w:line="283" w:lineRule="auto" w:before="178"/>
        <w:ind w:right="155" w:firstLine="480"/>
        <w:jc w:val="both"/>
      </w:pPr>
      <w:r>
        <w:rPr/>
        <w:t>任涛先生，中国国籍，</w:t>
      </w:r>
      <w:r>
        <w:rPr>
          <w:rFonts w:ascii="Arial" w:hAnsi="Arial" w:cs="Arial" w:eastAsia="Arial" w:hint="default"/>
        </w:rPr>
        <w:t>1974</w:t>
      </w:r>
      <w:r>
        <w:rPr/>
        <w:t>年</w:t>
      </w:r>
      <w:r>
        <w:rPr>
          <w:rFonts w:ascii="Arial" w:hAnsi="Arial" w:cs="Arial" w:eastAsia="Arial" w:hint="default"/>
        </w:rPr>
        <w:t>1</w:t>
      </w:r>
      <w:r>
        <w:rPr/>
        <w:t>月出生，学士学位。</w:t>
      </w:r>
      <w:r>
        <w:rPr>
          <w:rFonts w:ascii="Arial" w:hAnsi="Arial" w:cs="Arial" w:eastAsia="Arial" w:hint="default"/>
        </w:rPr>
        <w:t>2009</w:t>
      </w:r>
      <w:r>
        <w:rPr/>
        <w:t>年至今任公司董事，现任广州 华宇、数字方舟、浦东华宇董事长。</w:t>
      </w:r>
    </w:p>
    <w:p>
      <w:pPr>
        <w:pStyle w:val="BodyText"/>
        <w:spacing w:line="283" w:lineRule="auto" w:before="187"/>
        <w:ind w:right="156" w:firstLine="480"/>
        <w:jc w:val="both"/>
      </w:pPr>
      <w:r>
        <w:rPr/>
        <w:t>赵晓明先生，中国国籍，</w:t>
      </w:r>
      <w:r>
        <w:rPr>
          <w:rFonts w:ascii="Arial" w:hAnsi="Arial" w:cs="Arial" w:eastAsia="Arial" w:hint="default"/>
        </w:rPr>
        <w:t>1971</w:t>
      </w:r>
      <w:r>
        <w:rPr/>
        <w:t>年</w:t>
      </w:r>
      <w:r>
        <w:rPr>
          <w:rFonts w:ascii="Arial" w:hAnsi="Arial" w:cs="Arial" w:eastAsia="Arial" w:hint="default"/>
        </w:rPr>
        <w:t>9</w:t>
      </w:r>
      <w:r>
        <w:rPr/>
        <w:t>月出生，硕士学位，工程师职称。自</w:t>
      </w:r>
      <w:r>
        <w:rPr>
          <w:rFonts w:ascii="Arial" w:hAnsi="Arial" w:cs="Arial" w:eastAsia="Arial" w:hint="default"/>
        </w:rPr>
        <w:t>2002</w:t>
      </w:r>
      <w:r>
        <w:rPr/>
        <w:t>年起任公司 副总经理，</w:t>
      </w:r>
      <w:r>
        <w:rPr>
          <w:rFonts w:ascii="Arial" w:hAnsi="Arial" w:cs="Arial" w:eastAsia="Arial" w:hint="default"/>
        </w:rPr>
        <w:t>2007</w:t>
      </w:r>
      <w:r>
        <w:rPr/>
        <w:t>年至今任公司董事。目前还兼任亿信华辰、联奕科技董事。</w:t>
      </w:r>
    </w:p>
    <w:p>
      <w:pPr>
        <w:pStyle w:val="BodyText"/>
        <w:spacing w:line="290" w:lineRule="auto" w:before="166"/>
        <w:ind w:right="149" w:firstLine="480"/>
        <w:jc w:val="both"/>
      </w:pPr>
      <w:r>
        <w:rPr>
          <w:spacing w:val="-4"/>
        </w:rPr>
        <w:t>朱恒源先生，中国国籍，</w:t>
      </w:r>
      <w:r>
        <w:rPr>
          <w:rFonts w:ascii="Arial" w:hAnsi="Arial" w:cs="Arial" w:eastAsia="Arial" w:hint="default"/>
          <w:spacing w:val="-4"/>
        </w:rPr>
        <w:t>1968</w:t>
      </w:r>
      <w:r>
        <w:rPr>
          <w:spacing w:val="-4"/>
        </w:rPr>
        <w:t>年</w:t>
      </w:r>
      <w:r>
        <w:rPr>
          <w:rFonts w:ascii="Arial" w:hAnsi="Arial" w:cs="Arial" w:eastAsia="Arial" w:hint="default"/>
          <w:spacing w:val="-4"/>
        </w:rPr>
        <w:t>7</w:t>
      </w:r>
      <w:r>
        <w:rPr>
          <w:spacing w:val="-4"/>
        </w:rPr>
        <w:t>月出生，博士学历，清华大学经济管理学院副教授。目</w:t>
      </w:r>
      <w:r>
        <w:rPr/>
        <w:t> 前就职于清华大学经济管理学院，并任中国全聚德（集团）股份有限公司独立董事、海南珠</w:t>
      </w:r>
      <w:r>
        <w:rPr>
          <w:spacing w:val="-91"/>
        </w:rPr>
        <w:t> </w:t>
      </w:r>
      <w:r>
        <w:rPr>
          <w:spacing w:val="-91"/>
        </w:rPr>
      </w:r>
      <w:r>
        <w:rPr/>
        <w:t>江控股股份有限公司独立董事。</w:t>
      </w:r>
    </w:p>
    <w:p>
      <w:pPr>
        <w:pStyle w:val="BodyText"/>
        <w:spacing w:line="283" w:lineRule="auto" w:before="182"/>
        <w:ind w:right="150" w:firstLine="480"/>
        <w:jc w:val="both"/>
      </w:pPr>
      <w:r>
        <w:rPr>
          <w:spacing w:val="-5"/>
        </w:rPr>
        <w:t>甘培忠先生，中国国籍，</w:t>
      </w:r>
      <w:r>
        <w:rPr>
          <w:rFonts w:ascii="Arial" w:hAnsi="Arial" w:cs="Arial" w:eastAsia="Arial" w:hint="default"/>
          <w:spacing w:val="-5"/>
        </w:rPr>
        <w:t>1956</w:t>
      </w:r>
      <w:r>
        <w:rPr>
          <w:spacing w:val="-5"/>
        </w:rPr>
        <w:t>年</w:t>
      </w:r>
      <w:r>
        <w:rPr>
          <w:rFonts w:ascii="Arial" w:hAnsi="Arial" w:cs="Arial" w:eastAsia="Arial" w:hint="default"/>
          <w:spacing w:val="-5"/>
        </w:rPr>
        <w:t>5</w:t>
      </w:r>
      <w:r>
        <w:rPr>
          <w:spacing w:val="-5"/>
        </w:rPr>
        <w:t>月出生，博士学历，教授。</w:t>
      </w:r>
      <w:r>
        <w:rPr>
          <w:rFonts w:ascii="Arial" w:hAnsi="Arial" w:cs="Arial" w:eastAsia="Arial" w:hint="default"/>
          <w:spacing w:val="-5"/>
        </w:rPr>
        <w:t>2015</w:t>
      </w:r>
      <w:r>
        <w:rPr>
          <w:spacing w:val="-5"/>
        </w:rPr>
        <w:t>年起任公司独立董事。</w:t>
      </w:r>
      <w:r>
        <w:rPr/>
        <w:t> </w:t>
      </w:r>
      <w:r>
        <w:rPr>
          <w:rFonts w:ascii="Arial" w:hAnsi="Arial" w:cs="Arial" w:eastAsia="Arial" w:hint="default"/>
          <w:spacing w:val="-1"/>
        </w:rPr>
        <w:t>1983</w:t>
      </w:r>
      <w:r>
        <w:rPr>
          <w:spacing w:val="-1"/>
        </w:rPr>
        <w:t>年至今就职于北京大学法学院，校外兼有最高人民法院咨询委员、最高人民法院案例指</w:t>
      </w:r>
      <w:r>
        <w:rPr>
          <w:spacing w:val="-96"/>
        </w:rPr>
        <w:t> </w:t>
      </w:r>
      <w:r>
        <w:rPr>
          <w:spacing w:val="-96"/>
        </w:rPr>
      </w:r>
      <w:r>
        <w:rPr/>
        <w:t>导工作部门专家咨询委员、中国国际经济贸易仲裁委员会仲裁员的职位。同时，还兼任北京</w:t>
      </w:r>
    </w:p>
    <w:p>
      <w:pPr>
        <w:spacing w:after="0" w:line="283" w:lineRule="auto"/>
        <w:jc w:val="both"/>
        <w:sectPr>
          <w:headerReference w:type="default" r:id="rId23"/>
          <w:footerReference w:type="default" r:id="rId24"/>
          <w:pgSz w:w="11910" w:h="16840"/>
          <w:pgMar w:header="877" w:footer="980" w:top="1060" w:bottom="1160" w:left="980" w:right="980"/>
          <w:pgNumType w:start="88"/>
        </w:sectPr>
      </w:pPr>
    </w:p>
    <w:p>
      <w:pPr>
        <w:spacing w:line="240" w:lineRule="auto" w:before="8"/>
        <w:rPr>
          <w:rFonts w:ascii="宋体" w:hAnsi="宋体" w:cs="宋体" w:eastAsia="宋体" w:hint="default"/>
          <w:sz w:val="22"/>
          <w:szCs w:val="22"/>
        </w:rPr>
      </w:pPr>
    </w:p>
    <w:p>
      <w:pPr>
        <w:pStyle w:val="BodyText"/>
        <w:spacing w:line="240" w:lineRule="auto" w:before="26"/>
        <w:ind w:right="94"/>
        <w:jc w:val="left"/>
      </w:pPr>
      <w:r>
        <w:rPr/>
        <w:t>东方通科技股份有限公司独立董事、中国邮政储蓄银行股份有限公司独立董事。</w:t>
      </w:r>
    </w:p>
    <w:p>
      <w:pPr>
        <w:spacing w:line="240" w:lineRule="auto" w:before="9"/>
        <w:rPr>
          <w:rFonts w:ascii="宋体" w:hAnsi="宋体" w:cs="宋体" w:eastAsia="宋体" w:hint="default"/>
          <w:sz w:val="17"/>
          <w:szCs w:val="17"/>
        </w:rPr>
      </w:pPr>
    </w:p>
    <w:p>
      <w:pPr>
        <w:pStyle w:val="BodyText"/>
        <w:spacing w:line="283" w:lineRule="auto"/>
        <w:ind w:right="230" w:firstLine="480"/>
        <w:jc w:val="both"/>
      </w:pPr>
      <w:r>
        <w:rPr>
          <w:spacing w:val="-10"/>
          <w:w w:val="99"/>
        </w:rPr>
        <w:t>王琨女士，中国国籍，</w:t>
      </w:r>
      <w:r>
        <w:rPr>
          <w:rFonts w:ascii="Arial" w:hAnsi="Arial" w:cs="Arial" w:eastAsia="Arial" w:hint="default"/>
          <w:spacing w:val="-10"/>
          <w:w w:val="99"/>
        </w:rPr>
        <w:t>1976</w:t>
      </w:r>
      <w:r>
        <w:rPr>
          <w:spacing w:val="-10"/>
          <w:w w:val="99"/>
        </w:rPr>
        <w:t>年</w:t>
      </w:r>
      <w:r>
        <w:rPr>
          <w:rFonts w:ascii="Arial" w:hAnsi="Arial" w:cs="Arial" w:eastAsia="Arial" w:hint="default"/>
          <w:spacing w:val="-10"/>
          <w:w w:val="99"/>
        </w:rPr>
        <w:t>4</w:t>
      </w:r>
      <w:r>
        <w:rPr>
          <w:spacing w:val="-10"/>
          <w:w w:val="99"/>
        </w:rPr>
        <w:t>月出生，博士学历，清华大学经济管理学院会计系副教授。</w:t>
      </w:r>
      <w:r>
        <w:rPr/>
        <w:t> </w:t>
      </w:r>
      <w:r>
        <w:rPr>
          <w:rFonts w:ascii="Arial" w:hAnsi="Arial" w:cs="Arial" w:eastAsia="Arial" w:hint="default"/>
          <w:spacing w:val="-1"/>
        </w:rPr>
        <w:t>2013</w:t>
      </w:r>
      <w:r>
        <w:rPr>
          <w:spacing w:val="-1"/>
        </w:rPr>
        <w:t>年起担任公司独立董事，目前任职于清华大学经济管理学院，并任积成电子股份有限公</w:t>
      </w:r>
      <w:r>
        <w:rPr>
          <w:spacing w:val="-96"/>
        </w:rPr>
        <w:t> </w:t>
      </w:r>
      <w:r>
        <w:rPr>
          <w:spacing w:val="-96"/>
        </w:rPr>
      </w:r>
      <w:r>
        <w:rPr/>
        <w:t>司独立董事、江铃汽车股份有限公司独立董事。</w:t>
      </w:r>
    </w:p>
    <w:p>
      <w:pPr>
        <w:spacing w:line="336" w:lineRule="auto" w:before="72"/>
        <w:ind w:left="633" w:right="94"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公司监事会共三名监事，具体情况如下：</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pacing w:val="-1"/>
          <w:sz w:val="24"/>
          <w:szCs w:val="24"/>
        </w:rPr>
        <w:t>樊娇娇女士，中国国籍，</w:t>
      </w:r>
      <w:r>
        <w:rPr>
          <w:rFonts w:ascii="Arial" w:hAnsi="Arial" w:cs="Arial" w:eastAsia="Arial" w:hint="default"/>
          <w:spacing w:val="-1"/>
          <w:sz w:val="24"/>
          <w:szCs w:val="24"/>
        </w:rPr>
        <w:t>1982</w:t>
      </w:r>
      <w:r>
        <w:rPr>
          <w:rFonts w:ascii="宋体" w:hAnsi="宋体" w:cs="宋体" w:eastAsia="宋体" w:hint="default"/>
          <w:spacing w:val="-1"/>
          <w:sz w:val="24"/>
          <w:szCs w:val="24"/>
        </w:rPr>
        <w:t>年</w:t>
      </w:r>
      <w:r>
        <w:rPr>
          <w:rFonts w:ascii="Arial" w:hAnsi="Arial" w:cs="Arial" w:eastAsia="Arial" w:hint="default"/>
          <w:spacing w:val="-1"/>
          <w:sz w:val="24"/>
          <w:szCs w:val="24"/>
        </w:rPr>
        <w:t>8</w:t>
      </w:r>
      <w:r>
        <w:rPr>
          <w:rFonts w:ascii="宋体" w:hAnsi="宋体" w:cs="宋体" w:eastAsia="宋体" w:hint="default"/>
          <w:spacing w:val="-1"/>
          <w:sz w:val="24"/>
          <w:szCs w:val="24"/>
        </w:rPr>
        <w:t>月出生，学士学位。</w:t>
      </w:r>
      <w:r>
        <w:rPr>
          <w:rFonts w:ascii="Arial" w:hAnsi="Arial" w:cs="Arial" w:eastAsia="Arial" w:hint="default"/>
          <w:spacing w:val="-1"/>
          <w:sz w:val="24"/>
          <w:szCs w:val="24"/>
        </w:rPr>
        <w:t>2007</w:t>
      </w:r>
      <w:r>
        <w:rPr>
          <w:rFonts w:ascii="宋体" w:hAnsi="宋体" w:cs="宋体" w:eastAsia="宋体" w:hint="default"/>
          <w:spacing w:val="-1"/>
          <w:sz w:val="24"/>
          <w:szCs w:val="24"/>
        </w:rPr>
        <w:t>年至</w:t>
      </w:r>
      <w:r>
        <w:rPr>
          <w:rFonts w:ascii="Arial" w:hAnsi="Arial" w:cs="Arial" w:eastAsia="Arial" w:hint="default"/>
          <w:spacing w:val="-1"/>
          <w:sz w:val="24"/>
          <w:szCs w:val="24"/>
        </w:rPr>
        <w:t>2016</w:t>
      </w:r>
      <w:r>
        <w:rPr>
          <w:rFonts w:ascii="宋体" w:hAnsi="宋体" w:cs="宋体" w:eastAsia="宋体" w:hint="default"/>
          <w:spacing w:val="-1"/>
          <w:sz w:val="24"/>
          <w:szCs w:val="24"/>
        </w:rPr>
        <w:t>年任公司监事，现</w:t>
      </w:r>
    </w:p>
    <w:p>
      <w:pPr>
        <w:pStyle w:val="BodyText"/>
        <w:spacing w:line="264" w:lineRule="exact"/>
        <w:ind w:right="94"/>
        <w:jc w:val="left"/>
      </w:pPr>
      <w:r>
        <w:rPr/>
        <w:t>任公司监事会主席，目前还担任公司党委书记、华宇信息行政部经理。</w:t>
      </w:r>
    </w:p>
    <w:p>
      <w:pPr>
        <w:spacing w:line="240" w:lineRule="auto" w:before="11"/>
        <w:rPr>
          <w:rFonts w:ascii="宋体" w:hAnsi="宋体" w:cs="宋体" w:eastAsia="宋体" w:hint="default"/>
          <w:sz w:val="17"/>
          <w:szCs w:val="17"/>
        </w:rPr>
      </w:pPr>
    </w:p>
    <w:p>
      <w:pPr>
        <w:pStyle w:val="BodyText"/>
        <w:spacing w:line="280" w:lineRule="auto"/>
        <w:ind w:right="233" w:firstLine="480"/>
        <w:jc w:val="both"/>
      </w:pPr>
      <w:r>
        <w:rPr/>
        <w:t>王珍女士，中国国籍，</w:t>
      </w:r>
      <w:r>
        <w:rPr>
          <w:rFonts w:ascii="Arial" w:hAnsi="Arial" w:cs="Arial" w:eastAsia="Arial" w:hint="default"/>
        </w:rPr>
        <w:t>1987</w:t>
      </w:r>
      <w:r>
        <w:rPr/>
        <w:t>年</w:t>
      </w:r>
      <w:r>
        <w:rPr>
          <w:rFonts w:ascii="Arial" w:hAnsi="Arial" w:cs="Arial" w:eastAsia="Arial" w:hint="default"/>
        </w:rPr>
        <w:t>1</w:t>
      </w:r>
      <w:r>
        <w:rPr/>
        <w:t>月出生，硕士学位。</w:t>
      </w:r>
      <w:r>
        <w:rPr>
          <w:rFonts w:ascii="Arial" w:hAnsi="Arial" w:cs="Arial" w:eastAsia="Arial" w:hint="default"/>
        </w:rPr>
        <w:t>2011</w:t>
      </w:r>
      <w:r>
        <w:rPr/>
        <w:t>年至</w:t>
      </w:r>
      <w:r>
        <w:rPr>
          <w:rFonts w:ascii="Arial" w:hAnsi="Arial" w:cs="Arial" w:eastAsia="Arial" w:hint="default"/>
        </w:rPr>
        <w:t>2013</w:t>
      </w:r>
      <w:r>
        <w:rPr/>
        <w:t>年就职于</w:t>
      </w:r>
      <w:r>
        <w:rPr>
          <w:rFonts w:ascii="Arial" w:hAnsi="Arial" w:cs="Arial" w:eastAsia="Arial" w:hint="default"/>
        </w:rPr>
        <w:t>K11</w:t>
      </w:r>
      <w:r>
        <w:rPr/>
        <w:t>购物艺 术中心，</w:t>
      </w:r>
      <w:r>
        <w:rPr>
          <w:rFonts w:ascii="Arial" w:hAnsi="Arial" w:cs="Arial" w:eastAsia="Arial" w:hint="default"/>
        </w:rPr>
        <w:t>2013</w:t>
      </w:r>
      <w:r>
        <w:rPr/>
        <w:t>年至今就职于华宇信息，担任培训经理。</w:t>
      </w:r>
    </w:p>
    <w:p>
      <w:pPr>
        <w:pStyle w:val="BodyText"/>
        <w:spacing w:line="280" w:lineRule="auto" w:before="171"/>
        <w:ind w:right="228" w:firstLine="480"/>
        <w:jc w:val="both"/>
      </w:pPr>
      <w:r>
        <w:rPr>
          <w:spacing w:val="-1"/>
        </w:rPr>
        <w:t>王月女士，</w:t>
      </w:r>
      <w:r>
        <w:rPr>
          <w:rFonts w:ascii="Arial" w:hAnsi="Arial" w:cs="Arial" w:eastAsia="Arial" w:hint="default"/>
          <w:spacing w:val="-1"/>
        </w:rPr>
        <w:t>1993</w:t>
      </w:r>
      <w:r>
        <w:rPr>
          <w:spacing w:val="-1"/>
        </w:rPr>
        <w:t>年</w:t>
      </w:r>
      <w:r>
        <w:rPr>
          <w:rFonts w:ascii="Arial" w:hAnsi="Arial" w:cs="Arial" w:eastAsia="Arial" w:hint="default"/>
          <w:spacing w:val="-1"/>
        </w:rPr>
        <w:t>6</w:t>
      </w:r>
      <w:r>
        <w:rPr>
          <w:spacing w:val="-1"/>
        </w:rPr>
        <w:t>月出生，</w:t>
      </w:r>
      <w:r>
        <w:rPr>
          <w:rFonts w:ascii="Arial" w:hAnsi="Arial" w:cs="Arial" w:eastAsia="Arial" w:hint="default"/>
          <w:spacing w:val="-1"/>
        </w:rPr>
        <w:t>2014</w:t>
      </w:r>
      <w:r>
        <w:rPr>
          <w:spacing w:val="-1"/>
        </w:rPr>
        <w:t>年毕业于河北经贸大学，获得学士学位。</w:t>
      </w:r>
      <w:r>
        <w:rPr>
          <w:rFonts w:ascii="Arial" w:hAnsi="Arial" w:cs="Arial" w:eastAsia="Arial" w:hint="default"/>
          <w:spacing w:val="-1"/>
        </w:rPr>
        <w:t>2014</w:t>
      </w:r>
      <w:r>
        <w:rPr>
          <w:spacing w:val="-1"/>
        </w:rPr>
        <w:t>年至今</w:t>
      </w:r>
      <w:r>
        <w:rPr/>
        <w:t> 任北京华宇信息技术有限公司人事专员一职。</w:t>
      </w:r>
    </w:p>
    <w:p>
      <w:pPr>
        <w:spacing w:line="336" w:lineRule="auto" w:before="75"/>
        <w:ind w:left="633" w:right="94"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高级管理人员具体情况如下：</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高级管理人员吕宾先生、赵晓明先生简历见上述董事会成员介绍。</w:t>
      </w:r>
    </w:p>
    <w:p>
      <w:pPr>
        <w:pStyle w:val="BodyText"/>
        <w:spacing w:line="283" w:lineRule="auto" w:before="134"/>
        <w:ind w:right="235" w:firstLine="480"/>
        <w:jc w:val="both"/>
      </w:pPr>
      <w:r>
        <w:rPr/>
        <w:t>邢立君女士，中国国籍，</w:t>
      </w:r>
      <w:r>
        <w:rPr>
          <w:rFonts w:ascii="Arial" w:hAnsi="Arial" w:cs="Arial" w:eastAsia="Arial" w:hint="default"/>
        </w:rPr>
        <w:t>1972</w:t>
      </w:r>
      <w:r>
        <w:rPr/>
        <w:t>年</w:t>
      </w:r>
      <w:r>
        <w:rPr>
          <w:rFonts w:ascii="Arial" w:hAnsi="Arial" w:cs="Arial" w:eastAsia="Arial" w:hint="default"/>
        </w:rPr>
        <w:t>1</w:t>
      </w:r>
      <w:r>
        <w:rPr/>
        <w:t>月出生，硕士学位。</w:t>
      </w:r>
      <w:r>
        <w:rPr>
          <w:rFonts w:ascii="Arial" w:hAnsi="Arial" w:cs="Arial" w:eastAsia="Arial" w:hint="default"/>
        </w:rPr>
        <w:t>2014</w:t>
      </w:r>
      <w:r>
        <w:rPr/>
        <w:t>年起任公司人力资源总监， 目前还兼任大连华宇董事。</w:t>
      </w:r>
    </w:p>
    <w:p>
      <w:pPr>
        <w:pStyle w:val="BodyText"/>
        <w:spacing w:line="288" w:lineRule="auto" w:before="187"/>
        <w:ind w:right="229" w:firstLine="480"/>
        <w:jc w:val="both"/>
      </w:pPr>
      <w:r>
        <w:rPr/>
        <w:t>王琰先生，中国国籍，</w:t>
      </w:r>
      <w:r>
        <w:rPr>
          <w:rFonts w:ascii="Arial" w:hAnsi="Arial" w:cs="Arial" w:eastAsia="Arial" w:hint="default"/>
        </w:rPr>
        <w:t>1972</w:t>
      </w:r>
      <w:r>
        <w:rPr/>
        <w:t>年</w:t>
      </w:r>
      <w:r>
        <w:rPr>
          <w:rFonts w:ascii="Arial" w:hAnsi="Arial" w:cs="Arial" w:eastAsia="Arial" w:hint="default"/>
        </w:rPr>
        <w:t>4</w:t>
      </w:r>
      <w:r>
        <w:rPr/>
        <w:t>月出生，学士学位，中国注册会计师非执业会员。</w:t>
      </w:r>
      <w:r>
        <w:rPr>
          <w:rFonts w:ascii="Arial" w:hAnsi="Arial" w:cs="Arial" w:eastAsia="Arial" w:hint="default"/>
        </w:rPr>
        <w:t>2014</w:t>
      </w:r>
      <w:r>
        <w:rPr>
          <w:rFonts w:ascii="Arial" w:hAnsi="Arial" w:cs="Arial" w:eastAsia="Arial" w:hint="default"/>
          <w:w w:val="99"/>
        </w:rPr>
        <w:t> </w:t>
      </w:r>
      <w:r>
        <w:rPr>
          <w:spacing w:val="-4"/>
        </w:rPr>
        <w:t>年起任公司财务总监，</w:t>
      </w:r>
      <w:r>
        <w:rPr>
          <w:rFonts w:ascii="Arial" w:hAnsi="Arial" w:cs="Arial" w:eastAsia="Arial" w:hint="default"/>
          <w:spacing w:val="-4"/>
        </w:rPr>
        <w:t>2017</w:t>
      </w:r>
      <w:r>
        <w:rPr>
          <w:spacing w:val="-4"/>
        </w:rPr>
        <w:t>年</w:t>
      </w:r>
      <w:r>
        <w:rPr>
          <w:rFonts w:ascii="Arial" w:hAnsi="Arial" w:cs="Arial" w:eastAsia="Arial" w:hint="default"/>
          <w:spacing w:val="-4"/>
        </w:rPr>
        <w:t>9</w:t>
      </w:r>
      <w:r>
        <w:rPr>
          <w:spacing w:val="-4"/>
        </w:rPr>
        <w:t>月至今，任公司副总经理。目前还兼任华宇信息、广州华宇、</w:t>
      </w:r>
      <w:r>
        <w:rPr>
          <w:spacing w:val="-100"/>
        </w:rPr>
        <w:t> </w:t>
      </w:r>
      <w:r>
        <w:rPr>
          <w:spacing w:val="-100"/>
        </w:rPr>
      </w:r>
      <w:r>
        <w:rPr/>
        <w:t>万户网络、华宇元典、联奕科技董事，华宇科创、捷视飞通监事，兼任北京交大思诺科技股</w:t>
      </w:r>
      <w:r>
        <w:rPr>
          <w:spacing w:val="-91"/>
        </w:rPr>
        <w:t> </w:t>
      </w:r>
      <w:r>
        <w:rPr>
          <w:spacing w:val="-91"/>
        </w:rPr>
      </w:r>
      <w:r>
        <w:rPr/>
        <w:t>份有限公司独立董事。</w:t>
      </w:r>
    </w:p>
    <w:p>
      <w:pPr>
        <w:pStyle w:val="BodyText"/>
        <w:spacing w:line="283" w:lineRule="auto" w:before="182"/>
        <w:ind w:right="94" w:firstLine="480"/>
        <w:jc w:val="left"/>
      </w:pPr>
      <w:r>
        <w:rPr/>
        <w:t>韦光宇先生，中国国籍，</w:t>
      </w:r>
      <w:r>
        <w:rPr>
          <w:rFonts w:ascii="Arial" w:hAnsi="Arial" w:cs="Arial" w:eastAsia="Arial" w:hint="default"/>
        </w:rPr>
        <w:t>1980</w:t>
      </w:r>
      <w:r>
        <w:rPr/>
        <w:t>年</w:t>
      </w:r>
      <w:r>
        <w:rPr>
          <w:rFonts w:ascii="Arial" w:hAnsi="Arial" w:cs="Arial" w:eastAsia="Arial" w:hint="default"/>
        </w:rPr>
        <w:t>8</w:t>
      </w:r>
      <w:r>
        <w:rPr/>
        <w:t>月出生，硕士学位。</w:t>
      </w:r>
      <w:r>
        <w:rPr>
          <w:rFonts w:ascii="Arial" w:hAnsi="Arial" w:cs="Arial" w:eastAsia="Arial" w:hint="default"/>
        </w:rPr>
        <w:t>2002</w:t>
      </w:r>
      <w:r>
        <w:rPr/>
        <w:t>年至</w:t>
      </w:r>
      <w:r>
        <w:rPr>
          <w:rFonts w:ascii="Arial" w:hAnsi="Arial" w:cs="Arial" w:eastAsia="Arial" w:hint="default"/>
        </w:rPr>
        <w:t>2008</w:t>
      </w:r>
      <w:r>
        <w:rPr/>
        <w:t>年，就职于斯玛特 电子设备（北京）有限公司；</w:t>
      </w:r>
      <w:r>
        <w:rPr>
          <w:rFonts w:ascii="Arial" w:hAnsi="Arial" w:cs="Arial" w:eastAsia="Arial" w:hint="default"/>
        </w:rPr>
        <w:t>2010</w:t>
      </w:r>
      <w:r>
        <w:rPr/>
        <w:t>年至</w:t>
      </w:r>
      <w:r>
        <w:rPr>
          <w:rFonts w:ascii="Arial" w:hAnsi="Arial" w:cs="Arial" w:eastAsia="Arial" w:hint="default"/>
        </w:rPr>
        <w:t>2014</w:t>
      </w:r>
      <w:r>
        <w:rPr/>
        <w:t>年，就职于北京神州数码供应链服务有限公司；</w:t>
      </w:r>
      <w:r>
        <w:rPr>
          <w:spacing w:val="-79"/>
        </w:rPr>
        <w:t> </w:t>
      </w:r>
      <w:r>
        <w:rPr>
          <w:spacing w:val="-79"/>
        </w:rPr>
      </w:r>
      <w:r>
        <w:rPr>
          <w:rFonts w:ascii="Arial" w:hAnsi="Arial" w:cs="Arial" w:eastAsia="Arial" w:hint="default"/>
        </w:rPr>
        <w:t>2014</w:t>
      </w:r>
      <w:r>
        <w:rPr/>
        <w:t>年</w:t>
      </w:r>
      <w:r>
        <w:rPr>
          <w:rFonts w:ascii="Arial" w:hAnsi="Arial" w:cs="Arial" w:eastAsia="Arial" w:hint="default"/>
        </w:rPr>
        <w:t>3</w:t>
      </w:r>
      <w:r>
        <w:rPr/>
        <w:t>月至</w:t>
      </w:r>
      <w:r>
        <w:rPr>
          <w:rFonts w:ascii="Arial" w:hAnsi="Arial" w:cs="Arial" w:eastAsia="Arial" w:hint="default"/>
        </w:rPr>
        <w:t>2016</w:t>
      </w:r>
      <w:r>
        <w:rPr/>
        <w:t>年任公司总经理助理，</w:t>
      </w:r>
      <w:r>
        <w:rPr>
          <w:rFonts w:ascii="Arial" w:hAnsi="Arial" w:cs="Arial" w:eastAsia="Arial" w:hint="default"/>
        </w:rPr>
        <w:t>2016</w:t>
      </w:r>
      <w:r>
        <w:rPr/>
        <w:t>年</w:t>
      </w:r>
      <w:r>
        <w:rPr>
          <w:rFonts w:ascii="Arial" w:hAnsi="Arial" w:cs="Arial" w:eastAsia="Arial" w:hint="default"/>
        </w:rPr>
        <w:t>7</w:t>
      </w:r>
      <w:r>
        <w:rPr/>
        <w:t>月至今任公司董事会秘书。</w:t>
      </w:r>
    </w:p>
    <w:p>
      <w:pPr>
        <w:pStyle w:val="BodyText"/>
        <w:spacing w:line="240" w:lineRule="auto" w:before="127"/>
        <w:ind w:right="94"/>
        <w:jc w:val="left"/>
      </w:pPr>
      <w:r>
        <w:rPr/>
        <w:t>在股东单位任职情况</w:t>
      </w:r>
    </w:p>
    <w:p>
      <w:pPr>
        <w:pStyle w:val="BodyText"/>
        <w:spacing w:line="254" w:lineRule="auto" w:before="38"/>
        <w:ind w:right="76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在其他单位任职情况</w:t>
      </w:r>
    </w:p>
    <w:p>
      <w:pPr>
        <w:pStyle w:val="BodyText"/>
        <w:spacing w:line="240" w:lineRule="auto" w:before="24"/>
        <w:ind w:right="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10"/>
        <w:rPr>
          <w:rFonts w:ascii="宋体" w:hAnsi="宋体" w:cs="宋体" w:eastAsia="宋体" w:hint="default"/>
          <w:sz w:val="4"/>
          <w:szCs w:val="4"/>
        </w:rPr>
      </w:pPr>
    </w:p>
    <w:tbl>
      <w:tblPr>
        <w:tblW w:w="0" w:type="auto"/>
        <w:jc w:val="left"/>
        <w:tblInd w:w="181" w:type="dxa"/>
        <w:tblLayout w:type="fixed"/>
        <w:tblCellMar>
          <w:top w:w="0" w:type="dxa"/>
          <w:left w:w="0" w:type="dxa"/>
          <w:bottom w:w="0" w:type="dxa"/>
          <w:right w:w="0" w:type="dxa"/>
        </w:tblCellMar>
        <w:tblLook w:val="01E0"/>
      </w:tblPr>
      <w:tblGrid>
        <w:gridCol w:w="1419"/>
        <w:gridCol w:w="2698"/>
        <w:gridCol w:w="1190"/>
        <w:gridCol w:w="1400"/>
        <w:gridCol w:w="1330"/>
        <w:gridCol w:w="1531"/>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64" w:right="60"/>
              <w:jc w:val="left"/>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担任的职务</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31" w:right="19"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邵学</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北京华宇科创投资有限公司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2"/>
              <w:ind w:left="2" w:right="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hAnsi="Arial" w:cs="Arial" w:eastAsia="Arial" w:hint="default"/>
                <w:sz w:val="21"/>
                <w:szCs w:val="21"/>
              </w:rPr>
              <w:t>9999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王琰</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135" w:right="79" w:hanging="1052"/>
              <w:jc w:val="left"/>
              <w:rPr>
                <w:rFonts w:ascii="宋体" w:hAnsi="宋体" w:cs="宋体" w:eastAsia="宋体" w:hint="default"/>
                <w:sz w:val="21"/>
                <w:szCs w:val="21"/>
              </w:rPr>
            </w:pPr>
            <w:r>
              <w:rPr>
                <w:rFonts w:ascii="宋体" w:hAnsi="宋体" w:cs="宋体" w:eastAsia="宋体" w:hint="default"/>
                <w:spacing w:val="-2"/>
                <w:sz w:val="21"/>
                <w:szCs w:val="21"/>
              </w:rPr>
              <w:t>北京交大思诺科技股份有限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19"/>
              <w:ind w:left="2" w:right="0"/>
              <w:jc w:val="center"/>
              <w:rPr>
                <w:rFonts w:ascii="宋体" w:hAnsi="宋体" w:cs="宋体" w:eastAsia="宋体" w:hint="default"/>
                <w:sz w:val="21"/>
                <w:szCs w:val="21"/>
              </w:rPr>
            </w:pPr>
            <w:r>
              <w:rPr>
                <w:rFonts w:ascii="Arial" w:hAnsi="Arial" w:cs="Arial" w:eastAsia="Arial" w:hint="default"/>
                <w:sz w:val="21"/>
                <w:szCs w:val="21"/>
              </w:rPr>
              <w:t>14</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hAnsi="Arial" w:cs="Arial" w:eastAsia="Arial" w:hint="default"/>
                <w:sz w:val="21"/>
                <w:szCs w:val="21"/>
              </w:rPr>
              <w:t>2018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06</w:t>
            </w:r>
            <w:r>
              <w:rPr>
                <w:rFonts w:ascii="Arial" w:hAnsi="Arial" w:cs="Arial" w:eastAsia="Arial" w:hint="default"/>
                <w:sz w:val="21"/>
                <w:szCs w:val="21"/>
              </w:rPr>
            </w:r>
          </w:p>
          <w:p>
            <w:pPr>
              <w:pStyle w:val="TableParagraph"/>
              <w:spacing w:line="240" w:lineRule="auto" w:before="19"/>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877" w:footer="980" w:top="1100" w:bottom="1160" w:left="980" w:right="90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419"/>
        <w:gridCol w:w="2698"/>
        <w:gridCol w:w="1190"/>
        <w:gridCol w:w="1400"/>
        <w:gridCol w:w="1330"/>
        <w:gridCol w:w="1531"/>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北京大学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1983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2"/>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hAnsi="Arial" w:cs="Arial" w:eastAsia="Arial" w:hint="default"/>
                <w:sz w:val="21"/>
                <w:szCs w:val="21"/>
              </w:rPr>
              <w:t>9999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12</w:t>
            </w:r>
            <w:r>
              <w:rPr>
                <w:rFonts w:ascii="Arial" w:hAnsi="Arial" w:cs="Arial" w:eastAsia="Arial" w:hint="default"/>
                <w:sz w:val="21"/>
                <w:szCs w:val="21"/>
              </w:rPr>
            </w:r>
          </w:p>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最高人民法院</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咨询委员</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0"/>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Arial" w:hAnsi="Arial" w:cs="Arial" w:eastAsia="Arial" w:hint="default"/>
                <w:sz w:val="21"/>
                <w:szCs w:val="21"/>
              </w:rPr>
            </w:pPr>
            <w:r>
              <w:rPr>
                <w:rFonts w:ascii="Arial" w:hAnsi="Arial" w:cs="Arial" w:eastAsia="Arial" w:hint="default"/>
                <w:sz w:val="21"/>
                <w:szCs w:val="21"/>
              </w:rPr>
              <w:t>9999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12</w:t>
            </w:r>
            <w:r>
              <w:rPr>
                <w:rFonts w:ascii="Arial" w:hAnsi="Arial" w:cs="Arial" w:eastAsia="Arial" w:hint="default"/>
                <w:sz w:val="21"/>
                <w:szCs w:val="21"/>
              </w:rPr>
            </w:r>
          </w:p>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35" w:right="79" w:hanging="1052"/>
              <w:jc w:val="left"/>
              <w:rPr>
                <w:rFonts w:ascii="宋体" w:hAnsi="宋体" w:cs="宋体" w:eastAsia="宋体" w:hint="default"/>
                <w:sz w:val="21"/>
                <w:szCs w:val="21"/>
              </w:rPr>
            </w:pPr>
            <w:r>
              <w:rPr>
                <w:rFonts w:ascii="宋体" w:hAnsi="宋体" w:cs="宋体" w:eastAsia="宋体" w:hint="default"/>
                <w:spacing w:val="-2"/>
                <w:sz w:val="21"/>
                <w:szCs w:val="21"/>
              </w:rPr>
              <w:t>最高人民法院案例指导工作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部门</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84" w:right="60" w:hanging="420"/>
              <w:jc w:val="left"/>
              <w:rPr>
                <w:rFonts w:ascii="宋体" w:hAnsi="宋体" w:cs="宋体" w:eastAsia="宋体" w:hint="default"/>
                <w:sz w:val="21"/>
                <w:szCs w:val="21"/>
              </w:rPr>
            </w:pPr>
            <w:r>
              <w:rPr>
                <w:rFonts w:ascii="宋体" w:hAnsi="宋体" w:cs="宋体" w:eastAsia="宋体" w:hint="default"/>
                <w:sz w:val="21"/>
                <w:szCs w:val="21"/>
              </w:rPr>
              <w:t>专家咨询委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2"/>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hAnsi="Arial" w:cs="Arial" w:eastAsia="Arial" w:hint="default"/>
                <w:sz w:val="21"/>
                <w:szCs w:val="21"/>
              </w:rPr>
              <w:t>9999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12</w:t>
            </w:r>
            <w:r>
              <w:rPr>
                <w:rFonts w:ascii="Arial" w:hAnsi="Arial" w:cs="Arial" w:eastAsia="Arial" w:hint="default"/>
                <w:sz w:val="21"/>
                <w:szCs w:val="21"/>
              </w:rPr>
            </w:r>
          </w:p>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238" w:right="79" w:hanging="1155"/>
              <w:jc w:val="left"/>
              <w:rPr>
                <w:rFonts w:ascii="宋体" w:hAnsi="宋体" w:cs="宋体" w:eastAsia="宋体" w:hint="default"/>
                <w:sz w:val="21"/>
                <w:szCs w:val="21"/>
              </w:rPr>
            </w:pPr>
            <w:r>
              <w:rPr>
                <w:rFonts w:ascii="宋体" w:hAnsi="宋体" w:cs="宋体" w:eastAsia="宋体" w:hint="default"/>
                <w:spacing w:val="-2"/>
                <w:sz w:val="21"/>
                <w:szCs w:val="21"/>
              </w:rPr>
              <w:t>中国国际经济贸易仲裁委员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会</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仲裁员</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0"/>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Arial" w:hAnsi="Arial" w:cs="Arial" w:eastAsia="Arial" w:hint="default"/>
                <w:sz w:val="21"/>
                <w:szCs w:val="21"/>
              </w:rPr>
            </w:pPr>
            <w:r>
              <w:rPr>
                <w:rFonts w:ascii="Arial" w:hAnsi="Arial" w:cs="Arial" w:eastAsia="Arial" w:hint="default"/>
                <w:sz w:val="21"/>
                <w:szCs w:val="21"/>
              </w:rPr>
              <w:t>9999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12</w:t>
            </w:r>
            <w:r>
              <w:rPr>
                <w:rFonts w:ascii="Arial" w:hAnsi="Arial" w:cs="Arial" w:eastAsia="Arial" w:hint="default"/>
                <w:sz w:val="21"/>
                <w:szCs w:val="21"/>
              </w:rPr>
            </w:r>
          </w:p>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博彦科技股份有限公司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2"/>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hAnsi="Arial" w:cs="Arial" w:eastAsia="Arial" w:hint="default"/>
                <w:sz w:val="21"/>
                <w:szCs w:val="21"/>
              </w:rPr>
              <w:t>2019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238" w:right="79" w:hanging="1155"/>
              <w:jc w:val="left"/>
              <w:rPr>
                <w:rFonts w:ascii="宋体" w:hAnsi="宋体" w:cs="宋体" w:eastAsia="宋体" w:hint="default"/>
                <w:sz w:val="21"/>
                <w:szCs w:val="21"/>
              </w:rPr>
            </w:pPr>
            <w:r>
              <w:rPr>
                <w:rFonts w:ascii="宋体" w:hAnsi="宋体" w:cs="宋体" w:eastAsia="宋体" w:hint="default"/>
                <w:spacing w:val="-2"/>
                <w:sz w:val="21"/>
                <w:szCs w:val="21"/>
              </w:rPr>
              <w:t>北京东方通科技股份有限公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0"/>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Arial" w:hAnsi="Arial" w:cs="Arial" w:eastAsia="Arial" w:hint="default"/>
                <w:sz w:val="21"/>
                <w:szCs w:val="21"/>
              </w:rPr>
            </w:pPr>
            <w:r>
              <w:rPr>
                <w:rFonts w:ascii="Arial" w:hAnsi="Arial" w:cs="Arial" w:eastAsia="Arial" w:hint="default"/>
                <w:sz w:val="21"/>
                <w:szCs w:val="21"/>
              </w:rPr>
              <w:t>2019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35" w:right="79" w:hanging="1052"/>
              <w:jc w:val="left"/>
              <w:rPr>
                <w:rFonts w:ascii="宋体" w:hAnsi="宋体" w:cs="宋体" w:eastAsia="宋体" w:hint="default"/>
                <w:sz w:val="21"/>
                <w:szCs w:val="21"/>
              </w:rPr>
            </w:pPr>
            <w:r>
              <w:rPr>
                <w:rFonts w:ascii="宋体" w:hAnsi="宋体" w:cs="宋体" w:eastAsia="宋体" w:hint="default"/>
                <w:spacing w:val="-2"/>
                <w:sz w:val="21"/>
                <w:szCs w:val="21"/>
              </w:rPr>
              <w:t>中国邮政储蓄银行股份有限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2"/>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hAnsi="Arial" w:cs="Arial" w:eastAsia="Arial" w:hint="default"/>
                <w:sz w:val="21"/>
                <w:szCs w:val="21"/>
              </w:rPr>
              <w:t>2019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引力传媒集团股份有限公司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0"/>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Arial" w:hAnsi="Arial" w:cs="Arial" w:eastAsia="Arial" w:hint="default"/>
                <w:sz w:val="21"/>
                <w:szCs w:val="21"/>
              </w:rPr>
            </w:pPr>
            <w:r>
              <w:rPr>
                <w:rFonts w:ascii="Arial" w:hAnsi="Arial" w:cs="Arial" w:eastAsia="Arial" w:hint="default"/>
                <w:sz w:val="21"/>
                <w:szCs w:val="21"/>
              </w:rPr>
              <w:t>2019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清华大学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84" w:right="60" w:hanging="420"/>
              <w:jc w:val="left"/>
              <w:rPr>
                <w:rFonts w:ascii="宋体" w:hAnsi="宋体" w:cs="宋体" w:eastAsia="宋体" w:hint="default"/>
                <w:sz w:val="21"/>
                <w:szCs w:val="21"/>
              </w:rPr>
            </w:pPr>
            <w:r>
              <w:rPr>
                <w:rFonts w:ascii="宋体" w:hAnsi="宋体" w:cs="宋体" w:eastAsia="宋体" w:hint="default"/>
                <w:sz w:val="21"/>
                <w:szCs w:val="21"/>
              </w:rPr>
              <w:t>会计系副教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授</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2"/>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hAnsi="Arial" w:cs="Arial" w:eastAsia="Arial" w:hint="default"/>
                <w:sz w:val="21"/>
                <w:szCs w:val="21"/>
              </w:rPr>
              <w:t>9999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积成电子股份有限公司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0"/>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Arial" w:hAnsi="Arial" w:cs="Arial" w:eastAsia="Arial" w:hint="default"/>
                <w:sz w:val="21"/>
                <w:szCs w:val="21"/>
              </w:rPr>
            </w:pPr>
            <w:r>
              <w:rPr>
                <w:rFonts w:ascii="Arial" w:hAnsi="Arial" w:cs="Arial" w:eastAsia="Arial" w:hint="default"/>
                <w:sz w:val="21"/>
                <w:szCs w:val="21"/>
              </w:rPr>
              <w:t>2019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江铃汽车股份有限公司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2"/>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hAnsi="Arial" w:cs="Arial" w:eastAsia="Arial" w:hint="default"/>
                <w:sz w:val="21"/>
                <w:szCs w:val="21"/>
              </w:rPr>
              <w:t>2017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朱恒源</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清华大学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副教授</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0"/>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Arial" w:hAnsi="Arial" w:cs="Arial" w:eastAsia="Arial" w:hint="default"/>
                <w:sz w:val="21"/>
                <w:szCs w:val="21"/>
              </w:rPr>
            </w:pPr>
            <w:r>
              <w:rPr>
                <w:rFonts w:ascii="Arial" w:hAnsi="Arial" w:cs="Arial" w:eastAsia="Arial" w:hint="default"/>
                <w:sz w:val="21"/>
                <w:szCs w:val="21"/>
              </w:rPr>
              <w:t>9999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朱恒源</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818" w:right="79" w:hanging="735"/>
              <w:jc w:val="left"/>
              <w:rPr>
                <w:rFonts w:ascii="宋体" w:hAnsi="宋体" w:cs="宋体" w:eastAsia="宋体" w:hint="default"/>
                <w:sz w:val="21"/>
                <w:szCs w:val="21"/>
              </w:rPr>
            </w:pPr>
            <w:r>
              <w:rPr>
                <w:rFonts w:ascii="宋体" w:hAnsi="宋体" w:cs="宋体" w:eastAsia="宋体" w:hint="default"/>
                <w:spacing w:val="-2"/>
                <w:sz w:val="21"/>
                <w:szCs w:val="21"/>
              </w:rPr>
              <w:t>博洛尼家居用品（北京）股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份有限公司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2"/>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hAnsi="Arial" w:cs="Arial" w:eastAsia="Arial" w:hint="default"/>
                <w:sz w:val="21"/>
                <w:szCs w:val="21"/>
              </w:rPr>
              <w:t>2019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朱恒源</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029" w:right="79" w:hanging="946"/>
              <w:jc w:val="left"/>
              <w:rPr>
                <w:rFonts w:ascii="宋体" w:hAnsi="宋体" w:cs="宋体" w:eastAsia="宋体" w:hint="default"/>
                <w:sz w:val="21"/>
                <w:szCs w:val="21"/>
              </w:rPr>
            </w:pPr>
            <w:r>
              <w:rPr>
                <w:rFonts w:ascii="宋体" w:hAnsi="宋体" w:cs="宋体" w:eastAsia="宋体" w:hint="default"/>
                <w:spacing w:val="-2"/>
                <w:sz w:val="21"/>
                <w:szCs w:val="21"/>
              </w:rPr>
              <w:t>中国全聚德（集团）股份有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0"/>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Arial" w:hAnsi="Arial" w:cs="Arial" w:eastAsia="Arial" w:hint="default"/>
                <w:sz w:val="21"/>
                <w:szCs w:val="21"/>
              </w:rPr>
            </w:pPr>
            <w:r>
              <w:rPr>
                <w:rFonts w:ascii="Arial" w:hAnsi="Arial" w:cs="Arial" w:eastAsia="Arial" w:hint="default"/>
                <w:sz w:val="21"/>
                <w:szCs w:val="21"/>
              </w:rPr>
              <w:t>2019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朱恒源</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海南珠江控股股份有限公司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2"/>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hAnsi="Arial" w:cs="Arial" w:eastAsia="Arial" w:hint="default"/>
                <w:sz w:val="21"/>
                <w:szCs w:val="21"/>
              </w:rPr>
              <w:t>2019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923" w:right="79" w:hanging="840"/>
              <w:jc w:val="left"/>
              <w:rPr>
                <w:rFonts w:ascii="宋体" w:hAnsi="宋体" w:cs="宋体" w:eastAsia="宋体" w:hint="default"/>
                <w:sz w:val="21"/>
                <w:szCs w:val="21"/>
              </w:rPr>
            </w:pPr>
            <w:r>
              <w:rPr>
                <w:rFonts w:ascii="宋体" w:hAnsi="宋体" w:cs="宋体" w:eastAsia="宋体" w:hint="default"/>
                <w:spacing w:val="-2"/>
                <w:sz w:val="21"/>
                <w:szCs w:val="21"/>
              </w:rPr>
              <w:t>北京宗弈远承文化传播有限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责任公司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0"/>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Arial" w:hAnsi="Arial" w:cs="Arial" w:eastAsia="Arial" w:hint="default"/>
                <w:sz w:val="21"/>
                <w:szCs w:val="21"/>
              </w:rPr>
            </w:pPr>
            <w:r>
              <w:rPr>
                <w:rFonts w:ascii="Arial" w:hAnsi="Arial" w:cs="Arial" w:eastAsia="Arial" w:hint="default"/>
                <w:sz w:val="21"/>
                <w:szCs w:val="21"/>
              </w:rPr>
              <w:t>9999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北京寰宇医道科技有限公司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5"/>
                <w:sz w:val="21"/>
                <w:szCs w:val="21"/>
              </w:rPr>
              <w:t> </w:t>
            </w:r>
            <w:r>
              <w:rPr>
                <w:rFonts w:ascii="宋体" w:hAnsi="宋体" w:cs="宋体" w:eastAsia="宋体" w:hint="default"/>
                <w:sz w:val="21"/>
                <w:szCs w:val="21"/>
              </w:rPr>
              <w:t>月</w:t>
            </w:r>
          </w:p>
          <w:p>
            <w:pPr>
              <w:pStyle w:val="TableParagraph"/>
              <w:spacing w:line="240" w:lineRule="auto" w:before="22"/>
              <w:ind w:left="2" w:right="0"/>
              <w:jc w:val="center"/>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Arial" w:hAnsi="Arial" w:cs="Arial" w:eastAsia="Arial" w:hint="default"/>
                <w:sz w:val="21"/>
                <w:szCs w:val="21"/>
              </w:rPr>
            </w:pPr>
            <w:r>
              <w:rPr>
                <w:rFonts w:ascii="Arial" w:hAnsi="Arial" w:cs="Arial" w:eastAsia="Arial" w:hint="default"/>
                <w:sz w:val="21"/>
                <w:szCs w:val="21"/>
              </w:rPr>
              <w:t>9999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74" w:right="69"/>
              <w:jc w:val="left"/>
              <w:rPr>
                <w:rFonts w:ascii="宋体" w:hAnsi="宋体" w:cs="宋体" w:eastAsia="宋体" w:hint="default"/>
                <w:sz w:val="21"/>
                <w:szCs w:val="21"/>
              </w:rPr>
            </w:pPr>
            <w:r>
              <w:rPr>
                <w:rFonts w:ascii="宋体" w:hAnsi="宋体" w:cs="宋体" w:eastAsia="宋体" w:hint="default"/>
                <w:sz w:val="21"/>
                <w:szCs w:val="21"/>
              </w:rPr>
              <w:t>在其他单位任</w:t>
            </w:r>
            <w:r>
              <w:rPr>
                <w:rFonts w:ascii="宋体" w:hAnsi="宋体" w:cs="宋体" w:eastAsia="宋体" w:hint="default"/>
                <w:w w:val="100"/>
                <w:sz w:val="21"/>
                <w:szCs w:val="21"/>
              </w:rPr>
              <w:t> </w:t>
            </w:r>
            <w:r>
              <w:rPr>
                <w:rFonts w:ascii="宋体" w:hAnsi="宋体" w:cs="宋体" w:eastAsia="宋体" w:hint="default"/>
                <w:sz w:val="21"/>
                <w:szCs w:val="21"/>
              </w:rPr>
              <w:t>职情况的说明</w:t>
            </w:r>
          </w:p>
        </w:tc>
        <w:tc>
          <w:tcPr>
            <w:tcW w:w="81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ind w:right="0"/>
        <w:jc w:val="left"/>
      </w:pPr>
      <w:r>
        <w:rPr/>
        <w:t>公司现任及报告期内离任董事、监事和高级管理人员近三年证券监管机构处罚的情况</w:t>
      </w:r>
    </w:p>
    <w:p>
      <w:pPr>
        <w:pStyle w:val="BodyText"/>
        <w:spacing w:line="240" w:lineRule="auto" w:before="36"/>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四、董事、监事、高级管理人员报酬情况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right="0"/>
        <w:jc w:val="left"/>
      </w:pPr>
      <w:r>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32"/>
        <w:ind w:left="0" w:right="1167" w:firstLine="0"/>
        <w:jc w:val="right"/>
        <w:rPr>
          <w:rFonts w:ascii="宋体" w:hAnsi="宋体" w:cs="宋体" w:eastAsia="宋体" w:hint="default"/>
          <w:sz w:val="22"/>
          <w:szCs w:val="22"/>
        </w:rPr>
      </w:pPr>
      <w:r>
        <w:rPr/>
        <w:pict>
          <v:shape style="position:absolute;margin-left:57.119999pt;margin-top:-14.352363pt;width:427.7pt;height:178.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6"/>
                    <w:gridCol w:w="5648"/>
                  </w:tblGrid>
                  <w:tr>
                    <w:trPr>
                      <w:trHeight w:val="1289" w:hRule="exact"/>
                    </w:trPr>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ind w:left="2" w:right="-2"/>
                          <w:jc w:val="left"/>
                          <w:rPr>
                            <w:rFonts w:ascii="宋体" w:hAnsi="宋体" w:cs="宋体" w:eastAsia="宋体" w:hint="default"/>
                            <w:sz w:val="22"/>
                            <w:szCs w:val="22"/>
                          </w:rPr>
                        </w:pPr>
                        <w:r>
                          <w:rPr>
                            <w:rFonts w:ascii="宋体" w:hAnsi="宋体" w:cs="宋体" w:eastAsia="宋体" w:hint="default"/>
                            <w:spacing w:val="-2"/>
                            <w:sz w:val="22"/>
                            <w:szCs w:val="22"/>
                          </w:rPr>
                          <w:t>董事、监事、高级管理人员报</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酬的决策程序</w:t>
                        </w:r>
                      </w:p>
                    </w:tc>
                    <w:tc>
                      <w:tcPr>
                        <w:tcW w:w="5648"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ind w:right="-2"/>
                          <w:jc w:val="left"/>
                          <w:rPr>
                            <w:rFonts w:ascii="宋体" w:hAnsi="宋体" w:cs="宋体" w:eastAsia="宋体" w:hint="default"/>
                            <w:sz w:val="22"/>
                            <w:szCs w:val="22"/>
                          </w:rPr>
                        </w:pPr>
                        <w:r>
                          <w:rPr>
                            <w:rFonts w:ascii="宋体" w:hAnsi="宋体" w:cs="宋体" w:eastAsia="宋体" w:hint="default"/>
                            <w:spacing w:val="-5"/>
                            <w:w w:val="100"/>
                            <w:sz w:val="22"/>
                            <w:szCs w:val="22"/>
                          </w:rPr>
                          <w:t>公司高管薪酬由董事会薪酬与考核委员会审核，并提交董事</w:t>
                        </w:r>
                        <w:r>
                          <w:rPr>
                            <w:rFonts w:ascii="宋体" w:hAnsi="宋体" w:cs="宋体" w:eastAsia="宋体" w:hint="default"/>
                            <w:spacing w:val="-97"/>
                            <w:w w:val="100"/>
                            <w:sz w:val="22"/>
                            <w:szCs w:val="22"/>
                          </w:rPr>
                          <w:t> </w:t>
                        </w:r>
                        <w:r>
                          <w:rPr>
                            <w:rFonts w:ascii="宋体" w:hAnsi="宋体" w:cs="宋体" w:eastAsia="宋体" w:hint="default"/>
                            <w:spacing w:val="-97"/>
                            <w:w w:val="100"/>
                            <w:sz w:val="22"/>
                            <w:szCs w:val="22"/>
                          </w:rPr>
                        </w:r>
                        <w:r>
                          <w:rPr>
                            <w:rFonts w:ascii="宋体" w:hAnsi="宋体" w:cs="宋体" w:eastAsia="宋体" w:hint="default"/>
                            <w:sz w:val="22"/>
                            <w:szCs w:val="22"/>
                          </w:rPr>
                          <w:t>会审议决定。公司董事薪酬、独立董事津贴由董事会审议</w:t>
                        </w:r>
                        <w:r>
                          <w:rPr>
                            <w:rFonts w:ascii="宋体" w:hAnsi="宋体" w:cs="宋体" w:eastAsia="宋体" w:hint="default"/>
                            <w:w w:val="100"/>
                            <w:sz w:val="22"/>
                            <w:szCs w:val="22"/>
                          </w:rPr>
                          <w:t> </w:t>
                        </w:r>
                        <w:r>
                          <w:rPr>
                            <w:rFonts w:ascii="宋体" w:hAnsi="宋体" w:cs="宋体" w:eastAsia="宋体" w:hint="default"/>
                            <w:spacing w:val="-5"/>
                            <w:sz w:val="22"/>
                            <w:szCs w:val="22"/>
                          </w:rPr>
                          <w:t>并提交股东大会审议决定。公司监事不在公司领取薪酬。公</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司内部董事、监事按公司担任的职务发放薪酬。</w:t>
                        </w:r>
                      </w:p>
                    </w:tc>
                  </w:tr>
                  <w:tr>
                    <w:trPr>
                      <w:trHeight w:val="1599" w:hRule="exact"/>
                    </w:trPr>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ind w:left="2" w:right="-2"/>
                          <w:jc w:val="left"/>
                          <w:rPr>
                            <w:rFonts w:ascii="宋体" w:hAnsi="宋体" w:cs="宋体" w:eastAsia="宋体" w:hint="default"/>
                            <w:sz w:val="22"/>
                            <w:szCs w:val="22"/>
                          </w:rPr>
                        </w:pPr>
                        <w:r>
                          <w:rPr>
                            <w:rFonts w:ascii="宋体" w:hAnsi="宋体" w:cs="宋体" w:eastAsia="宋体" w:hint="default"/>
                            <w:spacing w:val="-2"/>
                            <w:sz w:val="22"/>
                            <w:szCs w:val="22"/>
                          </w:rPr>
                          <w:t>董事、监事、高级管理人员报</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酬确定依据</w:t>
                        </w:r>
                      </w:p>
                    </w:tc>
                    <w:tc>
                      <w:tcPr>
                        <w:tcW w:w="5648"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ind w:right="-5"/>
                          <w:jc w:val="both"/>
                          <w:rPr>
                            <w:rFonts w:ascii="宋体" w:hAnsi="宋体" w:cs="宋体" w:eastAsia="宋体" w:hint="default"/>
                            <w:sz w:val="22"/>
                            <w:szCs w:val="22"/>
                          </w:rPr>
                        </w:pPr>
                        <w:r>
                          <w:rPr>
                            <w:rFonts w:ascii="宋体" w:hAnsi="宋体" w:cs="宋体" w:eastAsia="宋体" w:hint="default"/>
                            <w:spacing w:val="-5"/>
                            <w:w w:val="100"/>
                            <w:sz w:val="22"/>
                            <w:szCs w:val="22"/>
                          </w:rPr>
                          <w:t>公司高级管理人员的薪酬与其承担的责任、风险和经营业绩</w:t>
                        </w:r>
                        <w:r>
                          <w:rPr>
                            <w:rFonts w:ascii="宋体" w:hAnsi="宋体" w:cs="宋体" w:eastAsia="宋体" w:hint="default"/>
                            <w:spacing w:val="-97"/>
                            <w:w w:val="100"/>
                            <w:sz w:val="22"/>
                            <w:szCs w:val="22"/>
                          </w:rPr>
                          <w:t> </w:t>
                        </w:r>
                        <w:r>
                          <w:rPr>
                            <w:rFonts w:ascii="宋体" w:hAnsi="宋体" w:cs="宋体" w:eastAsia="宋体" w:hint="default"/>
                            <w:spacing w:val="-97"/>
                            <w:w w:val="100"/>
                            <w:sz w:val="22"/>
                            <w:szCs w:val="22"/>
                          </w:rPr>
                        </w:r>
                        <w:r>
                          <w:rPr>
                            <w:rFonts w:ascii="宋体" w:hAnsi="宋体" w:cs="宋体" w:eastAsia="宋体" w:hint="default"/>
                            <w:spacing w:val="-5"/>
                            <w:sz w:val="22"/>
                            <w:szCs w:val="22"/>
                          </w:rPr>
                          <w:t>挂钩。薪酬主要考虑职位、责任、能力、市场薪资行情等因</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5"/>
                            <w:sz w:val="22"/>
                            <w:szCs w:val="22"/>
                          </w:rPr>
                          <w:t>素确定，按月发放。公司将根据经营业绩情况，在恰当的时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5"/>
                            <w:w w:val="100"/>
                            <w:sz w:val="22"/>
                            <w:szCs w:val="22"/>
                          </w:rPr>
                          <w:t>候对高级管理人员实施股权激励计划，具体激励计划根据其</w:t>
                        </w:r>
                        <w:r>
                          <w:rPr>
                            <w:rFonts w:ascii="宋体" w:hAnsi="宋体" w:cs="宋体" w:eastAsia="宋体" w:hint="default"/>
                            <w:spacing w:val="-96"/>
                            <w:w w:val="100"/>
                            <w:sz w:val="22"/>
                            <w:szCs w:val="22"/>
                          </w:rPr>
                          <w:t> </w:t>
                        </w:r>
                        <w:r>
                          <w:rPr>
                            <w:rFonts w:ascii="宋体" w:hAnsi="宋体" w:cs="宋体" w:eastAsia="宋体" w:hint="default"/>
                            <w:spacing w:val="-96"/>
                            <w:w w:val="100"/>
                            <w:sz w:val="22"/>
                            <w:szCs w:val="22"/>
                          </w:rPr>
                        </w:r>
                        <w:r>
                          <w:rPr>
                            <w:rFonts w:ascii="宋体" w:hAnsi="宋体" w:cs="宋体" w:eastAsia="宋体" w:hint="default"/>
                            <w:sz w:val="22"/>
                            <w:szCs w:val="22"/>
                          </w:rPr>
                          <w:t>承担责任、风险和绩效决定。</w:t>
                        </w:r>
                      </w:p>
                    </w:tc>
                  </w:tr>
                  <w:tr>
                    <w:trPr>
                      <w:trHeight w:val="665" w:hRule="exact"/>
                    </w:trPr>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ind w:left="2" w:right="-2"/>
                          <w:jc w:val="left"/>
                          <w:rPr>
                            <w:rFonts w:ascii="宋体" w:hAnsi="宋体" w:cs="宋体" w:eastAsia="宋体" w:hint="default"/>
                            <w:sz w:val="22"/>
                            <w:szCs w:val="22"/>
                          </w:rPr>
                        </w:pPr>
                        <w:r>
                          <w:rPr>
                            <w:rFonts w:ascii="宋体" w:hAnsi="宋体" w:cs="宋体" w:eastAsia="宋体" w:hint="default"/>
                            <w:spacing w:val="-2"/>
                            <w:sz w:val="22"/>
                            <w:szCs w:val="22"/>
                          </w:rPr>
                          <w:t>董事、监事和高级管理人员报</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酬的实际支付情况</w:t>
                        </w:r>
                      </w:p>
                    </w:tc>
                    <w:tc>
                      <w:tcPr>
                        <w:tcW w:w="5648" w:type="dxa"/>
                        <w:tcBorders>
                          <w:top w:val="single" w:sz="8" w:space="0" w:color="000000"/>
                          <w:left w:val="single" w:sz="8" w:space="0" w:color="000000"/>
                          <w:bottom w:val="single" w:sz="8" w:space="0" w:color="000000"/>
                          <w:right w:val="single" w:sz="8" w:space="0" w:color="000000"/>
                        </w:tcBorders>
                      </w:tcPr>
                      <w:p>
                        <w:pPr>
                          <w:pStyle w:val="TableParagraph"/>
                          <w:spacing w:line="247" w:lineRule="auto"/>
                          <w:ind w:right="-1"/>
                          <w:jc w:val="left"/>
                          <w:rPr>
                            <w:rFonts w:ascii="宋体" w:hAnsi="宋体" w:cs="宋体" w:eastAsia="宋体" w:hint="default"/>
                            <w:sz w:val="22"/>
                            <w:szCs w:val="22"/>
                          </w:rPr>
                        </w:pPr>
                        <w:r>
                          <w:rPr>
                            <w:rFonts w:ascii="宋体" w:hAnsi="宋体" w:cs="宋体" w:eastAsia="宋体" w:hint="default"/>
                            <w:sz w:val="22"/>
                            <w:szCs w:val="22"/>
                          </w:rPr>
                          <w:t>截至</w:t>
                        </w:r>
                        <w:r>
                          <w:rPr>
                            <w:rFonts w:ascii="Arial" w:hAnsi="Arial" w:cs="Arial" w:eastAsia="Arial" w:hint="default"/>
                            <w:sz w:val="22"/>
                            <w:szCs w:val="22"/>
                          </w:rPr>
                          <w:t>2017</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日，公司现任董事、监事、高级管理人</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员</w:t>
                        </w:r>
                        <w:r>
                          <w:rPr>
                            <w:rFonts w:ascii="Arial" w:hAnsi="Arial" w:cs="Arial" w:eastAsia="Arial" w:hint="default"/>
                            <w:sz w:val="22"/>
                            <w:szCs w:val="22"/>
                          </w:rPr>
                          <w:t>13</w:t>
                        </w:r>
                        <w:r>
                          <w:rPr>
                            <w:rFonts w:ascii="宋体" w:hAnsi="宋体" w:cs="宋体" w:eastAsia="宋体" w:hint="default"/>
                            <w:sz w:val="22"/>
                            <w:szCs w:val="22"/>
                          </w:rPr>
                          <w:t>人，离职</w:t>
                        </w:r>
                        <w:r>
                          <w:rPr>
                            <w:rFonts w:ascii="Arial" w:hAnsi="Arial" w:cs="Arial" w:eastAsia="Arial" w:hint="default"/>
                            <w:sz w:val="22"/>
                            <w:szCs w:val="22"/>
                          </w:rPr>
                          <w:t>1</w:t>
                        </w:r>
                        <w:r>
                          <w:rPr>
                            <w:rFonts w:ascii="宋体" w:hAnsi="宋体" w:cs="宋体" w:eastAsia="宋体" w:hint="default"/>
                            <w:sz w:val="22"/>
                            <w:szCs w:val="22"/>
                          </w:rPr>
                          <w:t>人，</w:t>
                        </w:r>
                        <w:r>
                          <w:rPr>
                            <w:rFonts w:ascii="Arial" w:hAnsi="Arial" w:cs="Arial" w:eastAsia="Arial" w:hint="default"/>
                            <w:sz w:val="22"/>
                            <w:szCs w:val="22"/>
                          </w:rPr>
                          <w:t>2017</w:t>
                        </w:r>
                        <w:r>
                          <w:rPr>
                            <w:rFonts w:ascii="宋体" w:hAnsi="宋体" w:cs="宋体" w:eastAsia="宋体" w:hint="default"/>
                            <w:sz w:val="22"/>
                            <w:szCs w:val="22"/>
                          </w:rPr>
                          <w:t>年实际支付</w:t>
                        </w:r>
                        <w:r>
                          <w:rPr>
                            <w:rFonts w:ascii="Arial" w:hAnsi="Arial" w:cs="Arial" w:eastAsia="Arial" w:hint="default"/>
                            <w:sz w:val="22"/>
                            <w:szCs w:val="22"/>
                          </w:rPr>
                          <w:t>2,944,200</w:t>
                        </w:r>
                        <w:r>
                          <w:rPr>
                            <w:rFonts w:ascii="宋体" w:hAnsi="宋体" w:cs="宋体" w:eastAsia="宋体" w:hint="default"/>
                            <w:sz w:val="22"/>
                            <w:szCs w:val="22"/>
                          </w:rPr>
                          <w:t>元。</w:t>
                        </w:r>
                      </w:p>
                    </w:tc>
                  </w:tr>
                </w:tbl>
                <w:p>
                  <w:pPr/>
                </w:p>
              </w:txbxContent>
            </v:textbox>
            <w10:wrap type="none"/>
          </v:shape>
        </w:pict>
      </w:r>
      <w:r>
        <w:rPr>
          <w:rFonts w:ascii="宋体" w:hAnsi="宋体" w:cs="宋体" w:eastAsia="宋体" w:hint="default"/>
          <w:w w:val="100"/>
          <w:sz w:val="22"/>
          <w:szCs w:val="22"/>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0" w:top="1100" w:bottom="1160" w:left="980" w:right="980"/>
        </w:sectPr>
      </w:pPr>
    </w:p>
    <w:p>
      <w:pPr>
        <w:pStyle w:val="BodyText"/>
        <w:spacing w:line="240" w:lineRule="auto" w:before="26"/>
        <w:ind w:right="-20"/>
        <w:jc w:val="left"/>
      </w:pPr>
      <w:r>
        <w:rPr/>
        <w:t>公司报告期内董事、监事和高级管理人员报酬情况</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52"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60" w:bottom="1160" w:left="980" w:right="980"/>
          <w:cols w:num="2" w:equalWidth="0">
            <w:col w:w="5433" w:space="3156"/>
            <w:col w:w="1361"/>
          </w:cols>
        </w:sectPr>
      </w:pP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092"/>
        <w:gridCol w:w="991"/>
        <w:gridCol w:w="1277"/>
        <w:gridCol w:w="1841"/>
        <w:gridCol w:w="1635"/>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96" w:right="69" w:hanging="420"/>
              <w:jc w:val="left"/>
              <w:rPr>
                <w:rFonts w:ascii="宋体" w:hAnsi="宋体" w:cs="宋体" w:eastAsia="宋体" w:hint="default"/>
                <w:sz w:val="21"/>
                <w:szCs w:val="21"/>
              </w:rPr>
            </w:pPr>
            <w:r>
              <w:rPr>
                <w:rFonts w:ascii="宋体" w:hAnsi="宋体" w:cs="宋体" w:eastAsia="宋体" w:hint="default"/>
                <w:sz w:val="21"/>
                <w:szCs w:val="21"/>
              </w:rPr>
              <w:t>从公司获得的税前</w:t>
            </w:r>
            <w:r>
              <w:rPr>
                <w:rFonts w:ascii="宋体" w:hAnsi="宋体" w:cs="宋体" w:eastAsia="宋体" w:hint="default"/>
                <w:w w:val="100"/>
                <w:sz w:val="21"/>
                <w:szCs w:val="21"/>
              </w:rPr>
              <w:t> </w:t>
            </w:r>
            <w:r>
              <w:rPr>
                <w:rFonts w:ascii="宋体" w:hAnsi="宋体" w:cs="宋体" w:eastAsia="宋体" w:hint="default"/>
                <w:sz w:val="21"/>
                <w:szCs w:val="21"/>
              </w:rPr>
              <w:t>报酬总额</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86" w:right="72" w:hanging="210"/>
              <w:jc w:val="left"/>
              <w:rPr>
                <w:rFonts w:ascii="宋体" w:hAnsi="宋体" w:cs="宋体" w:eastAsia="宋体" w:hint="default"/>
                <w:sz w:val="21"/>
                <w:szCs w:val="21"/>
              </w:rPr>
            </w:pPr>
            <w:r>
              <w:rPr>
                <w:rFonts w:ascii="宋体" w:hAnsi="宋体" w:cs="宋体" w:eastAsia="宋体" w:hint="default"/>
                <w:sz w:val="21"/>
                <w:szCs w:val="21"/>
              </w:rPr>
              <w:t>是否在公司关联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邵学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48"/>
              <w:jc w:val="right"/>
              <w:rPr>
                <w:rFonts w:ascii="Arial" w:hAnsi="Arial" w:cs="Arial" w:eastAsia="Arial" w:hint="default"/>
                <w:sz w:val="21"/>
                <w:szCs w:val="21"/>
              </w:rPr>
            </w:pPr>
            <w:r>
              <w:rPr>
                <w:rFonts w:ascii="Arial"/>
                <w:spacing w:val="-1"/>
                <w:sz w:val="21"/>
              </w:rPr>
              <w:t>31.44</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宋体" w:hAnsi="宋体" w:cs="宋体" w:eastAsia="宋体" w:hint="default"/>
                <w:sz w:val="21"/>
                <w:szCs w:val="21"/>
              </w:rPr>
              <w:t>总经理</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48"/>
              <w:jc w:val="right"/>
              <w:rPr>
                <w:rFonts w:ascii="Arial" w:hAnsi="Arial" w:cs="Arial" w:eastAsia="Arial" w:hint="default"/>
                <w:sz w:val="21"/>
                <w:szCs w:val="21"/>
              </w:rPr>
            </w:pPr>
            <w:r>
              <w:rPr>
                <w:rFonts w:ascii="Arial"/>
                <w:spacing w:val="-1"/>
                <w:sz w:val="21"/>
              </w:rPr>
              <w:t>31.44</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573" w:right="120" w:hanging="449"/>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宋体" w:hAnsi="宋体" w:cs="宋体" w:eastAsia="宋体" w:hint="default"/>
                <w:sz w:val="21"/>
                <w:szCs w:val="21"/>
              </w:rPr>
              <w:t>副总经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648"/>
              <w:jc w:val="right"/>
              <w:rPr>
                <w:rFonts w:ascii="Arial" w:hAnsi="Arial" w:cs="Arial" w:eastAsia="Arial" w:hint="default"/>
                <w:sz w:val="21"/>
                <w:szCs w:val="21"/>
              </w:rPr>
            </w:pPr>
            <w:r>
              <w:rPr>
                <w:rFonts w:ascii="Arial"/>
                <w:spacing w:val="-1"/>
                <w:sz w:val="21"/>
              </w:rPr>
              <w:t>31.44</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任涛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48"/>
              <w:jc w:val="right"/>
              <w:rPr>
                <w:rFonts w:ascii="Arial" w:hAnsi="Arial" w:cs="Arial" w:eastAsia="Arial" w:hint="default"/>
                <w:sz w:val="21"/>
                <w:szCs w:val="21"/>
              </w:rPr>
            </w:pPr>
            <w:r>
              <w:rPr>
                <w:rFonts w:ascii="Arial"/>
                <w:spacing w:val="-1"/>
                <w:sz w:val="21"/>
              </w:rPr>
              <w:t>30.00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14.3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14.3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朱恒源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14.3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樊娇娇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48"/>
              <w:jc w:val="right"/>
              <w:rPr>
                <w:rFonts w:ascii="Arial" w:hAnsi="Arial" w:cs="Arial" w:eastAsia="Arial" w:hint="default"/>
                <w:sz w:val="21"/>
                <w:szCs w:val="21"/>
              </w:rPr>
            </w:pPr>
            <w:r>
              <w:rPr>
                <w:rFonts w:ascii="Arial"/>
                <w:spacing w:val="-1"/>
                <w:sz w:val="21"/>
              </w:rPr>
              <w:t>21.48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王珍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48"/>
              <w:jc w:val="right"/>
              <w:rPr>
                <w:rFonts w:ascii="Arial" w:hAnsi="Arial" w:cs="Arial" w:eastAsia="Arial" w:hint="default"/>
                <w:sz w:val="21"/>
                <w:szCs w:val="21"/>
              </w:rPr>
            </w:pPr>
            <w:r>
              <w:rPr>
                <w:rFonts w:ascii="Arial"/>
                <w:spacing w:val="-1"/>
                <w:sz w:val="21"/>
              </w:rPr>
              <w:t>12.55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王子纯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4.27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王月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0.49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王琰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362" w:right="122" w:hanging="238"/>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务总监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648"/>
              <w:jc w:val="right"/>
              <w:rPr>
                <w:rFonts w:ascii="Arial" w:hAnsi="Arial" w:cs="Arial" w:eastAsia="Arial" w:hint="default"/>
                <w:sz w:val="21"/>
                <w:szCs w:val="21"/>
              </w:rPr>
            </w:pPr>
            <w:r>
              <w:rPr>
                <w:rFonts w:ascii="Arial"/>
                <w:spacing w:val="-1"/>
                <w:sz w:val="21"/>
              </w:rPr>
              <w:t>30.33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邢立君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人力资源总监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48"/>
              <w:jc w:val="right"/>
              <w:rPr>
                <w:rFonts w:ascii="Arial" w:hAnsi="Arial" w:cs="Arial" w:eastAsia="Arial" w:hint="default"/>
                <w:sz w:val="21"/>
                <w:szCs w:val="21"/>
              </w:rPr>
            </w:pPr>
            <w:r>
              <w:rPr>
                <w:rFonts w:ascii="Arial"/>
                <w:spacing w:val="-1"/>
                <w:sz w:val="21"/>
              </w:rPr>
              <w:t>30.24</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韦光宇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48"/>
              <w:jc w:val="right"/>
              <w:rPr>
                <w:rFonts w:ascii="Arial" w:hAnsi="Arial" w:cs="Arial" w:eastAsia="Arial" w:hint="default"/>
                <w:sz w:val="21"/>
                <w:szCs w:val="21"/>
              </w:rPr>
            </w:pPr>
            <w:r>
              <w:rPr>
                <w:rFonts w:ascii="Arial"/>
                <w:spacing w:val="-1"/>
                <w:sz w:val="21"/>
              </w:rPr>
              <w:t>27.84</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 w:right="0"/>
              <w:jc w:val="center"/>
              <w:rPr>
                <w:rFonts w:ascii="Arial" w:hAnsi="Arial" w:cs="Arial" w:eastAsia="Arial" w:hint="default"/>
                <w:sz w:val="21"/>
                <w:szCs w:val="21"/>
              </w:rPr>
            </w:pPr>
            <w:r>
              <w:rPr>
                <w:rFonts w:ascii="Arial"/>
                <w:sz w:val="21"/>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 w:right="0"/>
              <w:jc w:val="center"/>
              <w:rPr>
                <w:rFonts w:ascii="Arial" w:hAnsi="Arial" w:cs="Arial" w:eastAsia="Arial" w:hint="default"/>
                <w:sz w:val="21"/>
                <w:szCs w:val="21"/>
              </w:rPr>
            </w:pPr>
            <w:r>
              <w:rPr>
                <w:rFonts w:ascii="Arial"/>
                <w:sz w:val="21"/>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c>
          <w:tcPr>
            <w:tcW w:w="18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right="576"/>
              <w:jc w:val="right"/>
              <w:rPr>
                <w:rFonts w:ascii="Arial" w:hAnsi="Arial" w:cs="Arial" w:eastAsia="Arial" w:hint="default"/>
                <w:sz w:val="21"/>
                <w:szCs w:val="21"/>
              </w:rPr>
            </w:pPr>
            <w:r>
              <w:rPr>
                <w:rFonts w:ascii="Arial"/>
                <w:sz w:val="21"/>
              </w:rPr>
              <w:t>294.42</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Arial" w:hAnsi="Arial" w:cs="Arial" w:eastAsia="Arial" w:hint="default"/>
                <w:sz w:val="21"/>
                <w:szCs w:val="21"/>
              </w:rPr>
            </w:pPr>
            <w:r>
              <w:rPr>
                <w:rFonts w:ascii="Arial"/>
                <w:sz w:val="21"/>
              </w:rPr>
              <w:t>--</w:t>
            </w:r>
          </w:p>
        </w:tc>
      </w:tr>
    </w:tbl>
    <w:p>
      <w:pPr>
        <w:spacing w:line="240" w:lineRule="auto" w:before="5"/>
        <w:rPr>
          <w:rFonts w:ascii="宋体" w:hAnsi="宋体" w:cs="宋体" w:eastAsia="宋体" w:hint="default"/>
          <w:sz w:val="13"/>
          <w:szCs w:val="13"/>
        </w:rPr>
      </w:pPr>
    </w:p>
    <w:p>
      <w:pPr>
        <w:pStyle w:val="BodyText"/>
        <w:spacing w:line="240" w:lineRule="auto" w:before="26"/>
        <w:ind w:right="0"/>
        <w:jc w:val="left"/>
      </w:pPr>
      <w:r>
        <w:rPr/>
        <w:t>公司董事、高级管理人员报告期内被授予的股权激励情况</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0" w:top="1100" w:bottom="1160" w:left="980" w:right="980"/>
        </w:sectPr>
      </w:pPr>
    </w:p>
    <w:p>
      <w:pPr>
        <w:pStyle w:val="BodyText"/>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60" w:bottom="1160" w:left="980" w:right="980"/>
          <w:cols w:num="2" w:equalWidth="0">
            <w:col w:w="1990" w:space="6811"/>
            <w:col w:w="1149"/>
          </w:cols>
        </w:sectPr>
      </w:pPr>
    </w:p>
    <w:p>
      <w:pPr>
        <w:spacing w:line="240" w:lineRule="auto" w:before="13"/>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864"/>
        <w:gridCol w:w="871"/>
        <w:gridCol w:w="869"/>
        <w:gridCol w:w="869"/>
        <w:gridCol w:w="869"/>
        <w:gridCol w:w="871"/>
        <w:gridCol w:w="869"/>
        <w:gridCol w:w="871"/>
        <w:gridCol w:w="869"/>
        <w:gridCol w:w="872"/>
        <w:gridCol w:w="869"/>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15" w:right="108"/>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内可行</w:t>
            </w:r>
            <w:r>
              <w:rPr>
                <w:rFonts w:ascii="宋体" w:hAnsi="宋体" w:cs="宋体" w:eastAsia="宋体" w:hint="default"/>
                <w:spacing w:val="-102"/>
                <w:sz w:val="21"/>
                <w:szCs w:val="21"/>
              </w:rPr>
              <w:t> </w:t>
            </w:r>
            <w:r>
              <w:rPr>
                <w:rFonts w:ascii="宋体" w:hAnsi="宋体" w:cs="宋体" w:eastAsia="宋体" w:hint="default"/>
                <w:sz w:val="21"/>
                <w:szCs w:val="21"/>
              </w:rPr>
              <w:t>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内已行</w:t>
            </w:r>
            <w:r>
              <w:rPr>
                <w:rFonts w:ascii="宋体" w:hAnsi="宋体" w:cs="宋体" w:eastAsia="宋体" w:hint="default"/>
                <w:spacing w:val="-102"/>
                <w:sz w:val="21"/>
                <w:szCs w:val="21"/>
              </w:rPr>
              <w:t> </w:t>
            </w:r>
            <w:r>
              <w:rPr>
                <w:rFonts w:ascii="宋体" w:hAnsi="宋体" w:cs="宋体" w:eastAsia="宋体" w:hint="default"/>
                <w:sz w:val="21"/>
                <w:szCs w:val="21"/>
              </w:rPr>
              <w:t>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86" w:right="78" w:firstLine="28"/>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内已行</w:t>
            </w:r>
            <w:r>
              <w:rPr>
                <w:rFonts w:ascii="宋体" w:hAnsi="宋体" w:cs="宋体" w:eastAsia="宋体" w:hint="default"/>
                <w:spacing w:val="-102"/>
                <w:sz w:val="21"/>
                <w:szCs w:val="21"/>
              </w:rPr>
              <w:t> </w:t>
            </w:r>
            <w:r>
              <w:rPr>
                <w:rFonts w:ascii="宋体" w:hAnsi="宋体" w:cs="宋体" w:eastAsia="宋体" w:hint="default"/>
                <w:sz w:val="21"/>
                <w:szCs w:val="21"/>
              </w:rPr>
              <w:t>权股数</w:t>
            </w:r>
            <w:r>
              <w:rPr>
                <w:rFonts w:ascii="宋体" w:hAnsi="宋体" w:cs="宋体" w:eastAsia="宋体" w:hint="default"/>
                <w:spacing w:val="-102"/>
                <w:sz w:val="21"/>
                <w:szCs w:val="21"/>
              </w:rPr>
              <w:t> </w:t>
            </w:r>
            <w:r>
              <w:rPr>
                <w:rFonts w:ascii="宋体" w:hAnsi="宋体" w:cs="宋体" w:eastAsia="宋体" w:hint="default"/>
                <w:sz w:val="21"/>
                <w:szCs w:val="21"/>
              </w:rPr>
              <w:t>行权价</w:t>
            </w:r>
            <w:r>
              <w:rPr>
                <w:rFonts w:ascii="宋体" w:hAnsi="宋体" w:cs="宋体" w:eastAsia="宋体" w:hint="default"/>
                <w:spacing w:val="-102"/>
                <w:sz w:val="21"/>
                <w:szCs w:val="21"/>
              </w:rPr>
              <w:t> </w:t>
            </w:r>
            <w:r>
              <w:rPr>
                <w:rFonts w:ascii="宋体" w:hAnsi="宋体" w:cs="宋体" w:eastAsia="宋体" w:hint="default"/>
                <w:sz w:val="21"/>
                <w:szCs w:val="21"/>
              </w:rPr>
              <w:t>格（元</w:t>
            </w:r>
            <w:r>
              <w:rPr>
                <w:rFonts w:ascii="Arial" w:hAnsi="Arial" w:cs="Arial" w:eastAsia="Arial" w:hint="default"/>
                <w:sz w:val="21"/>
                <w:szCs w:val="21"/>
              </w:rPr>
              <w:t>/</w:t>
            </w:r>
            <w:r>
              <w:rPr>
                <w:rFonts w:ascii="Arial" w:hAnsi="Arial" w:cs="Arial" w:eastAsia="Arial" w:hint="default"/>
                <w:spacing w:val="-55"/>
                <w:sz w:val="21"/>
                <w:szCs w:val="21"/>
              </w:rPr>
              <w:t> </w:t>
            </w:r>
            <w:r>
              <w:rPr>
                <w:rFonts w:ascii="宋体" w:hAnsi="宋体" w:cs="宋体" w:eastAsia="宋体" w:hint="default"/>
                <w:sz w:val="21"/>
                <w:szCs w:val="21"/>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15" w:right="110"/>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末市价</w:t>
            </w:r>
          </w:p>
          <w:p>
            <w:pPr>
              <w:pStyle w:val="TableParagraph"/>
              <w:spacing w:line="259" w:lineRule="auto" w:before="7"/>
              <w:ind w:left="192" w:right="186"/>
              <w:jc w:val="center"/>
              <w:rPr>
                <w:rFonts w:ascii="宋体" w:hAnsi="宋体" w:cs="宋体" w:eastAsia="宋体" w:hint="default"/>
                <w:sz w:val="21"/>
                <w:szCs w:val="21"/>
              </w:rPr>
            </w:pP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15" w:right="108"/>
              <w:jc w:val="both"/>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有限制</w:t>
            </w:r>
            <w:r>
              <w:rPr>
                <w:rFonts w:ascii="宋体" w:hAnsi="宋体" w:cs="宋体" w:eastAsia="宋体" w:hint="default"/>
                <w:spacing w:val="-102"/>
                <w:sz w:val="21"/>
                <w:szCs w:val="21"/>
              </w:rPr>
              <w:t> </w:t>
            </w: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本期已</w:t>
            </w:r>
            <w:r>
              <w:rPr>
                <w:rFonts w:ascii="宋体" w:hAnsi="宋体" w:cs="宋体" w:eastAsia="宋体" w:hint="default"/>
                <w:spacing w:val="-102"/>
                <w:sz w:val="21"/>
                <w:szCs w:val="21"/>
              </w:rPr>
              <w:t> </w:t>
            </w:r>
            <w:r>
              <w:rPr>
                <w:rFonts w:ascii="宋体" w:hAnsi="宋体" w:cs="宋体" w:eastAsia="宋体" w:hint="default"/>
                <w:sz w:val="21"/>
                <w:szCs w:val="21"/>
              </w:rPr>
              <w:t>解锁股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15" w:right="108"/>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新授予</w:t>
            </w:r>
            <w:r>
              <w:rPr>
                <w:rFonts w:ascii="宋体" w:hAnsi="宋体" w:cs="宋体" w:eastAsia="宋体" w:hint="default"/>
                <w:w w:val="100"/>
                <w:sz w:val="21"/>
                <w:szCs w:val="21"/>
              </w:rPr>
              <w:t> </w:t>
            </w:r>
            <w:r>
              <w:rPr>
                <w:rFonts w:ascii="宋体" w:hAnsi="宋体" w:cs="宋体" w:eastAsia="宋体" w:hint="default"/>
                <w:sz w:val="21"/>
                <w:szCs w:val="21"/>
              </w:rPr>
              <w:t>限制性</w:t>
            </w:r>
            <w:r>
              <w:rPr>
                <w:rFonts w:ascii="宋体" w:hAnsi="宋体" w:cs="宋体" w:eastAsia="宋体" w:hint="default"/>
                <w:w w:val="100"/>
                <w:sz w:val="21"/>
                <w:szCs w:val="21"/>
              </w:rPr>
              <w:t> </w:t>
            </w:r>
            <w:r>
              <w:rPr>
                <w:rFonts w:ascii="宋体" w:hAnsi="宋体" w:cs="宋体" w:eastAsia="宋体" w:hint="default"/>
                <w:sz w:val="21"/>
                <w:szCs w:val="21"/>
              </w:rPr>
              <w:t>股票数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68" w:lineRule="auto"/>
              <w:ind w:left="86" w:right="80" w:firstLine="28"/>
              <w:jc w:val="both"/>
              <w:rPr>
                <w:rFonts w:ascii="宋体" w:hAnsi="宋体" w:cs="宋体" w:eastAsia="宋体" w:hint="default"/>
                <w:sz w:val="21"/>
                <w:szCs w:val="21"/>
              </w:rPr>
            </w:pPr>
            <w:r>
              <w:rPr>
                <w:rFonts w:ascii="宋体" w:hAnsi="宋体" w:cs="宋体" w:eastAsia="宋体" w:hint="default"/>
                <w:sz w:val="21"/>
                <w:szCs w:val="21"/>
              </w:rPr>
              <w:t>限制性</w:t>
            </w:r>
            <w:r>
              <w:rPr>
                <w:rFonts w:ascii="宋体" w:hAnsi="宋体" w:cs="宋体" w:eastAsia="宋体" w:hint="default"/>
                <w:w w:val="100"/>
                <w:sz w:val="21"/>
                <w:szCs w:val="21"/>
              </w:rPr>
              <w:t> </w:t>
            </w:r>
            <w:r>
              <w:rPr>
                <w:rFonts w:ascii="宋体" w:hAnsi="宋体" w:cs="宋体" w:eastAsia="宋体" w:hint="default"/>
                <w:sz w:val="21"/>
                <w:szCs w:val="21"/>
              </w:rPr>
              <w:t>股票的</w:t>
            </w:r>
            <w:r>
              <w:rPr>
                <w:rFonts w:ascii="宋体" w:hAnsi="宋体" w:cs="宋体" w:eastAsia="宋体" w:hint="default"/>
                <w:spacing w:val="-102"/>
                <w:sz w:val="21"/>
                <w:szCs w:val="21"/>
              </w:rPr>
              <w:t> </w:t>
            </w:r>
            <w:r>
              <w:rPr>
                <w:rFonts w:ascii="宋体" w:hAnsi="宋体" w:cs="宋体" w:eastAsia="宋体" w:hint="default"/>
                <w:sz w:val="21"/>
                <w:szCs w:val="21"/>
              </w:rPr>
              <w:t>授予价</w:t>
            </w:r>
            <w:r>
              <w:rPr>
                <w:rFonts w:ascii="宋体" w:hAnsi="宋体" w:cs="宋体" w:eastAsia="宋体" w:hint="default"/>
                <w:spacing w:val="-102"/>
                <w:sz w:val="21"/>
                <w:szCs w:val="21"/>
              </w:rPr>
              <w:t> </w:t>
            </w:r>
            <w:r>
              <w:rPr>
                <w:rFonts w:ascii="宋体" w:hAnsi="宋体" w:cs="宋体" w:eastAsia="宋体" w:hint="default"/>
                <w:sz w:val="21"/>
                <w:szCs w:val="21"/>
              </w:rPr>
              <w:t>格（元</w:t>
            </w:r>
            <w:r>
              <w:rPr>
                <w:rFonts w:ascii="Arial" w:hAnsi="Arial" w:cs="Arial" w:eastAsia="Arial" w:hint="default"/>
                <w:sz w:val="21"/>
                <w:szCs w:val="21"/>
              </w:rPr>
              <w:t>/</w:t>
            </w:r>
            <w:r>
              <w:rPr>
                <w:rFonts w:ascii="Arial" w:hAnsi="Arial" w:cs="Arial" w:eastAsia="Arial" w:hint="default"/>
                <w:spacing w:val="-55"/>
                <w:sz w:val="21"/>
                <w:szCs w:val="21"/>
              </w:rPr>
              <w:t> </w:t>
            </w: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15" w:right="108"/>
              <w:jc w:val="both"/>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有限制</w:t>
            </w:r>
            <w:r>
              <w:rPr>
                <w:rFonts w:ascii="宋体" w:hAnsi="宋体" w:cs="宋体" w:eastAsia="宋体" w:hint="default"/>
                <w:spacing w:val="-102"/>
                <w:sz w:val="21"/>
                <w:szCs w:val="21"/>
              </w:rPr>
              <w:t> </w:t>
            </w: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王琰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0"/>
              <w:ind w:left="86" w:right="83" w:firstLine="28"/>
              <w:jc w:val="both"/>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w w:val="100"/>
                <w:sz w:val="21"/>
                <w:szCs w:val="21"/>
              </w:rPr>
              <w:t> </w:t>
            </w:r>
            <w:r>
              <w:rPr>
                <w:rFonts w:ascii="宋体" w:hAnsi="宋体" w:cs="宋体" w:eastAsia="宋体" w:hint="default"/>
                <w:sz w:val="21"/>
                <w:szCs w:val="21"/>
              </w:rPr>
              <w:t>理</w:t>
            </w:r>
            <w:r>
              <w:rPr>
                <w:rFonts w:ascii="Arial" w:hAnsi="Arial" w:cs="Arial" w:eastAsia="Arial" w:hint="default"/>
                <w:sz w:val="21"/>
                <w:szCs w:val="21"/>
              </w:rPr>
              <w:t>/</w:t>
            </w:r>
            <w:r>
              <w:rPr>
                <w:rFonts w:ascii="宋体" w:hAnsi="宋体" w:cs="宋体" w:eastAsia="宋体" w:hint="default"/>
                <w:sz w:val="21"/>
                <w:szCs w:val="21"/>
              </w:rPr>
              <w:t>财务</w:t>
            </w:r>
            <w:r>
              <w:rPr>
                <w:rFonts w:ascii="宋体" w:hAnsi="宋体" w:cs="宋体" w:eastAsia="宋体" w:hint="default"/>
                <w:w w:val="100"/>
                <w:sz w:val="21"/>
                <w:szCs w:val="21"/>
              </w:rPr>
              <w:t> </w:t>
            </w:r>
            <w:r>
              <w:rPr>
                <w:rFonts w:ascii="宋体" w:hAnsi="宋体" w:cs="宋体" w:eastAsia="宋体" w:hint="default"/>
                <w:sz w:val="21"/>
                <w:szCs w:val="21"/>
              </w:rPr>
              <w:t>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 w:right="0"/>
              <w:jc w:val="center"/>
              <w:rPr>
                <w:rFonts w:ascii="Arial" w:hAnsi="Arial" w:cs="Arial" w:eastAsia="Arial" w:hint="default"/>
                <w:sz w:val="21"/>
                <w:szCs w:val="21"/>
              </w:rPr>
            </w:pPr>
            <w:r>
              <w:rPr>
                <w:rFonts w:ascii="Arial"/>
                <w:sz w:val="21"/>
              </w:rPr>
              <w:t>14.88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60"/>
              <w:jc w:val="right"/>
              <w:rPr>
                <w:rFonts w:ascii="Arial" w:hAnsi="Arial" w:cs="Arial" w:eastAsia="Arial" w:hint="default"/>
                <w:sz w:val="21"/>
                <w:szCs w:val="21"/>
              </w:rPr>
            </w:pPr>
            <w:r>
              <w:rPr>
                <w:rFonts w:ascii="Arial"/>
                <w:spacing w:val="-6"/>
                <w:sz w:val="21"/>
              </w:rPr>
              <w:t>111,099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06"/>
              <w:jc w:val="right"/>
              <w:rPr>
                <w:rFonts w:ascii="Arial" w:hAnsi="Arial" w:cs="Arial" w:eastAsia="Arial" w:hint="default"/>
                <w:sz w:val="21"/>
                <w:szCs w:val="21"/>
              </w:rPr>
            </w:pPr>
            <w:r>
              <w:rPr>
                <w:rFonts w:ascii="Arial"/>
                <w:spacing w:val="-1"/>
                <w:sz w:val="21"/>
              </w:rPr>
              <w:t>47,614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Arial" w:hAnsi="Arial" w:cs="Arial" w:eastAsia="Arial" w:hint="default"/>
                <w:sz w:val="21"/>
                <w:szCs w:val="21"/>
              </w:rPr>
            </w:pPr>
            <w:r>
              <w:rPr>
                <w:rFonts w:ascii="Arial"/>
                <w:sz w:val="21"/>
              </w:rPr>
              <w:t>150,000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67" w:right="0"/>
              <w:jc w:val="left"/>
              <w:rPr>
                <w:rFonts w:ascii="Arial" w:hAnsi="Arial" w:cs="Arial" w:eastAsia="Arial" w:hint="default"/>
                <w:sz w:val="21"/>
                <w:szCs w:val="21"/>
              </w:rPr>
            </w:pPr>
            <w:r>
              <w:rPr>
                <w:rFonts w:ascii="Arial"/>
                <w:sz w:val="21"/>
              </w:rPr>
              <w:t>10.03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Arial" w:hAnsi="Arial" w:cs="Arial" w:eastAsia="Arial" w:hint="default"/>
                <w:sz w:val="21"/>
                <w:szCs w:val="21"/>
              </w:rPr>
            </w:pPr>
            <w:r>
              <w:rPr>
                <w:rFonts w:ascii="Arial"/>
                <w:sz w:val="21"/>
              </w:rPr>
              <w:t>213,485</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邢立君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115" w:right="110"/>
              <w:jc w:val="left"/>
              <w:rPr>
                <w:rFonts w:ascii="宋体" w:hAnsi="宋体" w:cs="宋体" w:eastAsia="宋体" w:hint="default"/>
                <w:sz w:val="21"/>
                <w:szCs w:val="21"/>
              </w:rPr>
            </w:pPr>
            <w:r>
              <w:rPr>
                <w:rFonts w:ascii="宋体" w:hAnsi="宋体" w:cs="宋体" w:eastAsia="宋体" w:hint="default"/>
                <w:sz w:val="21"/>
                <w:szCs w:val="21"/>
              </w:rPr>
              <w:t>人力资</w:t>
            </w:r>
            <w:r>
              <w:rPr>
                <w:rFonts w:ascii="宋体" w:hAnsi="宋体" w:cs="宋体" w:eastAsia="宋体" w:hint="default"/>
                <w:spacing w:val="-102"/>
                <w:sz w:val="21"/>
                <w:szCs w:val="21"/>
              </w:rPr>
              <w:t> </w:t>
            </w:r>
            <w:r>
              <w:rPr>
                <w:rFonts w:ascii="宋体" w:hAnsi="宋体" w:cs="宋体" w:eastAsia="宋体" w:hint="default"/>
                <w:sz w:val="21"/>
                <w:szCs w:val="21"/>
              </w:rPr>
              <w:t>源总监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14.88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60"/>
              <w:jc w:val="right"/>
              <w:rPr>
                <w:rFonts w:ascii="Arial" w:hAnsi="Arial" w:cs="Arial" w:eastAsia="Arial" w:hint="default"/>
                <w:sz w:val="21"/>
                <w:szCs w:val="21"/>
              </w:rPr>
            </w:pPr>
            <w:r>
              <w:rPr>
                <w:rFonts w:ascii="Arial"/>
                <w:spacing w:val="-6"/>
                <w:sz w:val="21"/>
              </w:rPr>
              <w:t>111,099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6"/>
              <w:jc w:val="right"/>
              <w:rPr>
                <w:rFonts w:ascii="Arial" w:hAnsi="Arial" w:cs="Arial" w:eastAsia="Arial" w:hint="default"/>
                <w:sz w:val="21"/>
                <w:szCs w:val="21"/>
              </w:rPr>
            </w:pPr>
            <w:r>
              <w:rPr>
                <w:rFonts w:ascii="Arial"/>
                <w:spacing w:val="-1"/>
                <w:sz w:val="21"/>
              </w:rPr>
              <w:t>47,614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150,000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67" w:right="0"/>
              <w:jc w:val="left"/>
              <w:rPr>
                <w:rFonts w:ascii="Arial" w:hAnsi="Arial" w:cs="Arial" w:eastAsia="Arial" w:hint="default"/>
                <w:sz w:val="21"/>
                <w:szCs w:val="21"/>
              </w:rPr>
            </w:pPr>
            <w:r>
              <w:rPr>
                <w:rFonts w:ascii="Arial"/>
                <w:sz w:val="21"/>
              </w:rPr>
              <w:t>10.03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213,485</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韦光宇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20" w:right="110" w:hanging="106"/>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pacing w:val="-102"/>
                <w:sz w:val="21"/>
                <w:szCs w:val="21"/>
              </w:rPr>
              <w:t> </w:t>
            </w:r>
            <w:r>
              <w:rPr>
                <w:rFonts w:ascii="宋体" w:hAnsi="宋体" w:cs="宋体" w:eastAsia="宋体" w:hint="default"/>
                <w:sz w:val="21"/>
                <w:szCs w:val="21"/>
              </w:rPr>
              <w:t>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14.88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21"/>
                <w:szCs w:val="21"/>
              </w:rPr>
            </w:pPr>
            <w:r>
              <w:rPr>
                <w:rFonts w:ascii="Arial"/>
                <w:spacing w:val="-1"/>
                <w:sz w:val="21"/>
              </w:rPr>
              <w:t>69,436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Arial" w:hAnsi="Arial" w:cs="Arial" w:eastAsia="Arial" w:hint="default"/>
                <w:sz w:val="21"/>
                <w:szCs w:val="21"/>
              </w:rPr>
            </w:pPr>
            <w:r>
              <w:rPr>
                <w:rFonts w:ascii="Arial"/>
                <w:spacing w:val="-1"/>
                <w:sz w:val="21"/>
              </w:rPr>
              <w:t>29,759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150,000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7" w:right="0"/>
              <w:jc w:val="left"/>
              <w:rPr>
                <w:rFonts w:ascii="Arial" w:hAnsi="Arial" w:cs="Arial" w:eastAsia="Arial" w:hint="default"/>
                <w:sz w:val="21"/>
                <w:szCs w:val="21"/>
              </w:rPr>
            </w:pPr>
            <w:r>
              <w:rPr>
                <w:rFonts w:ascii="Arial"/>
                <w:sz w:val="21"/>
              </w:rPr>
              <w:t>10.03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189,677</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赵晓明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14.88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0"/>
              <w:jc w:val="right"/>
              <w:rPr>
                <w:rFonts w:ascii="Arial" w:hAnsi="Arial" w:cs="Arial" w:eastAsia="Arial" w:hint="default"/>
                <w:sz w:val="21"/>
                <w:szCs w:val="21"/>
              </w:rPr>
            </w:pPr>
            <w:r>
              <w:rPr>
                <w:rFonts w:ascii="Arial"/>
                <w:spacing w:val="-6"/>
                <w:sz w:val="21"/>
              </w:rPr>
              <w:t>111,099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Arial" w:hAnsi="Arial" w:cs="Arial" w:eastAsia="Arial" w:hint="default"/>
                <w:sz w:val="21"/>
                <w:szCs w:val="21"/>
              </w:rPr>
            </w:pPr>
            <w:r>
              <w:rPr>
                <w:rFonts w:ascii="Arial"/>
                <w:spacing w:val="-1"/>
                <w:sz w:val="21"/>
              </w:rPr>
              <w:t>47,614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6" w:right="0"/>
              <w:jc w:val="left"/>
              <w:rPr>
                <w:rFonts w:ascii="Arial" w:hAnsi="Arial" w:cs="Arial" w:eastAsia="Arial" w:hint="default"/>
                <w:sz w:val="21"/>
                <w:szCs w:val="21"/>
              </w:rPr>
            </w:pPr>
            <w:r>
              <w:rPr>
                <w:rFonts w:ascii="Arial"/>
                <w:sz w:val="21"/>
              </w:rPr>
              <w:t>5.01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63,485</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Arial" w:hAnsi="Arial" w:cs="Arial" w:eastAsia="Arial" w:hint="default"/>
                <w:sz w:val="21"/>
                <w:szCs w:val="21"/>
              </w:rPr>
            </w:pPr>
            <w:r>
              <w:rPr>
                <w:rFonts w:ascii="Arial"/>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Arial" w:hAnsi="Arial" w:cs="Arial" w:eastAsia="Arial" w:hint="default"/>
                <w:sz w:val="21"/>
                <w:szCs w:val="21"/>
              </w:rPr>
            </w:pPr>
            <w:r>
              <w:rPr>
                <w:rFonts w:ascii="Arial"/>
                <w:sz w:val="21"/>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Arial" w:hAnsi="Arial" w:cs="Arial" w:eastAsia="Arial" w:hint="default"/>
                <w:sz w:val="21"/>
                <w:szCs w:val="21"/>
              </w:rPr>
            </w:pPr>
            <w:r>
              <w:rPr>
                <w:rFonts w:ascii="Arial"/>
                <w:sz w:val="21"/>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46"/>
              <w:jc w:val="right"/>
              <w:rPr>
                <w:rFonts w:ascii="Arial" w:hAnsi="Arial" w:cs="Arial" w:eastAsia="Arial" w:hint="default"/>
                <w:sz w:val="21"/>
                <w:szCs w:val="21"/>
              </w:rPr>
            </w:pPr>
            <w:r>
              <w:rPr>
                <w:rFonts w:ascii="Arial"/>
                <w:spacing w:val="-1"/>
                <w:sz w:val="21"/>
              </w:rPr>
              <w:t>402,733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8"/>
              <w:jc w:val="right"/>
              <w:rPr>
                <w:rFonts w:ascii="Arial" w:hAnsi="Arial" w:cs="Arial" w:eastAsia="Arial" w:hint="default"/>
                <w:sz w:val="21"/>
                <w:szCs w:val="21"/>
              </w:rPr>
            </w:pPr>
            <w:r>
              <w:rPr>
                <w:rFonts w:ascii="Arial"/>
                <w:spacing w:val="-1"/>
                <w:sz w:val="21"/>
              </w:rPr>
              <w:t>172,601</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14" w:right="0"/>
              <w:jc w:val="center"/>
              <w:rPr>
                <w:rFonts w:ascii="Arial" w:hAnsi="Arial" w:cs="Arial" w:eastAsia="Arial" w:hint="default"/>
                <w:sz w:val="21"/>
                <w:szCs w:val="21"/>
              </w:rPr>
            </w:pPr>
            <w:r>
              <w:rPr>
                <w:rFonts w:ascii="Arial"/>
                <w:sz w:val="21"/>
              </w:rPr>
              <w:t>450,000</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Arial" w:hAnsi="Arial" w:cs="Arial" w:eastAsia="Arial" w:hint="default"/>
                <w:sz w:val="21"/>
                <w:szCs w:val="21"/>
              </w:rPr>
            </w:pPr>
            <w:r>
              <w:rPr>
                <w:rFonts w:ascii="Arial"/>
                <w:sz w:val="21"/>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6"/>
              <w:jc w:val="center"/>
              <w:rPr>
                <w:rFonts w:ascii="Arial" w:hAnsi="Arial" w:cs="Arial" w:eastAsia="Arial" w:hint="default"/>
                <w:sz w:val="21"/>
                <w:szCs w:val="21"/>
              </w:rPr>
            </w:pPr>
            <w:r>
              <w:rPr>
                <w:rFonts w:ascii="Arial"/>
                <w:sz w:val="21"/>
              </w:rPr>
              <w:t>680,132</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、员工数量、专业构成及教育程度</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93" w:type="dxa"/>
        <w:tblLayout w:type="fixed"/>
        <w:tblCellMar>
          <w:top w:w="0" w:type="dxa"/>
          <w:left w:w="0" w:type="dxa"/>
          <w:bottom w:w="0" w:type="dxa"/>
          <w:right w:w="0" w:type="dxa"/>
        </w:tblCellMar>
        <w:tblLook w:val="01E0"/>
      </w:tblPr>
      <w:tblGrid>
        <w:gridCol w:w="4772"/>
        <w:gridCol w:w="592"/>
        <w:gridCol w:w="4192"/>
      </w:tblGrid>
      <w:tr>
        <w:trPr>
          <w:trHeight w:val="404" w:hRule="exact"/>
        </w:trPr>
        <w:tc>
          <w:tcPr>
            <w:tcW w:w="5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48</w:t>
            </w:r>
          </w:p>
        </w:tc>
      </w:tr>
      <w:tr>
        <w:trPr>
          <w:trHeight w:val="401" w:hRule="exact"/>
        </w:trPr>
        <w:tc>
          <w:tcPr>
            <w:tcW w:w="5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5,018</w:t>
            </w:r>
          </w:p>
        </w:tc>
      </w:tr>
      <w:tr>
        <w:trPr>
          <w:trHeight w:val="403" w:hRule="exact"/>
        </w:trPr>
        <w:tc>
          <w:tcPr>
            <w:tcW w:w="5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5,066</w:t>
            </w:r>
          </w:p>
        </w:tc>
      </w:tr>
      <w:tr>
        <w:trPr>
          <w:trHeight w:val="401" w:hRule="exact"/>
        </w:trPr>
        <w:tc>
          <w:tcPr>
            <w:tcW w:w="5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5,961</w:t>
            </w:r>
          </w:p>
        </w:tc>
      </w:tr>
      <w:tr>
        <w:trPr>
          <w:trHeight w:val="408" w:hRule="exact"/>
        </w:trPr>
        <w:tc>
          <w:tcPr>
            <w:tcW w:w="5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母公司及主要子公司需承担费用的离退休职工人数（人）</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r>
      <w:tr>
        <w:trPr>
          <w:trHeight w:val="39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8" w:hRule="exact"/>
        </w:trPr>
        <w:tc>
          <w:tcPr>
            <w:tcW w:w="5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150"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01" w:hRule="exact"/>
        </w:trPr>
        <w:tc>
          <w:tcPr>
            <w:tcW w:w="5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300</w:t>
            </w:r>
          </w:p>
        </w:tc>
      </w:tr>
      <w:tr>
        <w:trPr>
          <w:trHeight w:val="403" w:hRule="exact"/>
        </w:trPr>
        <w:tc>
          <w:tcPr>
            <w:tcW w:w="5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4"/>
                <w:sz w:val="21"/>
              </w:rPr>
              <w:t>4,119</w:t>
            </w:r>
          </w:p>
        </w:tc>
      </w:tr>
      <w:tr>
        <w:trPr>
          <w:trHeight w:val="401" w:hRule="exact"/>
        </w:trPr>
        <w:tc>
          <w:tcPr>
            <w:tcW w:w="5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62</w:t>
            </w:r>
          </w:p>
        </w:tc>
      </w:tr>
      <w:tr>
        <w:trPr>
          <w:trHeight w:val="403" w:hRule="exact"/>
        </w:trPr>
        <w:tc>
          <w:tcPr>
            <w:tcW w:w="5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585</w:t>
            </w:r>
          </w:p>
        </w:tc>
      </w:tr>
      <w:tr>
        <w:trPr>
          <w:trHeight w:val="406" w:hRule="exact"/>
        </w:trPr>
        <w:tc>
          <w:tcPr>
            <w:tcW w:w="5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5,066</w:t>
            </w:r>
          </w:p>
        </w:tc>
      </w:tr>
      <w:tr>
        <w:trPr>
          <w:trHeight w:val="394"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7"/>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6"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7"/>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硕士研究生及以上学历</w:t>
            </w:r>
          </w:p>
        </w:tc>
        <w:tc>
          <w:tcPr>
            <w:tcW w:w="4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334</w:t>
            </w:r>
          </w:p>
        </w:tc>
      </w:tr>
    </w:tbl>
    <w:p>
      <w:pPr>
        <w:spacing w:after="0" w:line="240" w:lineRule="auto"/>
        <w:jc w:val="right"/>
        <w:rPr>
          <w:rFonts w:ascii="Arial" w:hAnsi="Arial" w:cs="Arial" w:eastAsia="Arial" w:hint="default"/>
          <w:sz w:val="21"/>
          <w:szCs w:val="21"/>
        </w:rPr>
        <w:sectPr>
          <w:type w:val="continuous"/>
          <w:pgSz w:w="11910" w:h="16840"/>
          <w:pgMar w:top="1060" w:bottom="1160" w:left="980" w:right="9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大学本科学历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3,818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z w:val="21"/>
              </w:rPr>
              <w:t>840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大专以下学历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74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5,066</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、薪酬政策</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p>
      <w:pPr>
        <w:pStyle w:val="BodyText"/>
        <w:spacing w:line="297" w:lineRule="auto"/>
        <w:ind w:right="191" w:firstLine="480"/>
        <w:jc w:val="both"/>
      </w:pPr>
      <w:r>
        <w:rPr/>
        <w:t>公司设有完善的薪酬体系，高级管理人员实行年薪制；员工薪酬根据岗位，并结合本地 区同行业薪资水平及公司实际情况进行确定。</w:t>
      </w:r>
    </w:p>
    <w:p>
      <w:pPr>
        <w:spacing w:line="240" w:lineRule="auto" w:before="4"/>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、培训计划</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8"/>
          <w:szCs w:val="18"/>
        </w:rPr>
      </w:pPr>
    </w:p>
    <w:p>
      <w:pPr>
        <w:pStyle w:val="BodyText"/>
        <w:spacing w:line="297" w:lineRule="auto"/>
        <w:ind w:right="191" w:firstLine="480"/>
        <w:jc w:val="both"/>
      </w:pPr>
      <w:r>
        <w:rPr/>
        <w:t>公司建立健全了培训体系，采用外部培训与内部培训相结合的方式，根据不同岗位制定 具体培训计划，以提高员工素质与技能，促进员工职业发展。同时，为帮助新入职员工增进 对公司及工作环境的了解，迅速进入状态，根据当期新员工的数量，不定期开展新员工入职 培训。</w:t>
      </w:r>
    </w:p>
    <w:p>
      <w:pPr>
        <w:spacing w:line="240" w:lineRule="auto" w:before="2"/>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、劳务外包情况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2791"/>
        <w:jc w:val="center"/>
        <w:rPr>
          <w:b w:val="0"/>
          <w:bCs w:val="0"/>
        </w:rPr>
      </w:pPr>
      <w:bookmarkStart w:name="_bookmark7" w:id="8"/>
      <w:bookmarkEnd w:id="8"/>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13"/>
        <w:rPr>
          <w:rFonts w:ascii="Microsoft JhengHei" w:hAnsi="Microsoft JhengHei" w:cs="Microsoft JhengHei" w:eastAsia="Microsoft JhengHei" w:hint="default"/>
          <w:b/>
          <w:bCs/>
          <w:sz w:val="17"/>
          <w:szCs w:val="17"/>
        </w:rPr>
      </w:pPr>
    </w:p>
    <w:p>
      <w:pPr>
        <w:pStyle w:val="BodyText"/>
        <w:spacing w:line="297" w:lineRule="auto"/>
        <w:ind w:right="174" w:firstLine="480"/>
        <w:jc w:val="left"/>
      </w:pPr>
      <w:r>
        <w:rPr/>
        <w:t>报告期内，公司严格按照《公司法》、《证券法》、《上市公司治理准则》、《深圳证 券交易所创业板股票上市规则》、《深圳证券交易所创业板上市公司规范运作指引》等法 律、法规和中国证监会有关法律法规等的要求，不断完善公司的法人治理结构，建立健全公 司内部管理和控制制度，规范公司运作，提高公司治理水平。</w:t>
      </w:r>
    </w:p>
    <w:p>
      <w:pPr>
        <w:pStyle w:val="BodyText"/>
        <w:spacing w:line="240" w:lineRule="auto" w:before="132"/>
        <w:ind w:right="0"/>
        <w:jc w:val="left"/>
      </w:pPr>
      <w:r>
        <w:rPr/>
        <w:t>公司治理的实际状况与中国证监会发布的有关上市公司治理的规范性文件是否存在重大差异</w:t>
      </w:r>
    </w:p>
    <w:p>
      <w:pPr>
        <w:pStyle w:val="BodyText"/>
        <w:spacing w:line="254" w:lineRule="auto" w:before="39"/>
        <w:ind w:right="17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公司治理的实际状况与中国证监会发布的有关上市公司治理的规范性文件不存在重大差异。</w:t>
      </w:r>
    </w:p>
    <w:p>
      <w:pPr>
        <w:spacing w:line="396" w:lineRule="auto" w:before="209"/>
        <w:ind w:left="633" w:right="89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二、公司相对于控股股东在业务、人员、资产、机构、财务等方面的独立情况</w:t>
      </w:r>
      <w:r>
        <w:rPr>
          <w:rFonts w:ascii="Microsoft JhengHei" w:hAnsi="Microsoft JhengHei" w:cs="Microsoft JhengHei" w:eastAsia="Microsoft JhengHei" w:hint="default"/>
          <w:b/>
          <w:bCs/>
          <w:spacing w:val="-33"/>
          <w:sz w:val="24"/>
          <w:szCs w:val="24"/>
        </w:rPr>
        <w:t> </w:t>
      </w:r>
      <w:r>
        <w:rPr>
          <w:rFonts w:ascii="Microsoft JhengHei" w:hAnsi="Microsoft JhengHei" w:cs="Microsoft JhengHei" w:eastAsia="Microsoft JhengHei" w:hint="default"/>
          <w:b/>
          <w:bCs/>
          <w:spacing w:val="-33"/>
          <w:sz w:val="24"/>
          <w:szCs w:val="24"/>
        </w:rPr>
      </w:r>
      <w:r>
        <w:rPr>
          <w:rFonts w:ascii="宋体" w:hAnsi="宋体" w:cs="宋体" w:eastAsia="宋体" w:hint="default"/>
          <w:sz w:val="24"/>
          <w:szCs w:val="24"/>
        </w:rPr>
        <w:t>公司相对于控股股东在业务、人员、资产、机构、财务等方面能够保证独立性。</w:t>
      </w:r>
    </w:p>
    <w:p>
      <w:pPr>
        <w:pStyle w:val="Heading2"/>
        <w:spacing w:line="240" w:lineRule="auto" w:before="68"/>
        <w:ind w:right="0"/>
        <w:jc w:val="left"/>
        <w:rPr>
          <w:b w:val="0"/>
          <w:bCs w:val="0"/>
        </w:rPr>
      </w:pPr>
      <w:r>
        <w:rPr/>
        <w:t>三、同业竞争情况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line="381" w:lineRule="auto" w:before="0"/>
        <w:ind w:left="152" w:right="1614" w:firstLine="0"/>
        <w:jc w:val="left"/>
        <w:rPr>
          <w:rFonts w:ascii="Microsoft JhengHei" w:hAnsi="Microsoft JhengHei" w:cs="Microsoft JhengHei" w:eastAsia="Microsoft JhengHei" w:hint="default"/>
          <w:sz w:val="21"/>
          <w:szCs w:val="21"/>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四、报告期内召开的年度股东大会和临时股东大会的有关情况</w:t>
      </w:r>
      <w:r>
        <w:rPr>
          <w:rFonts w:ascii="Microsoft JhengHei" w:hAnsi="Microsoft JhengHei" w:cs="Microsoft JhengHei" w:eastAsia="Microsoft JhengHei" w:hint="default"/>
          <w:b/>
          <w:bCs/>
          <w:spacing w:val="-39"/>
          <w:sz w:val="24"/>
          <w:szCs w:val="24"/>
        </w:rPr>
        <w:t> </w:t>
      </w:r>
      <w:r>
        <w:rPr>
          <w:rFonts w:ascii="Microsoft JhengHei" w:hAnsi="Microsoft JhengHei" w:cs="Microsoft JhengHei" w:eastAsia="Microsoft JhengHei" w:hint="default"/>
          <w:b/>
          <w:bCs/>
          <w:spacing w:val="-39"/>
          <w:sz w:val="24"/>
          <w:szCs w:val="24"/>
        </w:rPr>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、本报告期股东大会情况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9"/>
          <w:szCs w:val="9"/>
        </w:rPr>
      </w:pPr>
    </w:p>
    <w:tbl>
      <w:tblPr>
        <w:tblW w:w="0" w:type="auto"/>
        <w:jc w:val="left"/>
        <w:tblInd w:w="181" w:type="dxa"/>
        <w:tblLayout w:type="fixed"/>
        <w:tblCellMar>
          <w:top w:w="0" w:type="dxa"/>
          <w:left w:w="0" w:type="dxa"/>
          <w:bottom w:w="0" w:type="dxa"/>
          <w:right w:w="0" w:type="dxa"/>
        </w:tblCellMar>
        <w:tblLook w:val="01E0"/>
      </w:tblPr>
      <w:tblGrid>
        <w:gridCol w:w="1400"/>
        <w:gridCol w:w="1345"/>
        <w:gridCol w:w="1063"/>
        <w:gridCol w:w="1947"/>
        <w:gridCol w:w="1901"/>
        <w:gridCol w:w="1913"/>
      </w:tblGrid>
      <w:tr>
        <w:trPr>
          <w:trHeight w:val="713" w:hRule="exact"/>
        </w:trPr>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11" w:right="101" w:hanging="104"/>
              <w:jc w:val="left"/>
              <w:rPr>
                <w:rFonts w:ascii="宋体" w:hAnsi="宋体" w:cs="宋体" w:eastAsia="宋体" w:hint="default"/>
                <w:sz w:val="21"/>
                <w:szCs w:val="21"/>
              </w:rPr>
            </w:pPr>
            <w:r>
              <w:rPr>
                <w:rFonts w:ascii="宋体" w:hAnsi="宋体" w:cs="宋体" w:eastAsia="宋体" w:hint="default"/>
                <w:sz w:val="21"/>
                <w:szCs w:val="21"/>
              </w:rPr>
              <w:t>投资者参</w:t>
            </w:r>
            <w:r>
              <w:rPr>
                <w:rFonts w:ascii="宋体" w:hAnsi="宋体" w:cs="宋体" w:eastAsia="宋体" w:hint="default"/>
                <w:w w:val="100"/>
                <w:sz w:val="21"/>
                <w:szCs w:val="21"/>
              </w:rPr>
              <w:t> </w:t>
            </w:r>
            <w:r>
              <w:rPr>
                <w:rFonts w:ascii="宋体" w:hAnsi="宋体" w:cs="宋体" w:eastAsia="宋体" w:hint="default"/>
                <w:sz w:val="21"/>
                <w:szCs w:val="21"/>
              </w:rPr>
              <w:t>与比例</w:t>
            </w:r>
          </w:p>
        </w:tc>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715"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4" w:right="211"/>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6"/>
                <w:sz w:val="21"/>
                <w:szCs w:val="21"/>
              </w:rPr>
              <w:t> </w:t>
            </w:r>
            <w:r>
              <w:rPr>
                <w:rFonts w:ascii="宋体" w:hAnsi="宋体" w:cs="宋体" w:eastAsia="宋体" w:hint="default"/>
                <w:sz w:val="21"/>
                <w:szCs w:val="21"/>
              </w:rPr>
              <w:t>年年度</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Arial" w:hAnsi="Arial" w:cs="Arial" w:eastAsia="Arial" w:hint="default"/>
                <w:sz w:val="21"/>
                <w:szCs w:val="21"/>
              </w:rPr>
            </w:pPr>
            <w:r>
              <w:rPr>
                <w:rFonts w:ascii="Arial"/>
                <w:sz w:val="21"/>
              </w:rPr>
              <w:t>25.60%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7"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4"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Arial" w:hAnsi="Arial" w:cs="Arial" w:eastAsia="Arial" w:hint="default"/>
                <w:sz w:val="21"/>
                <w:szCs w:val="21"/>
              </w:rPr>
            </w:pPr>
            <w:hyperlink r:id="rId10">
              <w:r>
                <w:rPr>
                  <w:rFonts w:ascii="Arial"/>
                  <w:sz w:val="21"/>
                </w:rPr>
                <w:t>www.cninfo.com.cn</w:t>
              </w:r>
            </w:hyperlink>
          </w:p>
        </w:tc>
      </w:tr>
      <w:tr>
        <w:trPr>
          <w:trHeight w:val="1025"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101"/>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8"/>
                <w:sz w:val="21"/>
                <w:szCs w:val="21"/>
              </w:rPr>
              <w:t> </w:t>
            </w:r>
            <w:r>
              <w:rPr>
                <w:rFonts w:ascii="宋体" w:hAnsi="宋体" w:cs="宋体" w:eastAsia="宋体" w:hint="default"/>
                <w:sz w:val="21"/>
                <w:szCs w:val="21"/>
              </w:rPr>
              <w:t>年第一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次临时股东大</w:t>
            </w:r>
            <w:r>
              <w:rPr>
                <w:rFonts w:ascii="宋体" w:hAnsi="宋体" w:cs="宋体" w:eastAsia="宋体" w:hint="default"/>
                <w:w w:val="100"/>
                <w:sz w:val="21"/>
                <w:szCs w:val="21"/>
              </w:rPr>
              <w:t> </w:t>
            </w:r>
            <w:r>
              <w:rPr>
                <w:rFonts w:ascii="宋体" w:hAnsi="宋体" w:cs="宋体" w:eastAsia="宋体" w:hint="default"/>
                <w:sz w:val="21"/>
                <w:szCs w:val="21"/>
              </w:rPr>
              <w:t>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left="2" w:right="0"/>
              <w:jc w:val="center"/>
              <w:rPr>
                <w:rFonts w:ascii="Arial" w:hAnsi="Arial" w:cs="Arial" w:eastAsia="Arial" w:hint="default"/>
                <w:sz w:val="21"/>
                <w:szCs w:val="21"/>
              </w:rPr>
            </w:pPr>
            <w:r>
              <w:rPr>
                <w:rFonts w:ascii="Arial"/>
                <w:sz w:val="21"/>
              </w:rPr>
              <w:t>35.54%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7"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4"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left="1" w:right="0"/>
              <w:jc w:val="center"/>
              <w:rPr>
                <w:rFonts w:ascii="Arial" w:hAnsi="Arial" w:cs="Arial" w:eastAsia="Arial" w:hint="default"/>
                <w:sz w:val="21"/>
                <w:szCs w:val="21"/>
              </w:rPr>
            </w:pPr>
            <w:hyperlink r:id="rId10">
              <w:r>
                <w:rPr>
                  <w:rFonts w:ascii="Arial"/>
                  <w:sz w:val="21"/>
                </w:rPr>
                <w:t>www.cninfo.com.cn</w:t>
              </w:r>
            </w:hyperlink>
          </w:p>
        </w:tc>
      </w:tr>
      <w:tr>
        <w:trPr>
          <w:trHeight w:val="1028"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8"/>
              <w:ind w:left="24" w:right="101"/>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8"/>
                <w:sz w:val="21"/>
                <w:szCs w:val="21"/>
              </w:rPr>
              <w:t> </w:t>
            </w:r>
            <w:r>
              <w:rPr>
                <w:rFonts w:ascii="宋体" w:hAnsi="宋体" w:cs="宋体" w:eastAsia="宋体" w:hint="default"/>
                <w:sz w:val="21"/>
                <w:szCs w:val="21"/>
              </w:rPr>
              <w:t>年第二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次临时股东大</w:t>
            </w:r>
            <w:r>
              <w:rPr>
                <w:rFonts w:ascii="宋体" w:hAnsi="宋体" w:cs="宋体" w:eastAsia="宋体" w:hint="default"/>
                <w:w w:val="100"/>
                <w:sz w:val="21"/>
                <w:szCs w:val="21"/>
              </w:rPr>
              <w:t> </w:t>
            </w:r>
            <w:r>
              <w:rPr>
                <w:rFonts w:ascii="宋体" w:hAnsi="宋体" w:cs="宋体" w:eastAsia="宋体" w:hint="default"/>
                <w:sz w:val="21"/>
                <w:szCs w:val="21"/>
              </w:rPr>
              <w:t>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left="2" w:right="0"/>
              <w:jc w:val="center"/>
              <w:rPr>
                <w:rFonts w:ascii="Arial" w:hAnsi="Arial" w:cs="Arial" w:eastAsia="Arial" w:hint="default"/>
                <w:sz w:val="21"/>
                <w:szCs w:val="21"/>
              </w:rPr>
            </w:pPr>
            <w:r>
              <w:rPr>
                <w:rFonts w:ascii="Arial"/>
                <w:sz w:val="21"/>
              </w:rPr>
              <w:t>27.69%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7"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4"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left="1" w:right="0"/>
              <w:jc w:val="center"/>
              <w:rPr>
                <w:rFonts w:ascii="Arial" w:hAnsi="Arial" w:cs="Arial" w:eastAsia="Arial" w:hint="default"/>
                <w:sz w:val="21"/>
                <w:szCs w:val="21"/>
              </w:rPr>
            </w:pPr>
            <w:hyperlink r:id="rId10">
              <w:r>
                <w:rPr>
                  <w:rFonts w:ascii="Arial"/>
                  <w:sz w:val="21"/>
                </w:rPr>
                <w:t>www.cninfo.com.cn</w:t>
              </w:r>
            </w:hyperlink>
          </w:p>
        </w:tc>
      </w:tr>
      <w:tr>
        <w:trPr>
          <w:trHeight w:val="1025"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101"/>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8"/>
                <w:sz w:val="21"/>
                <w:szCs w:val="21"/>
              </w:rPr>
              <w:t> </w:t>
            </w:r>
            <w:r>
              <w:rPr>
                <w:rFonts w:ascii="宋体" w:hAnsi="宋体" w:cs="宋体" w:eastAsia="宋体" w:hint="default"/>
                <w:sz w:val="21"/>
                <w:szCs w:val="21"/>
              </w:rPr>
              <w:t>年第三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次临时股东大</w:t>
            </w:r>
            <w:r>
              <w:rPr>
                <w:rFonts w:ascii="宋体" w:hAnsi="宋体" w:cs="宋体" w:eastAsia="宋体" w:hint="default"/>
                <w:w w:val="100"/>
                <w:sz w:val="21"/>
                <w:szCs w:val="21"/>
              </w:rPr>
              <w:t> </w:t>
            </w:r>
            <w:r>
              <w:rPr>
                <w:rFonts w:ascii="宋体" w:hAnsi="宋体" w:cs="宋体" w:eastAsia="宋体" w:hint="default"/>
                <w:sz w:val="21"/>
                <w:szCs w:val="21"/>
              </w:rPr>
              <w:t>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left="2" w:right="0"/>
              <w:jc w:val="center"/>
              <w:rPr>
                <w:rFonts w:ascii="Arial" w:hAnsi="Arial" w:cs="Arial" w:eastAsia="Arial" w:hint="default"/>
                <w:sz w:val="21"/>
                <w:szCs w:val="21"/>
              </w:rPr>
            </w:pPr>
            <w:r>
              <w:rPr>
                <w:rFonts w:ascii="Arial"/>
                <w:sz w:val="21"/>
              </w:rPr>
              <w:t>26.66%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7"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4"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left="1" w:right="0"/>
              <w:jc w:val="center"/>
              <w:rPr>
                <w:rFonts w:ascii="Arial" w:hAnsi="Arial" w:cs="Arial" w:eastAsia="Arial" w:hint="default"/>
                <w:sz w:val="21"/>
                <w:szCs w:val="21"/>
              </w:rPr>
            </w:pPr>
            <w:hyperlink r:id="rId10">
              <w:r>
                <w:rPr>
                  <w:rFonts w:ascii="Arial"/>
                  <w:sz w:val="21"/>
                </w:rPr>
                <w:t>www.cninfo.com.cn</w:t>
              </w:r>
            </w:hyperlink>
          </w:p>
        </w:tc>
      </w:tr>
    </w:tbl>
    <w:p>
      <w:pPr>
        <w:spacing w:after="0" w:line="240" w:lineRule="auto"/>
        <w:jc w:val="center"/>
        <w:rPr>
          <w:rFonts w:ascii="Arial" w:hAnsi="Arial" w:cs="Arial" w:eastAsia="Arial" w:hint="default"/>
          <w:sz w:val="21"/>
          <w:szCs w:val="21"/>
        </w:rPr>
        <w:sectPr>
          <w:pgSz w:w="11910" w:h="16840"/>
          <w:pgMar w:header="877" w:footer="980" w:top="1100" w:bottom="1160" w:left="980" w:right="980"/>
        </w:sectPr>
      </w:pPr>
    </w:p>
    <w:p>
      <w:pPr>
        <w:spacing w:line="240" w:lineRule="auto" w:before="12"/>
        <w:rPr>
          <w:rFonts w:ascii="Microsoft JhengHei" w:hAnsi="Microsoft JhengHei" w:cs="Microsoft JhengHei" w:eastAsia="Microsoft JhengHei" w:hint="default"/>
          <w:b/>
          <w:bCs/>
          <w:sz w:val="15"/>
          <w:szCs w:val="15"/>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、表决权恢复的优先股股东请求召开临时股东大会</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spacing w:line="381" w:lineRule="auto" w:before="0"/>
        <w:ind w:left="152" w:right="5694" w:firstLine="0"/>
        <w:jc w:val="left"/>
        <w:rPr>
          <w:rFonts w:ascii="Microsoft JhengHei" w:hAnsi="Microsoft JhengHei" w:cs="Microsoft JhengHei" w:eastAsia="Microsoft JhengHei" w:hint="default"/>
          <w:sz w:val="21"/>
          <w:szCs w:val="21"/>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五、报告期内独立董事履行职责的情况</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、独立董事出席董事会及股东大会的情况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9"/>
          <w:szCs w:val="9"/>
        </w:rPr>
      </w:pPr>
    </w:p>
    <w:tbl>
      <w:tblPr>
        <w:tblW w:w="0" w:type="auto"/>
        <w:jc w:val="left"/>
        <w:tblInd w:w="181" w:type="dxa"/>
        <w:tblLayout w:type="fixed"/>
        <w:tblCellMar>
          <w:top w:w="0" w:type="dxa"/>
          <w:left w:w="0" w:type="dxa"/>
          <w:bottom w:w="0" w:type="dxa"/>
          <w:right w:w="0" w:type="dxa"/>
        </w:tblCellMar>
        <w:tblLook w:val="01E0"/>
      </w:tblPr>
      <w:tblGrid>
        <w:gridCol w:w="1344"/>
        <w:gridCol w:w="1301"/>
        <w:gridCol w:w="1107"/>
        <w:gridCol w:w="1210"/>
        <w:gridCol w:w="1121"/>
        <w:gridCol w:w="1006"/>
        <w:gridCol w:w="1419"/>
        <w:gridCol w:w="1063"/>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96" w:right="0"/>
              <w:jc w:val="left"/>
              <w:rPr>
                <w:rFonts w:ascii="宋体" w:hAnsi="宋体" w:cs="宋体" w:eastAsia="宋体" w:hint="default"/>
                <w:sz w:val="21"/>
                <w:szCs w:val="21"/>
              </w:rPr>
            </w:pPr>
            <w:r>
              <w:rPr>
                <w:rFonts w:ascii="宋体" w:hAnsi="宋体" w:cs="宋体" w:eastAsia="宋体" w:hint="default"/>
                <w:sz w:val="21"/>
                <w:szCs w:val="21"/>
              </w:rPr>
              <w:t>独立董事出席董事会及股东大会的情况</w:t>
            </w:r>
          </w:p>
        </w:tc>
      </w:tr>
      <w:tr>
        <w:trPr>
          <w:trHeight w:val="102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0" w:right="115"/>
              <w:jc w:val="center"/>
              <w:rPr>
                <w:rFonts w:ascii="宋体" w:hAnsi="宋体" w:cs="宋体" w:eastAsia="宋体" w:hint="default"/>
                <w:sz w:val="21"/>
                <w:szCs w:val="21"/>
              </w:rPr>
            </w:pPr>
            <w:r>
              <w:rPr>
                <w:rFonts w:ascii="宋体" w:hAnsi="宋体" w:cs="宋体" w:eastAsia="宋体" w:hint="default"/>
                <w:sz w:val="21"/>
                <w:szCs w:val="21"/>
              </w:rPr>
              <w:t>本报告期应</w:t>
            </w:r>
            <w:r>
              <w:rPr>
                <w:rFonts w:ascii="宋体" w:hAnsi="宋体" w:cs="宋体" w:eastAsia="宋体" w:hint="default"/>
                <w:w w:val="100"/>
                <w:sz w:val="21"/>
                <w:szCs w:val="21"/>
              </w:rPr>
              <w:t> </w:t>
            </w:r>
            <w:r>
              <w:rPr>
                <w:rFonts w:ascii="宋体" w:hAnsi="宋体" w:cs="宋体" w:eastAsia="宋体" w:hint="default"/>
                <w:sz w:val="21"/>
                <w:szCs w:val="21"/>
              </w:rPr>
              <w:t>参加董事会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130" w:right="17" w:hanging="107"/>
              <w:jc w:val="left"/>
              <w:rPr>
                <w:rFonts w:ascii="宋体" w:hAnsi="宋体" w:cs="宋体" w:eastAsia="宋体" w:hint="default"/>
                <w:sz w:val="21"/>
                <w:szCs w:val="21"/>
              </w:rPr>
            </w:pPr>
            <w:r>
              <w:rPr>
                <w:rFonts w:ascii="宋体" w:hAnsi="宋体" w:cs="宋体" w:eastAsia="宋体" w:hint="default"/>
                <w:sz w:val="21"/>
                <w:szCs w:val="21"/>
              </w:rPr>
              <w:t>现场出席董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事会次数</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4" w:right="69"/>
              <w:jc w:val="center"/>
              <w:rPr>
                <w:rFonts w:ascii="宋体" w:hAnsi="宋体" w:cs="宋体" w:eastAsia="宋体" w:hint="default"/>
                <w:sz w:val="21"/>
                <w:szCs w:val="21"/>
              </w:rPr>
            </w:pPr>
            <w:r>
              <w:rPr>
                <w:rFonts w:ascii="宋体" w:hAnsi="宋体" w:cs="宋体" w:eastAsia="宋体" w:hint="default"/>
                <w:sz w:val="21"/>
                <w:szCs w:val="21"/>
              </w:rPr>
              <w:t>以通讯方式</w:t>
            </w:r>
            <w:r>
              <w:rPr>
                <w:rFonts w:ascii="宋体" w:hAnsi="宋体" w:cs="宋体" w:eastAsia="宋体" w:hint="default"/>
                <w:w w:val="100"/>
                <w:sz w:val="21"/>
                <w:szCs w:val="21"/>
              </w:rPr>
              <w:t> </w:t>
            </w:r>
            <w:r>
              <w:rPr>
                <w:rFonts w:ascii="宋体" w:hAnsi="宋体" w:cs="宋体" w:eastAsia="宋体" w:hint="default"/>
                <w:sz w:val="21"/>
                <w:szCs w:val="21"/>
              </w:rPr>
              <w:t>参加董事会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134" w:right="27" w:hanging="106"/>
              <w:jc w:val="left"/>
              <w:rPr>
                <w:rFonts w:ascii="宋体" w:hAnsi="宋体" w:cs="宋体" w:eastAsia="宋体" w:hint="default"/>
                <w:sz w:val="21"/>
                <w:szCs w:val="21"/>
              </w:rPr>
            </w:pPr>
            <w:r>
              <w:rPr>
                <w:rFonts w:ascii="宋体" w:hAnsi="宋体" w:cs="宋体" w:eastAsia="宋体" w:hint="default"/>
                <w:sz w:val="21"/>
                <w:szCs w:val="21"/>
              </w:rPr>
              <w:t>委托出席董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事会次数</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182" w:right="72" w:hanging="104"/>
              <w:jc w:val="left"/>
              <w:rPr>
                <w:rFonts w:ascii="宋体" w:hAnsi="宋体" w:cs="宋体" w:eastAsia="宋体" w:hint="default"/>
                <w:sz w:val="21"/>
                <w:szCs w:val="21"/>
              </w:rPr>
            </w:pPr>
            <w:r>
              <w:rPr>
                <w:rFonts w:ascii="宋体" w:hAnsi="宋体" w:cs="宋体" w:eastAsia="宋体" w:hint="default"/>
                <w:sz w:val="21"/>
                <w:szCs w:val="21"/>
              </w:rPr>
              <w:t>缺席董事</w:t>
            </w:r>
            <w:r>
              <w:rPr>
                <w:rFonts w:ascii="宋体" w:hAnsi="宋体" w:cs="宋体" w:eastAsia="宋体" w:hint="default"/>
                <w:w w:val="100"/>
                <w:sz w:val="21"/>
                <w:szCs w:val="21"/>
              </w:rPr>
              <w:t> </w:t>
            </w:r>
            <w:r>
              <w:rPr>
                <w:rFonts w:ascii="宋体" w:hAnsi="宋体" w:cs="宋体" w:eastAsia="宋体" w:hint="default"/>
                <w:sz w:val="21"/>
                <w:szCs w:val="21"/>
              </w:rPr>
              <w:t>会次数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4" w:right="70"/>
              <w:jc w:val="center"/>
              <w:rPr>
                <w:rFonts w:ascii="宋体" w:hAnsi="宋体" w:cs="宋体" w:eastAsia="宋体" w:hint="default"/>
                <w:sz w:val="21"/>
                <w:szCs w:val="21"/>
              </w:rPr>
            </w:pPr>
            <w:r>
              <w:rPr>
                <w:rFonts w:ascii="宋体" w:hAnsi="宋体" w:cs="宋体" w:eastAsia="宋体" w:hint="default"/>
                <w:spacing w:val="-1"/>
                <w:sz w:val="21"/>
                <w:szCs w:val="21"/>
              </w:rPr>
              <w:t>是否连续两次</w:t>
            </w:r>
            <w:r>
              <w:rPr>
                <w:rFonts w:ascii="宋体" w:hAnsi="宋体" w:cs="宋体" w:eastAsia="宋体" w:hint="default"/>
                <w:w w:val="100"/>
                <w:sz w:val="21"/>
                <w:szCs w:val="21"/>
              </w:rPr>
              <w:t> </w:t>
            </w:r>
            <w:r>
              <w:rPr>
                <w:rFonts w:ascii="宋体" w:hAnsi="宋体" w:cs="宋体" w:eastAsia="宋体" w:hint="default"/>
                <w:spacing w:val="-1"/>
                <w:sz w:val="21"/>
                <w:szCs w:val="21"/>
              </w:rPr>
              <w:t>未亲自参加董</w:t>
            </w:r>
            <w:r>
              <w:rPr>
                <w:rFonts w:ascii="宋体" w:hAnsi="宋体" w:cs="宋体" w:eastAsia="宋体" w:hint="default"/>
                <w:w w:val="100"/>
                <w:sz w:val="21"/>
                <w:szCs w:val="21"/>
              </w:rPr>
              <w:t> </w:t>
            </w:r>
            <w:r>
              <w:rPr>
                <w:rFonts w:ascii="宋体" w:hAnsi="宋体" w:cs="宋体" w:eastAsia="宋体" w:hint="default"/>
                <w:sz w:val="21"/>
                <w:szCs w:val="21"/>
              </w:rPr>
              <w:t>事会会议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107" w:right="101"/>
              <w:jc w:val="left"/>
              <w:rPr>
                <w:rFonts w:ascii="宋体" w:hAnsi="宋体" w:cs="宋体" w:eastAsia="宋体" w:hint="default"/>
                <w:sz w:val="21"/>
                <w:szCs w:val="21"/>
              </w:rPr>
            </w:pPr>
            <w:r>
              <w:rPr>
                <w:rFonts w:ascii="宋体" w:hAnsi="宋体" w:cs="宋体" w:eastAsia="宋体" w:hint="default"/>
                <w:sz w:val="21"/>
                <w:szCs w:val="21"/>
              </w:rPr>
              <w:t>出席股东</w:t>
            </w:r>
            <w:r>
              <w:rPr>
                <w:rFonts w:ascii="宋体" w:hAnsi="宋体" w:cs="宋体" w:eastAsia="宋体" w:hint="default"/>
                <w:w w:val="100"/>
                <w:sz w:val="21"/>
                <w:szCs w:val="21"/>
              </w:rPr>
              <w:t> </w:t>
            </w:r>
            <w:r>
              <w:rPr>
                <w:rFonts w:ascii="宋体" w:hAnsi="宋体" w:cs="宋体" w:eastAsia="宋体" w:hint="default"/>
                <w:sz w:val="21"/>
                <w:szCs w:val="21"/>
              </w:rPr>
              <w:t>大会次数</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Arial" w:hAnsi="Arial" w:cs="Arial" w:eastAsia="Arial" w:hint="default"/>
                <w:sz w:val="21"/>
                <w:szCs w:val="21"/>
              </w:rPr>
            </w:pPr>
            <w:r>
              <w:rPr>
                <w:rFonts w:ascii="Arial"/>
                <w:sz w:val="21"/>
              </w:rPr>
              <w:t>15</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sz w:val="21"/>
              </w:rPr>
              <w:t>10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w w:val="100"/>
                <w:sz w:val="21"/>
              </w:rPr>
              <w:t>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7" w:right="0"/>
              <w:jc w:val="left"/>
              <w:rPr>
                <w:rFonts w:ascii="Arial" w:hAnsi="Arial" w:cs="Arial" w:eastAsia="Arial" w:hint="default"/>
                <w:sz w:val="21"/>
                <w:szCs w:val="21"/>
              </w:rPr>
            </w:pPr>
            <w:r>
              <w:rPr>
                <w:rFonts w:ascii="Arial"/>
                <w:w w:val="100"/>
                <w:sz w:val="21"/>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w w:val="100"/>
                <w:sz w:val="21"/>
              </w:rPr>
              <w:t>4</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15</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10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w w:val="100"/>
                <w:sz w:val="21"/>
              </w:rPr>
              <w:t>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97" w:right="0"/>
              <w:jc w:val="left"/>
              <w:rPr>
                <w:rFonts w:ascii="Arial" w:hAnsi="Arial" w:cs="Arial" w:eastAsia="Arial" w:hint="default"/>
                <w:sz w:val="21"/>
                <w:szCs w:val="21"/>
              </w:rPr>
            </w:pPr>
            <w:r>
              <w:rPr>
                <w:rFonts w:ascii="Arial"/>
                <w:w w:val="100"/>
                <w:sz w:val="21"/>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4</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朱恒源</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15</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10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w w:val="100"/>
                <w:sz w:val="21"/>
              </w:rPr>
              <w:t>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97" w:right="0"/>
              <w:jc w:val="left"/>
              <w:rPr>
                <w:rFonts w:ascii="Arial" w:hAnsi="Arial" w:cs="Arial" w:eastAsia="Arial" w:hint="default"/>
                <w:sz w:val="21"/>
                <w:szCs w:val="21"/>
              </w:rPr>
            </w:pPr>
            <w:r>
              <w:rPr>
                <w:rFonts w:ascii="Arial"/>
                <w:w w:val="100"/>
                <w:sz w:val="21"/>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4</w:t>
            </w:r>
          </w:p>
        </w:tc>
      </w:tr>
    </w:tbl>
    <w:p>
      <w:pPr>
        <w:pStyle w:val="BodyText"/>
        <w:spacing w:line="268" w:lineRule="auto"/>
        <w:ind w:right="6174"/>
        <w:jc w:val="left"/>
      </w:pPr>
      <w:r>
        <w:rPr/>
        <w:t>连续两次未亲自出席董事会的说明 无</w:t>
      </w:r>
    </w:p>
    <w:p>
      <w:pPr>
        <w:spacing w:line="240" w:lineRule="auto" w:before="5"/>
        <w:rPr>
          <w:rFonts w:ascii="宋体" w:hAnsi="宋体" w:cs="宋体" w:eastAsia="宋体" w:hint="default"/>
          <w:sz w:val="17"/>
          <w:szCs w:val="17"/>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、独立董事对公司有关事项提出异议的情况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right="0"/>
        <w:jc w:val="left"/>
      </w:pPr>
      <w:r>
        <w:rPr/>
        <w:t>独立董事对公司有关事项是否提出异议</w:t>
      </w:r>
    </w:p>
    <w:p>
      <w:pPr>
        <w:pStyle w:val="BodyText"/>
        <w:spacing w:line="254" w:lineRule="auto" w:before="38"/>
        <w:ind w:right="473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报告期内独立董事对公司有关事项未提出异议。</w:t>
      </w:r>
    </w:p>
    <w:p>
      <w:pPr>
        <w:spacing w:line="240" w:lineRule="auto" w:before="9"/>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、独立董事履行职责的其他说明</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right="0"/>
        <w:jc w:val="left"/>
      </w:pPr>
      <w:r>
        <w:rPr/>
        <w:t>独立董事对公司有关建议是否被采纳</w:t>
      </w:r>
    </w:p>
    <w:p>
      <w:pPr>
        <w:pStyle w:val="BodyText"/>
        <w:spacing w:line="312" w:lineRule="auto" w:before="38"/>
        <w:ind w:right="449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独立董事对公司有关建议被采纳或未被采纳的说明</w:t>
      </w:r>
    </w:p>
    <w:p>
      <w:pPr>
        <w:pStyle w:val="BodyText"/>
        <w:spacing w:line="357" w:lineRule="auto" w:before="122"/>
        <w:ind w:right="174" w:firstLine="480"/>
        <w:jc w:val="left"/>
      </w:pPr>
      <w:r>
        <w:rPr>
          <w:spacing w:val="-7"/>
        </w:rPr>
        <w:t>公司独立董事勤勉尽责，严格按照中国证监会的相关规定及《公司章程》、《董事会议事</w:t>
      </w:r>
      <w:r>
        <w:rPr/>
        <w:t> 规则》和《独立董事制度》开展工作，关注公司运作，独立履行职责，对公司内部控制建 设、管理体系建设、人才梯队建设和重大决策等方面提出了很多宝贵的专业性建议，对公司 财务及生产活动进行了有效监督，提高了公司决策的科学性，为完善公司监督机制，维护公 司和全体股东的合法权益发挥了应有的作用。</w:t>
      </w:r>
    </w:p>
    <w:p>
      <w:pPr>
        <w:spacing w:line="652" w:lineRule="exact" w:before="18"/>
        <w:ind w:left="633" w:right="17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六、董事会下设专门委员会在报告期内履行职责情况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公司董事会下设审计委员会、战略委员会、提名委员会及薪酬与考核委员会四个专门委</w:t>
      </w:r>
    </w:p>
    <w:p>
      <w:pPr>
        <w:pStyle w:val="BodyText"/>
        <w:spacing w:line="292" w:lineRule="exact"/>
        <w:ind w:right="0"/>
        <w:jc w:val="left"/>
      </w:pPr>
      <w:r>
        <w:rPr/>
        <w:t>员会。</w:t>
      </w:r>
    </w:p>
    <w:p>
      <w:pPr>
        <w:spacing w:after="0" w:line="292" w:lineRule="exact"/>
        <w:jc w:val="left"/>
        <w:sectPr>
          <w:pgSz w:w="11910" w:h="16840"/>
          <w:pgMar w:header="877" w:footer="980" w:top="1100" w:bottom="1160" w:left="980" w:right="980"/>
        </w:sectPr>
      </w:pPr>
    </w:p>
    <w:p>
      <w:pPr>
        <w:spacing w:line="240" w:lineRule="auto" w:before="8"/>
        <w:rPr>
          <w:rFonts w:ascii="宋体" w:hAnsi="宋体" w:cs="宋体" w:eastAsia="宋体" w:hint="default"/>
          <w:sz w:val="22"/>
          <w:szCs w:val="22"/>
        </w:rPr>
      </w:pPr>
    </w:p>
    <w:p>
      <w:pPr>
        <w:pStyle w:val="BodyText"/>
        <w:spacing w:line="396" w:lineRule="auto" w:before="26"/>
        <w:ind w:left="633" w:right="0"/>
        <w:jc w:val="left"/>
      </w:pPr>
      <w:r>
        <w:rPr>
          <w:rFonts w:ascii="Arial" w:hAnsi="Arial" w:cs="Arial" w:eastAsia="Arial" w:hint="default"/>
        </w:rPr>
        <w:t>1</w:t>
      </w:r>
      <w:r>
        <w:rPr/>
        <w:t>、审计委员会的履职情况 </w:t>
      </w:r>
      <w:r>
        <w:rPr>
          <w:spacing w:val="-4"/>
        </w:rPr>
        <w:t>报告期内，根据《董事会审计委员会工作细则》，审计委员会充分发挥了审核与监督作</w:t>
      </w:r>
    </w:p>
    <w:p>
      <w:pPr>
        <w:pStyle w:val="BodyText"/>
        <w:spacing w:line="235" w:lineRule="exact"/>
        <w:ind w:right="0"/>
        <w:jc w:val="left"/>
      </w:pPr>
      <w:r>
        <w:rPr/>
        <w:t>用，主要负责公司财务监督和核查工作及外部审计机构的沟通、协调工作。审计委员会对公</w:t>
      </w:r>
    </w:p>
    <w:p>
      <w:pPr>
        <w:pStyle w:val="BodyText"/>
        <w:spacing w:line="290" w:lineRule="auto" w:before="74"/>
        <w:ind w:right="191"/>
        <w:jc w:val="both"/>
      </w:pPr>
      <w:r>
        <w:rPr/>
        <w:t>司</w:t>
      </w:r>
      <w:r>
        <w:rPr>
          <w:spacing w:val="-61"/>
        </w:rPr>
        <w:t> </w:t>
      </w:r>
      <w:r>
        <w:rPr>
          <w:rFonts w:ascii="Arial" w:hAnsi="Arial" w:cs="Arial" w:eastAsia="Arial" w:hint="default"/>
        </w:rPr>
        <w:t>2017</w:t>
      </w:r>
      <w:r>
        <w:rPr>
          <w:rFonts w:ascii="Arial" w:hAnsi="Arial" w:cs="Arial" w:eastAsia="Arial" w:hint="default"/>
          <w:spacing w:val="-7"/>
        </w:rPr>
        <w:t> </w:t>
      </w:r>
      <w:r>
        <w:rPr/>
        <w:t>年内部控制情况进行了核查，认为公司已经建立的内控制度体系符合相关法规的规 定，并能有效控制相关风险。</w:t>
      </w:r>
      <w:r>
        <w:rPr>
          <w:rFonts w:ascii="Arial" w:hAnsi="Arial" w:cs="Arial" w:eastAsia="Arial" w:hint="default"/>
        </w:rPr>
        <w:t>2017</w:t>
      </w:r>
      <w:r>
        <w:rPr>
          <w:rFonts w:ascii="Arial" w:hAnsi="Arial" w:cs="Arial" w:eastAsia="Arial" w:hint="default"/>
          <w:spacing w:val="-7"/>
        </w:rPr>
        <w:t> </w:t>
      </w:r>
      <w:r>
        <w:rPr/>
        <w:t>年，审计委员会共召开了</w:t>
      </w:r>
      <w:r>
        <w:rPr>
          <w:spacing w:val="-61"/>
        </w:rPr>
        <w:t> </w:t>
      </w:r>
      <w:r>
        <w:rPr>
          <w:rFonts w:ascii="Arial" w:hAnsi="Arial" w:cs="Arial" w:eastAsia="Arial" w:hint="default"/>
        </w:rPr>
        <w:t>5</w:t>
      </w:r>
      <w:r>
        <w:rPr>
          <w:rFonts w:ascii="Arial" w:hAnsi="Arial" w:cs="Arial" w:eastAsia="Arial" w:hint="default"/>
          <w:spacing w:val="-7"/>
        </w:rPr>
        <w:t> </w:t>
      </w:r>
      <w:r>
        <w:rPr/>
        <w:t>次会议，重点对公司定期财 务报告、募集资金使用情况、监督公司内部审计制度实施、协助制定和审查公司内部控制制 度，对重大关联交易进行审计、监督等事项进行审议。审计委员会就会计师事务所从事公司 年度审计的工作进行了总结评价。</w:t>
      </w:r>
    </w:p>
    <w:p>
      <w:pPr>
        <w:pStyle w:val="BodyText"/>
        <w:spacing w:line="396" w:lineRule="auto" w:before="182"/>
        <w:ind w:left="633" w:right="0"/>
        <w:jc w:val="left"/>
      </w:pPr>
      <w:r>
        <w:rPr>
          <w:rFonts w:ascii="Arial" w:hAnsi="Arial" w:cs="Arial" w:eastAsia="Arial" w:hint="default"/>
        </w:rPr>
        <w:t>2</w:t>
      </w:r>
      <w:r>
        <w:rPr/>
        <w:t>、薪酬与考核委员会的履职情况 </w:t>
      </w:r>
      <w:r>
        <w:rPr>
          <w:spacing w:val="-7"/>
        </w:rPr>
        <w:t>报告期内，公司董事会薪酬与考核委员会依照相关法规及《公司章程》、《董事会薪酬与</w:t>
      </w:r>
    </w:p>
    <w:p>
      <w:pPr>
        <w:pStyle w:val="BodyText"/>
        <w:spacing w:line="235" w:lineRule="exact"/>
        <w:ind w:right="0"/>
        <w:jc w:val="left"/>
      </w:pPr>
      <w:r>
        <w:rPr/>
        <w:t>考核委员会工作细则》的规定履行了对公司股权激励计划进行管理、审查公司董事及高级管</w:t>
      </w:r>
    </w:p>
    <w:p>
      <w:pPr>
        <w:pStyle w:val="BodyText"/>
        <w:spacing w:line="283" w:lineRule="auto" w:before="74"/>
        <w:ind w:right="287"/>
        <w:jc w:val="left"/>
      </w:pPr>
      <w:r>
        <w:rPr/>
        <w:t>理人员的履行职责情况等相关职责。</w:t>
      </w:r>
      <w:r>
        <w:rPr>
          <w:rFonts w:ascii="Arial" w:hAnsi="Arial" w:cs="Arial" w:eastAsia="Arial" w:hint="default"/>
        </w:rPr>
        <w:t>2017</w:t>
      </w:r>
      <w:r>
        <w:rPr>
          <w:rFonts w:ascii="Arial" w:hAnsi="Arial" w:cs="Arial" w:eastAsia="Arial" w:hint="default"/>
          <w:spacing w:val="-7"/>
        </w:rPr>
        <w:t> </w:t>
      </w:r>
      <w:r>
        <w:rPr/>
        <w:t>年度，薪酬与考核委员会共召开了</w:t>
      </w:r>
      <w:r>
        <w:rPr>
          <w:spacing w:val="-60"/>
        </w:rPr>
        <w:t> </w:t>
      </w:r>
      <w:r>
        <w:rPr>
          <w:rFonts w:ascii="Arial" w:hAnsi="Arial" w:cs="Arial" w:eastAsia="Arial" w:hint="default"/>
        </w:rPr>
        <w:t>3</w:t>
      </w:r>
      <w:r>
        <w:rPr>
          <w:rFonts w:ascii="Arial" w:hAnsi="Arial" w:cs="Arial" w:eastAsia="Arial" w:hint="default"/>
          <w:spacing w:val="-7"/>
        </w:rPr>
        <w:t> </w:t>
      </w:r>
      <w:r>
        <w:rPr/>
        <w:t>次会议，重 点对</w:t>
      </w:r>
      <w:r>
        <w:rPr>
          <w:spacing w:val="-62"/>
        </w:rPr>
        <w:t> </w:t>
      </w:r>
      <w:r>
        <w:rPr>
          <w:rFonts w:ascii="Arial" w:hAnsi="Arial" w:cs="Arial" w:eastAsia="Arial" w:hint="default"/>
        </w:rPr>
        <w:t>2017</w:t>
      </w:r>
      <w:r>
        <w:rPr>
          <w:rFonts w:ascii="Arial" w:hAnsi="Arial" w:cs="Arial" w:eastAsia="Arial" w:hint="default"/>
          <w:spacing w:val="-8"/>
        </w:rPr>
        <w:t> </w:t>
      </w:r>
      <w:r>
        <w:rPr/>
        <w:t>年董事和高级管理人员薪酬情况、股权激励情况进行审核。</w:t>
      </w:r>
    </w:p>
    <w:p>
      <w:pPr>
        <w:pStyle w:val="BodyText"/>
        <w:spacing w:line="548" w:lineRule="exact" w:before="7"/>
        <w:ind w:left="633" w:right="0"/>
        <w:jc w:val="left"/>
      </w:pPr>
      <w:r>
        <w:rPr>
          <w:rFonts w:ascii="Arial" w:hAnsi="Arial" w:cs="Arial" w:eastAsia="Arial" w:hint="default"/>
        </w:rPr>
        <w:t>3</w:t>
      </w:r>
      <w:r>
        <w:rPr/>
        <w:t>、提名委员会的履职情况 </w:t>
      </w:r>
      <w:r>
        <w:rPr>
          <w:spacing w:val="-7"/>
        </w:rPr>
        <w:t>报告期内，公司董事会提名委员会依照相关法规及《公司章程》、《董事会提名委员会工</w:t>
      </w:r>
    </w:p>
    <w:p>
      <w:pPr>
        <w:pStyle w:val="BodyText"/>
        <w:spacing w:line="290" w:lineRule="auto"/>
        <w:ind w:right="174"/>
        <w:jc w:val="left"/>
      </w:pPr>
      <w:r>
        <w:rPr/>
        <w:t>作细则》的规定，积极履行了职责。</w:t>
      </w:r>
      <w:r>
        <w:rPr>
          <w:rFonts w:ascii="Arial" w:hAnsi="Arial" w:cs="Arial" w:eastAsia="Arial" w:hint="default"/>
        </w:rPr>
        <w:t>2017</w:t>
      </w:r>
      <w:r>
        <w:rPr>
          <w:rFonts w:ascii="Arial" w:hAnsi="Arial" w:cs="Arial" w:eastAsia="Arial" w:hint="default"/>
          <w:spacing w:val="-7"/>
        </w:rPr>
        <w:t> </w:t>
      </w:r>
      <w:r>
        <w:rPr/>
        <w:t>年度，提名委员会共召开了一次会议，重点研究 高级管理人员的选择标准和程序，并向董事会提出建议；广泛搜寻合格的高级管理人员的人 选。</w:t>
      </w:r>
    </w:p>
    <w:p>
      <w:pPr>
        <w:pStyle w:val="BodyText"/>
        <w:spacing w:line="396" w:lineRule="auto" w:before="183"/>
        <w:ind w:left="633" w:right="0"/>
        <w:jc w:val="left"/>
      </w:pPr>
      <w:r>
        <w:rPr>
          <w:rFonts w:ascii="Arial" w:hAnsi="Arial" w:cs="Arial" w:eastAsia="Arial" w:hint="default"/>
        </w:rPr>
        <w:t>4</w:t>
      </w:r>
      <w:r>
        <w:rPr/>
        <w:t>、战略委员会的履职情况 </w:t>
      </w:r>
      <w:r>
        <w:rPr>
          <w:spacing w:val="-7"/>
        </w:rPr>
        <w:t>报告期内，公司战略委员会依照相关法规及《公司章程》、《董事会战略委员会工作细</w:t>
      </w:r>
    </w:p>
    <w:p>
      <w:pPr>
        <w:pStyle w:val="BodyText"/>
        <w:spacing w:line="252" w:lineRule="exact"/>
        <w:ind w:right="0"/>
        <w:jc w:val="left"/>
      </w:pPr>
      <w:r>
        <w:rPr/>
        <w:t>则》的规定，报告期内召开了</w:t>
      </w:r>
      <w:r>
        <w:rPr>
          <w:spacing w:val="-59"/>
        </w:rPr>
        <w:t> </w:t>
      </w:r>
      <w:r>
        <w:rPr>
          <w:rFonts w:ascii="Arial" w:hAnsi="Arial" w:cs="Arial" w:eastAsia="Arial" w:hint="default"/>
        </w:rPr>
        <w:t>3</w:t>
      </w:r>
      <w:r>
        <w:rPr>
          <w:rFonts w:ascii="Arial" w:hAnsi="Arial" w:cs="Arial" w:eastAsia="Arial" w:hint="default"/>
          <w:spacing w:val="-6"/>
        </w:rPr>
        <w:t> </w:t>
      </w:r>
      <w:r>
        <w:rPr/>
        <w:t>次会议，重点对公司战略执行情况进行回顾总结，根据公司</w:t>
      </w:r>
    </w:p>
    <w:p>
      <w:pPr>
        <w:pStyle w:val="BodyText"/>
        <w:spacing w:line="441" w:lineRule="auto" w:before="57"/>
        <w:ind w:right="174"/>
        <w:jc w:val="left"/>
        <w:rPr>
          <w:rFonts w:ascii="Microsoft JhengHei" w:hAnsi="Microsoft JhengHei" w:cs="Microsoft JhengHei" w:eastAsia="Microsoft JhengHei" w:hint="default"/>
        </w:rPr>
      </w:pPr>
      <w:r>
        <w:rPr/>
        <w:t>所处的行业和市场形势及时进行了战略规划研究，并对公司的发展战略提出了合理的建议。 </w:t>
      </w:r>
      <w:r>
        <w:rPr>
          <w:rFonts w:ascii="Microsoft JhengHei" w:hAnsi="Microsoft JhengHei" w:cs="Microsoft JhengHei" w:eastAsia="Microsoft JhengHei" w:hint="default"/>
          <w:b/>
          <w:bCs/>
        </w:rPr>
        <w:t>七、监事会工作情况</w:t>
      </w:r>
      <w:r>
        <w:rPr>
          <w:rFonts w:ascii="Microsoft JhengHei" w:hAnsi="Microsoft JhengHei" w:cs="Microsoft JhengHei" w:eastAsia="Microsoft JhengHei" w:hint="default"/>
        </w:rPr>
      </w:r>
    </w:p>
    <w:p>
      <w:pPr>
        <w:pStyle w:val="BodyText"/>
        <w:spacing w:line="240" w:lineRule="auto"/>
        <w:ind w:right="0"/>
        <w:jc w:val="left"/>
      </w:pPr>
      <w:r>
        <w:rPr/>
        <w:t>监事会在报告期内的监督活动中发现公司是否存在风险</w:t>
      </w:r>
    </w:p>
    <w:p>
      <w:pPr>
        <w:pStyle w:val="BodyText"/>
        <w:spacing w:line="256" w:lineRule="auto" w:before="38"/>
        <w:ind w:right="521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公司监事会对报告期内的监督事项无异议。</w:t>
      </w:r>
    </w:p>
    <w:p>
      <w:pPr>
        <w:spacing w:line="652" w:lineRule="exact" w:before="40"/>
        <w:ind w:left="633" w:right="17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八、高级管理人员的考评及激励情况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公司建立了完善的高级管理人员绩效管理体系，明确了高级管理人员考核、晋升、培训</w:t>
      </w:r>
    </w:p>
    <w:p>
      <w:pPr>
        <w:pStyle w:val="BodyText"/>
        <w:spacing w:line="295" w:lineRule="exact"/>
        <w:ind w:right="0"/>
        <w:jc w:val="left"/>
      </w:pPr>
      <w:r>
        <w:rPr/>
        <w:t>和奖惩激励机制，有效的提升了公司治理水平，进一步完善高级管理人员绩效评价和激励、</w:t>
      </w:r>
    </w:p>
    <w:p>
      <w:pPr>
        <w:pStyle w:val="BodyText"/>
        <w:spacing w:line="240" w:lineRule="auto" w:before="74"/>
        <w:ind w:right="0"/>
        <w:jc w:val="left"/>
      </w:pPr>
      <w:r>
        <w:rPr/>
        <w:t>约束机制，最大限度地调动公司高级管理人员的积极性及创造性，确保公司各项业务的顺利</w:t>
      </w:r>
    </w:p>
    <w:p>
      <w:pPr>
        <w:spacing w:after="0" w:line="240" w:lineRule="auto"/>
        <w:jc w:val="left"/>
        <w:sectPr>
          <w:pgSz w:w="11910" w:h="16840"/>
          <w:pgMar w:header="877" w:footer="980" w:top="1100" w:bottom="1160" w:left="980" w:right="980"/>
        </w:sectPr>
      </w:pPr>
    </w:p>
    <w:p>
      <w:pPr>
        <w:spacing w:line="240" w:lineRule="auto" w:before="8"/>
        <w:rPr>
          <w:rFonts w:ascii="宋体" w:hAnsi="宋体" w:cs="宋体" w:eastAsia="宋体" w:hint="default"/>
          <w:sz w:val="22"/>
          <w:szCs w:val="22"/>
        </w:rPr>
      </w:pPr>
    </w:p>
    <w:p>
      <w:pPr>
        <w:spacing w:line="439" w:lineRule="auto" w:before="26"/>
        <w:ind w:left="152" w:right="209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开展，促进了公司业绩稳定持续发展，更好维护广大投资者的根本利益。 </w:t>
      </w:r>
      <w:r>
        <w:rPr>
          <w:rFonts w:ascii="Microsoft JhengHei" w:hAnsi="Microsoft JhengHei" w:cs="Microsoft JhengHei" w:eastAsia="Microsoft JhengHei" w:hint="default"/>
          <w:b/>
          <w:bCs/>
          <w:sz w:val="24"/>
          <w:szCs w:val="24"/>
        </w:rPr>
        <w:t>九、内部控制评价报告</w:t>
      </w:r>
      <w:r>
        <w:rPr>
          <w:rFonts w:ascii="Microsoft JhengHei" w:hAnsi="Microsoft JhengHei" w:cs="Microsoft JhengHei" w:eastAsia="Microsoft JhengHei" w:hint="default"/>
          <w:sz w:val="24"/>
          <w:szCs w:val="24"/>
        </w:rPr>
      </w:r>
    </w:p>
    <w:p>
      <w:pPr>
        <w:spacing w:line="332"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、报告期内发现的内部控制重大缺陷的具体情况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4"/>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、内控自我评价报告</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985"/>
        <w:gridCol w:w="1198"/>
        <w:gridCol w:w="2487"/>
        <w:gridCol w:w="3898"/>
      </w:tblGrid>
      <w:tr>
        <w:trPr>
          <w:trHeight w:val="403"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8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401"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8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hyperlink r:id="rId10">
              <w:r>
                <w:rPr>
                  <w:rFonts w:ascii="Arial"/>
                  <w:spacing w:val="-2"/>
                  <w:sz w:val="21"/>
                </w:rPr>
                <w:t>www.cninfo.com.cn</w:t>
              </w:r>
            </w:hyperlink>
          </w:p>
        </w:tc>
      </w:tr>
      <w:tr>
        <w:trPr>
          <w:trHeight w:val="716"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24" w:right="202"/>
              <w:jc w:val="left"/>
              <w:rPr>
                <w:rFonts w:ascii="宋体" w:hAnsi="宋体" w:cs="宋体" w:eastAsia="宋体" w:hint="default"/>
                <w:sz w:val="21"/>
                <w:szCs w:val="21"/>
              </w:rPr>
            </w:pPr>
            <w:r>
              <w:rPr>
                <w:rFonts w:ascii="宋体" w:hAnsi="宋体" w:cs="宋体" w:eastAsia="宋体" w:hint="default"/>
                <w:spacing w:val="-2"/>
                <w:sz w:val="21"/>
                <w:szCs w:val="21"/>
              </w:rPr>
              <w:t>纳入评价范围单位资产总额占公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司合并财务报表资产总额的比例</w:t>
            </w:r>
          </w:p>
        </w:tc>
        <w:tc>
          <w:tcPr>
            <w:tcW w:w="638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7"/>
              <w:jc w:val="right"/>
              <w:rPr>
                <w:rFonts w:ascii="Arial" w:hAnsi="Arial" w:cs="Arial" w:eastAsia="Arial" w:hint="default"/>
                <w:sz w:val="21"/>
                <w:szCs w:val="21"/>
              </w:rPr>
            </w:pPr>
            <w:r>
              <w:rPr>
                <w:rFonts w:ascii="Arial"/>
                <w:spacing w:val="-1"/>
                <w:sz w:val="21"/>
              </w:rPr>
              <w:t>90.00%</w:t>
            </w:r>
          </w:p>
        </w:tc>
      </w:tr>
      <w:tr>
        <w:trPr>
          <w:trHeight w:val="713"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202"/>
              <w:jc w:val="left"/>
              <w:rPr>
                <w:rFonts w:ascii="宋体" w:hAnsi="宋体" w:cs="宋体" w:eastAsia="宋体" w:hint="default"/>
                <w:sz w:val="21"/>
                <w:szCs w:val="21"/>
              </w:rPr>
            </w:pPr>
            <w:r>
              <w:rPr>
                <w:rFonts w:ascii="宋体" w:hAnsi="宋体" w:cs="宋体" w:eastAsia="宋体" w:hint="default"/>
                <w:spacing w:val="-2"/>
                <w:sz w:val="21"/>
                <w:szCs w:val="21"/>
              </w:rPr>
              <w:t>纳入评价范围单位营业收入占公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司合并财务报表营业收入的比例</w:t>
            </w:r>
          </w:p>
        </w:tc>
        <w:tc>
          <w:tcPr>
            <w:tcW w:w="638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7"/>
              <w:jc w:val="right"/>
              <w:rPr>
                <w:rFonts w:ascii="Arial" w:hAnsi="Arial" w:cs="Arial" w:eastAsia="Arial" w:hint="default"/>
                <w:sz w:val="21"/>
                <w:szCs w:val="21"/>
              </w:rPr>
            </w:pPr>
            <w:r>
              <w:rPr>
                <w:rFonts w:ascii="Arial"/>
                <w:spacing w:val="-1"/>
                <w:sz w:val="21"/>
              </w:rPr>
              <w:t>90.00%</w:t>
            </w:r>
          </w:p>
        </w:tc>
      </w:tr>
      <w:tr>
        <w:trPr>
          <w:trHeight w:val="398"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3" w:right="0"/>
              <w:jc w:val="left"/>
              <w:rPr>
                <w:rFonts w:ascii="宋体" w:hAnsi="宋体" w:cs="宋体" w:eastAsia="宋体" w:hint="default"/>
                <w:sz w:val="21"/>
                <w:szCs w:val="21"/>
              </w:rPr>
            </w:pPr>
            <w:r>
              <w:rPr>
                <w:rFonts w:ascii="宋体" w:hAnsi="宋体" w:cs="宋体" w:eastAsia="宋体" w:hint="default"/>
                <w:sz w:val="21"/>
                <w:szCs w:val="21"/>
              </w:rPr>
              <w:t>财务报告</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3639"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5" w:type="dxa"/>
            <w:gridSpan w:val="2"/>
            <w:vMerge w:val="restart"/>
            <w:tcBorders>
              <w:top w:val="single" w:sz="4" w:space="0" w:color="000000"/>
              <w:left w:val="single" w:sz="9" w:space="0" w:color="D2D2D2"/>
              <w:right w:val="single" w:sz="4" w:space="0" w:color="000000"/>
            </w:tcBorders>
          </w:tcPr>
          <w:p>
            <w:pPr>
              <w:pStyle w:val="TableParagraph"/>
              <w:spacing w:line="240" w:lineRule="auto" w:before="28"/>
              <w:ind w:left="17" w:right="0"/>
              <w:jc w:val="left"/>
              <w:rPr>
                <w:rFonts w:ascii="宋体" w:hAnsi="宋体" w:cs="宋体" w:eastAsia="宋体" w:hint="default"/>
                <w:sz w:val="21"/>
                <w:szCs w:val="21"/>
              </w:rPr>
            </w:pPr>
            <w:r>
              <w:rPr>
                <w:rFonts w:ascii="宋体" w:hAnsi="宋体" w:cs="宋体" w:eastAsia="宋体" w:hint="default"/>
                <w:sz w:val="21"/>
                <w:szCs w:val="21"/>
              </w:rPr>
              <w:t>一、重大缺陷：</w:t>
            </w:r>
          </w:p>
          <w:p>
            <w:pPr>
              <w:pStyle w:val="TableParagraph"/>
              <w:spacing w:line="283" w:lineRule="auto" w:before="78"/>
              <w:ind w:left="17" w:right="75"/>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、公司董事、监事和高级管理人员舞</w:t>
            </w:r>
            <w:r>
              <w:rPr>
                <w:rFonts w:ascii="宋体" w:hAnsi="宋体" w:cs="宋体" w:eastAsia="宋体" w:hint="default"/>
                <w:w w:val="100"/>
                <w:sz w:val="21"/>
                <w:szCs w:val="21"/>
              </w:rPr>
              <w:t> </w:t>
            </w:r>
            <w:r>
              <w:rPr>
                <w:rFonts w:ascii="宋体" w:hAnsi="宋体" w:cs="宋体" w:eastAsia="宋体" w:hint="default"/>
                <w:spacing w:val="-2"/>
                <w:sz w:val="21"/>
                <w:szCs w:val="21"/>
              </w:rPr>
              <w:t>弊并给公司造成重要损失和不利影响；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Arial" w:hAnsi="Arial" w:cs="Arial" w:eastAsia="Arial" w:hint="default"/>
                <w:sz w:val="21"/>
                <w:szCs w:val="21"/>
              </w:rPr>
              <w:t>2</w:t>
            </w:r>
            <w:r>
              <w:rPr>
                <w:rFonts w:ascii="宋体" w:hAnsi="宋体" w:cs="宋体" w:eastAsia="宋体" w:hint="default"/>
                <w:sz w:val="21"/>
                <w:szCs w:val="21"/>
              </w:rPr>
              <w:t>、已经发现并报告给管理层的财务报</w:t>
            </w:r>
          </w:p>
          <w:p>
            <w:pPr>
              <w:pStyle w:val="TableParagraph"/>
              <w:spacing w:line="255" w:lineRule="exact"/>
              <w:ind w:left="17" w:right="0"/>
              <w:jc w:val="left"/>
              <w:rPr>
                <w:rFonts w:ascii="宋体" w:hAnsi="宋体" w:cs="宋体" w:eastAsia="宋体" w:hint="default"/>
                <w:sz w:val="21"/>
                <w:szCs w:val="21"/>
              </w:rPr>
            </w:pPr>
            <w:r>
              <w:rPr>
                <w:rFonts w:ascii="宋体" w:hAnsi="宋体" w:cs="宋体" w:eastAsia="宋体" w:hint="default"/>
                <w:sz w:val="21"/>
                <w:szCs w:val="21"/>
              </w:rPr>
              <w:t>告内部控制重大缺陷在经过合理时间</w:t>
            </w:r>
          </w:p>
          <w:p>
            <w:pPr>
              <w:pStyle w:val="TableParagraph"/>
              <w:spacing w:line="240" w:lineRule="auto" w:before="37"/>
              <w:ind w:left="17" w:right="0"/>
              <w:jc w:val="left"/>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spacing w:val="1"/>
                <w:sz w:val="21"/>
                <w:szCs w:val="21"/>
              </w:rPr>
              <w:t> </w:t>
            </w:r>
            <w:r>
              <w:rPr>
                <w:rFonts w:ascii="宋体" w:hAnsi="宋体" w:cs="宋体" w:eastAsia="宋体" w:hint="default"/>
                <w:sz w:val="21"/>
                <w:szCs w:val="21"/>
              </w:rPr>
              <w:t>未得到整改；</w:t>
            </w:r>
          </w:p>
          <w:p>
            <w:pPr>
              <w:pStyle w:val="TableParagraph"/>
              <w:spacing w:line="240" w:lineRule="auto" w:before="78"/>
              <w:ind w:left="17"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、公司更正已公布的财务报告；</w:t>
            </w:r>
          </w:p>
          <w:p>
            <w:pPr>
              <w:pStyle w:val="TableParagraph"/>
              <w:spacing w:line="240" w:lineRule="auto" w:before="63"/>
              <w:ind w:left="17"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、公司内部控制环境无效；</w:t>
            </w:r>
          </w:p>
          <w:p>
            <w:pPr>
              <w:pStyle w:val="TableParagraph"/>
              <w:spacing w:line="266" w:lineRule="auto" w:before="60"/>
              <w:ind w:left="17" w:right="168"/>
              <w:jc w:val="left"/>
              <w:rPr>
                <w:rFonts w:ascii="宋体" w:hAnsi="宋体" w:cs="宋体" w:eastAsia="宋体" w:hint="default"/>
                <w:sz w:val="21"/>
                <w:szCs w:val="21"/>
              </w:rPr>
            </w:pPr>
            <w:r>
              <w:rPr>
                <w:rFonts w:ascii="Arial" w:hAnsi="Arial" w:cs="Arial" w:eastAsia="Arial" w:hint="default"/>
                <w:spacing w:val="-2"/>
                <w:sz w:val="21"/>
                <w:szCs w:val="21"/>
              </w:rPr>
              <w:t>5</w:t>
            </w:r>
            <w:r>
              <w:rPr>
                <w:rFonts w:ascii="宋体" w:hAnsi="宋体" w:cs="宋体" w:eastAsia="宋体" w:hint="default"/>
                <w:spacing w:val="-2"/>
                <w:sz w:val="21"/>
                <w:szCs w:val="21"/>
              </w:rPr>
              <w:t>、注册会计师发现的却未被公司内部</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控制识别的当期财务报告中的重大错</w:t>
            </w:r>
            <w:r>
              <w:rPr>
                <w:rFonts w:ascii="宋体" w:hAnsi="宋体" w:cs="宋体" w:eastAsia="宋体" w:hint="default"/>
                <w:w w:val="100"/>
                <w:sz w:val="21"/>
                <w:szCs w:val="21"/>
              </w:rPr>
              <w:t> </w:t>
            </w:r>
            <w:r>
              <w:rPr>
                <w:rFonts w:ascii="宋体" w:hAnsi="宋体" w:cs="宋体" w:eastAsia="宋体" w:hint="default"/>
                <w:sz w:val="21"/>
                <w:szCs w:val="21"/>
              </w:rPr>
              <w:t>报；</w:t>
            </w:r>
          </w:p>
          <w:p>
            <w:pPr>
              <w:pStyle w:val="TableParagraph"/>
              <w:spacing w:line="259" w:lineRule="auto" w:before="55"/>
              <w:ind w:left="17" w:right="168"/>
              <w:jc w:val="left"/>
              <w:rPr>
                <w:rFonts w:ascii="宋体" w:hAnsi="宋体" w:cs="宋体" w:eastAsia="宋体" w:hint="default"/>
                <w:sz w:val="21"/>
                <w:szCs w:val="21"/>
              </w:rPr>
            </w:pPr>
            <w:r>
              <w:rPr>
                <w:rFonts w:ascii="Arial" w:hAnsi="Arial" w:cs="Arial" w:eastAsia="Arial" w:hint="default"/>
                <w:spacing w:val="-2"/>
                <w:sz w:val="21"/>
                <w:szCs w:val="21"/>
              </w:rPr>
              <w:t>6</w:t>
            </w:r>
            <w:r>
              <w:rPr>
                <w:rFonts w:ascii="宋体" w:hAnsi="宋体" w:cs="宋体" w:eastAsia="宋体" w:hint="default"/>
                <w:spacing w:val="-2"/>
                <w:sz w:val="21"/>
                <w:szCs w:val="21"/>
              </w:rPr>
              <w:t>、审计委员会和内部审计机构对财务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报告的内部监督无效。</w:t>
            </w:r>
          </w:p>
          <w:p>
            <w:pPr>
              <w:pStyle w:val="TableParagraph"/>
              <w:spacing w:line="283" w:lineRule="auto" w:before="61"/>
              <w:ind w:left="17" w:right="168"/>
              <w:jc w:val="left"/>
              <w:rPr>
                <w:rFonts w:ascii="宋体" w:hAnsi="宋体" w:cs="宋体" w:eastAsia="宋体" w:hint="default"/>
                <w:sz w:val="21"/>
                <w:szCs w:val="21"/>
              </w:rPr>
            </w:pPr>
            <w:r>
              <w:rPr>
                <w:rFonts w:ascii="宋体" w:hAnsi="宋体" w:cs="宋体" w:eastAsia="宋体" w:hint="default"/>
                <w:sz w:val="21"/>
                <w:szCs w:val="21"/>
              </w:rPr>
              <w:t>二、重要缺陷：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Arial" w:hAnsi="Arial" w:cs="Arial" w:eastAsia="Arial" w:hint="default"/>
                <w:spacing w:val="-2"/>
                <w:sz w:val="21"/>
                <w:szCs w:val="21"/>
              </w:rPr>
              <w:t>1</w:t>
            </w:r>
            <w:r>
              <w:rPr>
                <w:rFonts w:ascii="宋体" w:hAnsi="宋体" w:cs="宋体" w:eastAsia="宋体" w:hint="default"/>
                <w:spacing w:val="-2"/>
                <w:sz w:val="21"/>
                <w:szCs w:val="21"/>
              </w:rPr>
              <w:t>、未依照公认会计准则选择和应用会</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计政策；</w:t>
            </w:r>
          </w:p>
          <w:p>
            <w:pPr>
              <w:pStyle w:val="TableParagraph"/>
              <w:spacing w:line="259" w:lineRule="auto" w:before="40"/>
              <w:ind w:left="17" w:right="168"/>
              <w:jc w:val="left"/>
              <w:rPr>
                <w:rFonts w:ascii="宋体" w:hAnsi="宋体" w:cs="宋体" w:eastAsia="宋体" w:hint="default"/>
                <w:sz w:val="21"/>
                <w:szCs w:val="21"/>
              </w:rPr>
            </w:pPr>
            <w:r>
              <w:rPr>
                <w:rFonts w:ascii="Arial" w:hAnsi="Arial" w:cs="Arial" w:eastAsia="Arial" w:hint="default"/>
                <w:spacing w:val="-2"/>
                <w:sz w:val="21"/>
                <w:szCs w:val="21"/>
              </w:rPr>
              <w:t>2</w:t>
            </w:r>
            <w:r>
              <w:rPr>
                <w:rFonts w:ascii="宋体" w:hAnsi="宋体" w:cs="宋体" w:eastAsia="宋体" w:hint="default"/>
                <w:spacing w:val="-2"/>
                <w:sz w:val="21"/>
                <w:szCs w:val="21"/>
              </w:rPr>
              <w:t>、未建立反舞弊程序和控制措施或无</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效；</w:t>
            </w:r>
          </w:p>
          <w:p>
            <w:pPr>
              <w:pStyle w:val="TableParagraph"/>
              <w:spacing w:line="266" w:lineRule="auto" w:before="61"/>
              <w:ind w:left="17" w:right="74"/>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、对于非常规或特殊交易的账务处理</w:t>
            </w:r>
            <w:r>
              <w:rPr>
                <w:rFonts w:ascii="宋体" w:hAnsi="宋体" w:cs="宋体" w:eastAsia="宋体" w:hint="default"/>
                <w:w w:val="100"/>
                <w:sz w:val="21"/>
                <w:szCs w:val="21"/>
              </w:rPr>
              <w:t> </w:t>
            </w:r>
            <w:r>
              <w:rPr>
                <w:rFonts w:ascii="宋体" w:hAnsi="宋体" w:cs="宋体" w:eastAsia="宋体" w:hint="default"/>
                <w:spacing w:val="-2"/>
                <w:sz w:val="21"/>
                <w:szCs w:val="21"/>
              </w:rPr>
              <w:t>没有建立或实施相应的控制机制，且没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有相应的补偿性控制；</w:t>
            </w:r>
          </w:p>
          <w:p>
            <w:pPr>
              <w:pStyle w:val="TableParagraph"/>
              <w:spacing w:line="259" w:lineRule="auto" w:before="52"/>
              <w:ind w:left="17" w:right="75"/>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、对于期末财务报告过程的控制存在</w:t>
            </w:r>
            <w:r>
              <w:rPr>
                <w:rFonts w:ascii="宋体" w:hAnsi="宋体" w:cs="宋体" w:eastAsia="宋体" w:hint="default"/>
                <w:w w:val="100"/>
                <w:sz w:val="21"/>
                <w:szCs w:val="21"/>
              </w:rPr>
              <w:t> </w:t>
            </w:r>
            <w:r>
              <w:rPr>
                <w:rFonts w:ascii="宋体" w:hAnsi="宋体" w:cs="宋体" w:eastAsia="宋体" w:hint="default"/>
                <w:spacing w:val="-2"/>
                <w:sz w:val="21"/>
                <w:szCs w:val="21"/>
              </w:rPr>
              <w:t>一项或多项缺陷且不能合理保证编制的</w:t>
            </w:r>
          </w:p>
        </w:tc>
        <w:tc>
          <w:tcPr>
            <w:tcW w:w="3898" w:type="dxa"/>
            <w:vMerge w:val="restart"/>
            <w:tcBorders>
              <w:top w:val="single" w:sz="4" w:space="0" w:color="000000"/>
              <w:left w:val="single" w:sz="4" w:space="0" w:color="000000"/>
              <w:right w:val="single" w:sz="4" w:space="0" w:color="000000"/>
            </w:tcBorders>
          </w:tcPr>
          <w:p>
            <w:pPr>
              <w:pStyle w:val="TableParagraph"/>
              <w:spacing w:line="283" w:lineRule="auto" w:before="69"/>
              <w:ind w:left="24" w:right="77"/>
              <w:jc w:val="left"/>
              <w:rPr>
                <w:rFonts w:ascii="宋体" w:hAnsi="宋体" w:cs="宋体" w:eastAsia="宋体" w:hint="default"/>
                <w:sz w:val="21"/>
                <w:szCs w:val="21"/>
              </w:rPr>
            </w:pPr>
            <w:r>
              <w:rPr>
                <w:rFonts w:ascii="宋体" w:hAnsi="宋体" w:cs="宋体" w:eastAsia="宋体" w:hint="default"/>
                <w:sz w:val="21"/>
                <w:szCs w:val="21"/>
              </w:rPr>
              <w:t>一、重大缺陷：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Arial" w:hAnsi="Arial" w:cs="Arial" w:eastAsia="Arial" w:hint="default"/>
                <w:sz w:val="21"/>
                <w:szCs w:val="21"/>
              </w:rPr>
              <w:t>1</w:t>
            </w:r>
            <w:r>
              <w:rPr>
                <w:rFonts w:ascii="宋体" w:hAnsi="宋体" w:cs="宋体" w:eastAsia="宋体" w:hint="default"/>
                <w:sz w:val="21"/>
                <w:szCs w:val="21"/>
              </w:rPr>
              <w:t>、缺乏民主决策程序或重大事项违反决</w:t>
            </w:r>
            <w:r>
              <w:rPr>
                <w:rFonts w:ascii="宋体" w:hAnsi="宋体" w:cs="宋体" w:eastAsia="宋体" w:hint="default"/>
                <w:w w:val="100"/>
                <w:sz w:val="21"/>
                <w:szCs w:val="21"/>
              </w:rPr>
              <w:t> </w:t>
            </w:r>
            <w:r>
              <w:rPr>
                <w:rFonts w:ascii="宋体" w:hAnsi="宋体" w:cs="宋体" w:eastAsia="宋体" w:hint="default"/>
                <w:spacing w:val="-2"/>
                <w:sz w:val="21"/>
                <w:szCs w:val="21"/>
              </w:rPr>
              <w:t>策程序出现重大失误，给公司造成定量标</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准认定的重大损失；</w:t>
            </w:r>
          </w:p>
          <w:p>
            <w:pPr>
              <w:pStyle w:val="TableParagraph"/>
              <w:spacing w:line="266" w:lineRule="auto" w:before="78"/>
              <w:ind w:left="24" w:right="77"/>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、严重违反国家法律、法规，受到政府</w:t>
            </w:r>
            <w:r>
              <w:rPr>
                <w:rFonts w:ascii="宋体" w:hAnsi="宋体" w:cs="宋体" w:eastAsia="宋体" w:hint="default"/>
                <w:w w:val="100"/>
                <w:sz w:val="21"/>
                <w:szCs w:val="21"/>
              </w:rPr>
              <w:t> </w:t>
            </w:r>
            <w:r>
              <w:rPr>
                <w:rFonts w:ascii="宋体" w:hAnsi="宋体" w:cs="宋体" w:eastAsia="宋体" w:hint="default"/>
                <w:spacing w:val="-2"/>
                <w:sz w:val="21"/>
                <w:szCs w:val="21"/>
              </w:rPr>
              <w:t>部门处罚，且对公司定期报告披露造成重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大负面影响；</w:t>
            </w:r>
          </w:p>
          <w:p>
            <w:pPr>
              <w:pStyle w:val="TableParagraph"/>
              <w:spacing w:line="283" w:lineRule="auto" w:before="55"/>
              <w:ind w:left="24" w:right="173"/>
              <w:jc w:val="left"/>
              <w:rPr>
                <w:rFonts w:ascii="宋体" w:hAnsi="宋体" w:cs="宋体" w:eastAsia="宋体" w:hint="default"/>
                <w:sz w:val="21"/>
                <w:szCs w:val="21"/>
              </w:rPr>
            </w:pPr>
            <w:r>
              <w:rPr>
                <w:rFonts w:ascii="Arial" w:hAnsi="Arial" w:cs="Arial" w:eastAsia="Arial" w:hint="default"/>
                <w:spacing w:val="-2"/>
                <w:sz w:val="21"/>
                <w:szCs w:val="21"/>
              </w:rPr>
              <w:t>3</w:t>
            </w:r>
            <w:r>
              <w:rPr>
                <w:rFonts w:ascii="宋体" w:hAnsi="宋体" w:cs="宋体" w:eastAsia="宋体" w:hint="default"/>
                <w:spacing w:val="-2"/>
                <w:sz w:val="21"/>
                <w:szCs w:val="21"/>
              </w:rPr>
              <w:t>、关键管理人员或高级技术人员流失严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重；</w:t>
            </w:r>
            <w:r>
              <w:rPr>
                <w:rFonts w:ascii="宋体" w:hAnsi="宋体" w:cs="宋体" w:eastAsia="宋体" w:hint="default"/>
                <w:spacing w:val="-103"/>
                <w:sz w:val="21"/>
                <w:szCs w:val="21"/>
              </w:rPr>
              <w:t> </w:t>
            </w:r>
            <w:r>
              <w:rPr>
                <w:rFonts w:ascii="Arial" w:hAnsi="Arial" w:cs="Arial" w:eastAsia="Arial" w:hint="default"/>
                <w:spacing w:val="-2"/>
                <w:sz w:val="21"/>
                <w:szCs w:val="21"/>
              </w:rPr>
              <w:t>4</w:t>
            </w:r>
            <w:r>
              <w:rPr>
                <w:rFonts w:ascii="宋体" w:hAnsi="宋体" w:cs="宋体" w:eastAsia="宋体" w:hint="default"/>
                <w:spacing w:val="-2"/>
                <w:sz w:val="21"/>
                <w:szCs w:val="21"/>
              </w:rPr>
              <w:t>、媒体负面新闻频现，情况属实，造成</w:t>
            </w:r>
          </w:p>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sz w:val="21"/>
                <w:szCs w:val="21"/>
              </w:rPr>
              <w:t>重大社会影响；</w:t>
            </w:r>
          </w:p>
          <w:p>
            <w:pPr>
              <w:pStyle w:val="TableParagraph"/>
              <w:spacing w:line="266" w:lineRule="auto" w:before="78"/>
              <w:ind w:left="24" w:right="77"/>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、重要业务缺乏制度控制或制度系统性</w:t>
            </w:r>
            <w:r>
              <w:rPr>
                <w:rFonts w:ascii="宋体" w:hAnsi="宋体" w:cs="宋体" w:eastAsia="宋体" w:hint="default"/>
                <w:w w:val="100"/>
                <w:sz w:val="21"/>
                <w:szCs w:val="21"/>
              </w:rPr>
              <w:t> </w:t>
            </w:r>
            <w:r>
              <w:rPr>
                <w:rFonts w:ascii="宋体" w:hAnsi="宋体" w:cs="宋体" w:eastAsia="宋体" w:hint="default"/>
                <w:spacing w:val="-2"/>
                <w:sz w:val="21"/>
                <w:szCs w:val="21"/>
              </w:rPr>
              <w:t>失效，给公司造成按定量标准认定的重大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损失；</w:t>
            </w:r>
          </w:p>
          <w:p>
            <w:pPr>
              <w:pStyle w:val="TableParagraph"/>
              <w:spacing w:line="266" w:lineRule="auto" w:before="55"/>
              <w:ind w:left="24" w:right="77"/>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、已经发现并报告给管理层的非财务报</w:t>
            </w:r>
            <w:r>
              <w:rPr>
                <w:rFonts w:ascii="宋体" w:hAnsi="宋体" w:cs="宋体" w:eastAsia="宋体" w:hint="default"/>
                <w:w w:val="100"/>
                <w:sz w:val="21"/>
                <w:szCs w:val="21"/>
              </w:rPr>
              <w:t> </w:t>
            </w:r>
            <w:r>
              <w:rPr>
                <w:rFonts w:ascii="宋体" w:hAnsi="宋体" w:cs="宋体" w:eastAsia="宋体" w:hint="default"/>
                <w:spacing w:val="-2"/>
                <w:sz w:val="21"/>
                <w:szCs w:val="21"/>
              </w:rPr>
              <w:t>告内部控制重大缺陷在合理的时间内未得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到整改。</w:t>
            </w:r>
          </w:p>
          <w:p>
            <w:pPr>
              <w:pStyle w:val="TableParagraph"/>
              <w:spacing w:line="240" w:lineRule="auto" w:before="52"/>
              <w:ind w:left="24" w:right="0"/>
              <w:jc w:val="left"/>
              <w:rPr>
                <w:rFonts w:ascii="宋体" w:hAnsi="宋体" w:cs="宋体" w:eastAsia="宋体" w:hint="default"/>
                <w:sz w:val="21"/>
                <w:szCs w:val="21"/>
              </w:rPr>
            </w:pPr>
            <w:r>
              <w:rPr>
                <w:rFonts w:ascii="宋体" w:hAnsi="宋体" w:cs="宋体" w:eastAsia="宋体" w:hint="default"/>
                <w:sz w:val="21"/>
                <w:szCs w:val="21"/>
              </w:rPr>
              <w:t>二、重要缺陷：</w:t>
            </w:r>
          </w:p>
          <w:p>
            <w:pPr>
              <w:pStyle w:val="TableParagraph"/>
              <w:spacing w:line="266" w:lineRule="auto" w:before="78"/>
              <w:ind w:left="24" w:right="77"/>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、民主决策程序存在但不够完善或决策</w:t>
            </w:r>
            <w:r>
              <w:rPr>
                <w:rFonts w:ascii="宋体" w:hAnsi="宋体" w:cs="宋体" w:eastAsia="宋体" w:hint="default"/>
                <w:w w:val="100"/>
                <w:sz w:val="21"/>
                <w:szCs w:val="21"/>
              </w:rPr>
              <w:t> </w:t>
            </w:r>
            <w:r>
              <w:rPr>
                <w:rFonts w:ascii="宋体" w:hAnsi="宋体" w:cs="宋体" w:eastAsia="宋体" w:hint="default"/>
                <w:spacing w:val="-2"/>
                <w:sz w:val="21"/>
                <w:szCs w:val="21"/>
              </w:rPr>
              <w:t>程序出现失误，给公司造成定量标准认定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的重要财产损失；</w:t>
            </w:r>
          </w:p>
          <w:p>
            <w:pPr>
              <w:pStyle w:val="TableParagraph"/>
              <w:spacing w:line="259" w:lineRule="auto" w:before="55"/>
              <w:ind w:left="24" w:right="77"/>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、违反国家法律、法规，受到政府部门</w:t>
            </w:r>
            <w:r>
              <w:rPr>
                <w:rFonts w:ascii="宋体" w:hAnsi="宋体" w:cs="宋体" w:eastAsia="宋体" w:hint="default"/>
                <w:w w:val="100"/>
                <w:sz w:val="21"/>
                <w:szCs w:val="21"/>
              </w:rPr>
              <w:t> </w:t>
            </w:r>
            <w:r>
              <w:rPr>
                <w:rFonts w:ascii="宋体" w:hAnsi="宋体" w:cs="宋体" w:eastAsia="宋体" w:hint="default"/>
                <w:spacing w:val="-2"/>
                <w:sz w:val="21"/>
                <w:szCs w:val="21"/>
              </w:rPr>
              <w:t>处罚，但未对公司定期报告披露造成负面</w:t>
            </w:r>
          </w:p>
        </w:tc>
      </w:tr>
      <w:tr>
        <w:trPr>
          <w:trHeight w:val="3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3685" w:type="dxa"/>
            <w:gridSpan w:val="2"/>
            <w:vMerge/>
            <w:tcBorders>
              <w:left w:val="single" w:sz="9" w:space="0" w:color="D2D2D2"/>
              <w:right w:val="single" w:sz="4" w:space="0" w:color="000000"/>
            </w:tcBorders>
          </w:tcPr>
          <w:p>
            <w:pPr/>
          </w:p>
        </w:tc>
        <w:tc>
          <w:tcPr>
            <w:tcW w:w="3898" w:type="dxa"/>
            <w:vMerge/>
            <w:tcBorders>
              <w:left w:val="single" w:sz="4" w:space="0" w:color="000000"/>
              <w:right w:val="single" w:sz="4" w:space="0" w:color="000000"/>
            </w:tcBorders>
          </w:tcPr>
          <w:p>
            <w:pPr/>
          </w:p>
        </w:tc>
      </w:tr>
      <w:tr>
        <w:trPr>
          <w:trHeight w:val="3636"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5" w:type="dxa"/>
            <w:gridSpan w:val="2"/>
            <w:vMerge/>
            <w:tcBorders>
              <w:left w:val="single" w:sz="9" w:space="0" w:color="D2D2D2"/>
              <w:bottom w:val="single" w:sz="4" w:space="0" w:color="000000"/>
              <w:right w:val="single" w:sz="4" w:space="0" w:color="000000"/>
            </w:tcBorders>
          </w:tcPr>
          <w:p>
            <w:pPr/>
          </w:p>
        </w:tc>
        <w:tc>
          <w:tcPr>
            <w:tcW w:w="389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985"/>
        <w:gridCol w:w="3685"/>
        <w:gridCol w:w="3898"/>
      </w:tblGrid>
      <w:tr>
        <w:trPr>
          <w:trHeight w:val="368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3" w:right="75"/>
              <w:jc w:val="left"/>
              <w:rPr>
                <w:rFonts w:ascii="宋体" w:hAnsi="宋体" w:cs="宋体" w:eastAsia="宋体" w:hint="default"/>
                <w:sz w:val="21"/>
                <w:szCs w:val="21"/>
              </w:rPr>
            </w:pPr>
            <w:r>
              <w:rPr>
                <w:rFonts w:ascii="宋体" w:hAnsi="宋体" w:cs="宋体" w:eastAsia="宋体" w:hint="default"/>
                <w:sz w:val="21"/>
                <w:szCs w:val="21"/>
              </w:rPr>
              <w:t>财务报表达到真实、准确的目标。</w:t>
            </w:r>
            <w:r>
              <w:rPr>
                <w:rFonts w:ascii="宋体" w:hAnsi="宋体" w:cs="宋体" w:eastAsia="宋体" w:hint="default"/>
                <w:w w:val="100"/>
                <w:sz w:val="21"/>
                <w:szCs w:val="21"/>
              </w:rPr>
              <w:t> </w:t>
            </w:r>
            <w:r>
              <w:rPr>
                <w:rFonts w:ascii="宋体" w:hAnsi="宋体" w:cs="宋体" w:eastAsia="宋体" w:hint="default"/>
                <w:spacing w:val="-2"/>
                <w:sz w:val="21"/>
                <w:szCs w:val="21"/>
              </w:rPr>
              <w:t>三、一般缺陷：未构成重大缺陷、重要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缺陷标准的，和财务报告相关的其他内</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部控制缺陷。</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影响；</w:t>
            </w:r>
          </w:p>
          <w:p>
            <w:pPr>
              <w:pStyle w:val="TableParagraph"/>
              <w:spacing w:line="240" w:lineRule="auto" w:before="78"/>
              <w:ind w:left="24"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、关键岗位业务人员流失严重；</w:t>
            </w:r>
          </w:p>
          <w:p>
            <w:pPr>
              <w:pStyle w:val="TableParagraph"/>
              <w:spacing w:line="240" w:lineRule="auto" w:before="60"/>
              <w:ind w:left="24"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、媒体出现负面新闻，波及局部区域；</w:t>
            </w:r>
          </w:p>
          <w:p>
            <w:pPr>
              <w:pStyle w:val="TableParagraph"/>
              <w:spacing w:line="259" w:lineRule="auto" w:before="63"/>
              <w:ind w:left="24" w:right="173"/>
              <w:jc w:val="left"/>
              <w:rPr>
                <w:rFonts w:ascii="宋体" w:hAnsi="宋体" w:cs="宋体" w:eastAsia="宋体" w:hint="default"/>
                <w:sz w:val="21"/>
                <w:szCs w:val="21"/>
              </w:rPr>
            </w:pPr>
            <w:r>
              <w:rPr>
                <w:rFonts w:ascii="Arial" w:hAnsi="Arial" w:cs="Arial" w:eastAsia="Arial" w:hint="default"/>
                <w:spacing w:val="-2"/>
                <w:sz w:val="21"/>
                <w:szCs w:val="21"/>
              </w:rPr>
              <w:t>5</w:t>
            </w:r>
            <w:r>
              <w:rPr>
                <w:rFonts w:ascii="宋体" w:hAnsi="宋体" w:cs="宋体" w:eastAsia="宋体" w:hint="default"/>
                <w:spacing w:val="-2"/>
                <w:sz w:val="21"/>
                <w:szCs w:val="21"/>
              </w:rPr>
              <w:t>、重要业务制度执行过程中存在较大缺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陷；</w:t>
            </w:r>
          </w:p>
          <w:p>
            <w:pPr>
              <w:pStyle w:val="TableParagraph"/>
              <w:spacing w:line="266" w:lineRule="auto" w:before="61"/>
              <w:ind w:left="24" w:right="77"/>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、已经发现并报告给管理层的非财务报</w:t>
            </w:r>
            <w:r>
              <w:rPr>
                <w:rFonts w:ascii="宋体" w:hAnsi="宋体" w:cs="宋体" w:eastAsia="宋体" w:hint="default"/>
                <w:w w:val="100"/>
                <w:sz w:val="21"/>
                <w:szCs w:val="21"/>
              </w:rPr>
              <w:t> </w:t>
            </w:r>
            <w:r>
              <w:rPr>
                <w:rFonts w:ascii="宋体" w:hAnsi="宋体" w:cs="宋体" w:eastAsia="宋体" w:hint="default"/>
                <w:spacing w:val="-2"/>
                <w:sz w:val="21"/>
                <w:szCs w:val="21"/>
              </w:rPr>
              <w:t>告内部控制重要缺陷在合理的时间内未得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到整改。</w:t>
            </w:r>
          </w:p>
          <w:p>
            <w:pPr>
              <w:pStyle w:val="TableParagraph"/>
              <w:spacing w:line="273" w:lineRule="auto" w:before="52"/>
              <w:ind w:left="24" w:right="77"/>
              <w:jc w:val="both"/>
              <w:rPr>
                <w:rFonts w:ascii="宋体" w:hAnsi="宋体" w:cs="宋体" w:eastAsia="宋体" w:hint="default"/>
                <w:sz w:val="21"/>
                <w:szCs w:val="21"/>
              </w:rPr>
            </w:pPr>
            <w:r>
              <w:rPr>
                <w:rFonts w:ascii="宋体" w:hAnsi="宋体" w:cs="宋体" w:eastAsia="宋体" w:hint="default"/>
                <w:spacing w:val="-2"/>
                <w:sz w:val="21"/>
                <w:szCs w:val="21"/>
              </w:rPr>
              <w:t>三、一般缺陷：除上述重大缺陷、重要缺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陷之外，其他非财务报告相关的内部控制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缺陷。</w:t>
            </w:r>
          </w:p>
        </w:tc>
      </w:tr>
      <w:tr>
        <w:trPr>
          <w:trHeight w:val="329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3" w:right="24"/>
              <w:jc w:val="left"/>
              <w:rPr>
                <w:rFonts w:ascii="宋体" w:hAnsi="宋体" w:cs="宋体" w:eastAsia="宋体" w:hint="default"/>
                <w:sz w:val="21"/>
                <w:szCs w:val="21"/>
              </w:rPr>
            </w:pPr>
            <w:r>
              <w:rPr>
                <w:rFonts w:ascii="宋体" w:hAnsi="宋体" w:cs="宋体" w:eastAsia="宋体" w:hint="default"/>
                <w:sz w:val="21"/>
                <w:szCs w:val="21"/>
              </w:rPr>
              <w:t>一、重大缺陷：利润表项目错报</w:t>
            </w:r>
            <w:r>
              <w:rPr>
                <w:rFonts w:ascii="Arial" w:hAnsi="Arial" w:cs="Arial" w:eastAsia="Arial" w:hint="default"/>
                <w:sz w:val="21"/>
                <w:szCs w:val="21"/>
              </w:rPr>
              <w:t>≥</w:t>
            </w:r>
            <w:r>
              <w:rPr>
                <w:rFonts w:ascii="宋体" w:hAnsi="宋体" w:cs="宋体" w:eastAsia="宋体" w:hint="default"/>
                <w:sz w:val="21"/>
                <w:szCs w:val="21"/>
              </w:rPr>
              <w:t>利润</w:t>
            </w:r>
            <w:r>
              <w:rPr>
                <w:rFonts w:ascii="宋体" w:hAnsi="宋体" w:cs="宋体" w:eastAsia="宋体" w:hint="default"/>
                <w:w w:val="100"/>
                <w:sz w:val="21"/>
                <w:szCs w:val="21"/>
              </w:rPr>
              <w:t> </w:t>
            </w:r>
            <w:r>
              <w:rPr>
                <w:rFonts w:ascii="宋体" w:hAnsi="宋体" w:cs="宋体" w:eastAsia="宋体" w:hint="default"/>
                <w:sz w:val="21"/>
                <w:szCs w:val="21"/>
              </w:rPr>
              <w:t>总额的</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；资产负债表项目错报</w:t>
            </w:r>
            <w:r>
              <w:rPr>
                <w:rFonts w:ascii="Arial" w:hAnsi="Arial" w:cs="Arial" w:eastAsia="Arial" w:hint="default"/>
                <w:sz w:val="21"/>
                <w:szCs w:val="21"/>
              </w:rPr>
              <w:t>≥</w:t>
            </w:r>
            <w:r>
              <w:rPr>
                <w:rFonts w:ascii="宋体" w:hAnsi="宋体" w:cs="宋体" w:eastAsia="宋体" w:hint="default"/>
                <w:sz w:val="21"/>
                <w:szCs w:val="21"/>
              </w:rPr>
              <w:t>资产</w:t>
            </w:r>
            <w:r>
              <w:rPr>
                <w:rFonts w:ascii="宋体" w:hAnsi="宋体" w:cs="宋体" w:eastAsia="宋体" w:hint="default"/>
                <w:w w:val="100"/>
                <w:sz w:val="21"/>
                <w:szCs w:val="21"/>
              </w:rPr>
              <w:t> </w:t>
            </w:r>
            <w:r>
              <w:rPr>
                <w:rFonts w:ascii="宋体" w:hAnsi="宋体" w:cs="宋体" w:eastAsia="宋体" w:hint="default"/>
                <w:sz w:val="21"/>
                <w:szCs w:val="21"/>
              </w:rPr>
              <w:t>总额的</w:t>
            </w:r>
            <w:r>
              <w:rPr>
                <w:rFonts w:ascii="宋体" w:hAnsi="宋体" w:cs="宋体" w:eastAsia="宋体" w:hint="default"/>
                <w:spacing w:val="-53"/>
                <w:sz w:val="21"/>
                <w:szCs w:val="21"/>
              </w:rPr>
              <w:t> </w:t>
            </w:r>
            <w:r>
              <w:rPr>
                <w:rFonts w:ascii="Arial" w:hAnsi="Arial" w:cs="Arial" w:eastAsia="Arial" w:hint="default"/>
                <w:sz w:val="21"/>
                <w:szCs w:val="21"/>
              </w:rPr>
              <w:t>2%</w:t>
            </w:r>
            <w:r>
              <w:rPr>
                <w:rFonts w:ascii="宋体" w:hAnsi="宋体" w:cs="宋体" w:eastAsia="宋体" w:hint="default"/>
                <w:sz w:val="21"/>
                <w:szCs w:val="21"/>
              </w:rPr>
              <w:t>。</w:t>
            </w:r>
          </w:p>
          <w:p>
            <w:pPr>
              <w:pStyle w:val="TableParagraph"/>
              <w:spacing w:line="266" w:lineRule="auto" w:before="44"/>
              <w:ind w:left="23" w:right="24"/>
              <w:jc w:val="left"/>
              <w:rPr>
                <w:rFonts w:ascii="宋体" w:hAnsi="宋体" w:cs="宋体" w:eastAsia="宋体" w:hint="default"/>
                <w:sz w:val="21"/>
                <w:szCs w:val="21"/>
              </w:rPr>
            </w:pPr>
            <w:r>
              <w:rPr>
                <w:rFonts w:ascii="宋体" w:hAnsi="宋体" w:cs="宋体" w:eastAsia="宋体" w:hint="default"/>
                <w:sz w:val="21"/>
                <w:szCs w:val="21"/>
              </w:rPr>
              <w:t>二、重要缺陷：利润总额的</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z w:val="21"/>
                <w:szCs w:val="21"/>
              </w:rPr>
              <w:t>≤</w:t>
            </w:r>
            <w:r>
              <w:rPr>
                <w:rFonts w:ascii="宋体" w:hAnsi="宋体" w:cs="宋体" w:eastAsia="宋体" w:hint="default"/>
                <w:sz w:val="21"/>
                <w:szCs w:val="21"/>
              </w:rPr>
              <w:t>利润表</w:t>
            </w:r>
            <w:r>
              <w:rPr>
                <w:rFonts w:ascii="宋体" w:hAnsi="宋体" w:cs="宋体" w:eastAsia="宋体" w:hint="default"/>
                <w:w w:val="100"/>
                <w:sz w:val="21"/>
                <w:szCs w:val="21"/>
              </w:rPr>
              <w:t> </w:t>
            </w:r>
            <w:r>
              <w:rPr>
                <w:rFonts w:ascii="宋体" w:hAnsi="宋体" w:cs="宋体" w:eastAsia="宋体" w:hint="default"/>
                <w:sz w:val="21"/>
                <w:szCs w:val="21"/>
              </w:rPr>
              <w:t>项目错报＜利润总额的</w:t>
            </w:r>
            <w:r>
              <w:rPr>
                <w:rFonts w:ascii="宋体" w:hAnsi="宋体" w:cs="宋体" w:eastAsia="宋体" w:hint="default"/>
                <w:spacing w:val="-53"/>
                <w:sz w:val="21"/>
                <w:szCs w:val="21"/>
              </w:rPr>
              <w:t> </w:t>
            </w:r>
            <w:r>
              <w:rPr>
                <w:rFonts w:ascii="Arial" w:hAnsi="Arial" w:cs="Arial" w:eastAsia="Arial" w:hint="default"/>
                <w:sz w:val="21"/>
                <w:szCs w:val="21"/>
              </w:rPr>
              <w:t>5%</w:t>
            </w:r>
            <w:r>
              <w:rPr>
                <w:rFonts w:ascii="宋体" w:hAnsi="宋体" w:cs="宋体" w:eastAsia="宋体" w:hint="default"/>
                <w:sz w:val="21"/>
                <w:szCs w:val="21"/>
              </w:rPr>
              <w:t>；资产总额</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z w:val="21"/>
                <w:szCs w:val="21"/>
              </w:rPr>
              <w:t>≤</w:t>
            </w:r>
            <w:r>
              <w:rPr>
                <w:rFonts w:ascii="宋体" w:hAnsi="宋体" w:cs="宋体" w:eastAsia="宋体" w:hint="default"/>
                <w:sz w:val="21"/>
                <w:szCs w:val="21"/>
              </w:rPr>
              <w:t>资产负债表项目错报＜资产总额</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三、一般缺陷：利润表项目错报＜利润</w:t>
            </w:r>
            <w:r>
              <w:rPr>
                <w:rFonts w:ascii="宋体" w:hAnsi="宋体" w:cs="宋体" w:eastAsia="宋体" w:hint="default"/>
                <w:w w:val="100"/>
                <w:sz w:val="21"/>
                <w:szCs w:val="21"/>
              </w:rPr>
              <w:t> </w:t>
            </w:r>
            <w:r>
              <w:rPr>
                <w:rFonts w:ascii="宋体" w:hAnsi="宋体" w:cs="宋体" w:eastAsia="宋体" w:hint="default"/>
                <w:sz w:val="21"/>
                <w:szCs w:val="21"/>
              </w:rPr>
              <w:t>总额的</w:t>
            </w:r>
            <w:r>
              <w:rPr>
                <w:rFonts w:ascii="宋体" w:hAnsi="宋体" w:cs="宋体" w:eastAsia="宋体" w:hint="default"/>
                <w:spacing w:val="-55"/>
                <w:sz w:val="21"/>
                <w:szCs w:val="21"/>
              </w:rPr>
              <w:t> </w:t>
            </w:r>
            <w:r>
              <w:rPr>
                <w:rFonts w:ascii="Arial" w:hAnsi="Arial" w:cs="Arial" w:eastAsia="Arial" w:hint="default"/>
                <w:sz w:val="21"/>
                <w:szCs w:val="21"/>
              </w:rPr>
              <w:t>2%</w:t>
            </w:r>
            <w:r>
              <w:rPr>
                <w:rFonts w:ascii="宋体" w:hAnsi="宋体" w:cs="宋体" w:eastAsia="宋体" w:hint="default"/>
                <w:sz w:val="21"/>
                <w:szCs w:val="21"/>
              </w:rPr>
              <w:t>；资产负债表项目错报＜资</w:t>
            </w:r>
          </w:p>
          <w:p>
            <w:pPr>
              <w:pStyle w:val="TableParagraph"/>
              <w:spacing w:line="286" w:lineRule="exact"/>
              <w:ind w:left="23" w:right="0"/>
              <w:jc w:val="left"/>
              <w:rPr>
                <w:rFonts w:ascii="宋体" w:hAnsi="宋体" w:cs="宋体" w:eastAsia="宋体" w:hint="default"/>
                <w:sz w:val="21"/>
                <w:szCs w:val="21"/>
              </w:rPr>
            </w:pPr>
            <w:r>
              <w:rPr>
                <w:rFonts w:ascii="宋体" w:hAnsi="宋体" w:cs="宋体" w:eastAsia="宋体" w:hint="default"/>
                <w:sz w:val="21"/>
                <w:szCs w:val="21"/>
              </w:rPr>
              <w:t>产总额的</w:t>
            </w:r>
            <w:r>
              <w:rPr>
                <w:rFonts w:ascii="宋体" w:hAnsi="宋体" w:cs="宋体" w:eastAsia="宋体" w:hint="default"/>
                <w:spacing w:val="-52"/>
                <w:sz w:val="21"/>
                <w:szCs w:val="21"/>
              </w:rPr>
              <w:t> </w:t>
            </w:r>
            <w:r>
              <w:rPr>
                <w:rFonts w:ascii="Arial" w:hAnsi="Arial" w:cs="Arial" w:eastAsia="Arial" w:hint="default"/>
                <w:sz w:val="21"/>
                <w:szCs w:val="21"/>
              </w:rPr>
              <w:t>1%</w:t>
            </w:r>
            <w:r>
              <w:rPr>
                <w:rFonts w:ascii="宋体" w:hAnsi="宋体" w:cs="宋体" w:eastAsia="宋体" w:hint="default"/>
                <w:sz w:val="21"/>
                <w:szCs w:val="21"/>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3"/>
              <w:ind w:right="0"/>
              <w:jc w:val="left"/>
              <w:rPr>
                <w:rFonts w:ascii="Microsoft JhengHei" w:hAnsi="Microsoft JhengHei" w:cs="Microsoft JhengHei" w:eastAsia="Microsoft JhengHei" w:hint="default"/>
                <w:b/>
                <w:bCs/>
                <w:sz w:val="26"/>
                <w:szCs w:val="26"/>
              </w:rPr>
            </w:pPr>
          </w:p>
          <w:p>
            <w:pPr>
              <w:pStyle w:val="TableParagraph"/>
              <w:spacing w:line="273" w:lineRule="auto"/>
              <w:ind w:left="24" w:right="77"/>
              <w:jc w:val="both"/>
              <w:rPr>
                <w:rFonts w:ascii="宋体" w:hAnsi="宋体" w:cs="宋体" w:eastAsia="宋体" w:hint="default"/>
                <w:sz w:val="21"/>
                <w:szCs w:val="21"/>
              </w:rPr>
            </w:pPr>
            <w:r>
              <w:rPr>
                <w:rFonts w:ascii="宋体" w:hAnsi="宋体" w:cs="宋体" w:eastAsia="宋体" w:hint="default"/>
                <w:spacing w:val="-2"/>
                <w:sz w:val="21"/>
                <w:szCs w:val="21"/>
              </w:rPr>
              <w:t>非财务报告内部控制缺陷评价的定量标准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参照财务报告内部控制缺陷评价的定量标</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准执行。</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5"/>
              <w:jc w:val="left"/>
              <w:rPr>
                <w:rFonts w:ascii="宋体" w:hAnsi="宋体" w:cs="宋体" w:eastAsia="宋体" w:hint="default"/>
                <w:sz w:val="21"/>
                <w:szCs w:val="21"/>
              </w:rPr>
            </w:pPr>
            <w:r>
              <w:rPr>
                <w:rFonts w:ascii="宋体" w:hAnsi="宋体" w:cs="宋体" w:eastAsia="宋体" w:hint="default"/>
                <w:sz w:val="21"/>
                <w:szCs w:val="21"/>
              </w:rPr>
              <w:t>财务报告重大缺陷数</w:t>
            </w:r>
            <w:r>
              <w:rPr>
                <w:rFonts w:ascii="宋体" w:hAnsi="宋体" w:cs="宋体" w:eastAsia="宋体" w:hint="default"/>
                <w:w w:val="100"/>
                <w:sz w:val="21"/>
                <w:szCs w:val="21"/>
              </w:rPr>
              <w:t> </w:t>
            </w:r>
            <w:r>
              <w:rPr>
                <w:rFonts w:ascii="宋体" w:hAnsi="宋体" w:cs="宋体" w:eastAsia="宋体" w:hint="default"/>
                <w:sz w:val="21"/>
                <w:szCs w:val="21"/>
              </w:rPr>
              <w:t>量（个）</w:t>
            </w:r>
          </w:p>
        </w:tc>
        <w:tc>
          <w:tcPr>
            <w:tcW w:w="7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24" w:right="55"/>
              <w:jc w:val="left"/>
              <w:rPr>
                <w:rFonts w:ascii="宋体" w:hAnsi="宋体" w:cs="宋体" w:eastAsia="宋体" w:hint="default"/>
                <w:sz w:val="21"/>
                <w:szCs w:val="21"/>
              </w:rPr>
            </w:pPr>
            <w:r>
              <w:rPr>
                <w:rFonts w:ascii="宋体" w:hAnsi="宋体" w:cs="宋体" w:eastAsia="宋体" w:hint="default"/>
                <w:sz w:val="21"/>
                <w:szCs w:val="21"/>
              </w:rPr>
              <w:t>非财务报告重大缺陷</w:t>
            </w:r>
            <w:r>
              <w:rPr>
                <w:rFonts w:ascii="宋体" w:hAnsi="宋体" w:cs="宋体" w:eastAsia="宋体" w:hint="default"/>
                <w:w w:val="100"/>
                <w:sz w:val="21"/>
                <w:szCs w:val="21"/>
              </w:rPr>
              <w:t> </w:t>
            </w:r>
            <w:r>
              <w:rPr>
                <w:rFonts w:ascii="宋体" w:hAnsi="宋体" w:cs="宋体" w:eastAsia="宋体" w:hint="default"/>
                <w:sz w:val="21"/>
                <w:szCs w:val="21"/>
              </w:rPr>
              <w:t>数量（个）</w:t>
            </w:r>
          </w:p>
        </w:tc>
        <w:tc>
          <w:tcPr>
            <w:tcW w:w="7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5"/>
              <w:jc w:val="left"/>
              <w:rPr>
                <w:rFonts w:ascii="宋体" w:hAnsi="宋体" w:cs="宋体" w:eastAsia="宋体" w:hint="default"/>
                <w:sz w:val="21"/>
                <w:szCs w:val="21"/>
              </w:rPr>
            </w:pPr>
            <w:r>
              <w:rPr>
                <w:rFonts w:ascii="宋体" w:hAnsi="宋体" w:cs="宋体" w:eastAsia="宋体" w:hint="default"/>
                <w:sz w:val="21"/>
                <w:szCs w:val="21"/>
              </w:rPr>
              <w:t>财务报告重要缺陷数</w:t>
            </w:r>
            <w:r>
              <w:rPr>
                <w:rFonts w:ascii="宋体" w:hAnsi="宋体" w:cs="宋体" w:eastAsia="宋体" w:hint="default"/>
                <w:w w:val="100"/>
                <w:sz w:val="21"/>
                <w:szCs w:val="21"/>
              </w:rPr>
              <w:t> </w:t>
            </w:r>
            <w:r>
              <w:rPr>
                <w:rFonts w:ascii="宋体" w:hAnsi="宋体" w:cs="宋体" w:eastAsia="宋体" w:hint="default"/>
                <w:sz w:val="21"/>
                <w:szCs w:val="21"/>
              </w:rPr>
              <w:t>量（个）</w:t>
            </w:r>
          </w:p>
        </w:tc>
        <w:tc>
          <w:tcPr>
            <w:tcW w:w="7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55"/>
              <w:jc w:val="left"/>
              <w:rPr>
                <w:rFonts w:ascii="宋体" w:hAnsi="宋体" w:cs="宋体" w:eastAsia="宋体" w:hint="default"/>
                <w:sz w:val="21"/>
                <w:szCs w:val="21"/>
              </w:rPr>
            </w:pPr>
            <w:r>
              <w:rPr>
                <w:rFonts w:ascii="宋体" w:hAnsi="宋体" w:cs="宋体" w:eastAsia="宋体" w:hint="default"/>
                <w:sz w:val="21"/>
                <w:szCs w:val="21"/>
              </w:rPr>
              <w:t>非财务报告重要缺陷</w:t>
            </w:r>
            <w:r>
              <w:rPr>
                <w:rFonts w:ascii="宋体" w:hAnsi="宋体" w:cs="宋体" w:eastAsia="宋体" w:hint="default"/>
                <w:w w:val="100"/>
                <w:sz w:val="21"/>
                <w:szCs w:val="21"/>
              </w:rPr>
              <w:t> </w:t>
            </w:r>
            <w:r>
              <w:rPr>
                <w:rFonts w:ascii="宋体" w:hAnsi="宋体" w:cs="宋体" w:eastAsia="宋体" w:hint="default"/>
                <w:sz w:val="21"/>
                <w:szCs w:val="21"/>
              </w:rPr>
              <w:t>数量（个）</w:t>
            </w:r>
          </w:p>
        </w:tc>
        <w:tc>
          <w:tcPr>
            <w:tcW w:w="7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right="0"/>
        <w:jc w:val="left"/>
      </w:pPr>
      <w:r>
        <w:rPr/>
        <w:t>内部控制鉴证报告</w:t>
      </w:r>
    </w:p>
    <w:p>
      <w:pPr>
        <w:spacing w:line="240" w:lineRule="auto" w:before="12"/>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3543"/>
        <w:gridCol w:w="6025"/>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c>
      </w:tr>
      <w:tr>
        <w:trPr>
          <w:trHeight w:val="71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before="29"/>
              <w:ind w:left="24" w:right="298"/>
              <w:jc w:val="left"/>
              <w:rPr>
                <w:rFonts w:ascii="宋体" w:hAnsi="宋体" w:cs="宋体" w:eastAsia="宋体" w:hint="default"/>
                <w:sz w:val="21"/>
                <w:szCs w:val="21"/>
              </w:rPr>
            </w:pPr>
            <w:r>
              <w:rPr>
                <w:rFonts w:ascii="宋体" w:hAnsi="宋体" w:cs="宋体" w:eastAsia="宋体" w:hint="default"/>
                <w:sz w:val="21"/>
                <w:szCs w:val="21"/>
              </w:rPr>
              <w:t>我们认为，华宇软件于</w:t>
            </w:r>
            <w:r>
              <w:rPr>
                <w:rFonts w:ascii="宋体" w:hAnsi="宋体" w:cs="宋体" w:eastAsia="宋体" w:hint="default"/>
                <w:spacing w:val="-54"/>
                <w:sz w:val="21"/>
                <w:szCs w:val="21"/>
              </w:rPr>
              <w:t> </w:t>
            </w:r>
            <w:r>
              <w:rPr>
                <w:rFonts w:ascii="Arial" w:hAnsi="Arial" w:cs="Arial" w:eastAsia="Arial" w:hint="default"/>
                <w:sz w:val="21"/>
                <w:szCs w:val="21"/>
              </w:rPr>
              <w:t>2017</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日在所有重大方面有效地保持了按照《企业内部控制基本规</w:t>
            </w:r>
            <w:r>
              <w:rPr>
                <w:rFonts w:ascii="宋体" w:hAnsi="宋体" w:cs="宋体" w:eastAsia="宋体" w:hint="default"/>
                <w:w w:val="100"/>
                <w:sz w:val="21"/>
                <w:szCs w:val="21"/>
              </w:rPr>
              <w:t> </w:t>
            </w:r>
            <w:r>
              <w:rPr>
                <w:rFonts w:ascii="宋体" w:hAnsi="宋体" w:cs="宋体" w:eastAsia="宋体" w:hint="default"/>
                <w:sz w:val="21"/>
                <w:szCs w:val="21"/>
              </w:rPr>
              <w:t>范》建立的与财务报表相关的内部控制。</w:t>
            </w:r>
          </w:p>
        </w:tc>
      </w:tr>
      <w:tr>
        <w:trPr>
          <w:trHeight w:val="403"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内控鉴证报告披露情况</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披露</w:t>
            </w:r>
          </w:p>
        </w:tc>
      </w:tr>
      <w:tr>
        <w:trPr>
          <w:trHeight w:val="401"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内部控制鉴证报告全文披露日期</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403"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内部控制鉴证报告全文披露索引</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 w:right="0"/>
              <w:jc w:val="left"/>
              <w:rPr>
                <w:rFonts w:ascii="Arial" w:hAnsi="Arial" w:cs="Arial" w:eastAsia="Arial" w:hint="default"/>
                <w:sz w:val="21"/>
                <w:szCs w:val="21"/>
              </w:rPr>
            </w:pPr>
            <w:hyperlink r:id="rId10">
              <w:r>
                <w:rPr>
                  <w:rFonts w:ascii="Arial"/>
                  <w:sz w:val="21"/>
                </w:rPr>
                <w:t>www.cninfo.com.cn</w:t>
              </w:r>
            </w:hyperlink>
          </w:p>
        </w:tc>
      </w:tr>
      <w:tr>
        <w:trPr>
          <w:trHeight w:val="401"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bl>
    <w:p>
      <w:pPr>
        <w:spacing w:after="0" w:line="240"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2"/>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3543"/>
        <w:gridCol w:w="6025"/>
      </w:tblGrid>
      <w:tr>
        <w:trPr>
          <w:trHeight w:val="334" w:hRule="exact"/>
        </w:trPr>
        <w:tc>
          <w:tcPr>
            <w:tcW w:w="3543" w:type="dxa"/>
            <w:tcBorders>
              <w:top w:val="single" w:sz="6" w:space="0" w:color="000000"/>
              <w:left w:val="nil" w:sz="6" w:space="0" w:color="auto"/>
              <w:bottom w:val="single" w:sz="4" w:space="0" w:color="000000"/>
              <w:right w:val="nil" w:sz="6" w:space="0" w:color="auto"/>
            </w:tcBorders>
          </w:tcPr>
          <w:p>
            <w:pPr/>
          </w:p>
        </w:tc>
        <w:tc>
          <w:tcPr>
            <w:tcW w:w="6025"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非财务报告是否存在重大缺陷</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auto"/>
        <w:ind w:left="112" w:right="1574"/>
        <w:jc w:val="left"/>
      </w:pPr>
      <w:r>
        <w:rPr/>
        <w:t>会计师事务所是否出具非标准意见的内部控制鉴证报告</w:t>
      </w:r>
    </w:p>
    <w:p>
      <w:pPr>
        <w:pStyle w:val="BodyText"/>
        <w:spacing w:line="256" w:lineRule="auto" w:before="36"/>
        <w:ind w:left="112" w:right="157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会计师事务所出具的内部控制鉴证报告与董事会的自我评价报告意见是否一致</w:t>
      </w:r>
    </w:p>
    <w:p>
      <w:pPr>
        <w:pStyle w:val="BodyText"/>
        <w:spacing w:line="240" w:lineRule="auto" w:before="19"/>
        <w:ind w:left="112" w:right="157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after="0" w:line="240" w:lineRule="auto"/>
        <w:jc w:val="left"/>
        <w:sectPr>
          <w:pgSz w:w="11910" w:h="16840"/>
          <w:pgMar w:header="877" w:footer="980" w:top="1060" w:bottom="116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456" w:lineRule="exact"/>
        <w:ind w:left="3125" w:right="0"/>
        <w:jc w:val="left"/>
        <w:rPr>
          <w:b w:val="0"/>
          <w:bCs w:val="0"/>
        </w:rPr>
      </w:pPr>
      <w:bookmarkStart w:name="_bookmark8" w:id="9"/>
      <w:bookmarkEnd w:id="9"/>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8"/>
          <w:szCs w:val="28"/>
        </w:rPr>
      </w:pPr>
    </w:p>
    <w:p>
      <w:pPr>
        <w:pStyle w:val="BodyText"/>
        <w:spacing w:line="312" w:lineRule="exact"/>
        <w:ind w:right="174"/>
        <w:jc w:val="left"/>
      </w:pPr>
      <w:r>
        <w:rPr/>
        <w:t>公司是否存在公开发行并在证券交易所上市，且在年度报告批准报出日未到期或到期未能全 额兑付的公司债券</w:t>
      </w:r>
    </w:p>
    <w:p>
      <w:pPr>
        <w:pStyle w:val="BodyText"/>
        <w:spacing w:line="240" w:lineRule="auto" w:before="7"/>
        <w:ind w:right="0"/>
        <w:jc w:val="left"/>
      </w:pPr>
      <w:r>
        <w:rPr/>
        <w:t>否</w:t>
      </w:r>
    </w:p>
    <w:p>
      <w:pPr>
        <w:spacing w:after="0" w:line="240" w:lineRule="auto"/>
        <w:jc w:val="left"/>
        <w:sectPr>
          <w:footerReference w:type="default" r:id="rId25"/>
          <w:pgSz w:w="11910" w:h="16840"/>
          <w:pgMar w:footer="980" w:header="877"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456" w:lineRule="exact"/>
        <w:ind w:right="2793"/>
        <w:jc w:val="center"/>
        <w:rPr>
          <w:b w:val="0"/>
          <w:bCs w:val="0"/>
        </w:rPr>
      </w:pPr>
      <w:bookmarkStart w:name="_bookmark9" w:id="10"/>
      <w:bookmarkEnd w:id="10"/>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Arial" w:hAnsi="Arial" w:cs="Arial" w:eastAsia="Arial" w:hint="default"/>
                <w:sz w:val="18"/>
                <w:szCs w:val="18"/>
              </w:rPr>
              <w:t>2018</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Arial" w:hAnsi="Arial" w:cs="Arial" w:eastAsia="Arial" w:hint="default"/>
                <w:sz w:val="18"/>
                <w:szCs w:val="18"/>
              </w:rPr>
              <w:t>510ZA5220</w:t>
            </w:r>
            <w:r>
              <w:rPr>
                <w:rFonts w:ascii="Arial" w:hAnsi="Arial" w:cs="Arial" w:eastAsia="Arial" w:hint="default"/>
                <w:spacing w:val="-6"/>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陈平、赵奉忠</w:t>
            </w:r>
          </w:p>
        </w:tc>
      </w:tr>
    </w:tbl>
    <w:p>
      <w:pPr>
        <w:spacing w:line="240" w:lineRule="auto" w:before="17"/>
        <w:rPr>
          <w:rFonts w:ascii="Microsoft JhengHei" w:hAnsi="Microsoft JhengHei" w:cs="Microsoft JhengHei" w:eastAsia="Microsoft JhengHei" w:hint="default"/>
          <w:b/>
          <w:bCs/>
          <w:sz w:val="7"/>
          <w:szCs w:val="7"/>
        </w:rPr>
      </w:pPr>
    </w:p>
    <w:p>
      <w:pPr>
        <w:pStyle w:val="Heading2"/>
        <w:spacing w:line="367" w:lineRule="exact"/>
        <w:ind w:left="2792" w:right="2792"/>
        <w:jc w:val="center"/>
        <w:rPr>
          <w:b w:val="0"/>
          <w:bCs w:val="0"/>
        </w:rPr>
      </w:pPr>
      <w:r>
        <w:rPr/>
        <w:t>审计报告正文</w:t>
      </w:r>
      <w:r>
        <w:rPr>
          <w:b w:val="0"/>
          <w:bCs w:val="0"/>
        </w:rPr>
      </w:r>
    </w:p>
    <w:p>
      <w:pPr>
        <w:spacing w:line="240" w:lineRule="auto" w:before="17"/>
        <w:rPr>
          <w:rFonts w:ascii="Microsoft JhengHei" w:hAnsi="Microsoft JhengHei" w:cs="Microsoft JhengHei" w:eastAsia="Microsoft JhengHei" w:hint="default"/>
          <w:b/>
          <w:bCs/>
          <w:sz w:val="9"/>
          <w:szCs w:val="9"/>
        </w:rPr>
      </w:pPr>
    </w:p>
    <w:p>
      <w:pPr>
        <w:spacing w:line="451" w:lineRule="auto" w:before="36"/>
        <w:ind w:left="578" w:right="5934" w:hanging="426"/>
        <w:jc w:val="left"/>
        <w:rPr>
          <w:rFonts w:ascii="宋体" w:hAnsi="宋体" w:cs="宋体" w:eastAsia="宋体" w:hint="default"/>
          <w:sz w:val="21"/>
          <w:szCs w:val="21"/>
        </w:rPr>
      </w:pPr>
      <w:r>
        <w:rPr>
          <w:rFonts w:ascii="宋体" w:hAnsi="宋体" w:cs="宋体" w:eastAsia="宋体" w:hint="default"/>
          <w:spacing w:val="-2"/>
          <w:sz w:val="21"/>
          <w:szCs w:val="21"/>
        </w:rPr>
        <w:t>北京华宇软件股份有限公司全体股东：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一、审计意见</w:t>
      </w:r>
    </w:p>
    <w:p>
      <w:pPr>
        <w:spacing w:line="297" w:lineRule="auto" w:before="56"/>
        <w:ind w:left="152" w:right="235" w:firstLine="425"/>
        <w:jc w:val="both"/>
        <w:rPr>
          <w:rFonts w:ascii="宋体" w:hAnsi="宋体" w:cs="宋体" w:eastAsia="宋体" w:hint="default"/>
          <w:sz w:val="21"/>
          <w:szCs w:val="21"/>
        </w:rPr>
      </w:pPr>
      <w:r>
        <w:rPr>
          <w:rFonts w:ascii="宋体" w:hAnsi="宋体" w:cs="宋体" w:eastAsia="宋体" w:hint="default"/>
          <w:spacing w:val="-2"/>
          <w:sz w:val="21"/>
          <w:szCs w:val="21"/>
        </w:rPr>
        <w:t>我们审计了北京华宇软件股份有限公司（以下简称华宇软件公司）财务报表，包括</w:t>
      </w: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31</w:t>
      </w:r>
      <w:r>
        <w:rPr>
          <w:rFonts w:ascii="宋体" w:hAnsi="宋体" w:cs="宋体" w:eastAsia="宋体" w:hint="default"/>
          <w:spacing w:val="-2"/>
          <w:sz w:val="21"/>
          <w:szCs w:val="21"/>
        </w:rPr>
        <w:t>日</w:t>
      </w:r>
      <w:r>
        <w:rPr>
          <w:rFonts w:ascii="宋体" w:hAnsi="宋体" w:cs="宋体" w:eastAsia="宋体" w:hint="default"/>
          <w:w w:val="100"/>
          <w:sz w:val="21"/>
          <w:szCs w:val="21"/>
        </w:rPr>
        <w:t> </w:t>
      </w:r>
      <w:r>
        <w:rPr>
          <w:rFonts w:ascii="宋体" w:hAnsi="宋体" w:cs="宋体" w:eastAsia="宋体" w:hint="default"/>
          <w:spacing w:val="-2"/>
          <w:sz w:val="21"/>
          <w:szCs w:val="21"/>
        </w:rPr>
        <w:t>的合并及公司资产负债表，</w:t>
      </w:r>
      <w:r>
        <w:rPr>
          <w:rFonts w:ascii="Arial" w:hAnsi="Arial" w:cs="Arial" w:eastAsia="Arial" w:hint="default"/>
          <w:spacing w:val="-2"/>
          <w:sz w:val="21"/>
          <w:szCs w:val="21"/>
        </w:rPr>
        <w:t>2017</w:t>
      </w:r>
      <w:r>
        <w:rPr>
          <w:rFonts w:ascii="宋体" w:hAnsi="宋体" w:cs="宋体" w:eastAsia="宋体" w:hint="default"/>
          <w:spacing w:val="-2"/>
          <w:sz w:val="21"/>
          <w:szCs w:val="21"/>
        </w:rPr>
        <w:t>年度的合并及公司利润表、合并及公司现金流量表、合并及公司股东权</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益变动表以及相关财务报表附注。</w:t>
      </w:r>
    </w:p>
    <w:p>
      <w:pPr>
        <w:spacing w:line="240" w:lineRule="auto" w:before="8"/>
        <w:rPr>
          <w:rFonts w:ascii="宋体" w:hAnsi="宋体" w:cs="宋体" w:eastAsia="宋体" w:hint="default"/>
          <w:sz w:val="14"/>
          <w:szCs w:val="14"/>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我们认为，后附的财务报表在所有重大方面按照企业会计准则的规定编制，公允反映了华宇软件公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Arial" w:hAnsi="Arial" w:cs="Arial" w:eastAsia="Arial" w:hint="default"/>
          <w:sz w:val="21"/>
          <w:szCs w:val="21"/>
        </w:rPr>
        <w:t>2017</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日的合并及公司财务状况以及</w:t>
      </w:r>
      <w:r>
        <w:rPr>
          <w:rFonts w:ascii="Arial" w:hAnsi="Arial" w:cs="Arial" w:eastAsia="Arial" w:hint="default"/>
          <w:sz w:val="21"/>
          <w:szCs w:val="21"/>
        </w:rPr>
        <w:t>2017</w:t>
      </w:r>
      <w:r>
        <w:rPr>
          <w:rFonts w:ascii="宋体" w:hAnsi="宋体" w:cs="宋体" w:eastAsia="宋体" w:hint="default"/>
          <w:sz w:val="21"/>
          <w:szCs w:val="21"/>
        </w:rPr>
        <w:t>年度的合并及公司经营成果和现金流量。</w:t>
      </w:r>
    </w:p>
    <w:p>
      <w:pPr>
        <w:spacing w:before="154"/>
        <w:ind w:left="578" w:right="0" w:firstLine="0"/>
        <w:jc w:val="left"/>
        <w:rPr>
          <w:rFonts w:ascii="宋体" w:hAnsi="宋体" w:cs="宋体" w:eastAsia="宋体" w:hint="default"/>
          <w:sz w:val="21"/>
          <w:szCs w:val="21"/>
        </w:rPr>
      </w:pPr>
      <w:r>
        <w:rPr>
          <w:rFonts w:ascii="宋体" w:hAnsi="宋体" w:cs="宋体" w:eastAsia="宋体" w:hint="default"/>
          <w:sz w:val="21"/>
          <w:szCs w:val="21"/>
        </w:rPr>
        <w:t>二、形成审计意见的基础</w:t>
      </w:r>
    </w:p>
    <w:p>
      <w:pPr>
        <w:spacing w:line="240" w:lineRule="auto" w:before="6"/>
        <w:rPr>
          <w:rFonts w:ascii="宋体" w:hAnsi="宋体" w:cs="宋体" w:eastAsia="宋体" w:hint="default"/>
          <w:sz w:val="18"/>
          <w:szCs w:val="18"/>
        </w:rPr>
      </w:pPr>
    </w:p>
    <w:p>
      <w:pPr>
        <w:spacing w:line="302"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我们按照中国注册会计师审计准则的规定执行了审计工作。审计报告的</w:t>
      </w:r>
      <w:r>
        <w:rPr>
          <w:rFonts w:ascii="Arial" w:hAnsi="Arial" w:cs="Arial" w:eastAsia="Arial" w:hint="default"/>
          <w:spacing w:val="-2"/>
          <w:sz w:val="21"/>
          <w:szCs w:val="21"/>
        </w:rPr>
        <w:t>“</w:t>
      </w:r>
      <w:r>
        <w:rPr>
          <w:rFonts w:ascii="宋体" w:hAnsi="宋体" w:cs="宋体" w:eastAsia="宋体" w:hint="default"/>
          <w:spacing w:val="-2"/>
          <w:sz w:val="21"/>
          <w:szCs w:val="21"/>
        </w:rPr>
        <w:t>注册会计师对财务报表审计</w:t>
      </w:r>
      <w:r>
        <w:rPr>
          <w:rFonts w:ascii="宋体" w:hAnsi="宋体" w:cs="宋体" w:eastAsia="宋体" w:hint="default"/>
          <w:w w:val="100"/>
          <w:sz w:val="21"/>
          <w:szCs w:val="21"/>
        </w:rPr>
        <w:t> </w:t>
      </w:r>
      <w:r>
        <w:rPr>
          <w:rFonts w:ascii="宋体" w:hAnsi="宋体" w:cs="宋体" w:eastAsia="宋体" w:hint="default"/>
          <w:spacing w:val="-2"/>
          <w:sz w:val="21"/>
          <w:szCs w:val="21"/>
        </w:rPr>
        <w:t>的责任</w:t>
      </w:r>
      <w:r>
        <w:rPr>
          <w:rFonts w:ascii="Arial" w:hAnsi="Arial" w:cs="Arial" w:eastAsia="Arial" w:hint="default"/>
          <w:spacing w:val="-2"/>
          <w:sz w:val="21"/>
          <w:szCs w:val="21"/>
        </w:rPr>
        <w:t>”</w:t>
      </w:r>
      <w:r>
        <w:rPr>
          <w:rFonts w:ascii="宋体" w:hAnsi="宋体" w:cs="宋体" w:eastAsia="宋体" w:hint="default"/>
          <w:spacing w:val="-2"/>
          <w:sz w:val="21"/>
          <w:szCs w:val="21"/>
        </w:rPr>
        <w:t>部分进一步阐述了我们在这些准则下的责任。按照中国注册会计师职业道德守则，我们独立于华</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宇软件公司，并履行了职业道德方面的其他责任。我们相信，我们获取的审计证据是充分、适当的，为</w:t>
      </w:r>
      <w:r>
        <w:rPr>
          <w:rFonts w:ascii="宋体" w:hAnsi="宋体" w:cs="宋体" w:eastAsia="宋体" w:hint="default"/>
          <w:w w:val="100"/>
          <w:sz w:val="21"/>
          <w:szCs w:val="21"/>
        </w:rPr>
        <w:t> </w:t>
      </w:r>
      <w:r>
        <w:rPr>
          <w:rFonts w:ascii="宋体" w:hAnsi="宋体" w:cs="宋体" w:eastAsia="宋体" w:hint="default"/>
          <w:sz w:val="21"/>
          <w:szCs w:val="21"/>
        </w:rPr>
        <w:t>发表审计意见提供了基础。</w:t>
      </w:r>
    </w:p>
    <w:p>
      <w:pPr>
        <w:spacing w:line="516" w:lineRule="exact" w:before="19"/>
        <w:ind w:left="578" w:right="0" w:firstLine="0"/>
        <w:jc w:val="left"/>
        <w:rPr>
          <w:rFonts w:ascii="宋体" w:hAnsi="宋体" w:cs="宋体" w:eastAsia="宋体" w:hint="default"/>
          <w:sz w:val="21"/>
          <w:szCs w:val="21"/>
        </w:rPr>
      </w:pPr>
      <w:r>
        <w:rPr>
          <w:rFonts w:ascii="宋体" w:hAnsi="宋体" w:cs="宋体" w:eastAsia="宋体" w:hint="default"/>
          <w:sz w:val="21"/>
          <w:szCs w:val="21"/>
        </w:rPr>
        <w:t>三、关键审计事项</w:t>
      </w:r>
      <w:r>
        <w:rPr>
          <w:rFonts w:ascii="宋体" w:hAnsi="宋体" w:cs="宋体" w:eastAsia="宋体" w:hint="default"/>
          <w:w w:val="100"/>
          <w:sz w:val="21"/>
          <w:szCs w:val="21"/>
        </w:rPr>
        <w:t> </w:t>
      </w:r>
      <w:r>
        <w:rPr>
          <w:rFonts w:ascii="宋体" w:hAnsi="宋体" w:cs="宋体" w:eastAsia="宋体" w:hint="default"/>
          <w:spacing w:val="-2"/>
          <w:sz w:val="21"/>
          <w:szCs w:val="21"/>
        </w:rPr>
        <w:t>关键审计事项是我们根据职业判断，认为对本期财务报表审计最为重要的事项。这些事项的应对以</w:t>
      </w:r>
    </w:p>
    <w:p>
      <w:pPr>
        <w:spacing w:before="11"/>
        <w:ind w:left="152" w:right="0" w:firstLine="0"/>
        <w:jc w:val="left"/>
        <w:rPr>
          <w:rFonts w:ascii="宋体" w:hAnsi="宋体" w:cs="宋体" w:eastAsia="宋体" w:hint="default"/>
          <w:sz w:val="21"/>
          <w:szCs w:val="21"/>
        </w:rPr>
      </w:pPr>
      <w:r>
        <w:rPr>
          <w:rFonts w:ascii="宋体" w:hAnsi="宋体" w:cs="宋体" w:eastAsia="宋体" w:hint="default"/>
          <w:sz w:val="21"/>
          <w:szCs w:val="21"/>
        </w:rPr>
        <w:t>对财务报表整体进行审计并形成审计意见为背景，我们不对这些事项单独发表意见。</w:t>
      </w:r>
    </w:p>
    <w:p>
      <w:pPr>
        <w:spacing w:line="240" w:lineRule="auto" w:before="6"/>
        <w:rPr>
          <w:rFonts w:ascii="宋体" w:hAnsi="宋体" w:cs="宋体" w:eastAsia="宋体" w:hint="default"/>
          <w:sz w:val="18"/>
          <w:szCs w:val="18"/>
        </w:rPr>
      </w:pPr>
    </w:p>
    <w:p>
      <w:pPr>
        <w:spacing w:line="439" w:lineRule="auto" w:before="0"/>
        <w:ind w:left="578" w:right="2323" w:firstLine="0"/>
        <w:jc w:val="left"/>
        <w:rPr>
          <w:rFonts w:ascii="宋体" w:hAnsi="宋体" w:cs="宋体" w:eastAsia="宋体" w:hint="default"/>
          <w:sz w:val="21"/>
          <w:szCs w:val="21"/>
        </w:rPr>
      </w:pPr>
      <w:r>
        <w:rPr>
          <w:rFonts w:ascii="宋体" w:hAnsi="宋体" w:cs="宋体" w:eastAsia="宋体" w:hint="default"/>
          <w:sz w:val="21"/>
          <w:szCs w:val="21"/>
        </w:rPr>
        <w:t>（一）商誉减值测试</w:t>
      </w:r>
      <w:r>
        <w:rPr>
          <w:rFonts w:ascii="宋体" w:hAnsi="宋体" w:cs="宋体" w:eastAsia="宋体" w:hint="default"/>
          <w:w w:val="100"/>
          <w:sz w:val="21"/>
          <w:szCs w:val="21"/>
        </w:rPr>
        <w:t> </w:t>
      </w:r>
      <w:r>
        <w:rPr>
          <w:rFonts w:ascii="宋体" w:hAnsi="宋体" w:cs="宋体" w:eastAsia="宋体" w:hint="default"/>
          <w:spacing w:val="-2"/>
          <w:sz w:val="21"/>
          <w:szCs w:val="21"/>
        </w:rPr>
        <w:t>相关信息披露详见财务报表附注三、</w:t>
      </w:r>
      <w:r>
        <w:rPr>
          <w:rFonts w:ascii="Arial" w:hAnsi="Arial" w:cs="Arial" w:eastAsia="Arial" w:hint="default"/>
          <w:spacing w:val="-2"/>
          <w:sz w:val="21"/>
          <w:szCs w:val="21"/>
        </w:rPr>
        <w:t>20</w:t>
      </w:r>
      <w:r>
        <w:rPr>
          <w:rFonts w:ascii="宋体" w:hAnsi="宋体" w:cs="宋体" w:eastAsia="宋体" w:hint="default"/>
          <w:spacing w:val="-2"/>
          <w:sz w:val="21"/>
          <w:szCs w:val="21"/>
        </w:rPr>
        <w:t>、附注三、</w:t>
      </w:r>
      <w:r>
        <w:rPr>
          <w:rFonts w:ascii="Arial" w:hAnsi="Arial" w:cs="Arial" w:eastAsia="Arial" w:hint="default"/>
          <w:spacing w:val="-2"/>
          <w:sz w:val="21"/>
          <w:szCs w:val="21"/>
        </w:rPr>
        <w:t>30</w:t>
      </w:r>
      <w:r>
        <w:rPr>
          <w:rFonts w:ascii="宋体" w:hAnsi="宋体" w:cs="宋体" w:eastAsia="宋体" w:hint="default"/>
          <w:spacing w:val="-2"/>
          <w:sz w:val="21"/>
          <w:szCs w:val="21"/>
        </w:rPr>
        <w:t>和附注五、</w:t>
      </w:r>
      <w:r>
        <w:rPr>
          <w:rFonts w:ascii="Arial" w:hAnsi="Arial" w:cs="Arial" w:eastAsia="Arial" w:hint="default"/>
          <w:spacing w:val="-2"/>
          <w:sz w:val="21"/>
          <w:szCs w:val="21"/>
        </w:rPr>
        <w:t>15</w:t>
      </w:r>
      <w:r>
        <w:rPr>
          <w:rFonts w:ascii="宋体" w:hAnsi="宋体" w:cs="宋体" w:eastAsia="宋体" w:hint="default"/>
          <w:spacing w:val="-2"/>
          <w:sz w:val="21"/>
          <w:szCs w:val="21"/>
        </w:rPr>
        <w:t>。</w:t>
      </w:r>
      <w:r>
        <w:rPr>
          <w:rFonts w:ascii="宋体" w:hAnsi="宋体" w:cs="宋体" w:eastAsia="宋体" w:hint="default"/>
          <w:spacing w:val="-46"/>
          <w:sz w:val="21"/>
          <w:szCs w:val="21"/>
        </w:rPr>
        <w:t> </w:t>
      </w:r>
      <w:r>
        <w:rPr>
          <w:rFonts w:ascii="Arial" w:hAnsi="Arial" w:cs="Arial" w:eastAsia="Arial" w:hint="default"/>
          <w:sz w:val="21"/>
          <w:szCs w:val="21"/>
        </w:rPr>
        <w:t>1</w:t>
      </w:r>
      <w:r>
        <w:rPr>
          <w:rFonts w:ascii="宋体" w:hAnsi="宋体" w:cs="宋体" w:eastAsia="宋体" w:hint="default"/>
          <w:sz w:val="21"/>
          <w:szCs w:val="21"/>
        </w:rPr>
        <w:t>、事项描述</w:t>
      </w:r>
    </w:p>
    <w:p>
      <w:pPr>
        <w:spacing w:line="297" w:lineRule="auto" w:before="31"/>
        <w:ind w:left="152" w:right="0" w:firstLine="425"/>
        <w:jc w:val="left"/>
        <w:rPr>
          <w:rFonts w:ascii="宋体" w:hAnsi="宋体" w:cs="宋体" w:eastAsia="宋体" w:hint="default"/>
          <w:sz w:val="21"/>
          <w:szCs w:val="21"/>
        </w:rPr>
      </w:pPr>
      <w:r>
        <w:rPr>
          <w:rFonts w:ascii="宋体" w:hAnsi="宋体" w:cs="宋体" w:eastAsia="宋体" w:hint="default"/>
          <w:sz w:val="21"/>
          <w:szCs w:val="21"/>
        </w:rPr>
        <w:t>截至</w:t>
      </w:r>
      <w:r>
        <w:rPr>
          <w:rFonts w:ascii="Arial" w:hAnsi="Arial" w:cs="Arial" w:eastAsia="Arial" w:hint="default"/>
          <w:sz w:val="21"/>
          <w:szCs w:val="21"/>
        </w:rPr>
        <w:t>2017</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日，华宇软件公司合并财务报表中商誉的账面价值为</w:t>
      </w:r>
      <w:r>
        <w:rPr>
          <w:rFonts w:ascii="Arial" w:hAnsi="Arial" w:cs="Arial" w:eastAsia="Arial" w:hint="default"/>
          <w:sz w:val="21"/>
          <w:szCs w:val="21"/>
        </w:rPr>
        <w:t>16.61</w:t>
      </w:r>
      <w:r>
        <w:rPr>
          <w:rFonts w:ascii="宋体" w:hAnsi="宋体" w:cs="宋体" w:eastAsia="宋体" w:hint="default"/>
          <w:sz w:val="21"/>
          <w:szCs w:val="21"/>
        </w:rPr>
        <w:t>亿元。华宇软件公司</w:t>
      </w:r>
      <w:r>
        <w:rPr>
          <w:rFonts w:ascii="宋体" w:hAnsi="宋体" w:cs="宋体" w:eastAsia="宋体" w:hint="default"/>
          <w:w w:val="100"/>
          <w:sz w:val="21"/>
          <w:szCs w:val="21"/>
        </w:rPr>
        <w:t> </w:t>
      </w:r>
      <w:r>
        <w:rPr>
          <w:rFonts w:ascii="宋体" w:hAnsi="宋体" w:cs="宋体" w:eastAsia="宋体" w:hint="default"/>
          <w:spacing w:val="-2"/>
          <w:sz w:val="21"/>
          <w:szCs w:val="21"/>
        </w:rPr>
        <w:t>管理层（以下简称</w:t>
      </w:r>
      <w:r>
        <w:rPr>
          <w:rFonts w:ascii="Arial" w:hAnsi="Arial" w:cs="Arial" w:eastAsia="Arial" w:hint="default"/>
          <w:spacing w:val="-2"/>
          <w:sz w:val="21"/>
          <w:szCs w:val="21"/>
        </w:rPr>
        <w:t>“</w:t>
      </w:r>
      <w:r>
        <w:rPr>
          <w:rFonts w:ascii="宋体" w:hAnsi="宋体" w:cs="宋体" w:eastAsia="宋体" w:hint="default"/>
          <w:spacing w:val="-2"/>
          <w:sz w:val="21"/>
          <w:szCs w:val="21"/>
        </w:rPr>
        <w:t>管理层</w:t>
      </w:r>
      <w:r>
        <w:rPr>
          <w:rFonts w:ascii="Arial" w:hAnsi="Arial" w:cs="Arial" w:eastAsia="Arial" w:hint="default"/>
          <w:spacing w:val="-2"/>
          <w:sz w:val="21"/>
          <w:szCs w:val="21"/>
        </w:rPr>
        <w:t>”</w:t>
      </w:r>
      <w:r>
        <w:rPr>
          <w:rFonts w:ascii="宋体" w:hAnsi="宋体" w:cs="宋体" w:eastAsia="宋体" w:hint="default"/>
          <w:spacing w:val="-2"/>
          <w:sz w:val="21"/>
          <w:szCs w:val="21"/>
        </w:rPr>
        <w:t>）在评估可回收金额时涉及的关键假设包括收入增长率、毛利率、费用率及折</w:t>
      </w:r>
    </w:p>
    <w:p>
      <w:pPr>
        <w:spacing w:after="0" w:line="297" w:lineRule="auto"/>
        <w:jc w:val="left"/>
        <w:rPr>
          <w:rFonts w:ascii="宋体" w:hAnsi="宋体" w:cs="宋体" w:eastAsia="宋体" w:hint="default"/>
          <w:sz w:val="21"/>
          <w:szCs w:val="21"/>
        </w:rPr>
        <w:sectPr>
          <w:footerReference w:type="default" r:id="rId26"/>
          <w:pgSz w:w="11910" w:h="16840"/>
          <w:pgMar w:footer="980" w:header="877" w:top="1060" w:bottom="1160" w:left="980" w:right="980"/>
          <w:pgNumType w:start="101"/>
        </w:sectPr>
      </w:pPr>
    </w:p>
    <w:p>
      <w:pPr>
        <w:spacing w:line="240" w:lineRule="auto" w:before="1"/>
        <w:rPr>
          <w:rFonts w:ascii="宋体" w:hAnsi="宋体" w:cs="宋体" w:eastAsia="宋体" w:hint="default"/>
          <w:sz w:val="29"/>
          <w:szCs w:val="29"/>
        </w:rPr>
      </w:pPr>
    </w:p>
    <w:p>
      <w:pPr>
        <w:spacing w:line="314" w:lineRule="auto" w:before="36"/>
        <w:ind w:left="152" w:right="276" w:firstLine="0"/>
        <w:jc w:val="left"/>
        <w:rPr>
          <w:rFonts w:ascii="宋体" w:hAnsi="宋体" w:cs="宋体" w:eastAsia="宋体" w:hint="default"/>
          <w:sz w:val="21"/>
          <w:szCs w:val="21"/>
        </w:rPr>
      </w:pPr>
      <w:r>
        <w:rPr>
          <w:rFonts w:ascii="宋体" w:hAnsi="宋体" w:cs="宋体" w:eastAsia="宋体" w:hint="default"/>
          <w:spacing w:val="-2"/>
          <w:sz w:val="21"/>
          <w:szCs w:val="21"/>
        </w:rPr>
        <w:t>现率。由于上述商誉的减值测试涉及复杂及重大的专业判断，我们将商誉减值测试确定为关键审计事</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项。</w:t>
      </w:r>
    </w:p>
    <w:p>
      <w:pPr>
        <w:spacing w:line="427" w:lineRule="auto" w:before="176"/>
        <w:ind w:left="578" w:right="4494"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、审计应对</w:t>
      </w:r>
      <w:r>
        <w:rPr>
          <w:rFonts w:ascii="宋体" w:hAnsi="宋体" w:cs="宋体" w:eastAsia="宋体" w:hint="default"/>
          <w:w w:val="100"/>
          <w:sz w:val="21"/>
          <w:szCs w:val="21"/>
        </w:rPr>
        <w:t> </w:t>
      </w:r>
      <w:r>
        <w:rPr>
          <w:rFonts w:ascii="宋体" w:hAnsi="宋体" w:cs="宋体" w:eastAsia="宋体" w:hint="default"/>
          <w:spacing w:val="-2"/>
          <w:sz w:val="21"/>
          <w:szCs w:val="21"/>
        </w:rPr>
        <w:t>我们对商誉减值测试实施的审计程序主要包括：</w:t>
      </w:r>
    </w:p>
    <w:p>
      <w:pPr>
        <w:spacing w:line="297" w:lineRule="auto" w:before="77"/>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）了解、评估及测试了与商誉减值测试相关的内部控制的设计及运行有效性，包括关键假设的采</w:t>
      </w:r>
      <w:r>
        <w:rPr>
          <w:rFonts w:ascii="宋体" w:hAnsi="宋体" w:cs="宋体" w:eastAsia="宋体" w:hint="default"/>
          <w:w w:val="100"/>
          <w:sz w:val="21"/>
          <w:szCs w:val="21"/>
        </w:rPr>
        <w:t> </w:t>
      </w:r>
      <w:r>
        <w:rPr>
          <w:rFonts w:ascii="宋体" w:hAnsi="宋体" w:cs="宋体" w:eastAsia="宋体" w:hint="default"/>
          <w:sz w:val="21"/>
          <w:szCs w:val="21"/>
        </w:rPr>
        <w:t>用及减值计提金额的复核及审批。</w:t>
      </w:r>
    </w:p>
    <w:p>
      <w:pPr>
        <w:spacing w:line="240" w:lineRule="auto" w:before="8"/>
        <w:rPr>
          <w:rFonts w:ascii="宋体" w:hAnsi="宋体" w:cs="宋体" w:eastAsia="宋体" w:hint="default"/>
          <w:sz w:val="14"/>
          <w:szCs w:val="14"/>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）获取并复核了管理层编制的商誉减值测试表，检查计算的准确性。</w:t>
      </w:r>
    </w:p>
    <w:p>
      <w:pPr>
        <w:spacing w:line="240" w:lineRule="auto" w:before="4"/>
        <w:rPr>
          <w:rFonts w:ascii="宋体" w:hAnsi="宋体" w:cs="宋体" w:eastAsia="宋体" w:hint="default"/>
          <w:sz w:val="17"/>
          <w:szCs w:val="17"/>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）评估了商誉是否按照合理的方法分摊至相关资产组或资产组组合。</w:t>
      </w:r>
    </w:p>
    <w:p>
      <w:pPr>
        <w:spacing w:line="240" w:lineRule="auto" w:before="4"/>
        <w:rPr>
          <w:rFonts w:ascii="宋体" w:hAnsi="宋体" w:cs="宋体" w:eastAsia="宋体" w:hint="default"/>
          <w:sz w:val="17"/>
          <w:szCs w:val="17"/>
        </w:rPr>
      </w:pPr>
    </w:p>
    <w:p>
      <w:pPr>
        <w:spacing w:line="30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4</w:t>
      </w:r>
      <w:r>
        <w:rPr>
          <w:rFonts w:ascii="宋体" w:hAnsi="宋体" w:cs="宋体" w:eastAsia="宋体" w:hint="default"/>
          <w:spacing w:val="-2"/>
          <w:sz w:val="21"/>
          <w:szCs w:val="21"/>
        </w:rPr>
        <w:t>）将管理层上年商誉减值测试表中对本年的预测及本年实际情况进行对比，考虑商誉减值测试评</w:t>
      </w:r>
      <w:r>
        <w:rPr>
          <w:rFonts w:ascii="宋体" w:hAnsi="宋体" w:cs="宋体" w:eastAsia="宋体" w:hint="default"/>
          <w:w w:val="100"/>
          <w:sz w:val="21"/>
          <w:szCs w:val="21"/>
        </w:rPr>
        <w:t> </w:t>
      </w:r>
      <w:r>
        <w:rPr>
          <w:rFonts w:ascii="宋体" w:hAnsi="宋体" w:cs="宋体" w:eastAsia="宋体" w:hint="default"/>
          <w:sz w:val="21"/>
          <w:szCs w:val="21"/>
        </w:rPr>
        <w:t>估过程是否存在管理层偏见，同时确定是否需要根据最新情况在本年减值测试表中调整未来关键经营假</w:t>
      </w:r>
      <w:r>
        <w:rPr>
          <w:rFonts w:ascii="宋体" w:hAnsi="宋体" w:cs="宋体" w:eastAsia="宋体" w:hint="default"/>
          <w:w w:val="100"/>
          <w:sz w:val="21"/>
          <w:szCs w:val="21"/>
        </w:rPr>
        <w:t> </w:t>
      </w:r>
      <w:r>
        <w:rPr>
          <w:rFonts w:ascii="宋体" w:hAnsi="宋体" w:cs="宋体" w:eastAsia="宋体" w:hint="default"/>
          <w:sz w:val="21"/>
          <w:szCs w:val="21"/>
        </w:rPr>
        <w:t>设，从而反映最新的市场情况及管理层预期。</w:t>
      </w:r>
    </w:p>
    <w:p>
      <w:pPr>
        <w:spacing w:line="240" w:lineRule="auto" w:before="12"/>
        <w:rPr>
          <w:rFonts w:ascii="宋体" w:hAnsi="宋体" w:cs="宋体" w:eastAsia="宋体" w:hint="default"/>
          <w:sz w:val="13"/>
          <w:szCs w:val="13"/>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5</w:t>
      </w:r>
      <w:r>
        <w:rPr>
          <w:rFonts w:ascii="宋体" w:hAnsi="宋体" w:cs="宋体" w:eastAsia="宋体" w:hint="default"/>
          <w:spacing w:val="-2"/>
          <w:sz w:val="21"/>
          <w:szCs w:val="21"/>
        </w:rPr>
        <w:t>）综合考虑该资产组的历史运营情况、行业走势及新的市场机会及由于规模效应带来的成本及费</w:t>
      </w:r>
      <w:r>
        <w:rPr>
          <w:rFonts w:ascii="宋体" w:hAnsi="宋体" w:cs="宋体" w:eastAsia="宋体" w:hint="default"/>
          <w:w w:val="100"/>
          <w:sz w:val="21"/>
          <w:szCs w:val="21"/>
        </w:rPr>
        <w:t> </w:t>
      </w:r>
      <w:r>
        <w:rPr>
          <w:rFonts w:ascii="宋体" w:hAnsi="宋体" w:cs="宋体" w:eastAsia="宋体" w:hint="default"/>
          <w:sz w:val="21"/>
          <w:szCs w:val="21"/>
        </w:rPr>
        <w:t>用节约，对管理层使用的未来收入增长率、毛利率和费用率假设进行合理性分析。</w:t>
      </w:r>
    </w:p>
    <w:p>
      <w:pPr>
        <w:spacing w:line="240" w:lineRule="auto" w:before="8"/>
        <w:rPr>
          <w:rFonts w:ascii="宋体" w:hAnsi="宋体" w:cs="宋体" w:eastAsia="宋体" w:hint="default"/>
          <w:sz w:val="14"/>
          <w:szCs w:val="14"/>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）对折现率进行评估，判断是否存在折现率不合理的情况。</w:t>
      </w:r>
    </w:p>
    <w:p>
      <w:pPr>
        <w:spacing w:line="240" w:lineRule="auto" w:before="4"/>
        <w:rPr>
          <w:rFonts w:ascii="宋体" w:hAnsi="宋体" w:cs="宋体" w:eastAsia="宋体" w:hint="default"/>
          <w:sz w:val="17"/>
          <w:szCs w:val="17"/>
        </w:rPr>
      </w:pPr>
    </w:p>
    <w:p>
      <w:pPr>
        <w:spacing w:line="439" w:lineRule="auto" w:before="0"/>
        <w:ind w:left="578" w:right="3054" w:firstLine="0"/>
        <w:jc w:val="left"/>
        <w:rPr>
          <w:rFonts w:ascii="宋体" w:hAnsi="宋体" w:cs="宋体" w:eastAsia="宋体" w:hint="default"/>
          <w:sz w:val="21"/>
          <w:szCs w:val="21"/>
        </w:rPr>
      </w:pPr>
      <w:r>
        <w:rPr>
          <w:rFonts w:ascii="宋体" w:hAnsi="宋体" w:cs="宋体" w:eastAsia="宋体" w:hint="default"/>
          <w:sz w:val="21"/>
          <w:szCs w:val="21"/>
        </w:rPr>
        <w:t>（二）重大资产收购事项的会计处理</w:t>
      </w:r>
      <w:r>
        <w:rPr>
          <w:rFonts w:ascii="宋体" w:hAnsi="宋体" w:cs="宋体" w:eastAsia="宋体" w:hint="default"/>
          <w:w w:val="100"/>
          <w:sz w:val="21"/>
          <w:szCs w:val="21"/>
        </w:rPr>
        <w:t> </w:t>
      </w:r>
      <w:r>
        <w:rPr>
          <w:rFonts w:ascii="宋体" w:hAnsi="宋体" w:cs="宋体" w:eastAsia="宋体" w:hint="default"/>
          <w:spacing w:val="-2"/>
          <w:sz w:val="21"/>
          <w:szCs w:val="21"/>
        </w:rPr>
        <w:t>相关信息披露详见财务报表附注三、</w:t>
      </w:r>
      <w:r>
        <w:rPr>
          <w:rFonts w:ascii="Arial" w:hAnsi="Arial" w:cs="Arial" w:eastAsia="Arial" w:hint="default"/>
          <w:spacing w:val="-2"/>
          <w:sz w:val="21"/>
          <w:szCs w:val="21"/>
        </w:rPr>
        <w:t>5</w:t>
      </w:r>
      <w:r>
        <w:rPr>
          <w:rFonts w:ascii="宋体" w:hAnsi="宋体" w:cs="宋体" w:eastAsia="宋体" w:hint="default"/>
          <w:spacing w:val="-2"/>
          <w:sz w:val="21"/>
          <w:szCs w:val="21"/>
        </w:rPr>
        <w:t>、附注三、</w:t>
      </w:r>
      <w:r>
        <w:rPr>
          <w:rFonts w:ascii="Arial" w:hAnsi="Arial" w:cs="Arial" w:eastAsia="Arial" w:hint="default"/>
          <w:spacing w:val="-2"/>
          <w:sz w:val="21"/>
          <w:szCs w:val="21"/>
        </w:rPr>
        <w:t>6</w:t>
      </w:r>
      <w:r>
        <w:rPr>
          <w:rFonts w:ascii="宋体" w:hAnsi="宋体" w:cs="宋体" w:eastAsia="宋体" w:hint="default"/>
          <w:spacing w:val="-2"/>
          <w:sz w:val="21"/>
          <w:szCs w:val="21"/>
        </w:rPr>
        <w:t>和附注六、</w:t>
      </w:r>
      <w:r>
        <w:rPr>
          <w:rFonts w:ascii="Arial" w:hAnsi="Arial" w:cs="Arial" w:eastAsia="Arial"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50"/>
          <w:sz w:val="21"/>
          <w:szCs w:val="21"/>
        </w:rPr>
        <w:t> </w:t>
      </w:r>
      <w:r>
        <w:rPr>
          <w:rFonts w:ascii="Arial" w:hAnsi="Arial" w:cs="Arial" w:eastAsia="Arial" w:hint="default"/>
          <w:sz w:val="21"/>
          <w:szCs w:val="21"/>
        </w:rPr>
        <w:t>1</w:t>
      </w:r>
      <w:r>
        <w:rPr>
          <w:rFonts w:ascii="宋体" w:hAnsi="宋体" w:cs="宋体" w:eastAsia="宋体" w:hint="default"/>
          <w:sz w:val="21"/>
          <w:szCs w:val="21"/>
        </w:rPr>
        <w:t>、事项描述</w:t>
      </w:r>
    </w:p>
    <w:p>
      <w:pPr>
        <w:spacing w:line="297" w:lineRule="auto" w:before="32"/>
        <w:ind w:left="152" w:right="218" w:firstLine="425"/>
        <w:jc w:val="both"/>
        <w:rPr>
          <w:rFonts w:ascii="宋体" w:hAnsi="宋体" w:cs="宋体" w:eastAsia="宋体" w:hint="default"/>
          <w:sz w:val="21"/>
          <w:szCs w:val="21"/>
        </w:rPr>
      </w:pPr>
      <w:r>
        <w:rPr>
          <w:rFonts w:ascii="宋体" w:hAnsi="宋体" w:cs="宋体" w:eastAsia="宋体" w:hint="default"/>
          <w:spacing w:val="-2"/>
          <w:sz w:val="21"/>
          <w:szCs w:val="21"/>
        </w:rPr>
        <w:t>报告期内，华宇软件公司发行股份加现金</w:t>
      </w:r>
      <w:r>
        <w:rPr>
          <w:rFonts w:ascii="Arial" w:hAnsi="Arial" w:cs="Arial" w:eastAsia="Arial" w:hint="default"/>
          <w:spacing w:val="-2"/>
          <w:sz w:val="21"/>
          <w:szCs w:val="21"/>
        </w:rPr>
        <w:t>14.88</w:t>
      </w:r>
      <w:r>
        <w:rPr>
          <w:rFonts w:ascii="宋体" w:hAnsi="宋体" w:cs="宋体" w:eastAsia="宋体" w:hint="default"/>
          <w:spacing w:val="-2"/>
          <w:sz w:val="21"/>
          <w:szCs w:val="21"/>
        </w:rPr>
        <w:t>亿元于</w:t>
      </w: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8</w:t>
      </w:r>
      <w:r>
        <w:rPr>
          <w:rFonts w:ascii="宋体" w:hAnsi="宋体" w:cs="宋体" w:eastAsia="宋体" w:hint="default"/>
          <w:spacing w:val="-2"/>
          <w:sz w:val="21"/>
          <w:szCs w:val="21"/>
        </w:rPr>
        <w:t>月</w:t>
      </w:r>
      <w:r>
        <w:rPr>
          <w:rFonts w:ascii="Arial" w:hAnsi="Arial" w:cs="Arial" w:eastAsia="Arial" w:hint="default"/>
          <w:spacing w:val="-2"/>
          <w:sz w:val="21"/>
          <w:szCs w:val="21"/>
        </w:rPr>
        <w:t>31</w:t>
      </w:r>
      <w:r>
        <w:rPr>
          <w:rFonts w:ascii="宋体" w:hAnsi="宋体" w:cs="宋体" w:eastAsia="宋体" w:hint="default"/>
          <w:spacing w:val="-2"/>
          <w:sz w:val="21"/>
          <w:szCs w:val="21"/>
        </w:rPr>
        <w:t>日完成了收购联奕科技有限公司</w:t>
      </w:r>
      <w:r>
        <w:rPr>
          <w:rFonts w:ascii="宋体" w:hAnsi="宋体" w:cs="宋体" w:eastAsia="宋体" w:hint="default"/>
          <w:w w:val="100"/>
          <w:sz w:val="21"/>
          <w:szCs w:val="21"/>
        </w:rPr>
        <w:t> </w:t>
      </w:r>
      <w:r>
        <w:rPr>
          <w:rFonts w:ascii="Arial" w:hAnsi="Arial" w:cs="Arial" w:eastAsia="Arial" w:hint="default"/>
          <w:spacing w:val="-2"/>
          <w:sz w:val="21"/>
          <w:szCs w:val="21"/>
        </w:rPr>
        <w:t>100%</w:t>
      </w:r>
      <w:r>
        <w:rPr>
          <w:rFonts w:ascii="宋体" w:hAnsi="宋体" w:cs="宋体" w:eastAsia="宋体" w:hint="default"/>
          <w:spacing w:val="-2"/>
          <w:sz w:val="21"/>
          <w:szCs w:val="21"/>
        </w:rPr>
        <w:t>的股权。由于上述重大投资活动会对华宇软件公司的合并范围产生重大影响，我们将重大资产收购</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事项的会计处理确定为关键审计事项。</w:t>
      </w:r>
    </w:p>
    <w:p>
      <w:pPr>
        <w:spacing w:line="240" w:lineRule="auto" w:before="8"/>
        <w:rPr>
          <w:rFonts w:ascii="宋体" w:hAnsi="宋体" w:cs="宋体" w:eastAsia="宋体" w:hint="default"/>
          <w:sz w:val="14"/>
          <w:szCs w:val="14"/>
        </w:rPr>
      </w:pPr>
    </w:p>
    <w:p>
      <w:pPr>
        <w:spacing w:line="427" w:lineRule="auto" w:before="0"/>
        <w:ind w:left="578" w:right="3054"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、审计应对</w:t>
      </w:r>
      <w:r>
        <w:rPr>
          <w:rFonts w:ascii="宋体" w:hAnsi="宋体" w:cs="宋体" w:eastAsia="宋体" w:hint="default"/>
          <w:w w:val="100"/>
          <w:sz w:val="21"/>
          <w:szCs w:val="21"/>
        </w:rPr>
        <w:t> </w:t>
      </w:r>
      <w:r>
        <w:rPr>
          <w:rFonts w:ascii="宋体" w:hAnsi="宋体" w:cs="宋体" w:eastAsia="宋体" w:hint="default"/>
          <w:spacing w:val="-2"/>
          <w:sz w:val="21"/>
          <w:szCs w:val="21"/>
        </w:rPr>
        <w:t>我们对重大资产收购事项的会计处理实施的审计程序主要包括：</w:t>
      </w:r>
    </w:p>
    <w:p>
      <w:pPr>
        <w:spacing w:line="297" w:lineRule="auto" w:before="77"/>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）了解评价了与重大资产转让相关的决策、审批、信息披露的内部控制的设计有效性，并测试了</w:t>
      </w:r>
      <w:r>
        <w:rPr>
          <w:rFonts w:ascii="宋体" w:hAnsi="宋体" w:cs="宋体" w:eastAsia="宋体" w:hint="default"/>
          <w:w w:val="100"/>
          <w:sz w:val="21"/>
          <w:szCs w:val="21"/>
        </w:rPr>
        <w:t> </w:t>
      </w:r>
      <w:r>
        <w:rPr>
          <w:rFonts w:ascii="宋体" w:hAnsi="宋体" w:cs="宋体" w:eastAsia="宋体" w:hint="default"/>
          <w:sz w:val="21"/>
          <w:szCs w:val="21"/>
        </w:rPr>
        <w:t>关键控制流程运行的有效性，包括检查相关会议纪要和批准文件。</w:t>
      </w:r>
    </w:p>
    <w:p>
      <w:pPr>
        <w:spacing w:line="240" w:lineRule="auto" w:before="8"/>
        <w:rPr>
          <w:rFonts w:ascii="宋体" w:hAnsi="宋体" w:cs="宋体" w:eastAsia="宋体" w:hint="default"/>
          <w:sz w:val="14"/>
          <w:szCs w:val="14"/>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）就合并范围的变动，检查股权购买协议、相关部门的批准文件、资产交割手续、工商登记变更</w:t>
      </w:r>
      <w:r>
        <w:rPr>
          <w:rFonts w:ascii="宋体" w:hAnsi="宋体" w:cs="宋体" w:eastAsia="宋体" w:hint="default"/>
          <w:w w:val="100"/>
          <w:sz w:val="21"/>
          <w:szCs w:val="21"/>
        </w:rPr>
        <w:t> </w:t>
      </w:r>
      <w:r>
        <w:rPr>
          <w:rFonts w:ascii="宋体" w:hAnsi="宋体" w:cs="宋体" w:eastAsia="宋体" w:hint="default"/>
          <w:sz w:val="21"/>
          <w:szCs w:val="21"/>
        </w:rPr>
        <w:t>文件、股权价款的支付情况等。</w:t>
      </w:r>
    </w:p>
    <w:p>
      <w:pPr>
        <w:spacing w:line="240" w:lineRule="auto" w:before="8"/>
        <w:rPr>
          <w:rFonts w:ascii="宋体" w:hAnsi="宋体" w:cs="宋体" w:eastAsia="宋体" w:hint="default"/>
          <w:sz w:val="14"/>
          <w:szCs w:val="14"/>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）复核管理层对被收购企业股权转让时点及控制的判断是否合理。</w:t>
      </w:r>
    </w:p>
    <w:p>
      <w:pPr>
        <w:spacing w:line="240" w:lineRule="auto" w:before="4"/>
        <w:rPr>
          <w:rFonts w:ascii="宋体" w:hAnsi="宋体" w:cs="宋体" w:eastAsia="宋体" w:hint="default"/>
          <w:sz w:val="17"/>
          <w:szCs w:val="17"/>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4</w:t>
      </w:r>
      <w:r>
        <w:rPr>
          <w:rFonts w:ascii="宋体" w:hAnsi="宋体" w:cs="宋体" w:eastAsia="宋体" w:hint="default"/>
          <w:spacing w:val="-2"/>
          <w:sz w:val="21"/>
          <w:szCs w:val="21"/>
        </w:rPr>
        <w:t>）就股权账务处理，评估管理层使用的各股权交易的交易对价、合并日前标的资产是否存在应计</w:t>
      </w:r>
      <w:r>
        <w:rPr>
          <w:rFonts w:ascii="宋体" w:hAnsi="宋体" w:cs="宋体" w:eastAsia="宋体" w:hint="default"/>
          <w:w w:val="100"/>
          <w:sz w:val="21"/>
          <w:szCs w:val="21"/>
        </w:rPr>
        <w:t> </w:t>
      </w:r>
      <w:r>
        <w:rPr>
          <w:rFonts w:ascii="宋体" w:hAnsi="宋体" w:cs="宋体" w:eastAsia="宋体" w:hint="default"/>
          <w:sz w:val="21"/>
          <w:szCs w:val="21"/>
        </w:rPr>
        <w:t>提减值准备，合并日的账面价值、合并日的可辨认净资产份额。</w:t>
      </w:r>
    </w:p>
    <w:p>
      <w:pPr>
        <w:spacing w:line="240" w:lineRule="auto" w:before="8"/>
        <w:rPr>
          <w:rFonts w:ascii="宋体" w:hAnsi="宋体" w:cs="宋体" w:eastAsia="宋体" w:hint="default"/>
          <w:sz w:val="14"/>
          <w:szCs w:val="14"/>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（三）内部研发形成的无形资产摊销</w:t>
      </w:r>
    </w:p>
    <w:p>
      <w:pPr>
        <w:spacing w:after="0"/>
        <w:jc w:val="left"/>
        <w:rPr>
          <w:rFonts w:ascii="宋体" w:hAnsi="宋体" w:cs="宋体" w:eastAsia="宋体" w:hint="default"/>
          <w:sz w:val="21"/>
          <w:szCs w:val="21"/>
        </w:rPr>
        <w:sectPr>
          <w:pgSz w:w="11910" w:h="16840"/>
          <w:pgMar w:header="877" w:footer="980" w:top="1060" w:bottom="1160" w:left="980" w:right="980"/>
        </w:sectPr>
      </w:pPr>
    </w:p>
    <w:p>
      <w:pPr>
        <w:spacing w:line="240" w:lineRule="auto" w:before="1"/>
        <w:rPr>
          <w:rFonts w:ascii="宋体" w:hAnsi="宋体" w:cs="宋体" w:eastAsia="宋体" w:hint="default"/>
          <w:sz w:val="29"/>
          <w:szCs w:val="29"/>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相关信息披露详见财务报表附注三、</w:t>
      </w:r>
      <w:r>
        <w:rPr>
          <w:rFonts w:ascii="Arial" w:hAnsi="Arial" w:cs="Arial" w:eastAsia="Arial" w:hint="default"/>
          <w:sz w:val="21"/>
          <w:szCs w:val="21"/>
        </w:rPr>
        <w:t>18</w:t>
      </w:r>
      <w:r>
        <w:rPr>
          <w:rFonts w:ascii="宋体" w:hAnsi="宋体" w:cs="宋体" w:eastAsia="宋体" w:hint="default"/>
          <w:sz w:val="21"/>
          <w:szCs w:val="21"/>
        </w:rPr>
        <w:t>、附注三、</w:t>
      </w:r>
      <w:r>
        <w:rPr>
          <w:rFonts w:ascii="Arial" w:hAnsi="Arial" w:cs="Arial" w:eastAsia="Arial" w:hint="default"/>
          <w:sz w:val="21"/>
          <w:szCs w:val="21"/>
        </w:rPr>
        <w:t>19</w:t>
      </w:r>
      <w:r>
        <w:rPr>
          <w:rFonts w:ascii="宋体" w:hAnsi="宋体" w:cs="宋体" w:eastAsia="宋体" w:hint="default"/>
          <w:sz w:val="21"/>
          <w:szCs w:val="21"/>
        </w:rPr>
        <w:t>、附注五、</w:t>
      </w:r>
      <w:r>
        <w:rPr>
          <w:rFonts w:ascii="Arial" w:hAnsi="Arial" w:cs="Arial" w:eastAsia="Arial" w:hint="default"/>
          <w:sz w:val="21"/>
          <w:szCs w:val="21"/>
        </w:rPr>
        <w:t>13</w:t>
      </w:r>
      <w:r>
        <w:rPr>
          <w:rFonts w:ascii="宋体" w:hAnsi="宋体" w:cs="宋体" w:eastAsia="宋体" w:hint="default"/>
          <w:sz w:val="21"/>
          <w:szCs w:val="21"/>
        </w:rPr>
        <w:t>和附注五、</w:t>
      </w:r>
      <w:r>
        <w:rPr>
          <w:rFonts w:ascii="Arial" w:hAnsi="Arial" w:cs="Arial" w:eastAsia="Arial" w:hint="default"/>
          <w:sz w:val="21"/>
          <w:szCs w:val="21"/>
        </w:rPr>
        <w:t>14</w:t>
      </w:r>
      <w:r>
        <w:rPr>
          <w:rFonts w:ascii="宋体" w:hAnsi="宋体" w:cs="宋体" w:eastAsia="宋体" w:hint="default"/>
          <w:sz w:val="21"/>
          <w:szCs w:val="21"/>
        </w:rPr>
        <w:t>。</w:t>
      </w:r>
    </w:p>
    <w:p>
      <w:pPr>
        <w:spacing w:line="510" w:lineRule="atLeast" w:before="6"/>
        <w:ind w:left="578"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、事项描述</w:t>
      </w:r>
      <w:r>
        <w:rPr>
          <w:rFonts w:ascii="宋体" w:hAnsi="宋体" w:cs="宋体" w:eastAsia="宋体" w:hint="default"/>
          <w:w w:val="100"/>
          <w:sz w:val="21"/>
          <w:szCs w:val="21"/>
        </w:rPr>
        <w:t> </w:t>
      </w:r>
      <w:r>
        <w:rPr>
          <w:rFonts w:ascii="宋体" w:hAnsi="宋体" w:cs="宋体" w:eastAsia="宋体" w:hint="default"/>
          <w:spacing w:val="-2"/>
          <w:sz w:val="21"/>
          <w:szCs w:val="21"/>
        </w:rPr>
        <w:t>华宇软件公司</w:t>
      </w:r>
      <w:r>
        <w:rPr>
          <w:rFonts w:ascii="Arial" w:hAnsi="Arial" w:cs="Arial" w:eastAsia="Arial" w:hint="default"/>
          <w:spacing w:val="-2"/>
          <w:sz w:val="21"/>
          <w:szCs w:val="21"/>
        </w:rPr>
        <w:t>2017</w:t>
      </w:r>
      <w:r>
        <w:rPr>
          <w:rFonts w:ascii="宋体" w:hAnsi="宋体" w:cs="宋体" w:eastAsia="宋体" w:hint="default"/>
          <w:spacing w:val="-2"/>
          <w:sz w:val="21"/>
          <w:szCs w:val="21"/>
        </w:rPr>
        <w:t>年合并财务报表中内部研发形成的无形资产按当期销售收入占预计总销售收入比</w:t>
      </w:r>
    </w:p>
    <w:p>
      <w:pPr>
        <w:spacing w:line="297" w:lineRule="auto" w:before="70"/>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例摊销，全年摊销金额约</w:t>
      </w:r>
      <w:r>
        <w:rPr>
          <w:rFonts w:ascii="Arial" w:hAnsi="Arial" w:cs="Arial" w:eastAsia="Arial" w:hint="default"/>
          <w:spacing w:val="-2"/>
          <w:sz w:val="21"/>
          <w:szCs w:val="21"/>
        </w:rPr>
        <w:t>7,478</w:t>
      </w:r>
      <w:r>
        <w:rPr>
          <w:rFonts w:ascii="宋体" w:hAnsi="宋体" w:cs="宋体" w:eastAsia="宋体" w:hint="default"/>
          <w:spacing w:val="-2"/>
          <w:sz w:val="21"/>
          <w:szCs w:val="21"/>
        </w:rPr>
        <w:t>万元，占利润总额的</w:t>
      </w:r>
      <w:r>
        <w:rPr>
          <w:rFonts w:ascii="Arial" w:hAnsi="Arial" w:cs="Arial" w:eastAsia="Arial" w:hint="default"/>
          <w:spacing w:val="-2"/>
          <w:sz w:val="21"/>
          <w:szCs w:val="21"/>
        </w:rPr>
        <w:t>18.05%</w:t>
      </w:r>
      <w:r>
        <w:rPr>
          <w:rFonts w:ascii="宋体" w:hAnsi="宋体" w:cs="宋体" w:eastAsia="宋体" w:hint="default"/>
          <w:spacing w:val="-2"/>
          <w:sz w:val="21"/>
          <w:szCs w:val="21"/>
        </w:rPr>
        <w:t>。该摊销方法的确定需要运用重大会计判断和</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估计，我们将内部研发形成的无形资产摊销确定为关键审计事项。</w:t>
      </w:r>
    </w:p>
    <w:p>
      <w:pPr>
        <w:spacing w:line="240" w:lineRule="auto" w:before="8"/>
        <w:rPr>
          <w:rFonts w:ascii="宋体" w:hAnsi="宋体" w:cs="宋体" w:eastAsia="宋体" w:hint="default"/>
          <w:sz w:val="14"/>
          <w:szCs w:val="14"/>
        </w:rPr>
      </w:pPr>
    </w:p>
    <w:p>
      <w:pPr>
        <w:spacing w:line="427" w:lineRule="auto" w:before="0"/>
        <w:ind w:left="578" w:right="3054"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、审计应对</w:t>
      </w:r>
      <w:r>
        <w:rPr>
          <w:rFonts w:ascii="宋体" w:hAnsi="宋体" w:cs="宋体" w:eastAsia="宋体" w:hint="default"/>
          <w:w w:val="100"/>
          <w:sz w:val="21"/>
          <w:szCs w:val="21"/>
        </w:rPr>
        <w:t> </w:t>
      </w:r>
      <w:r>
        <w:rPr>
          <w:rFonts w:ascii="宋体" w:hAnsi="宋体" w:cs="宋体" w:eastAsia="宋体" w:hint="default"/>
          <w:spacing w:val="-2"/>
          <w:sz w:val="21"/>
          <w:szCs w:val="21"/>
        </w:rPr>
        <w:t>我们对内部研发形成的无形资产摊销实施的审计程序主要包括：</w:t>
      </w:r>
    </w:p>
    <w:p>
      <w:pPr>
        <w:spacing w:line="297" w:lineRule="auto" w:before="77"/>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）了解、评估和抽样测试内部控制，并测试关键控制执行的有效性，包括内部研发形成的无形资</w:t>
      </w:r>
      <w:r>
        <w:rPr>
          <w:rFonts w:ascii="宋体" w:hAnsi="宋体" w:cs="宋体" w:eastAsia="宋体" w:hint="default"/>
          <w:w w:val="100"/>
          <w:sz w:val="21"/>
          <w:szCs w:val="21"/>
        </w:rPr>
        <w:t> </w:t>
      </w:r>
      <w:r>
        <w:rPr>
          <w:rFonts w:ascii="宋体" w:hAnsi="宋体" w:cs="宋体" w:eastAsia="宋体" w:hint="default"/>
          <w:sz w:val="21"/>
          <w:szCs w:val="21"/>
        </w:rPr>
        <w:t>产摊销对应销售收入的检查、抽查无形资产摊销记录等。</w:t>
      </w:r>
    </w:p>
    <w:p>
      <w:pPr>
        <w:spacing w:line="240" w:lineRule="auto" w:before="8"/>
        <w:rPr>
          <w:rFonts w:ascii="宋体" w:hAnsi="宋体" w:cs="宋体" w:eastAsia="宋体" w:hint="default"/>
          <w:sz w:val="14"/>
          <w:szCs w:val="14"/>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）了解了无形资产摊销模型中使用的假设和方法，并评价其合理性。</w:t>
      </w:r>
    </w:p>
    <w:p>
      <w:pPr>
        <w:spacing w:line="240" w:lineRule="auto" w:before="4"/>
        <w:rPr>
          <w:rFonts w:ascii="宋体" w:hAnsi="宋体" w:cs="宋体" w:eastAsia="宋体" w:hint="default"/>
          <w:sz w:val="17"/>
          <w:szCs w:val="17"/>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）抽查了相关内部研发形成的无形资产每年预计销售收入的合理性。</w:t>
      </w:r>
    </w:p>
    <w:p>
      <w:pPr>
        <w:spacing w:line="240" w:lineRule="auto" w:before="4"/>
        <w:rPr>
          <w:rFonts w:ascii="宋体" w:hAnsi="宋体" w:cs="宋体" w:eastAsia="宋体" w:hint="default"/>
          <w:sz w:val="17"/>
          <w:szCs w:val="17"/>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）抽查了过去预计的销售收入与实际销售收入的差异及向管理层了解其差异的合理性。</w:t>
      </w:r>
    </w:p>
    <w:p>
      <w:pPr>
        <w:spacing w:line="240" w:lineRule="auto" w:before="4"/>
        <w:rPr>
          <w:rFonts w:ascii="宋体" w:hAnsi="宋体" w:cs="宋体" w:eastAsia="宋体" w:hint="default"/>
          <w:sz w:val="17"/>
          <w:szCs w:val="17"/>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5</w:t>
      </w:r>
      <w:r>
        <w:rPr>
          <w:rFonts w:ascii="宋体" w:hAnsi="宋体" w:cs="宋体" w:eastAsia="宋体" w:hint="default"/>
          <w:spacing w:val="-2"/>
          <w:sz w:val="21"/>
          <w:szCs w:val="21"/>
        </w:rPr>
        <w:t>）通过查看以前年度管理层预测的准确性，判断未来的市场形势，基于外部市场表现的吻合度来</w:t>
      </w:r>
      <w:r>
        <w:rPr>
          <w:rFonts w:ascii="宋体" w:hAnsi="宋体" w:cs="宋体" w:eastAsia="宋体" w:hint="default"/>
          <w:w w:val="100"/>
          <w:sz w:val="21"/>
          <w:szCs w:val="21"/>
        </w:rPr>
        <w:t> </w:t>
      </w:r>
      <w:r>
        <w:rPr>
          <w:rFonts w:ascii="宋体" w:hAnsi="宋体" w:cs="宋体" w:eastAsia="宋体" w:hint="default"/>
          <w:sz w:val="21"/>
          <w:szCs w:val="21"/>
        </w:rPr>
        <w:t>支持模型中使用的假设前提的合理性。</w:t>
      </w:r>
    </w:p>
    <w:p>
      <w:pPr>
        <w:spacing w:line="240" w:lineRule="auto" w:before="8"/>
        <w:rPr>
          <w:rFonts w:ascii="宋体" w:hAnsi="宋体" w:cs="宋体" w:eastAsia="宋体" w:hint="default"/>
          <w:sz w:val="14"/>
          <w:szCs w:val="14"/>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6</w:t>
      </w:r>
      <w:r>
        <w:rPr>
          <w:rFonts w:ascii="宋体" w:hAnsi="宋体" w:cs="宋体" w:eastAsia="宋体" w:hint="default"/>
          <w:spacing w:val="-2"/>
          <w:sz w:val="21"/>
          <w:szCs w:val="21"/>
        </w:rPr>
        <w:t>）对预计总收入进行核查，例如了解产品技术先进性、市场容量、签订的在手合同、订单、可研</w:t>
      </w:r>
      <w:r>
        <w:rPr>
          <w:rFonts w:ascii="宋体" w:hAnsi="宋体" w:cs="宋体" w:eastAsia="宋体" w:hint="default"/>
          <w:w w:val="100"/>
          <w:sz w:val="21"/>
          <w:szCs w:val="21"/>
        </w:rPr>
        <w:t> </w:t>
      </w:r>
      <w:r>
        <w:rPr>
          <w:rFonts w:ascii="宋体" w:hAnsi="宋体" w:cs="宋体" w:eastAsia="宋体" w:hint="default"/>
          <w:sz w:val="21"/>
          <w:szCs w:val="21"/>
        </w:rPr>
        <w:t>报告预测实现程度等。</w:t>
      </w:r>
    </w:p>
    <w:p>
      <w:pPr>
        <w:spacing w:line="516" w:lineRule="exact" w:before="23"/>
        <w:ind w:left="578" w:right="0" w:firstLine="0"/>
        <w:jc w:val="left"/>
        <w:rPr>
          <w:rFonts w:ascii="宋体" w:hAnsi="宋体" w:cs="宋体" w:eastAsia="宋体" w:hint="default"/>
          <w:sz w:val="21"/>
          <w:szCs w:val="21"/>
        </w:rPr>
      </w:pPr>
      <w:r>
        <w:rPr>
          <w:rFonts w:ascii="宋体" w:hAnsi="宋体" w:cs="宋体" w:eastAsia="宋体" w:hint="default"/>
          <w:sz w:val="21"/>
          <w:szCs w:val="21"/>
        </w:rPr>
        <w:t>四、其他信息</w:t>
      </w:r>
      <w:r>
        <w:rPr>
          <w:rFonts w:ascii="宋体" w:hAnsi="宋体" w:cs="宋体" w:eastAsia="宋体" w:hint="default"/>
          <w:w w:val="100"/>
          <w:sz w:val="21"/>
          <w:szCs w:val="21"/>
        </w:rPr>
        <w:t> </w:t>
      </w:r>
      <w:r>
        <w:rPr>
          <w:rFonts w:ascii="宋体" w:hAnsi="宋体" w:cs="宋体" w:eastAsia="宋体" w:hint="default"/>
          <w:spacing w:val="-2"/>
          <w:sz w:val="21"/>
          <w:szCs w:val="21"/>
        </w:rPr>
        <w:t>管理层对其他信息负责。其他信息包括华宇软件公司</w:t>
      </w:r>
      <w:r>
        <w:rPr>
          <w:rFonts w:ascii="Arial" w:hAnsi="Arial" w:cs="Arial" w:eastAsia="Arial" w:hint="default"/>
          <w:spacing w:val="-2"/>
          <w:sz w:val="21"/>
          <w:szCs w:val="21"/>
        </w:rPr>
        <w:t>2017</w:t>
      </w:r>
      <w:r>
        <w:rPr>
          <w:rFonts w:ascii="宋体" w:hAnsi="宋体" w:cs="宋体" w:eastAsia="宋体" w:hint="default"/>
          <w:spacing w:val="-2"/>
          <w:sz w:val="21"/>
          <w:szCs w:val="21"/>
        </w:rPr>
        <w:t>年年度报告中涵盖的信息，但不包括财务</w:t>
      </w:r>
    </w:p>
    <w:p>
      <w:pPr>
        <w:spacing w:before="11"/>
        <w:ind w:left="152" w:right="0" w:firstLine="0"/>
        <w:jc w:val="left"/>
        <w:rPr>
          <w:rFonts w:ascii="宋体" w:hAnsi="宋体" w:cs="宋体" w:eastAsia="宋体" w:hint="default"/>
          <w:sz w:val="21"/>
          <w:szCs w:val="21"/>
        </w:rPr>
      </w:pPr>
      <w:r>
        <w:rPr>
          <w:rFonts w:ascii="宋体" w:hAnsi="宋体" w:cs="宋体" w:eastAsia="宋体" w:hint="default"/>
          <w:sz w:val="21"/>
          <w:szCs w:val="21"/>
        </w:rPr>
        <w:t>报表和我们的审计报告。</w:t>
      </w:r>
    </w:p>
    <w:p>
      <w:pPr>
        <w:spacing w:line="510" w:lineRule="atLeast" w:before="6"/>
        <w:ind w:left="578" w:right="0" w:firstLine="0"/>
        <w:jc w:val="left"/>
        <w:rPr>
          <w:rFonts w:ascii="宋体" w:hAnsi="宋体" w:cs="宋体" w:eastAsia="宋体" w:hint="default"/>
          <w:sz w:val="21"/>
          <w:szCs w:val="21"/>
        </w:rPr>
      </w:pPr>
      <w:r>
        <w:rPr>
          <w:rFonts w:ascii="宋体" w:hAnsi="宋体" w:cs="宋体" w:eastAsia="宋体" w:hint="default"/>
          <w:spacing w:val="-2"/>
          <w:sz w:val="21"/>
          <w:szCs w:val="21"/>
        </w:rPr>
        <w:t>我们对财务报表发表的审计意见不涵盖其他信息，我们也不对其他信息发表任何形式的鉴证结论。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结合我们对财务报表的审计，我们的责任是阅读其他信息，在此过程中，考虑其他信息是否与财务</w:t>
      </w:r>
    </w:p>
    <w:p>
      <w:pPr>
        <w:spacing w:before="85"/>
        <w:ind w:left="152" w:right="0" w:firstLine="0"/>
        <w:jc w:val="left"/>
        <w:rPr>
          <w:rFonts w:ascii="宋体" w:hAnsi="宋体" w:cs="宋体" w:eastAsia="宋体" w:hint="default"/>
          <w:sz w:val="21"/>
          <w:szCs w:val="21"/>
        </w:rPr>
      </w:pPr>
      <w:r>
        <w:rPr>
          <w:rFonts w:ascii="宋体" w:hAnsi="宋体" w:cs="宋体" w:eastAsia="宋体" w:hint="default"/>
          <w:sz w:val="21"/>
          <w:szCs w:val="21"/>
        </w:rPr>
        <w:t>报表或我们在审计过程中了解到的情况存在重大不一致或者似乎存在重大错报。</w:t>
      </w:r>
    </w:p>
    <w:p>
      <w:pPr>
        <w:spacing w:line="240" w:lineRule="auto" w:before="6"/>
        <w:rPr>
          <w:rFonts w:ascii="宋体" w:hAnsi="宋体" w:cs="宋体" w:eastAsia="宋体" w:hint="default"/>
          <w:sz w:val="18"/>
          <w:szCs w:val="18"/>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基于我们已执行的工作，如果我们确定其他信息存在重大错报，我们应当报告该事实。在这方面，</w:t>
      </w:r>
      <w:r>
        <w:rPr>
          <w:rFonts w:ascii="宋体" w:hAnsi="宋体" w:cs="宋体" w:eastAsia="宋体" w:hint="default"/>
          <w:w w:val="100"/>
          <w:sz w:val="21"/>
          <w:szCs w:val="21"/>
        </w:rPr>
        <w:t> </w:t>
      </w:r>
      <w:r>
        <w:rPr>
          <w:rFonts w:ascii="宋体" w:hAnsi="宋体" w:cs="宋体" w:eastAsia="宋体" w:hint="default"/>
          <w:sz w:val="21"/>
          <w:szCs w:val="21"/>
        </w:rPr>
        <w:t>我们无任何事项需要报告。</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五、管理层和治理层对财务报表的责任</w:t>
      </w:r>
      <w:r>
        <w:rPr>
          <w:rFonts w:ascii="宋体" w:hAnsi="宋体" w:cs="宋体" w:eastAsia="宋体" w:hint="default"/>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管理层负责按照企业会计准则的规定编制财务报表，使其实现公允反映，并设计、执行和维护必要</w:t>
      </w:r>
    </w:p>
    <w:p>
      <w:pPr>
        <w:spacing w:before="11"/>
        <w:ind w:left="152" w:right="0" w:firstLine="0"/>
        <w:jc w:val="left"/>
        <w:rPr>
          <w:rFonts w:ascii="宋体" w:hAnsi="宋体" w:cs="宋体" w:eastAsia="宋体" w:hint="default"/>
          <w:sz w:val="21"/>
          <w:szCs w:val="21"/>
        </w:rPr>
      </w:pPr>
      <w:r>
        <w:rPr>
          <w:rFonts w:ascii="宋体" w:hAnsi="宋体" w:cs="宋体" w:eastAsia="宋体" w:hint="default"/>
          <w:sz w:val="21"/>
          <w:szCs w:val="21"/>
        </w:rPr>
        <w:t>的内部控制，以使财务报表不存在由于舞弊或错误导致的重大错报。</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在编制财务报表时，管理层负责评估华宇软件公司的持续经营能力，披露与持续经营相关的事项</w:t>
      </w:r>
    </w:p>
    <w:p>
      <w:pPr>
        <w:spacing w:line="314" w:lineRule="auto" w:before="85"/>
        <w:ind w:left="152" w:right="174" w:firstLine="0"/>
        <w:jc w:val="left"/>
        <w:rPr>
          <w:rFonts w:ascii="宋体" w:hAnsi="宋体" w:cs="宋体" w:eastAsia="宋体" w:hint="default"/>
          <w:sz w:val="21"/>
          <w:szCs w:val="21"/>
        </w:rPr>
      </w:pPr>
      <w:r>
        <w:rPr>
          <w:rFonts w:ascii="宋体" w:hAnsi="宋体" w:cs="宋体" w:eastAsia="宋体" w:hint="default"/>
          <w:spacing w:val="-2"/>
          <w:sz w:val="21"/>
          <w:szCs w:val="21"/>
        </w:rPr>
        <w:t>（如适用），并运用持续经营假设，除非管理层计划清算华宇软件公司、终止运营或别无其他现实的选</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择。</w:t>
      </w:r>
    </w:p>
    <w:p>
      <w:pPr>
        <w:spacing w:after="0" w:line="314" w:lineRule="auto"/>
        <w:jc w:val="left"/>
        <w:rPr>
          <w:rFonts w:ascii="宋体" w:hAnsi="宋体" w:cs="宋体" w:eastAsia="宋体" w:hint="default"/>
          <w:sz w:val="21"/>
          <w:szCs w:val="21"/>
        </w:rPr>
        <w:sectPr>
          <w:pgSz w:w="11910" w:h="16840"/>
          <w:pgMar w:header="877" w:footer="980" w:top="1060" w:bottom="1160" w:left="980" w:right="980"/>
        </w:sectPr>
      </w:pPr>
    </w:p>
    <w:p>
      <w:pPr>
        <w:spacing w:line="240" w:lineRule="auto" w:before="1"/>
        <w:rPr>
          <w:rFonts w:ascii="宋体" w:hAnsi="宋体" w:cs="宋体" w:eastAsia="宋体" w:hint="default"/>
          <w:sz w:val="29"/>
          <w:szCs w:val="29"/>
        </w:rPr>
      </w:pPr>
    </w:p>
    <w:p>
      <w:pPr>
        <w:spacing w:line="451" w:lineRule="auto" w:before="36"/>
        <w:ind w:left="578" w:right="4494" w:firstLine="0"/>
        <w:jc w:val="left"/>
        <w:rPr>
          <w:rFonts w:ascii="宋体" w:hAnsi="宋体" w:cs="宋体" w:eastAsia="宋体" w:hint="default"/>
          <w:sz w:val="21"/>
          <w:szCs w:val="21"/>
        </w:rPr>
      </w:pPr>
      <w:r>
        <w:rPr>
          <w:rFonts w:ascii="宋体" w:hAnsi="宋体" w:cs="宋体" w:eastAsia="宋体" w:hint="default"/>
          <w:spacing w:val="-2"/>
          <w:sz w:val="21"/>
          <w:szCs w:val="21"/>
        </w:rPr>
        <w:t>治理层负责监督华宇软件公司的财务报告过程。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六、注册会计师对财务报表审计的责任</w:t>
      </w:r>
    </w:p>
    <w:p>
      <w:pPr>
        <w:spacing w:line="314" w:lineRule="auto" w:before="5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我们的目标是对财务报表整体是否不存在由于舞弊或错误导致的重大错报获取合理保证，并出具包</w:t>
      </w:r>
      <w:r>
        <w:rPr>
          <w:rFonts w:ascii="宋体" w:hAnsi="宋体" w:cs="宋体" w:eastAsia="宋体" w:hint="default"/>
          <w:w w:val="100"/>
          <w:sz w:val="21"/>
          <w:szCs w:val="21"/>
        </w:rPr>
        <w:t> </w:t>
      </w:r>
      <w:r>
        <w:rPr>
          <w:rFonts w:ascii="宋体" w:hAnsi="宋体" w:cs="宋体" w:eastAsia="宋体" w:hint="default"/>
          <w:spacing w:val="-2"/>
          <w:sz w:val="21"/>
          <w:szCs w:val="21"/>
        </w:rPr>
        <w:t>含审计意见的审计报告。合理保证是高水平的保证，但并不能保证按照审计准则执行的审计在某一重大</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错报存在时总能发现。错报可能由于舞弊或错误导致，如果合理预期错报单独或汇总起来可能影响财务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报表使用者依据财务报表作出的经济决策，则通常认为错报是重大的。</w:t>
      </w:r>
    </w:p>
    <w:p>
      <w:pPr>
        <w:spacing w:line="314"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在按照审计准则执行审计工作的过程中，我们运用职业判断，并保持职业怀疑。同时，我们也执行</w:t>
      </w:r>
      <w:r>
        <w:rPr>
          <w:rFonts w:ascii="宋体" w:hAnsi="宋体" w:cs="宋体" w:eastAsia="宋体" w:hint="default"/>
          <w:w w:val="100"/>
          <w:sz w:val="21"/>
          <w:szCs w:val="21"/>
        </w:rPr>
        <w:t> </w:t>
      </w:r>
      <w:r>
        <w:rPr>
          <w:rFonts w:ascii="宋体" w:hAnsi="宋体" w:cs="宋体" w:eastAsia="宋体" w:hint="default"/>
          <w:sz w:val="21"/>
          <w:szCs w:val="21"/>
        </w:rPr>
        <w:t>以下工作：</w:t>
      </w:r>
    </w:p>
    <w:p>
      <w:pPr>
        <w:spacing w:line="309"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）识别和评估由于舞弊或错误导致的财务报表重大错报风险，设计和实施审计程序以应对这些风</w:t>
      </w:r>
      <w:r>
        <w:rPr>
          <w:rFonts w:ascii="宋体" w:hAnsi="宋体" w:cs="宋体" w:eastAsia="宋体" w:hint="default"/>
          <w:w w:val="100"/>
          <w:sz w:val="21"/>
          <w:szCs w:val="21"/>
        </w:rPr>
        <w:t> </w:t>
      </w:r>
      <w:r>
        <w:rPr>
          <w:rFonts w:ascii="宋体" w:hAnsi="宋体" w:cs="宋体" w:eastAsia="宋体" w:hint="default"/>
          <w:sz w:val="21"/>
          <w:szCs w:val="21"/>
        </w:rPr>
        <w:t>险，并获取充分、适当的审计证据，作为发表审计意见的基础。由于舞弊可能涉及串通、伪造、故意遗</w:t>
      </w:r>
      <w:r>
        <w:rPr>
          <w:rFonts w:ascii="宋体" w:hAnsi="宋体" w:cs="宋体" w:eastAsia="宋体" w:hint="default"/>
          <w:w w:val="100"/>
          <w:sz w:val="21"/>
          <w:szCs w:val="21"/>
        </w:rPr>
        <w:t> </w:t>
      </w:r>
      <w:r>
        <w:rPr>
          <w:rFonts w:ascii="宋体" w:hAnsi="宋体" w:cs="宋体" w:eastAsia="宋体" w:hint="default"/>
          <w:sz w:val="21"/>
          <w:szCs w:val="21"/>
        </w:rPr>
        <w:t>漏、虚假陈述或凌驾于内部控制之上，未能发现由于舞弊导致的重大错报的风险高于未能发现由于错误</w:t>
      </w:r>
      <w:r>
        <w:rPr>
          <w:rFonts w:ascii="宋体" w:hAnsi="宋体" w:cs="宋体" w:eastAsia="宋体" w:hint="default"/>
          <w:w w:val="100"/>
          <w:sz w:val="21"/>
          <w:szCs w:val="21"/>
        </w:rPr>
        <w:t> </w:t>
      </w:r>
      <w:r>
        <w:rPr>
          <w:rFonts w:ascii="宋体" w:hAnsi="宋体" w:cs="宋体" w:eastAsia="宋体" w:hint="default"/>
          <w:sz w:val="21"/>
          <w:szCs w:val="21"/>
        </w:rPr>
        <w:t>导致的重大错报的风险。</w:t>
      </w:r>
    </w:p>
    <w:p>
      <w:pPr>
        <w:spacing w:line="240" w:lineRule="auto" w:before="0"/>
        <w:rPr>
          <w:rFonts w:ascii="宋体" w:hAnsi="宋体" w:cs="宋体" w:eastAsia="宋体" w:hint="default"/>
          <w:sz w:val="11"/>
          <w:szCs w:val="11"/>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）了解与审计相关的内部控制，以设计恰当的审计程序，但目的并非对内部控制的有效性发表意</w:t>
      </w:r>
    </w:p>
    <w:p>
      <w:pPr>
        <w:spacing w:before="70"/>
        <w:ind w:left="152" w:right="0" w:firstLine="0"/>
        <w:jc w:val="left"/>
        <w:rPr>
          <w:rFonts w:ascii="宋体" w:hAnsi="宋体" w:cs="宋体" w:eastAsia="宋体" w:hint="default"/>
          <w:sz w:val="21"/>
          <w:szCs w:val="21"/>
        </w:rPr>
      </w:pPr>
      <w:r>
        <w:rPr>
          <w:rFonts w:ascii="宋体" w:hAnsi="宋体" w:cs="宋体" w:eastAsia="宋体" w:hint="default"/>
          <w:sz w:val="21"/>
          <w:szCs w:val="21"/>
        </w:rPr>
        <w:t>见。</w:t>
      </w:r>
    </w:p>
    <w:p>
      <w:pPr>
        <w:spacing w:line="240" w:lineRule="auto" w:before="9"/>
        <w:rPr>
          <w:rFonts w:ascii="宋体" w:hAnsi="宋体" w:cs="宋体" w:eastAsia="宋体" w:hint="default"/>
          <w:sz w:val="15"/>
          <w:szCs w:val="15"/>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）评价管理层选用会计政策的恰当性和作出会计估计及相关披露的合理性。</w:t>
      </w:r>
    </w:p>
    <w:p>
      <w:pPr>
        <w:spacing w:line="240" w:lineRule="auto" w:before="4"/>
        <w:rPr>
          <w:rFonts w:ascii="宋体" w:hAnsi="宋体" w:cs="宋体" w:eastAsia="宋体" w:hint="default"/>
          <w:sz w:val="17"/>
          <w:szCs w:val="17"/>
        </w:rPr>
      </w:pPr>
    </w:p>
    <w:p>
      <w:pPr>
        <w:spacing w:line="309"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4</w:t>
      </w:r>
      <w:r>
        <w:rPr>
          <w:rFonts w:ascii="宋体" w:hAnsi="宋体" w:cs="宋体" w:eastAsia="宋体" w:hint="default"/>
          <w:spacing w:val="-2"/>
          <w:sz w:val="21"/>
          <w:szCs w:val="21"/>
        </w:rPr>
        <w:t>）对管理层使用持续经营假设的恰当性得出结论。同时，根据获取的审计证据，就可能导致对华</w:t>
      </w:r>
      <w:r>
        <w:rPr>
          <w:rFonts w:ascii="宋体" w:hAnsi="宋体" w:cs="宋体" w:eastAsia="宋体" w:hint="default"/>
          <w:w w:val="100"/>
          <w:sz w:val="21"/>
          <w:szCs w:val="21"/>
        </w:rPr>
        <w:t> </w:t>
      </w:r>
      <w:r>
        <w:rPr>
          <w:rFonts w:ascii="宋体" w:hAnsi="宋体" w:cs="宋体" w:eastAsia="宋体" w:hint="default"/>
          <w:sz w:val="21"/>
          <w:szCs w:val="21"/>
        </w:rPr>
        <w:t>宇软件公司的持续经营能力产生重大疑虑的事项或情况是否存在重大不确定性得出结论。如果我们得出</w:t>
      </w:r>
      <w:r>
        <w:rPr>
          <w:rFonts w:ascii="宋体" w:hAnsi="宋体" w:cs="宋体" w:eastAsia="宋体" w:hint="default"/>
          <w:w w:val="100"/>
          <w:sz w:val="21"/>
          <w:szCs w:val="21"/>
        </w:rPr>
        <w:t> </w:t>
      </w:r>
      <w:r>
        <w:rPr>
          <w:rFonts w:ascii="宋体" w:hAnsi="宋体" w:cs="宋体" w:eastAsia="宋体" w:hint="default"/>
          <w:sz w:val="21"/>
          <w:szCs w:val="21"/>
        </w:rPr>
        <w:t>结论认为存在重大不确定性，审计准则要求我们在审计报告中提请报表使用者注意财务报表中的相关披</w:t>
      </w:r>
      <w:r>
        <w:rPr>
          <w:rFonts w:ascii="宋体" w:hAnsi="宋体" w:cs="宋体" w:eastAsia="宋体" w:hint="default"/>
          <w:w w:val="100"/>
          <w:sz w:val="21"/>
          <w:szCs w:val="21"/>
        </w:rPr>
        <w:t> </w:t>
      </w:r>
      <w:r>
        <w:rPr>
          <w:rFonts w:ascii="宋体" w:hAnsi="宋体" w:cs="宋体" w:eastAsia="宋体" w:hint="default"/>
          <w:sz w:val="21"/>
          <w:szCs w:val="21"/>
        </w:rPr>
        <w:t>露；如果披露不充分，我们应当发表非无保留意见。我们的结论基于截至审计报告日可获得的信息。然</w:t>
      </w:r>
      <w:r>
        <w:rPr>
          <w:rFonts w:ascii="宋体" w:hAnsi="宋体" w:cs="宋体" w:eastAsia="宋体" w:hint="default"/>
          <w:w w:val="100"/>
          <w:sz w:val="21"/>
          <w:szCs w:val="21"/>
        </w:rPr>
        <w:t> </w:t>
      </w:r>
      <w:r>
        <w:rPr>
          <w:rFonts w:ascii="宋体" w:hAnsi="宋体" w:cs="宋体" w:eastAsia="宋体" w:hint="default"/>
          <w:sz w:val="21"/>
          <w:szCs w:val="21"/>
        </w:rPr>
        <w:t>而，未来的事项或情况可能导致华宇软件公司不能持续经营。</w:t>
      </w:r>
    </w:p>
    <w:p>
      <w:pPr>
        <w:spacing w:line="240" w:lineRule="auto" w:before="10"/>
        <w:rPr>
          <w:rFonts w:ascii="宋体" w:hAnsi="宋体" w:cs="宋体" w:eastAsia="宋体" w:hint="default"/>
          <w:sz w:val="13"/>
          <w:szCs w:val="13"/>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5</w:t>
      </w:r>
      <w:r>
        <w:rPr>
          <w:rFonts w:ascii="宋体" w:hAnsi="宋体" w:cs="宋体" w:eastAsia="宋体" w:hint="default"/>
          <w:spacing w:val="-2"/>
          <w:sz w:val="21"/>
          <w:szCs w:val="21"/>
        </w:rPr>
        <w:t>）评价财务报表的总体列报、结构和内容（包括披露），并评价财务报表是否公允反映相关交易</w:t>
      </w:r>
      <w:r>
        <w:rPr>
          <w:rFonts w:ascii="宋体" w:hAnsi="宋体" w:cs="宋体" w:eastAsia="宋体" w:hint="default"/>
          <w:w w:val="100"/>
          <w:sz w:val="21"/>
          <w:szCs w:val="21"/>
        </w:rPr>
        <w:t> </w:t>
      </w:r>
      <w:r>
        <w:rPr>
          <w:rFonts w:ascii="宋体" w:hAnsi="宋体" w:cs="宋体" w:eastAsia="宋体" w:hint="default"/>
          <w:sz w:val="21"/>
          <w:szCs w:val="21"/>
        </w:rPr>
        <w:t>和事项。</w:t>
      </w:r>
    </w:p>
    <w:p>
      <w:pPr>
        <w:spacing w:line="240" w:lineRule="auto" w:before="8"/>
        <w:rPr>
          <w:rFonts w:ascii="宋体" w:hAnsi="宋体" w:cs="宋体" w:eastAsia="宋体" w:hint="default"/>
          <w:sz w:val="14"/>
          <w:szCs w:val="14"/>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6</w:t>
      </w:r>
      <w:r>
        <w:rPr>
          <w:rFonts w:ascii="宋体" w:hAnsi="宋体" w:cs="宋体" w:eastAsia="宋体" w:hint="default"/>
          <w:spacing w:val="-2"/>
          <w:sz w:val="21"/>
          <w:szCs w:val="21"/>
        </w:rPr>
        <w:t>）就华宇软件公司中实体或业务活动的财务信息获取充分、适当的审计证据，以对财务报表发表</w:t>
      </w:r>
      <w:r>
        <w:rPr>
          <w:rFonts w:ascii="宋体" w:hAnsi="宋体" w:cs="宋体" w:eastAsia="宋体" w:hint="default"/>
          <w:w w:val="100"/>
          <w:sz w:val="21"/>
          <w:szCs w:val="21"/>
        </w:rPr>
        <w:t> </w:t>
      </w:r>
      <w:r>
        <w:rPr>
          <w:rFonts w:ascii="宋体" w:hAnsi="宋体" w:cs="宋体" w:eastAsia="宋体" w:hint="default"/>
          <w:sz w:val="21"/>
          <w:szCs w:val="21"/>
        </w:rPr>
        <w:t>意见。我们负责指导、监督和执行集团审计，并对审计意见承担全部责任。</w:t>
      </w:r>
    </w:p>
    <w:p>
      <w:pPr>
        <w:spacing w:line="240" w:lineRule="auto" w:before="8"/>
        <w:rPr>
          <w:rFonts w:ascii="宋体" w:hAnsi="宋体" w:cs="宋体" w:eastAsia="宋体" w:hint="default"/>
          <w:sz w:val="14"/>
          <w:szCs w:val="14"/>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我们与治理层就计划的审计范围、时间安排和重大审计发现等事项进行沟通，包括沟通我们在审计</w:t>
      </w:r>
      <w:r>
        <w:rPr>
          <w:rFonts w:ascii="宋体" w:hAnsi="宋体" w:cs="宋体" w:eastAsia="宋体" w:hint="default"/>
          <w:w w:val="100"/>
          <w:sz w:val="21"/>
          <w:szCs w:val="21"/>
        </w:rPr>
        <w:t> </w:t>
      </w:r>
      <w:r>
        <w:rPr>
          <w:rFonts w:ascii="宋体" w:hAnsi="宋体" w:cs="宋体" w:eastAsia="宋体" w:hint="default"/>
          <w:sz w:val="21"/>
          <w:szCs w:val="21"/>
        </w:rPr>
        <w:t>中识别出的值得关注的内部控制缺陷。</w:t>
      </w:r>
    </w:p>
    <w:p>
      <w:pPr>
        <w:spacing w:line="314"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我们还就已遵守与独立性相关的职业道德要求向治理层提供声明，并与治理层沟通可能被合理认为</w:t>
      </w:r>
      <w:r>
        <w:rPr>
          <w:rFonts w:ascii="宋体" w:hAnsi="宋体" w:cs="宋体" w:eastAsia="宋体" w:hint="default"/>
          <w:w w:val="100"/>
          <w:sz w:val="21"/>
          <w:szCs w:val="21"/>
        </w:rPr>
        <w:t> </w:t>
      </w:r>
      <w:r>
        <w:rPr>
          <w:rFonts w:ascii="宋体" w:hAnsi="宋体" w:cs="宋体" w:eastAsia="宋体" w:hint="default"/>
          <w:sz w:val="21"/>
          <w:szCs w:val="21"/>
        </w:rPr>
        <w:t>影响我们独立性的所有关系和其他事项，以及相关的防范措施（如适用）。</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从与治理层沟通过的事项中，我们确定哪些事项对本期财务报表审计最为重要，因而构成关键审计</w:t>
      </w:r>
      <w:r>
        <w:rPr>
          <w:rFonts w:ascii="宋体" w:hAnsi="宋体" w:cs="宋体" w:eastAsia="宋体" w:hint="default"/>
          <w:w w:val="100"/>
          <w:sz w:val="21"/>
          <w:szCs w:val="21"/>
        </w:rPr>
        <w:t> </w:t>
      </w:r>
      <w:r>
        <w:rPr>
          <w:rFonts w:ascii="宋体" w:hAnsi="宋体" w:cs="宋体" w:eastAsia="宋体" w:hint="default"/>
          <w:spacing w:val="-2"/>
          <w:sz w:val="21"/>
          <w:szCs w:val="21"/>
        </w:rPr>
        <w:t>事项。我们在审计报告中描述这些事项，除非法律法规禁止公开披露这些事项，或在极少数情形下，如</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果合理预期在审计报告中沟通某事项造成的负面后果超过在公众利益方面产生的益处，我们确定不应在</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审计报告中沟通该事项。</w:t>
      </w:r>
    </w:p>
    <w:p>
      <w:pPr>
        <w:spacing w:after="0" w:line="314" w:lineRule="auto"/>
        <w:jc w:val="both"/>
        <w:rPr>
          <w:rFonts w:ascii="宋体" w:hAnsi="宋体" w:cs="宋体" w:eastAsia="宋体" w:hint="default"/>
          <w:sz w:val="21"/>
          <w:szCs w:val="21"/>
        </w:rPr>
        <w:sectPr>
          <w:pgSz w:w="11910" w:h="16840"/>
          <w:pgMar w:header="877" w:footer="980" w:top="1060" w:bottom="1160" w:left="980" w:right="980"/>
        </w:sectPr>
      </w:pPr>
    </w:p>
    <w:p>
      <w:pPr>
        <w:spacing w:line="240" w:lineRule="auto" w:before="9"/>
        <w:rPr>
          <w:rFonts w:ascii="宋体" w:hAnsi="宋体" w:cs="宋体" w:eastAsia="宋体" w:hint="default"/>
          <w:sz w:val="23"/>
          <w:szCs w:val="23"/>
        </w:rPr>
      </w:pPr>
    </w:p>
    <w:p>
      <w:pPr>
        <w:pStyle w:val="Heading2"/>
        <w:spacing w:line="367" w:lineRule="exact"/>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财务附注中报表的单位为：人民币元</w:t>
      </w:r>
    </w:p>
    <w:p>
      <w:pPr>
        <w:spacing w:line="240" w:lineRule="auto" w:before="1"/>
        <w:rPr>
          <w:rFonts w:ascii="宋体" w:hAnsi="宋体" w:cs="宋体" w:eastAsia="宋体" w:hint="default"/>
          <w:sz w:val="20"/>
          <w:szCs w:val="20"/>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、合并资产负债表</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80"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213" w:space="824"/>
            <w:col w:w="1721" w:space="3162"/>
            <w:col w:w="1030"/>
          </w:cols>
        </w:sectPr>
      </w:pP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1,297,334,119.79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810,395,684.08</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1,621,000.00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1,560,364.60</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642,207,932.98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441,313,458.81</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28,288,468.66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42,221,669.36</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958,108.00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890,600.00</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201,252,525.56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166,061,026.50</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516,011,282.35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434,889,268.04</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2,295,370.86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4,224,189.78</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2,689,968,808.20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1,901,556,261.17</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34,000,000.00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44,153,586.61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37,149,103.35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259,383,902.21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219,621,714.95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932,397.50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204,322,955.08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207,229,035.63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183,148,776.90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98,031,826.79</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1,661,066,055.81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361,888,404.67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12,009,560.97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8,661,272.31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42,058,816.49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42,730,757.02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2,441,076,051.57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975,312,114.72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5,131,044,859.77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2,876,868,375.89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60,350,000.00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510,000.00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295,742,890.68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190,356,194.05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519,829,345.82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538,687,056.89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12,259,723.89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6,365,380.02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101,036,061.23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65,686,062.88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251,461.25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329,661,688.03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145,476,057.73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1,319,131,170.90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947,080,751.57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27,000,000.00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10,067,350.33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16,539,613.27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4,603,808.86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1,017,356.92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63,940,000.00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41,671,159.19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81,496,970.19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1,360,802,330.09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1,028,577,721.76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760,681,176.00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644,482,388.00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1,910,555,620.24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279,084,161.19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245,922,733.22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54,428,117.96</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47,257,827.66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42,888,821.70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1,230,662,871.24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886,077,370.45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3,703,234,761.92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1,798,104,623.38</w:t>
            </w:r>
          </w:p>
        </w:tc>
      </w:tr>
    </w:tbl>
    <w:p>
      <w:pPr>
        <w:spacing w:after="0" w:line="240" w:lineRule="auto"/>
        <w:jc w:val="right"/>
        <w:rPr>
          <w:rFonts w:ascii="Arial" w:hAnsi="Arial" w:cs="Arial" w:eastAsia="Arial" w:hint="default"/>
          <w:sz w:val="18"/>
          <w:szCs w:val="18"/>
        </w:rPr>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4537"/>
        <w:gridCol w:w="2552"/>
        <w:gridCol w:w="2480"/>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67,007,767.76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50,186,030.75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3,770,242,529.68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1,848,290,654.13</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5,131,044,859.77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2,876,868,375.89</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法定代表人：邵学</w:t>
        <w:tab/>
      </w:r>
      <w:r>
        <w:rPr>
          <w:rFonts w:ascii="宋体" w:hAnsi="宋体" w:cs="宋体" w:eastAsia="宋体" w:hint="default"/>
          <w:spacing w:val="-1"/>
          <w:sz w:val="18"/>
          <w:szCs w:val="18"/>
        </w:rPr>
        <w:t>主管会计工作负责人：王琰</w:t>
        <w:tab/>
      </w:r>
      <w:r>
        <w:rPr>
          <w:rFonts w:ascii="宋体" w:hAnsi="宋体" w:cs="宋体" w:eastAsia="宋体" w:hint="default"/>
          <w:sz w:val="18"/>
          <w:szCs w:val="18"/>
        </w:rPr>
        <w:t>会计机构负责人：王琰</w:t>
      </w:r>
    </w:p>
    <w:p>
      <w:pPr>
        <w:spacing w:line="240" w:lineRule="auto" w:before="12"/>
        <w:rPr>
          <w:rFonts w:ascii="宋体" w:hAnsi="宋体" w:cs="宋体" w:eastAsia="宋体" w:hint="default"/>
          <w:sz w:val="21"/>
          <w:szCs w:val="21"/>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、母公司资产负债表</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426,497,887.80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234,537,917.17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34,278,481.67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49,887,186.70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146,700.00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258,660.00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420,608.00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890,600.00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3"/>
                <w:sz w:val="18"/>
              </w:rPr>
              <w:t>111,141,485.92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61,889,717.35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1,058,000.00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180,171.70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572,665,335.09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348,522,081.22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34,000,000.00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2,563,126,253.94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1,043,676,985.55</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31,790,872.02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34,199,999.91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17,724,131.86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36,271,414.55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77,366.84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16,218,487.51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22,083,594.03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2,662,859,745.33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1,136,309,360.88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3,235,525,080.42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1,484,831,442.10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27,616,147.05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28,274,453.20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489,418.87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2"/>
                <w:sz w:val="18"/>
              </w:rPr>
              <w:t>2,722,114.77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170,800.22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123,347.49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1,808,012.64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4,247,216.70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411,469,847.36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158,989,698.42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441,554,226.14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194,356,830.58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918,507.10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1,779,613.27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63,940,000.00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918,507.10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65,719,613.27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442,472,733.24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260,076,443.85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760,681,176.00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644,482,388.00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2,084,654,271.77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452,539,513.83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245,922,733.22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54,428,117.96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47,257,827.66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42,888,821.70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146,381,804.97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139,272,392.68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2,793,052,347.18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1,224,754,998.25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3,235,525,080.42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1,484,831,442.10</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、合并利润表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2,338,145,133.75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1,820,108,218.46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2,338,145,133.75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1,820,108,218.46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2,011,490,555.98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1,592,880,998.95</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1,389,187,715.80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1,102,662,715.91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7"/>
          <w:pgSz w:w="11910" w:h="16840"/>
          <w:pgMar w:footer="980" w:header="877" w:top="1060" w:bottom="116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4537"/>
        <w:gridCol w:w="2552"/>
        <w:gridCol w:w="2480"/>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25,008,544.27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15,868,871.33</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130,520,356.57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3"/>
                <w:sz w:val="18"/>
              </w:rPr>
              <w:t>111,848,399.16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456,642,635.32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359,495,982.19</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-7,649,125.04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-4,714,972.96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17,780,429.06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7,720,003.32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1,346,020.16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3,271,381.94</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877,182.63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3,271,381.94</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-63,471.66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2"/>
                <w:sz w:val="18"/>
              </w:rPr>
              <w:t>-11,667.06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94,315,221.33</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422,252,347.60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230,486,934.39</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196,906.40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82,907,776.89</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8,103,933.36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10,747,201.85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414,345,320.64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302,647,509.43</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39,500,710.39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28,286,849.87</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374,844,610.25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274,360,659.56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374,844,506.92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274,360,762.89</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103.33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-103.33</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381,166,148.13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271,694,183.15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-6,321,537.88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2,666,476.41</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重新计量设定受益计划净负债或净资产的变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4" w:right="29" w:firstLine="90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权益法下在被投资单位不能重分类进损益的</w:t>
            </w:r>
            <w:r>
              <w:rPr>
                <w:rFonts w:ascii="宋体" w:hAnsi="宋体" w:cs="宋体" w:eastAsia="宋体" w:hint="default"/>
                <w:w w:val="100"/>
                <w:sz w:val="18"/>
                <w:szCs w:val="18"/>
              </w:rPr>
              <w:t> </w:t>
            </w:r>
            <w:r>
              <w:rPr>
                <w:rFonts w:ascii="宋体" w:hAnsi="宋体" w:cs="宋体" w:eastAsia="宋体" w:hint="default"/>
                <w:sz w:val="18"/>
                <w:szCs w:val="18"/>
              </w:rPr>
              <w:t>其他综合收益中享有的份额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4" w:right="29" w:firstLine="90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权益法下在被投资单位以后将重分类进损益</w:t>
            </w:r>
            <w:r>
              <w:rPr>
                <w:rFonts w:ascii="宋体" w:hAnsi="宋体" w:cs="宋体" w:eastAsia="宋体" w:hint="default"/>
                <w:w w:val="100"/>
                <w:sz w:val="18"/>
                <w:szCs w:val="18"/>
              </w:rPr>
              <w:t> </w:t>
            </w:r>
            <w:r>
              <w:rPr>
                <w:rFonts w:ascii="宋体" w:hAnsi="宋体" w:cs="宋体" w:eastAsia="宋体" w:hint="default"/>
                <w:sz w:val="18"/>
                <w:szCs w:val="18"/>
              </w:rPr>
              <w:t>的其他综合收益中享有的份额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可供出售金融资产公允价值变动损益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持有至到期投资重分类为可供出售金融资产</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36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现金流量套期损益的有效部分</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外币财务报表折算差额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374,844,610.25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274,360,659.56</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381,166,148.13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271,694,183.15</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-6,321,537.88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2,666,476.41</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0.58</w:t>
            </w:r>
            <w:r>
              <w:rPr>
                <w:rFonts w:ascii="Arial"/>
                <w:sz w:val="18"/>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0.43</w:t>
            </w:r>
            <w:r>
              <w:rPr>
                <w:rFonts w:ascii="Arial"/>
                <w:sz w:val="18"/>
              </w:rPr>
            </w: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0.57</w:t>
            </w:r>
            <w:r>
              <w:rPr>
                <w:rFonts w:ascii="Arial"/>
                <w:sz w:val="18"/>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0.42</w:t>
            </w:r>
            <w:r>
              <w:rPr>
                <w:rFonts w:ascii="Arial"/>
                <w:sz w:val="18"/>
              </w:rPr>
            </w:r>
          </w:p>
        </w:tc>
      </w:tr>
    </w:tbl>
    <w:p>
      <w:pPr>
        <w:tabs>
          <w:tab w:pos="3667" w:val="left" w:leader="none"/>
          <w:tab w:pos="7898" w:val="left" w:leader="none"/>
        </w:tabs>
        <w:spacing w:line="588" w:lineRule="auto" w:before="49"/>
        <w:ind w:left="152" w:right="18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Arial" w:hAnsi="Arial" w:cs="Arial" w:eastAsia="Arial" w:hint="default"/>
          <w:sz w:val="18"/>
          <w:szCs w:val="18"/>
        </w:rPr>
        <w:t>0.00 </w:t>
      </w:r>
      <w:r>
        <w:rPr>
          <w:rFonts w:ascii="宋体" w:hAnsi="宋体" w:cs="宋体" w:eastAsia="宋体" w:hint="default"/>
          <w:sz w:val="18"/>
          <w:szCs w:val="18"/>
        </w:rPr>
        <w:t>元，上期被合并方实现的净利润为：</w:t>
      </w:r>
      <w:r>
        <w:rPr>
          <w:rFonts w:ascii="Arial" w:hAnsi="Arial" w:cs="Arial" w:eastAsia="Arial" w:hint="default"/>
          <w:sz w:val="18"/>
          <w:szCs w:val="18"/>
        </w:rPr>
        <w:t>0.00</w:t>
      </w:r>
      <w:r>
        <w:rPr>
          <w:rFonts w:ascii="Arial" w:hAnsi="Arial" w:cs="Arial" w:eastAsia="Arial" w:hint="default"/>
          <w:spacing w:val="-10"/>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法定代表人：邵学</w:t>
        <w:tab/>
      </w:r>
      <w:r>
        <w:rPr>
          <w:rFonts w:ascii="宋体" w:hAnsi="宋体" w:cs="宋体" w:eastAsia="宋体" w:hint="default"/>
          <w:spacing w:val="-1"/>
          <w:sz w:val="18"/>
          <w:szCs w:val="18"/>
        </w:rPr>
        <w:t>主管会计工作负责人：王琰</w:t>
        <w:tab/>
      </w:r>
      <w:r>
        <w:rPr>
          <w:rFonts w:ascii="宋体" w:hAnsi="宋体" w:cs="宋体" w:eastAsia="宋体" w:hint="default"/>
          <w:sz w:val="18"/>
          <w:szCs w:val="18"/>
        </w:rPr>
        <w:t>会计机构负责人：王琰</w:t>
      </w:r>
    </w:p>
    <w:p>
      <w:pPr>
        <w:spacing w:before="28"/>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、母公司利润表</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83,839,378.36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112,529,055.92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19,705,693.97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42,979,002.19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2,802,048.97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1,670,386.64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33,487,642.64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26,649,610.84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-4,706,012.31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-2,513,658.27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2,599,927.40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1,876,103.80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9"/>
              <w:jc w:val="righ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6,877,182.63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3,271,381.94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877,182.63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3,271,381.94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13,395,321.47</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50,222,581.79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45,138,992.66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19,091,704.01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2"/>
                <w:sz w:val="18"/>
              </w:rPr>
              <w:t>70,454.11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9,559,065.39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50,152,127.68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54,671,631.28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6,462,068.05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9,421,931.67</w:t>
            </w:r>
          </w:p>
        </w:tc>
      </w:tr>
    </w:tbl>
    <w:p>
      <w:pPr>
        <w:spacing w:after="0" w:line="240" w:lineRule="auto"/>
        <w:jc w:val="right"/>
        <w:rPr>
          <w:rFonts w:ascii="Arial" w:hAnsi="Arial" w:cs="Arial" w:eastAsia="Arial" w:hint="default"/>
          <w:sz w:val="18"/>
          <w:szCs w:val="18"/>
        </w:rPr>
        <w:sectPr>
          <w:pgSz w:w="11910" w:h="16840"/>
          <w:pgMar w:header="877" w:footer="980" w:top="1060" w:bottom="1160" w:left="980" w:right="980"/>
        </w:sectPr>
      </w:pPr>
    </w:p>
    <w:p>
      <w:pPr>
        <w:spacing w:line="240" w:lineRule="auto" w:before="7"/>
        <w:rPr>
          <w:rFonts w:ascii="宋体" w:hAnsi="宋体" w:cs="宋体" w:eastAsia="宋体" w:hint="default"/>
          <w:sz w:val="28"/>
          <w:szCs w:val="28"/>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43,690,059.63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45,249,699.61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09"/>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43,690,059.63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45,249,699.61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9"/>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重新计量设定受益计划净负债或净资产的变</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2" w:right="20" w:firstLine="90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权益法下在被投资单位不能重分类进损益的</w:t>
            </w:r>
            <w:r>
              <w:rPr>
                <w:rFonts w:ascii="宋体" w:hAnsi="宋体" w:cs="宋体" w:eastAsia="宋体" w:hint="default"/>
                <w:w w:val="100"/>
                <w:sz w:val="18"/>
                <w:szCs w:val="18"/>
              </w:rPr>
              <w:t> </w:t>
            </w:r>
            <w:r>
              <w:rPr>
                <w:rFonts w:ascii="宋体" w:hAnsi="宋体" w:cs="宋体" w:eastAsia="宋体" w:hint="default"/>
                <w:sz w:val="18"/>
                <w:szCs w:val="18"/>
              </w:rPr>
              <w:t>其他综合收益中享有的份额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2" w:right="20" w:firstLine="90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权益法下在被投资单位以后将重分类进损益</w:t>
            </w:r>
            <w:r>
              <w:rPr>
                <w:rFonts w:ascii="宋体" w:hAnsi="宋体" w:cs="宋体" w:eastAsia="宋体" w:hint="default"/>
                <w:w w:val="100"/>
                <w:sz w:val="18"/>
                <w:szCs w:val="18"/>
              </w:rPr>
              <w:t> </w:t>
            </w:r>
            <w:r>
              <w:rPr>
                <w:rFonts w:ascii="宋体" w:hAnsi="宋体" w:cs="宋体" w:eastAsia="宋体" w:hint="default"/>
                <w:sz w:val="18"/>
                <w:szCs w:val="18"/>
              </w:rPr>
              <w:t>的其他综合收益中享有的份额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可供出售金融资产公允价值变动损益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持有至到期投资重分类为可供出售金融资产</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现金流量套期损益的有效部分</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外币财务报表折算差额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43,690,059.63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45,249,699.61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0.06</w:t>
            </w:r>
            <w:r>
              <w:rPr>
                <w:rFonts w:ascii="Arial"/>
                <w:sz w:val="18"/>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0.07</w:t>
            </w:r>
            <w:r>
              <w:rPr>
                <w:rFonts w:ascii="Arial"/>
                <w:sz w:val="18"/>
              </w:rPr>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0.06</w:t>
            </w:r>
            <w:r>
              <w:rPr>
                <w:rFonts w:ascii="Arial"/>
                <w:sz w:val="18"/>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0.07</w:t>
            </w:r>
            <w:r>
              <w:rPr>
                <w:rFonts w:ascii="Arial"/>
                <w:sz w:val="18"/>
              </w:rPr>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、合并现金流量表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18" w:right="0"/>
              <w:jc w:val="left"/>
              <w:rPr>
                <w:rFonts w:ascii="Arial" w:hAnsi="Arial" w:cs="Arial" w:eastAsia="Arial" w:hint="default"/>
                <w:sz w:val="18"/>
                <w:szCs w:val="18"/>
              </w:rPr>
            </w:pPr>
            <w:r>
              <w:rPr>
                <w:rFonts w:ascii="Arial"/>
                <w:sz w:val="18"/>
              </w:rPr>
              <w:t>2,539,151,002.40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6" w:right="0"/>
              <w:jc w:val="left"/>
              <w:rPr>
                <w:rFonts w:ascii="Arial" w:hAnsi="Arial" w:cs="Arial" w:eastAsia="Arial" w:hint="default"/>
                <w:sz w:val="18"/>
                <w:szCs w:val="18"/>
              </w:rPr>
            </w:pPr>
            <w:r>
              <w:rPr>
                <w:rFonts w:ascii="Arial"/>
                <w:sz w:val="18"/>
              </w:rPr>
              <w:t>1,866,488,168.82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36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76,886,561.10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67,977,728.71</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175,503,704.45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174,943,626.83</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2,791,541,267.95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2,109,409,524.36</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1,010,278,599.62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820,867,411.81</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538,435,163.42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396,051,805.38</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204,638,850.55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159,661,158.92</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546,665,351.02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495,608,338.56</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2,300,017,964.61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1,872,188,714.67</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491,523,303.34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237,220,809.69</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 金净额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2"/>
                <w:sz w:val="18"/>
              </w:rPr>
              <w:t>114,566.96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235,652.00</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1,464,119.57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81,602.00</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2,578,686.53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317,254.00</w:t>
            </w:r>
          </w:p>
        </w:tc>
      </w:tr>
      <w:tr>
        <w:trPr>
          <w:trHeight w:val="71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151,071,652.99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147,084,068.68</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35,000,000.00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511,227,028.02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77,467,750.00</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697,298,681.01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224,551,818.68</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-694,719,994.48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-224,234,564.68</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4537"/>
        <w:gridCol w:w="2552"/>
        <w:gridCol w:w="2480"/>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728,471,612.85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36,138,144.51</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2"/>
              <w:jc w:val="right"/>
              <w:rPr>
                <w:rFonts w:ascii="宋体" w:hAnsi="宋体" w:cs="宋体" w:eastAsia="宋体" w:hint="default"/>
                <w:sz w:val="18"/>
                <w:szCs w:val="18"/>
              </w:rPr>
            </w:pPr>
            <w:r>
              <w:rPr>
                <w:rFonts w:ascii="宋体" w:hAnsi="宋体" w:cs="宋体" w:eastAsia="宋体" w:hint="default"/>
                <w:spacing w:val="-1"/>
                <w:sz w:val="18"/>
                <w:szCs w:val="18"/>
              </w:rPr>
              <w:t>其中：子公司吸收少数股东投资收到的现金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17,999,976.00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16,150,024.00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18,150,000.00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510,000.00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8,715.53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11,220.48</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746,630,328.38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36,659,364.99</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510,000.00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2,110,000.00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53,149,406.36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32,135,316.71</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0"/>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19,444,960.00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861,149.25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6,857,858.35</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54,520,555.61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41,103,175.06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692,109,772.77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-4,443,810.07</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488,913,081.63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8,542,434.94</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778,856,850.82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770,314,415.88</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1,267,769,932.45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778,856,850.82</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、母公司现金流量表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108,091,091.89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149,341,757.63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12,515,215.30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10,679,816.13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76,992,975.14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34,732,781.26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197,599,282.33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194,754,355.02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810,760.00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13,836,471.91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13,376,101.24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13,004,701.16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18,500,441.85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15,205,790.27</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64,445,890.36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56,138,866.54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97,133,193.45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98,185,829.88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100,466,088.88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96,568,525.14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6,000,000.00</w:t>
            </w: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4514"/>
        <w:gridCol w:w="2562"/>
        <w:gridCol w:w="2480"/>
      </w:tblGrid>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 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1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4,000,000.00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11,000,000.00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63,680.00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209,798.00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46,750,000.00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26,000,000.00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550,100,000.00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77,467,750.00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596,913,680.00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103,677,548.00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-585,913,680.00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-103,677,548.00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710,471,636.85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19,988,120.51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8,715.53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11,220.48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710,480,352.38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19,999,340.99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32,211,641.38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32,056,401.42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861,149.25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6,857,858.35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33,072,790.63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38,914,259.77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677,407,561.75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-18,914,918.78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191,959,970.63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-26,023,941.64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234,537,917.17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260,561,858.81</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426,497,887.80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234,537,917.17</w:t>
            </w:r>
          </w:p>
        </w:tc>
      </w:tr>
    </w:tbl>
    <w:p>
      <w:pPr>
        <w:spacing w:after="0" w:line="240" w:lineRule="auto"/>
        <w:jc w:val="right"/>
        <w:rPr>
          <w:rFonts w:ascii="Arial" w:hAnsi="Arial" w:cs="Arial" w:eastAsia="Arial" w:hint="default"/>
          <w:sz w:val="18"/>
          <w:szCs w:val="18"/>
        </w:rPr>
        <w:sectPr>
          <w:pgSz w:w="11910" w:h="16840"/>
          <w:pgMar w:header="877" w:footer="980" w:top="1060" w:bottom="1160" w:left="980" w:right="980"/>
        </w:sectPr>
      </w:pPr>
    </w:p>
    <w:p>
      <w:pPr>
        <w:spacing w:line="353" w:lineRule="exact" w:before="0"/>
        <w:ind w:left="140" w:right="0" w:firstLine="0"/>
        <w:jc w:val="left"/>
        <w:rPr>
          <w:rFonts w:ascii="Microsoft JhengHei" w:hAnsi="Microsoft JhengHei" w:cs="Microsoft JhengHei" w:eastAsia="Microsoft JhengHei" w:hint="default"/>
          <w:sz w:val="21"/>
          <w:szCs w:val="21"/>
        </w:rPr>
      </w:pPr>
      <w:r>
        <w:rPr/>
        <w:pict>
          <v:group style="position:absolute;margin-left:70.559998pt;margin-top:2.252832pt;width:700.9pt;height:.1pt;mso-position-horizontal-relative:page;mso-position-vertical-relative:paragraph;z-index:-886552" coordorigin="1411,45" coordsize="14018,2">
            <v:shape style="position:absolute;left:1411;top:45;width:14018;height:2" coordorigin="1411,45" coordsize="14018,0" path="m1411,45l15429,45e" filled="false" stroked="true" strokeweight=".72pt" strokecolor="#000000">
              <v:path arrowok="t"/>
            </v:shape>
            <w10:wrap type="none"/>
          </v:group>
        </w:pict>
      </w: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、合并所有者权益变动表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21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1821"/>
        <w:gridCol w:w="1430"/>
        <w:gridCol w:w="281"/>
        <w:gridCol w:w="286"/>
        <w:gridCol w:w="284"/>
        <w:gridCol w:w="1558"/>
        <w:gridCol w:w="1418"/>
        <w:gridCol w:w="425"/>
        <w:gridCol w:w="425"/>
        <w:gridCol w:w="1277"/>
        <w:gridCol w:w="425"/>
        <w:gridCol w:w="1560"/>
        <w:gridCol w:w="1275"/>
        <w:gridCol w:w="1560"/>
      </w:tblGrid>
      <w:tr>
        <w:trPr>
          <w:trHeight w:val="401" w:hRule="exact"/>
        </w:trPr>
        <w:tc>
          <w:tcPr>
            <w:tcW w:w="1821" w:type="dxa"/>
            <w:vMerge w:val="restart"/>
            <w:tcBorders>
              <w:top w:val="single" w:sz="4" w:space="0" w:color="000000"/>
              <w:left w:val="single" w:sz="4" w:space="0" w:color="000000"/>
              <w:right w:val="single" w:sz="4" w:space="0" w:color="000000"/>
            </w:tcBorders>
            <w:shd w:val="clear" w:color="auto" w:fill="D2D2D2"/>
          </w:tcPr>
          <w:p>
            <w:pPr/>
          </w:p>
        </w:tc>
        <w:tc>
          <w:tcPr>
            <w:tcW w:w="1220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8" w:hRule="exact"/>
        </w:trPr>
        <w:tc>
          <w:tcPr>
            <w:tcW w:w="1821" w:type="dxa"/>
            <w:vMerge/>
            <w:tcBorders>
              <w:left w:val="single" w:sz="4" w:space="0" w:color="000000"/>
              <w:right w:val="single" w:sz="4" w:space="0" w:color="000000"/>
            </w:tcBorders>
            <w:shd w:val="clear" w:color="auto" w:fill="D2D2D2"/>
          </w:tcPr>
          <w:p>
            <w:pPr/>
          </w:p>
        </w:tc>
        <w:tc>
          <w:tcPr>
            <w:tcW w:w="93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r>
      <w:tr>
        <w:trPr>
          <w:trHeight w:val="276"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8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37" w:right="62"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55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91" w:hRule="exact"/>
        </w:trPr>
        <w:tc>
          <w:tcPr>
            <w:tcW w:w="1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vMerge/>
            <w:tcBorders>
              <w:left w:val="single" w:sz="4" w:space="0" w:color="000000"/>
              <w:right w:val="single" w:sz="4" w:space="0" w:color="000000"/>
            </w:tcBorders>
            <w:shd w:val="clear" w:color="auto" w:fill="D2D2D2"/>
          </w:tcPr>
          <w:p>
            <w:pPr/>
          </w:p>
        </w:tc>
        <w:tc>
          <w:tcPr>
            <w:tcW w:w="850" w:type="dxa"/>
            <w:gridSpan w:val="3"/>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133" w:hRule="exact"/>
        </w:trPr>
        <w:tc>
          <w:tcPr>
            <w:tcW w:w="1821"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850" w:type="dxa"/>
            <w:gridSpan w:val="3"/>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60"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821" w:type="dxa"/>
            <w:vMerge/>
            <w:tcBorders>
              <w:left w:val="single" w:sz="4" w:space="0" w:color="000000"/>
              <w:bottom w:val="single" w:sz="5" w:space="0" w:color="FFFFFF"/>
              <w:right w:val="single" w:sz="4" w:space="0" w:color="000000"/>
            </w:tcBorders>
            <w:shd w:val="clear" w:color="auto" w:fill="D2D2D2"/>
          </w:tcPr>
          <w:p>
            <w:pPr/>
          </w:p>
        </w:tc>
        <w:tc>
          <w:tcPr>
            <w:tcW w:w="1430" w:type="dxa"/>
            <w:vMerge/>
            <w:tcBorders>
              <w:left w:val="single" w:sz="4" w:space="0" w:color="000000"/>
              <w:bottom w:val="single" w:sz="5" w:space="0" w:color="FFFFFF"/>
              <w:right w:val="single" w:sz="4" w:space="0" w:color="000000"/>
            </w:tcBorders>
            <w:shd w:val="clear" w:color="auto" w:fill="D2D2D2"/>
          </w:tcPr>
          <w:p>
            <w:pPr/>
          </w:p>
        </w:tc>
        <w:tc>
          <w:tcPr>
            <w:tcW w:w="850" w:type="dxa"/>
            <w:gridSpan w:val="3"/>
            <w:vMerge/>
            <w:tcBorders>
              <w:left w:val="single" w:sz="4" w:space="0" w:color="000000"/>
              <w:bottom w:val="single" w:sz="5" w:space="0" w:color="FFFFFF"/>
              <w:right w:val="single" w:sz="4" w:space="0" w:color="000000"/>
            </w:tcBorders>
            <w:shd w:val="clear" w:color="auto" w:fill="D2D2D2"/>
          </w:tcPr>
          <w:p>
            <w:pPr/>
          </w:p>
        </w:tc>
        <w:tc>
          <w:tcPr>
            <w:tcW w:w="1558" w:type="dxa"/>
            <w:vMerge/>
            <w:tcBorders>
              <w:left w:val="single" w:sz="4" w:space="0" w:color="000000"/>
              <w:bottom w:val="single" w:sz="5" w:space="0" w:color="FFFFFF"/>
              <w:right w:val="single" w:sz="4" w:space="0" w:color="000000"/>
            </w:tcBorders>
            <w:shd w:val="clear" w:color="auto" w:fill="D2D2D2"/>
          </w:tcPr>
          <w:p>
            <w:pPr/>
          </w:p>
        </w:tc>
        <w:tc>
          <w:tcPr>
            <w:tcW w:w="1418" w:type="dxa"/>
            <w:vMerge/>
            <w:tcBorders>
              <w:left w:val="single" w:sz="4" w:space="0" w:color="000000"/>
              <w:bottom w:val="single" w:sz="5" w:space="0" w:color="FFFFFF"/>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821" w:type="dxa"/>
            <w:vMerge w:val="restart"/>
            <w:tcBorders>
              <w:top w:val="single" w:sz="5" w:space="0" w:color="FFFFFF"/>
              <w:left w:val="single" w:sz="4" w:space="0" w:color="000000"/>
              <w:right w:val="single" w:sz="4" w:space="0" w:color="000000"/>
            </w:tcBorders>
            <w:shd w:val="clear" w:color="auto" w:fill="D2D2D2"/>
          </w:tcPr>
          <w:p>
            <w:pPr/>
          </w:p>
        </w:tc>
        <w:tc>
          <w:tcPr>
            <w:tcW w:w="1430"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1"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89"/>
              <w:ind w:left="45"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6"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89"/>
              <w:ind w:left="48" w:right="4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4" w:type="dxa"/>
            <w:tcBorders>
              <w:top w:val="single" w:sz="5" w:space="0" w:color="FFFFFF"/>
              <w:left w:val="single" w:sz="4" w:space="0" w:color="000000"/>
              <w:bottom w:val="nil" w:sz="6" w:space="0" w:color="auto"/>
              <w:right w:val="single" w:sz="4" w:space="0" w:color="000000"/>
            </w:tcBorders>
            <w:shd w:val="clear" w:color="auto" w:fill="D2D2D2"/>
          </w:tcPr>
          <w:p>
            <w:pPr/>
          </w:p>
        </w:tc>
        <w:tc>
          <w:tcPr>
            <w:tcW w:w="1558"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8"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5"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821"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281"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5" w:right="46"/>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821" w:type="dxa"/>
            <w:vMerge/>
            <w:tcBorders>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281"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156" w:hRule="exact"/>
        </w:trPr>
        <w:tc>
          <w:tcPr>
            <w:tcW w:w="1821"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281"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202" w:hRule="exact"/>
        </w:trPr>
        <w:tc>
          <w:tcPr>
            <w:tcW w:w="1821"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281"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161"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281" w:type="dxa"/>
            <w:vMerge/>
            <w:tcBorders>
              <w:left w:val="single" w:sz="4" w:space="0" w:color="000000"/>
              <w:bottom w:val="single" w:sz="4" w:space="0" w:color="000000"/>
              <w:right w:val="single" w:sz="4" w:space="0" w:color="000000"/>
            </w:tcBorders>
            <w:shd w:val="clear" w:color="auto" w:fill="D2D2D2"/>
          </w:tcPr>
          <w:p>
            <w:pPr/>
          </w:p>
        </w:tc>
        <w:tc>
          <w:tcPr>
            <w:tcW w:w="286" w:type="dxa"/>
            <w:vMerge/>
            <w:tcBorders>
              <w:left w:val="single" w:sz="4" w:space="0" w:color="000000"/>
              <w:bottom w:val="single" w:sz="4" w:space="0" w:color="000000"/>
              <w:right w:val="single" w:sz="4" w:space="0" w:color="000000"/>
            </w:tcBorders>
            <w:shd w:val="clear" w:color="auto" w:fill="D2D2D2"/>
          </w:tcPr>
          <w:p>
            <w:pPr/>
          </w:p>
        </w:tc>
        <w:tc>
          <w:tcPr>
            <w:tcW w:w="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644,482,388.00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279,084,161.19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54,428,117.96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Arial" w:hAnsi="Arial" w:cs="Arial" w:eastAsia="Arial" w:hint="default"/>
                <w:sz w:val="18"/>
                <w:szCs w:val="18"/>
              </w:rPr>
            </w:pPr>
            <w:r>
              <w:rPr>
                <w:rFonts w:ascii="Arial"/>
                <w:sz w:val="18"/>
              </w:rPr>
              <w:t>42,888,821.70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886,077,370.45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50,186,030.75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1,848,290,654.13</w:t>
            </w: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644,482,388.00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279,084,161.19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54,428,117.96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Arial" w:hAnsi="Arial" w:cs="Arial" w:eastAsia="Arial" w:hint="default"/>
                <w:sz w:val="18"/>
                <w:szCs w:val="18"/>
              </w:rPr>
            </w:pPr>
            <w:r>
              <w:rPr>
                <w:rFonts w:ascii="Arial"/>
                <w:sz w:val="18"/>
              </w:rPr>
              <w:t>42,888,821.70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886,077,370.45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50,186,030.75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1,848,290,654.13</w:t>
            </w:r>
          </w:p>
        </w:tc>
      </w:tr>
      <w:tr>
        <w:trPr>
          <w:trHeight w:val="102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 w:right="178"/>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2"/>
                <w:sz w:val="18"/>
              </w:rPr>
              <w:t>116,198,788.00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1,631,471,459.05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191,494,615.26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8" w:right="0"/>
              <w:jc w:val="center"/>
              <w:rPr>
                <w:rFonts w:ascii="Arial" w:hAnsi="Arial" w:cs="Arial" w:eastAsia="Arial" w:hint="default"/>
                <w:sz w:val="18"/>
                <w:szCs w:val="18"/>
              </w:rPr>
            </w:pPr>
            <w:r>
              <w:rPr>
                <w:rFonts w:ascii="Arial"/>
                <w:sz w:val="18"/>
              </w:rPr>
              <w:t>4,369,005.96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344,585,500.79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16,821,737.01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1,921,951,875.55</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381,166,148.13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-6,321,537.88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374,844,610.25</w:t>
            </w: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178"/>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2"/>
                <w:sz w:val="18"/>
              </w:rPr>
              <w:t>116,198,788.00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1,631,471,459.05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191,494,615.26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24,643,274.89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1,580,818,906.68</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．股东投入的普通股</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91,753,235.00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1,402,086,756.20</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23,999,976.00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1,517,839,967.20</w:t>
            </w:r>
          </w:p>
        </w:tc>
      </w:tr>
    </w:tbl>
    <w:p>
      <w:pPr>
        <w:spacing w:after="0" w:line="240" w:lineRule="auto"/>
        <w:jc w:val="right"/>
        <w:rPr>
          <w:rFonts w:ascii="Arial" w:hAnsi="Arial" w:cs="Arial" w:eastAsia="Arial" w:hint="default"/>
          <w:sz w:val="18"/>
          <w:szCs w:val="18"/>
        </w:rPr>
        <w:sectPr>
          <w:headerReference w:type="default" r:id="rId28"/>
          <w:footerReference w:type="default" r:id="rId29"/>
          <w:pgSz w:w="16840" w:h="11910" w:orient="landscape"/>
          <w:pgMar w:header="866" w:footer="980" w:top="1060" w:bottom="1160" w:left="1300" w:right="1220"/>
          <w:pgNumType w:start="117"/>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844"/>
        <w:gridCol w:w="1418"/>
        <w:gridCol w:w="281"/>
        <w:gridCol w:w="286"/>
        <w:gridCol w:w="284"/>
        <w:gridCol w:w="1558"/>
        <w:gridCol w:w="1418"/>
        <w:gridCol w:w="425"/>
        <w:gridCol w:w="425"/>
        <w:gridCol w:w="1277"/>
        <w:gridCol w:w="425"/>
        <w:gridCol w:w="1560"/>
        <w:gridCol w:w="1275"/>
        <w:gridCol w:w="1560"/>
      </w:tblGrid>
      <w:tr>
        <w:trPr>
          <w:trHeight w:val="730" w:hRule="exact"/>
        </w:trPr>
        <w:tc>
          <w:tcPr>
            <w:tcW w:w="184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89"/>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 者投入资本</w:t>
            </w:r>
          </w:p>
        </w:tc>
        <w:tc>
          <w:tcPr>
            <w:tcW w:w="1418" w:type="dxa"/>
            <w:tcBorders>
              <w:top w:val="single" w:sz="15" w:space="0" w:color="000000"/>
              <w:left w:val="single" w:sz="4" w:space="0" w:color="000000"/>
              <w:bottom w:val="single" w:sz="4" w:space="0" w:color="000000"/>
              <w:right w:val="single" w:sz="4" w:space="0" w:color="000000"/>
            </w:tcBorders>
          </w:tcPr>
          <w:p>
            <w:pPr/>
          </w:p>
        </w:tc>
        <w:tc>
          <w:tcPr>
            <w:tcW w:w="281" w:type="dxa"/>
            <w:tcBorders>
              <w:top w:val="single" w:sz="15" w:space="0" w:color="000000"/>
              <w:left w:val="single" w:sz="4" w:space="0" w:color="000000"/>
              <w:bottom w:val="single" w:sz="4" w:space="0" w:color="000000"/>
              <w:right w:val="single" w:sz="4" w:space="0" w:color="000000"/>
            </w:tcBorders>
          </w:tcPr>
          <w:p>
            <w:pPr/>
          </w:p>
        </w:tc>
        <w:tc>
          <w:tcPr>
            <w:tcW w:w="286" w:type="dxa"/>
            <w:tcBorders>
              <w:top w:val="single" w:sz="15" w:space="0" w:color="000000"/>
              <w:left w:val="single" w:sz="4" w:space="0" w:color="000000"/>
              <w:bottom w:val="single" w:sz="4" w:space="0" w:color="000000"/>
              <w:right w:val="single" w:sz="4" w:space="0" w:color="000000"/>
            </w:tcBorders>
          </w:tcPr>
          <w:p>
            <w:pPr/>
          </w:p>
        </w:tc>
        <w:tc>
          <w:tcPr>
            <w:tcW w:w="284"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1" w:right="89"/>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 者权益的金额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24,445,553.00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223,466,708.85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191,494,615.26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643,298.89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57,060,945.48</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5,917,994.00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5,917,994.00</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8" w:right="0"/>
              <w:jc w:val="center"/>
              <w:rPr>
                <w:rFonts w:ascii="Arial" w:hAnsi="Arial" w:cs="Arial" w:eastAsia="Arial" w:hint="default"/>
                <w:sz w:val="18"/>
                <w:szCs w:val="18"/>
              </w:rPr>
            </w:pPr>
            <w:r>
              <w:rPr>
                <w:rFonts w:ascii="Arial"/>
                <w:sz w:val="18"/>
              </w:rPr>
              <w:t>4,369,005.96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-36,580,647.34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-33,711,641.38</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center"/>
              <w:rPr>
                <w:rFonts w:ascii="Arial" w:hAnsi="Arial" w:cs="Arial" w:eastAsia="Arial" w:hint="default"/>
                <w:sz w:val="18"/>
                <w:szCs w:val="18"/>
              </w:rPr>
            </w:pPr>
            <w:r>
              <w:rPr>
                <w:rFonts w:ascii="Arial"/>
                <w:sz w:val="18"/>
              </w:rPr>
              <w:t>4,369,005.96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-4,369,005.96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269"/>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．对所有者（或股 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2"/>
                <w:sz w:val="18"/>
              </w:rPr>
              <w:t>-32,211,641.38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2"/>
                <w:sz w:val="18"/>
              </w:rPr>
              <w:t>-33,711,641.38</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190"/>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760,681,176.00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1,910,555,620.24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245,922,733.22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Arial" w:hAnsi="Arial" w:cs="Arial" w:eastAsia="Arial" w:hint="default"/>
                <w:sz w:val="18"/>
                <w:szCs w:val="18"/>
              </w:rPr>
            </w:pPr>
            <w:r>
              <w:rPr>
                <w:rFonts w:ascii="Arial"/>
                <w:sz w:val="18"/>
              </w:rPr>
              <w:t>47,257,827.66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1,230,662,871.24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67,007,767.76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3,770,242,529.68</w:t>
            </w:r>
          </w:p>
        </w:tc>
      </w:tr>
    </w:tbl>
    <w:p>
      <w:pPr>
        <w:spacing w:after="0" w:line="240" w:lineRule="auto"/>
        <w:jc w:val="right"/>
        <w:rPr>
          <w:rFonts w:ascii="Arial" w:hAnsi="Arial" w:cs="Arial" w:eastAsia="Arial" w:hint="default"/>
          <w:sz w:val="18"/>
          <w:szCs w:val="18"/>
        </w:rPr>
        <w:sectPr>
          <w:pgSz w:w="16840" w:h="11910" w:orient="landscape"/>
          <w:pgMar w:header="866" w:footer="980" w:top="1060" w:bottom="1160" w:left="1360" w:right="1220"/>
        </w:sect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79" w:type="dxa"/>
        <w:tblLayout w:type="fixed"/>
        <w:tblCellMar>
          <w:top w:w="0" w:type="dxa"/>
          <w:left w:w="0" w:type="dxa"/>
          <w:bottom w:w="0" w:type="dxa"/>
          <w:right w:w="0" w:type="dxa"/>
        </w:tblCellMar>
        <w:tblLook w:val="01E0"/>
      </w:tblPr>
      <w:tblGrid>
        <w:gridCol w:w="1821"/>
        <w:gridCol w:w="1430"/>
        <w:gridCol w:w="281"/>
        <w:gridCol w:w="286"/>
        <w:gridCol w:w="284"/>
        <w:gridCol w:w="1558"/>
        <w:gridCol w:w="1418"/>
        <w:gridCol w:w="425"/>
        <w:gridCol w:w="425"/>
        <w:gridCol w:w="1277"/>
        <w:gridCol w:w="425"/>
        <w:gridCol w:w="1560"/>
        <w:gridCol w:w="1275"/>
        <w:gridCol w:w="1560"/>
      </w:tblGrid>
      <w:tr>
        <w:trPr>
          <w:trHeight w:val="403" w:hRule="exact"/>
        </w:trPr>
        <w:tc>
          <w:tcPr>
            <w:tcW w:w="1821" w:type="dxa"/>
            <w:vMerge w:val="restart"/>
            <w:tcBorders>
              <w:top w:val="single" w:sz="4" w:space="0" w:color="000000"/>
              <w:left w:val="single" w:sz="4" w:space="0" w:color="000000"/>
              <w:right w:val="single" w:sz="4" w:space="0" w:color="000000"/>
            </w:tcBorders>
            <w:shd w:val="clear" w:color="auto" w:fill="D2D2D2"/>
          </w:tcPr>
          <w:p>
            <w:pPr/>
          </w:p>
        </w:tc>
        <w:tc>
          <w:tcPr>
            <w:tcW w:w="1220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6" w:hRule="exact"/>
        </w:trPr>
        <w:tc>
          <w:tcPr>
            <w:tcW w:w="1821" w:type="dxa"/>
            <w:vMerge/>
            <w:tcBorders>
              <w:left w:val="single" w:sz="4" w:space="0" w:color="000000"/>
              <w:right w:val="single" w:sz="4" w:space="0" w:color="000000"/>
            </w:tcBorders>
            <w:shd w:val="clear" w:color="auto" w:fill="D2D2D2"/>
          </w:tcPr>
          <w:p>
            <w:pPr/>
          </w:p>
        </w:tc>
        <w:tc>
          <w:tcPr>
            <w:tcW w:w="93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r>
      <w:tr>
        <w:trPr>
          <w:trHeight w:val="323"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8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37" w:right="62"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55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155" w:hRule="exact"/>
        </w:trPr>
        <w:tc>
          <w:tcPr>
            <w:tcW w:w="1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vMerge/>
            <w:tcBorders>
              <w:left w:val="single" w:sz="4" w:space="0" w:color="000000"/>
              <w:right w:val="single" w:sz="4" w:space="0" w:color="000000"/>
            </w:tcBorders>
            <w:shd w:val="clear" w:color="auto" w:fill="D2D2D2"/>
          </w:tcPr>
          <w:p>
            <w:pPr/>
          </w:p>
        </w:tc>
        <w:tc>
          <w:tcPr>
            <w:tcW w:w="850" w:type="dxa"/>
            <w:gridSpan w:val="3"/>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 w:right="2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60"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821" w:type="dxa"/>
            <w:vMerge/>
            <w:tcBorders>
              <w:left w:val="single" w:sz="4" w:space="0" w:color="000000"/>
              <w:bottom w:val="single" w:sz="4" w:space="0" w:color="FFFFFF"/>
              <w:right w:val="single" w:sz="4" w:space="0" w:color="000000"/>
            </w:tcBorders>
            <w:shd w:val="clear" w:color="auto" w:fill="D2D2D2"/>
          </w:tcPr>
          <w:p>
            <w:pPr/>
          </w:p>
        </w:tc>
        <w:tc>
          <w:tcPr>
            <w:tcW w:w="1430" w:type="dxa"/>
            <w:vMerge/>
            <w:tcBorders>
              <w:left w:val="single" w:sz="4" w:space="0" w:color="000000"/>
              <w:bottom w:val="single" w:sz="4" w:space="0" w:color="FFFFFF"/>
              <w:right w:val="single" w:sz="4" w:space="0" w:color="000000"/>
            </w:tcBorders>
            <w:shd w:val="clear" w:color="auto" w:fill="D2D2D2"/>
          </w:tcPr>
          <w:p>
            <w:pPr/>
          </w:p>
        </w:tc>
        <w:tc>
          <w:tcPr>
            <w:tcW w:w="850" w:type="dxa"/>
            <w:gridSpan w:val="3"/>
            <w:vMerge/>
            <w:tcBorders>
              <w:left w:val="single" w:sz="4" w:space="0" w:color="000000"/>
              <w:bottom w:val="single" w:sz="4" w:space="0" w:color="FFFFFF"/>
              <w:right w:val="single" w:sz="4" w:space="0" w:color="000000"/>
            </w:tcBorders>
            <w:shd w:val="clear" w:color="auto" w:fill="D2D2D2"/>
          </w:tcPr>
          <w:p>
            <w:pPr/>
          </w:p>
        </w:tc>
        <w:tc>
          <w:tcPr>
            <w:tcW w:w="1558" w:type="dxa"/>
            <w:vMerge/>
            <w:tcBorders>
              <w:left w:val="single" w:sz="4" w:space="0" w:color="000000"/>
              <w:bottom w:val="single" w:sz="4" w:space="0" w:color="FFFFFF"/>
              <w:right w:val="single" w:sz="4" w:space="0" w:color="000000"/>
            </w:tcBorders>
            <w:shd w:val="clear" w:color="auto" w:fill="D2D2D2"/>
          </w:tcPr>
          <w:p>
            <w:pPr/>
          </w:p>
        </w:tc>
        <w:tc>
          <w:tcPr>
            <w:tcW w:w="1418" w:type="dxa"/>
            <w:vMerge/>
            <w:tcBorders>
              <w:left w:val="single" w:sz="4" w:space="0" w:color="000000"/>
              <w:bottom w:val="single" w:sz="4" w:space="0" w:color="FFFFFF"/>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1821" w:type="dxa"/>
            <w:vMerge w:val="restart"/>
            <w:tcBorders>
              <w:top w:val="single" w:sz="4" w:space="0" w:color="FFFFFF"/>
              <w:left w:val="single" w:sz="4" w:space="0" w:color="000000"/>
              <w:right w:val="single" w:sz="4" w:space="0" w:color="000000"/>
            </w:tcBorders>
            <w:shd w:val="clear" w:color="auto" w:fill="D2D2D2"/>
          </w:tcPr>
          <w:p>
            <w:pPr/>
          </w:p>
        </w:tc>
        <w:tc>
          <w:tcPr>
            <w:tcW w:w="143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45"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48" w:right="4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4" w:type="dxa"/>
            <w:tcBorders>
              <w:top w:val="single" w:sz="4" w:space="0" w:color="FFFFFF"/>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5"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94" w:hRule="exact"/>
        </w:trPr>
        <w:tc>
          <w:tcPr>
            <w:tcW w:w="1821"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281"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5" w:right="46"/>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821" w:type="dxa"/>
            <w:vMerge/>
            <w:tcBorders>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281"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156" w:hRule="exact"/>
        </w:trPr>
        <w:tc>
          <w:tcPr>
            <w:tcW w:w="1821"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281"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202" w:hRule="exact"/>
        </w:trPr>
        <w:tc>
          <w:tcPr>
            <w:tcW w:w="1821"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281"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161"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281" w:type="dxa"/>
            <w:vMerge/>
            <w:tcBorders>
              <w:left w:val="single" w:sz="4" w:space="0" w:color="000000"/>
              <w:bottom w:val="single" w:sz="4" w:space="0" w:color="000000"/>
              <w:right w:val="single" w:sz="4" w:space="0" w:color="000000"/>
            </w:tcBorders>
            <w:shd w:val="clear" w:color="auto" w:fill="D2D2D2"/>
          </w:tcPr>
          <w:p>
            <w:pPr/>
          </w:p>
        </w:tc>
        <w:tc>
          <w:tcPr>
            <w:tcW w:w="286" w:type="dxa"/>
            <w:vMerge/>
            <w:tcBorders>
              <w:left w:val="single" w:sz="4" w:space="0" w:color="000000"/>
              <w:bottom w:val="single" w:sz="4" w:space="0" w:color="000000"/>
              <w:right w:val="single" w:sz="4" w:space="0" w:color="000000"/>
            </w:tcBorders>
            <w:shd w:val="clear" w:color="auto" w:fill="D2D2D2"/>
          </w:tcPr>
          <w:p>
            <w:pPr/>
          </w:p>
        </w:tc>
        <w:tc>
          <w:tcPr>
            <w:tcW w:w="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320,680,060.00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590,953,539.72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79,703,665.20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Arial" w:hAnsi="Arial" w:cs="Arial" w:eastAsia="Arial" w:hint="default"/>
                <w:sz w:val="18"/>
                <w:szCs w:val="18"/>
              </w:rPr>
            </w:pPr>
            <w:r>
              <w:rPr>
                <w:rFonts w:ascii="Arial"/>
                <w:sz w:val="18"/>
              </w:rPr>
              <w:t>38,363,851.74</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650,964,558.68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31,297,665.06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1,552,556,010.00</w:t>
            </w: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4"/>
              <w:ind w:left="10"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before="74"/>
              <w:ind w:left="10"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320,680,060.00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590,953,539.72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79,703,665.20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Arial" w:hAnsi="Arial" w:cs="Arial" w:eastAsia="Arial" w:hint="default"/>
                <w:sz w:val="18"/>
                <w:szCs w:val="18"/>
              </w:rPr>
            </w:pPr>
            <w:r>
              <w:rPr>
                <w:rFonts w:ascii="Arial"/>
                <w:sz w:val="18"/>
              </w:rPr>
              <w:t>38,363,851.74</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650,964,558.68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31,297,665.06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1,552,556,010.00</w:t>
            </w:r>
          </w:p>
        </w:tc>
      </w:tr>
      <w:tr>
        <w:trPr>
          <w:trHeight w:val="1027"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 w:right="178"/>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sz w:val="18"/>
              </w:rPr>
              <w:t>323,802,328.00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2"/>
                <w:sz w:val="18"/>
              </w:rPr>
              <w:t>-311,869,378.53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Arial" w:hAnsi="Arial" w:cs="Arial" w:eastAsia="Arial" w:hint="default"/>
                <w:sz w:val="18"/>
                <w:szCs w:val="18"/>
              </w:rPr>
            </w:pPr>
            <w:r>
              <w:rPr>
                <w:rFonts w:ascii="Arial"/>
                <w:spacing w:val="-1"/>
                <w:sz w:val="18"/>
              </w:rPr>
              <w:t>-25,275,547.24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8" w:right="0"/>
              <w:jc w:val="center"/>
              <w:rPr>
                <w:rFonts w:ascii="Arial" w:hAnsi="Arial" w:cs="Arial" w:eastAsia="Arial" w:hint="default"/>
                <w:sz w:val="18"/>
                <w:szCs w:val="18"/>
              </w:rPr>
            </w:pPr>
            <w:r>
              <w:rPr>
                <w:rFonts w:ascii="Arial"/>
                <w:sz w:val="18"/>
              </w:rPr>
              <w:t>4,524,969.96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3"/>
                <w:sz w:val="18"/>
              </w:rPr>
              <w:t>235,112,811.77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18,888,365.69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sz w:val="18"/>
              </w:rPr>
              <w:t>295,734,644.13</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271,694,183.15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2,666,476.41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274,360,659.56</w:t>
            </w: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178"/>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3,122,282.00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8,810,667.47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-25,275,547.24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16,221,889.28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53,430,385.99</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．股东投入的普通股</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16,150,024.00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16,150,024.00</w:t>
            </w: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0" w:right="77"/>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 者投入资本</w:t>
            </w:r>
          </w:p>
        </w:tc>
        <w:tc>
          <w:tcPr>
            <w:tcW w:w="1430" w:type="dxa"/>
            <w:tcBorders>
              <w:top w:val="single" w:sz="4" w:space="0" w:color="000000"/>
              <w:left w:val="single" w:sz="13" w:space="0" w:color="D2D2D2"/>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0"/>
          <w:pgSz w:w="16840" w:h="11910" w:orient="landscape"/>
          <w:pgMar w:header="877" w:footer="980" w:top="1120" w:bottom="1160" w:left="1300" w:right="12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844"/>
        <w:gridCol w:w="1418"/>
        <w:gridCol w:w="281"/>
        <w:gridCol w:w="286"/>
        <w:gridCol w:w="284"/>
        <w:gridCol w:w="1558"/>
        <w:gridCol w:w="1418"/>
        <w:gridCol w:w="425"/>
        <w:gridCol w:w="425"/>
        <w:gridCol w:w="1277"/>
        <w:gridCol w:w="425"/>
        <w:gridCol w:w="1560"/>
        <w:gridCol w:w="1275"/>
        <w:gridCol w:w="1560"/>
      </w:tblGrid>
      <w:tr>
        <w:trPr>
          <w:trHeight w:val="730" w:hRule="exact"/>
        </w:trPr>
        <w:tc>
          <w:tcPr>
            <w:tcW w:w="184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89"/>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 者权益的金额</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3,122,282.00</w:t>
            </w:r>
          </w:p>
        </w:tc>
        <w:tc>
          <w:tcPr>
            <w:tcW w:w="281" w:type="dxa"/>
            <w:tcBorders>
              <w:top w:val="single" w:sz="15" w:space="0" w:color="000000"/>
              <w:left w:val="single" w:sz="4" w:space="0" w:color="000000"/>
              <w:bottom w:val="single" w:sz="4" w:space="0" w:color="000000"/>
              <w:right w:val="single" w:sz="4" w:space="0" w:color="000000"/>
            </w:tcBorders>
          </w:tcPr>
          <w:p>
            <w:pPr/>
          </w:p>
        </w:tc>
        <w:tc>
          <w:tcPr>
            <w:tcW w:w="286" w:type="dxa"/>
            <w:tcBorders>
              <w:top w:val="single" w:sz="15" w:space="0" w:color="000000"/>
              <w:left w:val="single" w:sz="4" w:space="0" w:color="000000"/>
              <w:bottom w:val="single" w:sz="4" w:space="0" w:color="000000"/>
              <w:right w:val="single" w:sz="4" w:space="0" w:color="000000"/>
            </w:tcBorders>
          </w:tcPr>
          <w:p>
            <w:pPr/>
          </w:p>
        </w:tc>
        <w:tc>
          <w:tcPr>
            <w:tcW w:w="284"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6,674,675.85</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-25,275,547.24</w:t>
            </w: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71,865.28</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35,144,370.37</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2,135,991.62</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2,135,991.62</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center"/>
              <w:rPr>
                <w:rFonts w:ascii="Arial" w:hAnsi="Arial" w:cs="Arial" w:eastAsia="Arial" w:hint="default"/>
                <w:sz w:val="18"/>
                <w:szCs w:val="18"/>
              </w:rPr>
            </w:pPr>
            <w:r>
              <w:rPr>
                <w:rFonts w:ascii="Arial"/>
                <w:sz w:val="18"/>
              </w:rPr>
              <w:t>4,524,969.96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-36,581,371.38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-32,056,401.42</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8" w:right="0"/>
              <w:jc w:val="center"/>
              <w:rPr>
                <w:rFonts w:ascii="Arial" w:hAnsi="Arial" w:cs="Arial" w:eastAsia="Arial" w:hint="default"/>
                <w:sz w:val="18"/>
                <w:szCs w:val="18"/>
              </w:rPr>
            </w:pPr>
            <w:r>
              <w:rPr>
                <w:rFonts w:ascii="Arial"/>
                <w:sz w:val="18"/>
              </w:rPr>
              <w:t>4,524,969.96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-4,524,969.96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1" w:right="269"/>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．对所有者（或股 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-32,056,401.42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-32,056,401.42</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190"/>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320,680,046.00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-320,680,046.00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320,680,046.00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-320,680,046.00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644,482,388.00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279,084,161.19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54,428,117.96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Arial" w:hAnsi="Arial" w:cs="Arial" w:eastAsia="Arial" w:hint="default"/>
                <w:sz w:val="18"/>
                <w:szCs w:val="18"/>
              </w:rPr>
            </w:pPr>
            <w:r>
              <w:rPr>
                <w:rFonts w:ascii="Arial"/>
                <w:sz w:val="18"/>
              </w:rPr>
              <w:t>42,888,821.70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886,077,370.45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50,186,030.75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1,848,290,654.13</w:t>
            </w:r>
          </w:p>
        </w:tc>
      </w:tr>
    </w:tbl>
    <w:p>
      <w:pPr>
        <w:spacing w:after="0" w:line="240" w:lineRule="auto"/>
        <w:jc w:val="right"/>
        <w:rPr>
          <w:rFonts w:ascii="Arial" w:hAnsi="Arial" w:cs="Arial" w:eastAsia="Arial" w:hint="default"/>
          <w:sz w:val="18"/>
          <w:szCs w:val="18"/>
        </w:rPr>
        <w:sectPr>
          <w:headerReference w:type="default" r:id="rId31"/>
          <w:footerReference w:type="default" r:id="rId32"/>
          <w:pgSz w:w="16840" w:h="11910" w:orient="landscape"/>
          <w:pgMar w:header="866" w:footer="980" w:top="1060" w:bottom="1160" w:left="1360" w:right="1220"/>
          <w:pgNumType w:start="120"/>
        </w:sectPr>
      </w:pPr>
    </w:p>
    <w:p>
      <w:pPr>
        <w:spacing w:line="353" w:lineRule="exact" w:before="0"/>
        <w:ind w:left="140" w:right="0" w:firstLine="0"/>
        <w:jc w:val="left"/>
        <w:rPr>
          <w:rFonts w:ascii="Microsoft JhengHei" w:hAnsi="Microsoft JhengHei" w:cs="Microsoft JhengHei" w:eastAsia="Microsoft JhengHei" w:hint="default"/>
          <w:sz w:val="21"/>
          <w:szCs w:val="21"/>
        </w:rPr>
      </w:pPr>
      <w:r>
        <w:rPr/>
        <w:pict>
          <v:group style="position:absolute;margin-left:70.559998pt;margin-top:2.252832pt;width:700.9pt;height:.1pt;mso-position-horizontal-relative:page;mso-position-vertical-relative:paragraph;z-index:-886504" coordorigin="1411,45" coordsize="14018,2">
            <v:shape style="position:absolute;left:1411;top:45;width:14018;height:2" coordorigin="1411,45" coordsize="14018,0" path="m1411,45l15429,45e" filled="false" stroked="true" strokeweight=".72pt" strokecolor="#000000">
              <v:path arrowok="t"/>
            </v:shape>
            <w10:wrap type="none"/>
          </v:group>
        </w:pict>
      </w: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、母公司所有者权益变动表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21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79" w:type="dxa"/>
        <w:tblLayout w:type="fixed"/>
        <w:tblCellMar>
          <w:top w:w="0" w:type="dxa"/>
          <w:left w:w="0" w:type="dxa"/>
          <w:bottom w:w="0" w:type="dxa"/>
          <w:right w:w="0" w:type="dxa"/>
        </w:tblCellMar>
        <w:tblLook w:val="01E0"/>
      </w:tblPr>
      <w:tblGrid>
        <w:gridCol w:w="3239"/>
        <w:gridCol w:w="1429"/>
        <w:gridCol w:w="425"/>
        <w:gridCol w:w="427"/>
        <w:gridCol w:w="425"/>
        <w:gridCol w:w="1558"/>
        <w:gridCol w:w="1419"/>
        <w:gridCol w:w="425"/>
        <w:gridCol w:w="425"/>
        <w:gridCol w:w="1277"/>
        <w:gridCol w:w="1417"/>
        <w:gridCol w:w="1560"/>
      </w:tblGrid>
      <w:tr>
        <w:trPr>
          <w:trHeight w:val="396" w:hRule="exact"/>
        </w:trPr>
        <w:tc>
          <w:tcPr>
            <w:tcW w:w="3239" w:type="dxa"/>
            <w:vMerge w:val="restart"/>
            <w:tcBorders>
              <w:top w:val="single" w:sz="4" w:space="0" w:color="000000"/>
              <w:left w:val="single" w:sz="4" w:space="0" w:color="000000"/>
              <w:right w:val="single" w:sz="4" w:space="0" w:color="000000"/>
            </w:tcBorders>
            <w:shd w:val="clear" w:color="auto" w:fill="D2D2D2"/>
          </w:tcPr>
          <w:p>
            <w:pPr/>
          </w:p>
        </w:tc>
        <w:tc>
          <w:tcPr>
            <w:tcW w:w="1078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8" w:hRule="exact"/>
        </w:trPr>
        <w:tc>
          <w:tcPr>
            <w:tcW w:w="323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12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8" w:right="2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32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tcBorders>
              <w:left w:val="single" w:sz="4" w:space="0" w:color="000000"/>
              <w:bottom w:val="single" w:sz="14" w:space="0" w:color="FFFFFF"/>
              <w:right w:val="single" w:sz="4" w:space="0" w:color="000000"/>
            </w:tcBorders>
            <w:shd w:val="clear" w:color="auto" w:fill="D2D2D2"/>
          </w:tcPr>
          <w:p>
            <w:pPr/>
          </w:p>
        </w:tc>
        <w:tc>
          <w:tcPr>
            <w:tcW w:w="1277" w:type="dxa"/>
            <w:gridSpan w:val="3"/>
            <w:vMerge/>
            <w:tcBorders>
              <w:left w:val="single" w:sz="4" w:space="0" w:color="000000"/>
              <w:bottom w:val="single" w:sz="14" w:space="0" w:color="FFFFFF"/>
              <w:right w:val="single" w:sz="4" w:space="0" w:color="000000"/>
            </w:tcBorders>
            <w:shd w:val="clear" w:color="auto" w:fill="D2D2D2"/>
          </w:tcPr>
          <w:p>
            <w:pPr/>
          </w:p>
        </w:tc>
        <w:tc>
          <w:tcPr>
            <w:tcW w:w="1558" w:type="dxa"/>
            <w:vMerge/>
            <w:tcBorders>
              <w:left w:val="single" w:sz="4" w:space="0" w:color="000000"/>
              <w:bottom w:val="single" w:sz="14" w:space="0" w:color="FFFFFF"/>
              <w:right w:val="single" w:sz="4" w:space="0" w:color="000000"/>
            </w:tcBorders>
            <w:shd w:val="clear" w:color="auto" w:fill="D2D2D2"/>
          </w:tcPr>
          <w:p>
            <w:pPr/>
          </w:p>
        </w:tc>
        <w:tc>
          <w:tcPr>
            <w:tcW w:w="1419" w:type="dxa"/>
            <w:vMerge/>
            <w:tcBorders>
              <w:left w:val="single" w:sz="4" w:space="0" w:color="000000"/>
              <w:bottom w:val="single" w:sz="14" w:space="0" w:color="FFFFFF"/>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88" w:hRule="exact"/>
        </w:trPr>
        <w:tc>
          <w:tcPr>
            <w:tcW w:w="323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6"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17" w:right="2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7"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17" w:right="2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55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4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3239"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3239"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3239"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644,482,388.00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452,539,513.83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54,428,117.96</w:t>
            </w:r>
          </w:p>
        </w:tc>
        <w:tc>
          <w:tcPr>
            <w:tcW w:w="425" w:type="dxa"/>
            <w:tcBorders>
              <w:top w:val="single" w:sz="18" w:space="0" w:color="D2D2D2"/>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Arial" w:hAnsi="Arial" w:cs="Arial" w:eastAsia="Arial" w:hint="default"/>
                <w:sz w:val="18"/>
                <w:szCs w:val="18"/>
              </w:rPr>
            </w:pPr>
            <w:r>
              <w:rPr>
                <w:rFonts w:ascii="Arial"/>
                <w:sz w:val="18"/>
              </w:rPr>
              <w:t>42,888,821.70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139,272,392.68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1,224,754,998.25</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644,482,388.00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452,539,513.83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54,428,117.96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Arial" w:hAnsi="Arial" w:cs="Arial" w:eastAsia="Arial" w:hint="default"/>
                <w:sz w:val="18"/>
                <w:szCs w:val="18"/>
              </w:rPr>
            </w:pPr>
            <w:r>
              <w:rPr>
                <w:rFonts w:ascii="Arial"/>
                <w:sz w:val="18"/>
              </w:rPr>
              <w:t>42,888,821.70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139,272,392.68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1,224,754,998.25</w:t>
            </w:r>
          </w:p>
        </w:tc>
      </w:tr>
      <w:tr>
        <w:trPr>
          <w:trHeight w:val="71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0" w:right="36"/>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2"/>
                <w:sz w:val="18"/>
              </w:rPr>
              <w:t>116,198,788.00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2"/>
                <w:sz w:val="18"/>
              </w:rPr>
              <w:t>1,632,114,757.94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191,494,615.26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8" w:right="0"/>
              <w:jc w:val="center"/>
              <w:rPr>
                <w:rFonts w:ascii="Arial" w:hAnsi="Arial" w:cs="Arial" w:eastAsia="Arial" w:hint="default"/>
                <w:sz w:val="18"/>
                <w:szCs w:val="18"/>
              </w:rPr>
            </w:pPr>
            <w:r>
              <w:rPr>
                <w:rFonts w:ascii="Arial"/>
                <w:sz w:val="18"/>
              </w:rPr>
              <w:t>4,369,005.96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7,109,412.29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1,568,297,348.93</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43,690,059.63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43,690,059.63</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2"/>
                <w:sz w:val="18"/>
              </w:rPr>
              <w:t>116,198,788.00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1,632,114,757.94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191,494,615.26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1,556,818,930.68</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．股东投入的普通股</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91,753,235.00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1,402,086,756.20</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1,493,839,991.20</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．其他权益工具持有者投入资本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．股份支付计入所有者权益的金额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24,445,553.00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224,110,007.74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191,494,615.26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57,060,945.48</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5,917,994.00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5,917,994.00</w:t>
            </w: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center"/>
              <w:rPr>
                <w:rFonts w:ascii="Arial" w:hAnsi="Arial" w:cs="Arial" w:eastAsia="Arial" w:hint="default"/>
                <w:sz w:val="18"/>
                <w:szCs w:val="18"/>
              </w:rPr>
            </w:pPr>
            <w:r>
              <w:rPr>
                <w:rFonts w:ascii="Arial"/>
                <w:sz w:val="18"/>
              </w:rPr>
              <w:t>4,369,005.96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-36,580,647.34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-32,211,641.38</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8" w:right="0"/>
              <w:jc w:val="center"/>
              <w:rPr>
                <w:rFonts w:ascii="Arial" w:hAnsi="Arial" w:cs="Arial" w:eastAsia="Arial" w:hint="default"/>
                <w:sz w:val="18"/>
                <w:szCs w:val="18"/>
              </w:rPr>
            </w:pPr>
            <w:r>
              <w:rPr>
                <w:rFonts w:ascii="Arial"/>
                <w:sz w:val="18"/>
              </w:rPr>
              <w:t>4,369,005.96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-4,369,005.96</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2"/>
                <w:sz w:val="18"/>
              </w:rPr>
              <w:t>-32,211,641.38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-32,211,641.38</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6" w:footer="980" w:top="1060" w:bottom="1160" w:left="1300" w:right="1220"/>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261"/>
        <w:gridCol w:w="1418"/>
        <w:gridCol w:w="425"/>
        <w:gridCol w:w="427"/>
        <w:gridCol w:w="425"/>
        <w:gridCol w:w="1558"/>
        <w:gridCol w:w="1419"/>
        <w:gridCol w:w="425"/>
        <w:gridCol w:w="425"/>
        <w:gridCol w:w="1277"/>
        <w:gridCol w:w="1417"/>
        <w:gridCol w:w="1560"/>
      </w:tblGrid>
      <w:tr>
        <w:trPr>
          <w:trHeight w:val="418" w:hRule="exact"/>
        </w:trPr>
        <w:tc>
          <w:tcPr>
            <w:tcW w:w="326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3" w:right="0"/>
              <w:jc w:val="left"/>
              <w:rPr>
                <w:rFonts w:ascii="Arial" w:hAnsi="Arial" w:cs="Arial" w:eastAsia="Arial" w:hint="default"/>
                <w:sz w:val="18"/>
                <w:szCs w:val="18"/>
              </w:rPr>
            </w:pPr>
            <w:r>
              <w:rPr>
                <w:rFonts w:ascii="Arial"/>
                <w:sz w:val="18"/>
              </w:rPr>
              <w:t>760,681,176.00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2" w:right="0"/>
              <w:jc w:val="left"/>
              <w:rPr>
                <w:rFonts w:ascii="Arial" w:hAnsi="Arial" w:cs="Arial" w:eastAsia="Arial" w:hint="default"/>
                <w:sz w:val="18"/>
                <w:szCs w:val="18"/>
              </w:rPr>
            </w:pPr>
            <w:r>
              <w:rPr>
                <w:rFonts w:ascii="Arial"/>
                <w:sz w:val="18"/>
              </w:rPr>
              <w:t>2,084,654,271.77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Arial" w:hAnsi="Arial" w:cs="Arial" w:eastAsia="Arial" w:hint="default"/>
                <w:sz w:val="18"/>
                <w:szCs w:val="18"/>
              </w:rPr>
            </w:pPr>
            <w:r>
              <w:rPr>
                <w:rFonts w:ascii="Arial"/>
                <w:sz w:val="18"/>
              </w:rPr>
              <w:t>245,922,733.22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left"/>
              <w:rPr>
                <w:rFonts w:ascii="Arial" w:hAnsi="Arial" w:cs="Arial" w:eastAsia="Arial" w:hint="default"/>
                <w:sz w:val="18"/>
                <w:szCs w:val="18"/>
              </w:rPr>
            </w:pPr>
            <w:r>
              <w:rPr>
                <w:rFonts w:ascii="Arial"/>
                <w:sz w:val="18"/>
              </w:rPr>
              <w:t>47,257,827.66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1" w:right="0"/>
              <w:jc w:val="left"/>
              <w:rPr>
                <w:rFonts w:ascii="Arial" w:hAnsi="Arial" w:cs="Arial" w:eastAsia="Arial" w:hint="default"/>
                <w:sz w:val="18"/>
                <w:szCs w:val="18"/>
              </w:rPr>
            </w:pPr>
            <w:r>
              <w:rPr>
                <w:rFonts w:ascii="Arial"/>
                <w:sz w:val="18"/>
              </w:rPr>
              <w:t>146,381,804.97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7" w:right="0"/>
              <w:jc w:val="left"/>
              <w:rPr>
                <w:rFonts w:ascii="Arial" w:hAnsi="Arial" w:cs="Arial" w:eastAsia="Arial" w:hint="default"/>
                <w:sz w:val="18"/>
                <w:szCs w:val="18"/>
              </w:rPr>
            </w:pPr>
            <w:r>
              <w:rPr>
                <w:rFonts w:ascii="Arial"/>
                <w:sz w:val="18"/>
              </w:rPr>
              <w:t>2,793,052,347.18</w:t>
            </w:r>
          </w:p>
        </w:tc>
      </w:tr>
    </w:tbl>
    <w:p>
      <w:pPr>
        <w:spacing w:line="240" w:lineRule="auto" w:before="2"/>
        <w:rPr>
          <w:rFonts w:ascii="宋体" w:hAnsi="宋体" w:cs="宋体" w:eastAsia="宋体" w:hint="default"/>
          <w:sz w:val="27"/>
          <w:szCs w:val="27"/>
        </w:rPr>
      </w:pPr>
    </w:p>
    <w:p>
      <w:pPr>
        <w:spacing w:before="44"/>
        <w:ind w:left="0" w:right="21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39"/>
        <w:gridCol w:w="1429"/>
        <w:gridCol w:w="425"/>
        <w:gridCol w:w="427"/>
        <w:gridCol w:w="425"/>
        <w:gridCol w:w="1558"/>
        <w:gridCol w:w="1419"/>
        <w:gridCol w:w="425"/>
        <w:gridCol w:w="425"/>
        <w:gridCol w:w="1277"/>
        <w:gridCol w:w="1417"/>
        <w:gridCol w:w="1560"/>
      </w:tblGrid>
      <w:tr>
        <w:trPr>
          <w:trHeight w:val="396" w:hRule="exact"/>
        </w:trPr>
        <w:tc>
          <w:tcPr>
            <w:tcW w:w="3239" w:type="dxa"/>
            <w:vMerge w:val="restart"/>
            <w:tcBorders>
              <w:top w:val="single" w:sz="4" w:space="0" w:color="000000"/>
              <w:left w:val="single" w:sz="4" w:space="0" w:color="000000"/>
              <w:right w:val="single" w:sz="4" w:space="0" w:color="000000"/>
            </w:tcBorders>
            <w:shd w:val="clear" w:color="auto" w:fill="D2D2D2"/>
          </w:tcPr>
          <w:p>
            <w:pPr/>
          </w:p>
        </w:tc>
        <w:tc>
          <w:tcPr>
            <w:tcW w:w="1078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8" w:hRule="exact"/>
        </w:trPr>
        <w:tc>
          <w:tcPr>
            <w:tcW w:w="323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12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8" w:right="2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32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tcBorders>
              <w:left w:val="single" w:sz="4" w:space="0" w:color="000000"/>
              <w:bottom w:val="single" w:sz="14" w:space="0" w:color="FFFFFF"/>
              <w:right w:val="single" w:sz="4" w:space="0" w:color="000000"/>
            </w:tcBorders>
            <w:shd w:val="clear" w:color="auto" w:fill="D2D2D2"/>
          </w:tcPr>
          <w:p>
            <w:pPr/>
          </w:p>
        </w:tc>
        <w:tc>
          <w:tcPr>
            <w:tcW w:w="1277" w:type="dxa"/>
            <w:gridSpan w:val="3"/>
            <w:vMerge/>
            <w:tcBorders>
              <w:left w:val="single" w:sz="4" w:space="0" w:color="000000"/>
              <w:bottom w:val="single" w:sz="14" w:space="0" w:color="FFFFFF"/>
              <w:right w:val="single" w:sz="4" w:space="0" w:color="000000"/>
            </w:tcBorders>
            <w:shd w:val="clear" w:color="auto" w:fill="D2D2D2"/>
          </w:tcPr>
          <w:p>
            <w:pPr/>
          </w:p>
        </w:tc>
        <w:tc>
          <w:tcPr>
            <w:tcW w:w="1558" w:type="dxa"/>
            <w:vMerge/>
            <w:tcBorders>
              <w:left w:val="single" w:sz="4" w:space="0" w:color="000000"/>
              <w:bottom w:val="single" w:sz="14" w:space="0" w:color="FFFFFF"/>
              <w:right w:val="single" w:sz="4" w:space="0" w:color="000000"/>
            </w:tcBorders>
            <w:shd w:val="clear" w:color="auto" w:fill="D2D2D2"/>
          </w:tcPr>
          <w:p>
            <w:pPr/>
          </w:p>
        </w:tc>
        <w:tc>
          <w:tcPr>
            <w:tcW w:w="1419" w:type="dxa"/>
            <w:vMerge/>
            <w:tcBorders>
              <w:left w:val="single" w:sz="4" w:space="0" w:color="000000"/>
              <w:bottom w:val="single" w:sz="14" w:space="0" w:color="FFFFFF"/>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88" w:hRule="exact"/>
        </w:trPr>
        <w:tc>
          <w:tcPr>
            <w:tcW w:w="323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6"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67"/>
              <w:ind w:left="117" w:right="2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7"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67"/>
              <w:ind w:left="117" w:right="2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55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4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3239"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3239"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3239"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320,680,060.00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764,337,027.08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79,703,665.20</w:t>
            </w:r>
          </w:p>
        </w:tc>
        <w:tc>
          <w:tcPr>
            <w:tcW w:w="425" w:type="dxa"/>
            <w:tcBorders>
              <w:top w:val="single" w:sz="18" w:space="0" w:color="D2D2D2"/>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Arial" w:hAnsi="Arial" w:cs="Arial" w:eastAsia="Arial" w:hint="default"/>
                <w:sz w:val="18"/>
                <w:szCs w:val="18"/>
              </w:rPr>
            </w:pPr>
            <w:r>
              <w:rPr>
                <w:rFonts w:ascii="Arial"/>
                <w:sz w:val="18"/>
              </w:rPr>
              <w:t>38,363,851.74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130,604,064.45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1,174,281,338.07</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16"/>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16"/>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320,680,060.00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764,337,027.08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79,703,665.20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Arial" w:hAnsi="Arial" w:cs="Arial" w:eastAsia="Arial" w:hint="default"/>
                <w:sz w:val="18"/>
                <w:szCs w:val="18"/>
              </w:rPr>
            </w:pPr>
            <w:r>
              <w:rPr>
                <w:rFonts w:ascii="Arial"/>
                <w:sz w:val="18"/>
              </w:rPr>
              <w:t>38,363,851.74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130,604,064.45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1,174,281,338.07</w:t>
            </w:r>
          </w:p>
        </w:tc>
      </w:tr>
      <w:tr>
        <w:trPr>
          <w:trHeight w:val="71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 w:right="36"/>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323,802,328.00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2"/>
                <w:sz w:val="18"/>
              </w:rPr>
              <w:t>-311,797,513.25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-25,275,547.24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8" w:right="0"/>
              <w:jc w:val="center"/>
              <w:rPr>
                <w:rFonts w:ascii="Arial" w:hAnsi="Arial" w:cs="Arial" w:eastAsia="Arial" w:hint="default"/>
                <w:sz w:val="18"/>
                <w:szCs w:val="18"/>
              </w:rPr>
            </w:pPr>
            <w:r>
              <w:rPr>
                <w:rFonts w:ascii="Arial"/>
                <w:sz w:val="18"/>
              </w:rPr>
              <w:t>4,524,969.96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8,668,328.23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50,473,660.18</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45,249,699.61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45,249,699.61</w:t>
            </w:r>
          </w:p>
        </w:tc>
      </w:tr>
    </w:tbl>
    <w:p>
      <w:pPr>
        <w:spacing w:after="0" w:line="240" w:lineRule="auto"/>
        <w:jc w:val="right"/>
        <w:rPr>
          <w:rFonts w:ascii="Arial" w:hAnsi="Arial" w:cs="Arial" w:eastAsia="Arial" w:hint="default"/>
          <w:sz w:val="18"/>
          <w:szCs w:val="18"/>
        </w:rPr>
        <w:sectPr>
          <w:pgSz w:w="16840" w:h="11910" w:orient="landscape"/>
          <w:pgMar w:header="866" w:footer="980" w:top="1060" w:bottom="1160" w:left="1360" w:right="12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261"/>
        <w:gridCol w:w="1418"/>
        <w:gridCol w:w="425"/>
        <w:gridCol w:w="427"/>
        <w:gridCol w:w="425"/>
        <w:gridCol w:w="1558"/>
        <w:gridCol w:w="1419"/>
        <w:gridCol w:w="425"/>
        <w:gridCol w:w="425"/>
        <w:gridCol w:w="1277"/>
        <w:gridCol w:w="1417"/>
        <w:gridCol w:w="1560"/>
      </w:tblGrid>
      <w:tr>
        <w:trPr>
          <w:trHeight w:val="418" w:hRule="exact"/>
        </w:trPr>
        <w:tc>
          <w:tcPr>
            <w:tcW w:w="326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Arial" w:hAnsi="Arial" w:cs="Arial" w:eastAsia="Arial" w:hint="default"/>
                <w:sz w:val="18"/>
                <w:szCs w:val="18"/>
              </w:rPr>
            </w:pPr>
            <w:r>
              <w:rPr>
                <w:rFonts w:ascii="Arial"/>
                <w:spacing w:val="-1"/>
                <w:sz w:val="18"/>
              </w:rPr>
              <w:t>3,122,282.00</w:t>
            </w:r>
          </w:p>
        </w:tc>
        <w:tc>
          <w:tcPr>
            <w:tcW w:w="425"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8,882,532.75</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-25,275,547.24</w:t>
            </w: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37,280,361.99</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．股份支付计入所有者权益的金额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3,122,282.00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6,746,541.13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-25,275,547.24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35,144,370.37</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2,135,991.62</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2,135,991.62</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8" w:right="0"/>
              <w:jc w:val="center"/>
              <w:rPr>
                <w:rFonts w:ascii="Arial" w:hAnsi="Arial" w:cs="Arial" w:eastAsia="Arial" w:hint="default"/>
                <w:sz w:val="18"/>
                <w:szCs w:val="18"/>
              </w:rPr>
            </w:pPr>
            <w:r>
              <w:rPr>
                <w:rFonts w:ascii="Arial"/>
                <w:sz w:val="18"/>
              </w:rPr>
              <w:t>4,524,969.96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-36,581,371.38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-32,056,401.42</w:t>
            </w:r>
          </w:p>
        </w:tc>
      </w:tr>
      <w:tr>
        <w:trPr>
          <w:trHeight w:val="40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center"/>
              <w:rPr>
                <w:rFonts w:ascii="Arial" w:hAnsi="Arial" w:cs="Arial" w:eastAsia="Arial" w:hint="default"/>
                <w:sz w:val="18"/>
                <w:szCs w:val="18"/>
              </w:rPr>
            </w:pPr>
            <w:r>
              <w:rPr>
                <w:rFonts w:ascii="Arial"/>
                <w:sz w:val="18"/>
              </w:rPr>
              <w:t>4,524,969.96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Arial" w:hAnsi="Arial" w:cs="Arial" w:eastAsia="Arial" w:hint="default"/>
                <w:sz w:val="18"/>
                <w:szCs w:val="18"/>
              </w:rPr>
            </w:pPr>
            <w:r>
              <w:rPr>
                <w:rFonts w:ascii="Arial"/>
                <w:spacing w:val="-1"/>
                <w:sz w:val="18"/>
              </w:rPr>
              <w:t>-4,524,969.96</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．对所有者（或股东）的分配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-32,056,401.42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-32,056,401.42</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320,680,046.00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-320,680,046.00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320,680,046.00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-320,680,046.00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644,482,388.00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452,539,513.83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54,428,117.96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Arial" w:hAnsi="Arial" w:cs="Arial" w:eastAsia="Arial" w:hint="default"/>
                <w:sz w:val="18"/>
                <w:szCs w:val="18"/>
              </w:rPr>
            </w:pPr>
            <w:r>
              <w:rPr>
                <w:rFonts w:ascii="Arial"/>
                <w:sz w:val="18"/>
              </w:rPr>
              <w:t>42,888,821.70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139,272,392.68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1,224,754,998.25</w:t>
            </w:r>
          </w:p>
        </w:tc>
      </w:tr>
    </w:tbl>
    <w:p>
      <w:pPr>
        <w:spacing w:after="0" w:line="240" w:lineRule="auto"/>
        <w:jc w:val="right"/>
        <w:rPr>
          <w:rFonts w:ascii="Arial" w:hAnsi="Arial" w:cs="Arial" w:eastAsia="Arial" w:hint="default"/>
          <w:sz w:val="18"/>
          <w:szCs w:val="18"/>
        </w:rPr>
        <w:sectPr>
          <w:pgSz w:w="16840" w:h="11910" w:orient="landscape"/>
          <w:pgMar w:header="866" w:footer="980" w:top="1060" w:bottom="1160" w:left="1360" w:right="1220"/>
        </w:sectPr>
      </w:pPr>
    </w:p>
    <w:p>
      <w:pPr>
        <w:spacing w:line="240" w:lineRule="auto" w:before="5"/>
        <w:rPr>
          <w:rFonts w:ascii="Times New Roman" w:hAnsi="Times New Roman" w:cs="Times New Roman" w:eastAsia="Times New Roman" w:hint="default"/>
          <w:sz w:val="22"/>
          <w:szCs w:val="22"/>
        </w:rPr>
      </w:pPr>
    </w:p>
    <w:p>
      <w:pPr>
        <w:pStyle w:val="Heading2"/>
        <w:spacing w:line="367" w:lineRule="exact"/>
        <w:ind w:right="0"/>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20"/>
          <w:szCs w:val="20"/>
        </w:rPr>
      </w:pPr>
    </w:p>
    <w:p>
      <w:pPr>
        <w:spacing w:line="302" w:lineRule="auto" w:before="0"/>
        <w:ind w:left="152" w:right="0" w:firstLine="425"/>
        <w:jc w:val="left"/>
        <w:rPr>
          <w:rFonts w:ascii="宋体" w:hAnsi="宋体" w:cs="宋体" w:eastAsia="宋体" w:hint="default"/>
          <w:sz w:val="21"/>
          <w:szCs w:val="21"/>
        </w:rPr>
      </w:pPr>
      <w:r>
        <w:rPr>
          <w:rFonts w:ascii="宋体" w:hAnsi="宋体" w:cs="宋体" w:eastAsia="宋体" w:hint="default"/>
          <w:sz w:val="21"/>
          <w:szCs w:val="21"/>
        </w:rPr>
        <w:t>北京华宇软件股份有限公司（以下简称</w:t>
      </w:r>
      <w:r>
        <w:rPr>
          <w:rFonts w:ascii="Arial" w:hAnsi="Arial" w:cs="Arial" w:eastAsia="Arial" w:hint="default"/>
          <w:sz w:val="21"/>
          <w:szCs w:val="21"/>
        </w:rPr>
        <w:t>“</w:t>
      </w:r>
      <w:r>
        <w:rPr>
          <w:rFonts w:ascii="宋体" w:hAnsi="宋体" w:cs="宋体" w:eastAsia="宋体" w:hint="default"/>
          <w:sz w:val="21"/>
          <w:szCs w:val="21"/>
        </w:rPr>
        <w:t>本公司</w:t>
      </w:r>
      <w:r>
        <w:rPr>
          <w:rFonts w:ascii="Arial" w:hAnsi="Arial" w:cs="Arial" w:eastAsia="Arial" w:hint="default"/>
          <w:sz w:val="21"/>
          <w:szCs w:val="21"/>
        </w:rPr>
        <w:t>”</w:t>
      </w:r>
      <w:r>
        <w:rPr>
          <w:rFonts w:ascii="宋体" w:hAnsi="宋体" w:cs="宋体" w:eastAsia="宋体" w:hint="default"/>
          <w:sz w:val="21"/>
          <w:szCs w:val="21"/>
        </w:rPr>
        <w:t>或</w:t>
      </w:r>
      <w:r>
        <w:rPr>
          <w:rFonts w:ascii="Arial" w:hAnsi="Arial" w:cs="Arial" w:eastAsia="Arial" w:hint="default"/>
          <w:sz w:val="21"/>
          <w:szCs w:val="21"/>
        </w:rPr>
        <w:t>“</w:t>
      </w:r>
      <w:r>
        <w:rPr>
          <w:rFonts w:ascii="宋体" w:hAnsi="宋体" w:cs="宋体" w:eastAsia="宋体" w:hint="default"/>
          <w:sz w:val="21"/>
          <w:szCs w:val="21"/>
        </w:rPr>
        <w:t>公司</w:t>
      </w:r>
      <w:r>
        <w:rPr>
          <w:rFonts w:ascii="Arial" w:hAnsi="Arial" w:cs="Arial" w:eastAsia="Arial" w:hint="default"/>
          <w:sz w:val="21"/>
          <w:szCs w:val="21"/>
        </w:rPr>
        <w:t>”</w:t>
      </w:r>
      <w:r>
        <w:rPr>
          <w:rFonts w:ascii="宋体" w:hAnsi="宋体" w:cs="宋体" w:eastAsia="宋体" w:hint="default"/>
          <w:sz w:val="21"/>
          <w:szCs w:val="21"/>
        </w:rPr>
        <w:t>）（原名</w:t>
      </w:r>
      <w:r>
        <w:rPr>
          <w:rFonts w:ascii="Arial" w:hAnsi="Arial" w:cs="Arial" w:eastAsia="Arial" w:hint="default"/>
          <w:sz w:val="21"/>
          <w:szCs w:val="21"/>
        </w:rPr>
        <w:t>“</w:t>
      </w:r>
      <w:r>
        <w:rPr>
          <w:rFonts w:ascii="宋体" w:hAnsi="宋体" w:cs="宋体" w:eastAsia="宋体" w:hint="default"/>
          <w:sz w:val="21"/>
          <w:szCs w:val="21"/>
        </w:rPr>
        <w:t>北京清华紫光软件股份有限公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Arial" w:hAnsi="Arial" w:cs="Arial" w:eastAsia="Arial" w:hint="default"/>
          <w:sz w:val="21"/>
          <w:szCs w:val="21"/>
        </w:rPr>
        <w:t>”</w:t>
      </w:r>
      <w:r>
        <w:rPr>
          <w:rFonts w:ascii="宋体" w:hAnsi="宋体" w:cs="宋体" w:eastAsia="宋体" w:hint="default"/>
          <w:sz w:val="21"/>
          <w:szCs w:val="21"/>
        </w:rPr>
        <w:t>）系经北京市人民政府经济体制改革办公室于</w:t>
      </w:r>
      <w:r>
        <w:rPr>
          <w:rFonts w:ascii="Arial" w:hAnsi="Arial" w:cs="Arial" w:eastAsia="Arial" w:hint="default"/>
          <w:sz w:val="21"/>
          <w:szCs w:val="21"/>
        </w:rPr>
        <w:t>2001</w:t>
      </w:r>
      <w:r>
        <w:rPr>
          <w:rFonts w:ascii="宋体" w:hAnsi="宋体" w:cs="宋体" w:eastAsia="宋体" w:hint="default"/>
          <w:sz w:val="21"/>
          <w:szCs w:val="21"/>
        </w:rPr>
        <w:t>年</w:t>
      </w:r>
      <w:r>
        <w:rPr>
          <w:rFonts w:ascii="Arial" w:hAnsi="Arial" w:cs="Arial" w:eastAsia="Arial" w:hint="default"/>
          <w:sz w:val="21"/>
          <w:szCs w:val="21"/>
        </w:rPr>
        <w:t>6</w:t>
      </w:r>
      <w:r>
        <w:rPr>
          <w:rFonts w:ascii="宋体" w:hAnsi="宋体" w:cs="宋体" w:eastAsia="宋体" w:hint="default"/>
          <w:sz w:val="21"/>
          <w:szCs w:val="21"/>
        </w:rPr>
        <w:t>月</w:t>
      </w:r>
      <w:r>
        <w:rPr>
          <w:rFonts w:ascii="Arial" w:hAnsi="Arial" w:cs="Arial" w:eastAsia="Arial" w:hint="default"/>
          <w:sz w:val="21"/>
          <w:szCs w:val="21"/>
        </w:rPr>
        <w:t>11</w:t>
      </w:r>
      <w:r>
        <w:rPr>
          <w:rFonts w:ascii="宋体" w:hAnsi="宋体" w:cs="宋体" w:eastAsia="宋体" w:hint="default"/>
          <w:sz w:val="21"/>
          <w:szCs w:val="21"/>
        </w:rPr>
        <w:t>日以京政体改股函</w:t>
      </w:r>
      <w:r>
        <w:rPr>
          <w:rFonts w:ascii="Arial" w:hAnsi="Arial" w:cs="Arial" w:eastAsia="Arial" w:hint="default"/>
          <w:sz w:val="21"/>
          <w:szCs w:val="21"/>
        </w:rPr>
        <w:t>[2001]38</w:t>
      </w:r>
      <w:r>
        <w:rPr>
          <w:rFonts w:ascii="宋体" w:hAnsi="宋体" w:cs="宋体" w:eastAsia="宋体" w:hint="default"/>
          <w:sz w:val="21"/>
          <w:szCs w:val="21"/>
        </w:rPr>
        <w:t>号文批准，由</w:t>
      </w:r>
      <w:r>
        <w:rPr>
          <w:rFonts w:ascii="宋体" w:hAnsi="宋体" w:cs="宋体" w:eastAsia="宋体" w:hint="default"/>
          <w:w w:val="100"/>
          <w:sz w:val="21"/>
          <w:szCs w:val="21"/>
        </w:rPr>
        <w:t> </w:t>
      </w:r>
      <w:r>
        <w:rPr>
          <w:rFonts w:ascii="宋体" w:hAnsi="宋体" w:cs="宋体" w:eastAsia="宋体" w:hint="default"/>
          <w:sz w:val="21"/>
          <w:szCs w:val="21"/>
        </w:rPr>
        <w:t>清华紫光股份有限公司（以下简称紫光股份）作为主发起人，以原清华紫光软件中心净资产及部分现金</w:t>
      </w:r>
      <w:r>
        <w:rPr>
          <w:rFonts w:ascii="宋体" w:hAnsi="宋体" w:cs="宋体" w:eastAsia="宋体" w:hint="default"/>
          <w:w w:val="100"/>
          <w:sz w:val="21"/>
          <w:szCs w:val="21"/>
        </w:rPr>
        <w:t> </w:t>
      </w:r>
      <w:r>
        <w:rPr>
          <w:rFonts w:ascii="宋体" w:hAnsi="宋体" w:cs="宋体" w:eastAsia="宋体" w:hint="default"/>
          <w:spacing w:val="-2"/>
          <w:sz w:val="21"/>
          <w:szCs w:val="21"/>
        </w:rPr>
        <w:t>作为出资，联合其他企业和自然人投入现金共同发起设立，成立于</w:t>
      </w:r>
      <w:r>
        <w:rPr>
          <w:rFonts w:ascii="Arial" w:hAnsi="Arial" w:cs="Arial" w:eastAsia="Arial" w:hint="default"/>
          <w:spacing w:val="-2"/>
          <w:sz w:val="21"/>
          <w:szCs w:val="21"/>
        </w:rPr>
        <w:t>2001</w:t>
      </w:r>
      <w:r>
        <w:rPr>
          <w:rFonts w:ascii="宋体" w:hAnsi="宋体" w:cs="宋体" w:eastAsia="宋体" w:hint="default"/>
          <w:spacing w:val="-2"/>
          <w:sz w:val="21"/>
          <w:szCs w:val="21"/>
        </w:rPr>
        <w:t>年</w:t>
      </w:r>
      <w:r>
        <w:rPr>
          <w:rFonts w:ascii="Arial" w:hAnsi="Arial" w:cs="Arial" w:eastAsia="Arial" w:hint="default"/>
          <w:spacing w:val="-2"/>
          <w:sz w:val="21"/>
          <w:szCs w:val="21"/>
        </w:rPr>
        <w:t>6</w:t>
      </w:r>
      <w:r>
        <w:rPr>
          <w:rFonts w:ascii="宋体" w:hAnsi="宋体" w:cs="宋体" w:eastAsia="宋体" w:hint="default"/>
          <w:spacing w:val="-2"/>
          <w:sz w:val="21"/>
          <w:szCs w:val="21"/>
        </w:rPr>
        <w:t>月</w:t>
      </w:r>
      <w:r>
        <w:rPr>
          <w:rFonts w:ascii="Arial" w:hAnsi="Arial" w:cs="Arial" w:eastAsia="Arial" w:hint="default"/>
          <w:spacing w:val="-2"/>
          <w:sz w:val="21"/>
          <w:szCs w:val="21"/>
        </w:rPr>
        <w:t>18</w:t>
      </w:r>
      <w:r>
        <w:rPr>
          <w:rFonts w:ascii="宋体" w:hAnsi="宋体" w:cs="宋体" w:eastAsia="宋体" w:hint="default"/>
          <w:spacing w:val="-2"/>
          <w:sz w:val="21"/>
          <w:szCs w:val="21"/>
        </w:rPr>
        <w:t>日的股份有限公司。公司</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成立时注册资本</w:t>
      </w:r>
      <w:r>
        <w:rPr>
          <w:rFonts w:ascii="Arial" w:hAnsi="Arial" w:cs="Arial" w:eastAsia="Arial" w:hint="default"/>
          <w:sz w:val="21"/>
          <w:szCs w:val="21"/>
        </w:rPr>
        <w:t>4,000</w:t>
      </w:r>
      <w:r>
        <w:rPr>
          <w:rFonts w:ascii="宋体" w:hAnsi="宋体" w:cs="宋体" w:eastAsia="宋体" w:hint="default"/>
          <w:sz w:val="21"/>
          <w:szCs w:val="21"/>
        </w:rPr>
        <w:t>万元。</w:t>
      </w:r>
    </w:p>
    <w:p>
      <w:pPr>
        <w:spacing w:line="297" w:lineRule="auto" w:before="165"/>
        <w:ind w:left="152" w:right="0" w:firstLine="425"/>
        <w:jc w:val="left"/>
        <w:rPr>
          <w:rFonts w:ascii="宋体" w:hAnsi="宋体" w:cs="宋体" w:eastAsia="宋体" w:hint="default"/>
          <w:sz w:val="21"/>
          <w:szCs w:val="21"/>
        </w:rPr>
      </w:pPr>
      <w:r>
        <w:rPr>
          <w:rFonts w:ascii="Arial" w:hAnsi="Arial" w:cs="Arial" w:eastAsia="Arial" w:hint="default"/>
          <w:spacing w:val="-2"/>
          <w:sz w:val="21"/>
          <w:szCs w:val="21"/>
        </w:rPr>
        <w:t>2003</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1</w:t>
      </w:r>
      <w:r>
        <w:rPr>
          <w:rFonts w:ascii="宋体" w:hAnsi="宋体" w:cs="宋体" w:eastAsia="宋体" w:hint="default"/>
          <w:spacing w:val="-2"/>
          <w:sz w:val="21"/>
          <w:szCs w:val="21"/>
        </w:rPr>
        <w:t>日，根据清华大学校企改制的要求和公司股权变化，经北京市工商行政管理局批准，</w:t>
      </w:r>
      <w:r>
        <w:rPr>
          <w:rFonts w:ascii="宋体" w:hAnsi="宋体" w:cs="宋体" w:eastAsia="宋体" w:hint="default"/>
          <w:w w:val="100"/>
          <w:sz w:val="21"/>
          <w:szCs w:val="21"/>
        </w:rPr>
        <w:t> </w:t>
      </w:r>
      <w:r>
        <w:rPr>
          <w:rFonts w:ascii="宋体" w:hAnsi="宋体" w:cs="宋体" w:eastAsia="宋体" w:hint="default"/>
          <w:sz w:val="21"/>
          <w:szCs w:val="21"/>
        </w:rPr>
        <w:t>公司更名为</w:t>
      </w:r>
      <w:r>
        <w:rPr>
          <w:rFonts w:ascii="Arial" w:hAnsi="Arial" w:cs="Arial" w:eastAsia="Arial" w:hint="default"/>
          <w:sz w:val="21"/>
          <w:szCs w:val="21"/>
        </w:rPr>
        <w:t>“</w:t>
      </w:r>
      <w:r>
        <w:rPr>
          <w:rFonts w:ascii="宋体" w:hAnsi="宋体" w:cs="宋体" w:eastAsia="宋体" w:hint="default"/>
          <w:sz w:val="21"/>
          <w:szCs w:val="21"/>
        </w:rPr>
        <w:t>北京紫光华宇软件股份有限公司</w:t>
      </w:r>
      <w:r>
        <w:rPr>
          <w:rFonts w:ascii="Arial" w:hAnsi="Arial" w:cs="Arial" w:eastAsia="Arial" w:hint="default"/>
          <w:sz w:val="21"/>
          <w:szCs w:val="21"/>
        </w:rPr>
        <w:t>”</w:t>
      </w:r>
      <w:r>
        <w:rPr>
          <w:rFonts w:ascii="宋体" w:hAnsi="宋体" w:cs="宋体" w:eastAsia="宋体" w:hint="default"/>
          <w:sz w:val="21"/>
          <w:szCs w:val="21"/>
        </w:rPr>
        <w:t>。</w:t>
      </w:r>
    </w:p>
    <w:p>
      <w:pPr>
        <w:spacing w:line="297" w:lineRule="auto" w:before="170"/>
        <w:ind w:left="152" w:right="169" w:firstLine="425"/>
        <w:jc w:val="both"/>
        <w:rPr>
          <w:rFonts w:ascii="宋体" w:hAnsi="宋体" w:cs="宋体" w:eastAsia="宋体" w:hint="default"/>
          <w:sz w:val="21"/>
          <w:szCs w:val="21"/>
        </w:rPr>
      </w:pPr>
      <w:r>
        <w:rPr>
          <w:rFonts w:ascii="Arial" w:hAnsi="Arial" w:cs="Arial" w:eastAsia="Arial" w:hint="default"/>
          <w:spacing w:val="-2"/>
          <w:sz w:val="21"/>
          <w:szCs w:val="21"/>
        </w:rPr>
        <w:t>2007</w:t>
      </w:r>
      <w:r>
        <w:rPr>
          <w:rFonts w:ascii="宋体" w:hAnsi="宋体" w:cs="宋体" w:eastAsia="宋体" w:hint="default"/>
          <w:spacing w:val="-2"/>
          <w:sz w:val="21"/>
          <w:szCs w:val="21"/>
        </w:rPr>
        <w:t>年根据公司股东大会审议通过的《</w:t>
      </w:r>
      <w:r>
        <w:rPr>
          <w:rFonts w:ascii="Arial" w:hAnsi="Arial" w:cs="Arial" w:eastAsia="Arial" w:hint="default"/>
          <w:spacing w:val="-2"/>
          <w:sz w:val="21"/>
          <w:szCs w:val="21"/>
        </w:rPr>
        <w:t>2007</w:t>
      </w:r>
      <w:r>
        <w:rPr>
          <w:rFonts w:ascii="宋体" w:hAnsi="宋体" w:cs="宋体" w:eastAsia="宋体" w:hint="default"/>
          <w:spacing w:val="-2"/>
          <w:sz w:val="21"/>
          <w:szCs w:val="21"/>
        </w:rPr>
        <w:t>年度利润分配方案》：公司以总股本</w:t>
      </w:r>
      <w:r>
        <w:rPr>
          <w:rFonts w:ascii="Arial" w:hAnsi="Arial" w:cs="Arial" w:eastAsia="Arial" w:hint="default"/>
          <w:spacing w:val="-2"/>
          <w:sz w:val="21"/>
          <w:szCs w:val="21"/>
        </w:rPr>
        <w:t>40,000,000</w:t>
      </w:r>
      <w:r>
        <w:rPr>
          <w:rFonts w:ascii="宋体" w:hAnsi="宋体" w:cs="宋体" w:eastAsia="宋体" w:hint="default"/>
          <w:spacing w:val="-2"/>
          <w:sz w:val="21"/>
          <w:szCs w:val="21"/>
        </w:rPr>
        <w:t>股为基</w:t>
      </w:r>
      <w:r>
        <w:rPr>
          <w:rFonts w:ascii="宋体" w:hAnsi="宋体" w:cs="宋体" w:eastAsia="宋体" w:hint="default"/>
          <w:w w:val="100"/>
          <w:sz w:val="21"/>
          <w:szCs w:val="21"/>
        </w:rPr>
        <w:t> </w:t>
      </w:r>
      <w:r>
        <w:rPr>
          <w:rFonts w:ascii="宋体" w:hAnsi="宋体" w:cs="宋体" w:eastAsia="宋体" w:hint="default"/>
          <w:spacing w:val="-2"/>
          <w:sz w:val="21"/>
          <w:szCs w:val="21"/>
        </w:rPr>
        <w:t>数，向全体股东每</w:t>
      </w:r>
      <w:r>
        <w:rPr>
          <w:rFonts w:ascii="Arial" w:hAnsi="Arial" w:cs="Arial" w:eastAsia="Arial" w:hint="default"/>
          <w:spacing w:val="-2"/>
          <w:sz w:val="21"/>
          <w:szCs w:val="21"/>
        </w:rPr>
        <w:t>10</w:t>
      </w:r>
      <w:r>
        <w:rPr>
          <w:rFonts w:ascii="宋体" w:hAnsi="宋体" w:cs="宋体" w:eastAsia="宋体" w:hint="default"/>
          <w:spacing w:val="-2"/>
          <w:sz w:val="21"/>
          <w:szCs w:val="21"/>
        </w:rPr>
        <w:t>股送</w:t>
      </w:r>
      <w:r>
        <w:rPr>
          <w:rFonts w:ascii="Arial" w:hAnsi="Arial" w:cs="Arial" w:eastAsia="Arial" w:hint="default"/>
          <w:spacing w:val="-2"/>
          <w:sz w:val="21"/>
          <w:szCs w:val="21"/>
        </w:rPr>
        <w:t>3</w:t>
      </w:r>
      <w:r>
        <w:rPr>
          <w:rFonts w:ascii="宋体" w:hAnsi="宋体" w:cs="宋体" w:eastAsia="宋体" w:hint="default"/>
          <w:spacing w:val="-2"/>
          <w:sz w:val="21"/>
          <w:szCs w:val="21"/>
        </w:rPr>
        <w:t>股红股、派</w:t>
      </w:r>
      <w:r>
        <w:rPr>
          <w:rFonts w:ascii="Arial" w:hAnsi="Arial" w:cs="Arial" w:eastAsia="Arial" w:hint="default"/>
          <w:spacing w:val="-2"/>
          <w:sz w:val="21"/>
          <w:szCs w:val="21"/>
        </w:rPr>
        <w:t>0.75</w:t>
      </w:r>
      <w:r>
        <w:rPr>
          <w:rFonts w:ascii="宋体" w:hAnsi="宋体" w:cs="宋体" w:eastAsia="宋体" w:hint="default"/>
          <w:spacing w:val="-2"/>
          <w:sz w:val="21"/>
          <w:szCs w:val="21"/>
        </w:rPr>
        <w:t>元人民币现金，分红前总股本为</w:t>
      </w:r>
      <w:r>
        <w:rPr>
          <w:rFonts w:ascii="Arial" w:hAnsi="Arial" w:cs="Arial" w:eastAsia="Arial" w:hint="default"/>
          <w:spacing w:val="-2"/>
          <w:sz w:val="21"/>
          <w:szCs w:val="21"/>
        </w:rPr>
        <w:t>40,000,000</w:t>
      </w:r>
      <w:r>
        <w:rPr>
          <w:rFonts w:ascii="宋体" w:hAnsi="宋体" w:cs="宋体" w:eastAsia="宋体" w:hint="default"/>
          <w:spacing w:val="-2"/>
          <w:sz w:val="21"/>
          <w:szCs w:val="21"/>
        </w:rPr>
        <w:t>股，分红派息后总</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2"/>
          <w:sz w:val="21"/>
          <w:szCs w:val="21"/>
        </w:rPr>
        <w:t>股本增至</w:t>
      </w:r>
      <w:r>
        <w:rPr>
          <w:rFonts w:ascii="Arial" w:hAnsi="Arial" w:cs="Arial" w:eastAsia="Arial" w:hint="default"/>
          <w:spacing w:val="-2"/>
          <w:sz w:val="21"/>
          <w:szCs w:val="21"/>
        </w:rPr>
        <w:t>52,000,000</w:t>
      </w:r>
      <w:r>
        <w:rPr>
          <w:rFonts w:ascii="宋体" w:hAnsi="宋体" w:cs="宋体" w:eastAsia="宋体" w:hint="default"/>
          <w:spacing w:val="-2"/>
          <w:sz w:val="21"/>
          <w:szCs w:val="21"/>
        </w:rPr>
        <w:t>股。该事项已由北京中达耀华信会计师事务所有限公司出具报告号为中达验字</w:t>
      </w:r>
      <w:r>
        <w:rPr>
          <w:rFonts w:ascii="Arial" w:hAnsi="Arial" w:cs="Arial" w:eastAsia="Arial" w:hint="default"/>
          <w:spacing w:val="-2"/>
          <w:sz w:val="21"/>
          <w:szCs w:val="21"/>
        </w:rPr>
        <w:t>[2008]</w:t>
      </w:r>
      <w:r>
        <w:rPr>
          <w:rFonts w:ascii="Arial" w:hAnsi="Arial" w:cs="Arial" w:eastAsia="Arial" w:hint="default"/>
          <w:spacing w:val="41"/>
          <w:sz w:val="21"/>
          <w:szCs w:val="21"/>
        </w:rPr>
        <w:t> </w:t>
      </w:r>
      <w:r>
        <w:rPr>
          <w:rFonts w:ascii="Arial" w:hAnsi="Arial" w:cs="Arial" w:eastAsia="Arial" w:hint="default"/>
          <w:spacing w:val="41"/>
          <w:sz w:val="21"/>
          <w:szCs w:val="21"/>
        </w:rPr>
      </w:r>
      <w:r>
        <w:rPr>
          <w:rFonts w:ascii="宋体" w:hAnsi="宋体" w:cs="宋体" w:eastAsia="宋体" w:hint="default"/>
          <w:sz w:val="21"/>
          <w:szCs w:val="21"/>
        </w:rPr>
        <w:t>第</w:t>
      </w:r>
      <w:r>
        <w:rPr>
          <w:rFonts w:ascii="Arial" w:hAnsi="Arial" w:cs="Arial" w:eastAsia="Arial" w:hint="default"/>
          <w:sz w:val="21"/>
          <w:szCs w:val="21"/>
        </w:rPr>
        <w:t>B005</w:t>
      </w:r>
      <w:r>
        <w:rPr>
          <w:rFonts w:ascii="宋体" w:hAnsi="宋体" w:cs="宋体" w:eastAsia="宋体" w:hint="default"/>
          <w:sz w:val="21"/>
          <w:szCs w:val="21"/>
        </w:rPr>
        <w:t>号验资报告，工商登记变更已办理完毕，注册资本变更为</w:t>
      </w:r>
      <w:r>
        <w:rPr>
          <w:rFonts w:ascii="Arial" w:hAnsi="Arial" w:cs="Arial" w:eastAsia="Arial" w:hint="default"/>
          <w:sz w:val="21"/>
          <w:szCs w:val="21"/>
        </w:rPr>
        <w:t>5,200</w:t>
      </w:r>
      <w:r>
        <w:rPr>
          <w:rFonts w:ascii="宋体" w:hAnsi="宋体" w:cs="宋体" w:eastAsia="宋体" w:hint="default"/>
          <w:sz w:val="21"/>
          <w:szCs w:val="21"/>
        </w:rPr>
        <w:t>万元。</w:t>
      </w:r>
    </w:p>
    <w:p>
      <w:pPr>
        <w:spacing w:line="297" w:lineRule="auto" w:before="170"/>
        <w:ind w:left="152" w:right="0" w:firstLine="425"/>
        <w:jc w:val="left"/>
        <w:rPr>
          <w:rFonts w:ascii="宋体" w:hAnsi="宋体" w:cs="宋体" w:eastAsia="宋体" w:hint="default"/>
          <w:sz w:val="21"/>
          <w:szCs w:val="21"/>
        </w:rPr>
      </w:pPr>
      <w:r>
        <w:rPr>
          <w:rFonts w:ascii="宋体" w:hAnsi="宋体" w:cs="宋体" w:eastAsia="宋体" w:hint="default"/>
          <w:sz w:val="21"/>
          <w:szCs w:val="21"/>
        </w:rPr>
        <w:t>公司于</w:t>
      </w:r>
      <w:r>
        <w:rPr>
          <w:rFonts w:ascii="Arial" w:hAnsi="Arial" w:cs="Arial" w:eastAsia="Arial" w:hint="default"/>
          <w:sz w:val="21"/>
          <w:szCs w:val="21"/>
        </w:rPr>
        <w:t>2008</w:t>
      </w:r>
      <w:r>
        <w:rPr>
          <w:rFonts w:ascii="宋体" w:hAnsi="宋体" w:cs="宋体" w:eastAsia="宋体" w:hint="default"/>
          <w:sz w:val="21"/>
          <w:szCs w:val="21"/>
        </w:rPr>
        <w:t>年通过股东大会决议，以</w:t>
      </w:r>
      <w:r>
        <w:rPr>
          <w:rFonts w:ascii="Arial" w:hAnsi="Arial" w:cs="Arial" w:eastAsia="Arial" w:hint="default"/>
          <w:sz w:val="21"/>
          <w:szCs w:val="21"/>
        </w:rPr>
        <w:t>9.1</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股的价格向子公司广州紫光华宇信息技术有限公司的自</w:t>
      </w:r>
      <w:r>
        <w:rPr>
          <w:rFonts w:ascii="宋体" w:hAnsi="宋体" w:cs="宋体" w:eastAsia="宋体" w:hint="default"/>
          <w:w w:val="100"/>
          <w:sz w:val="21"/>
          <w:szCs w:val="21"/>
        </w:rPr>
        <w:t> </w:t>
      </w:r>
      <w:r>
        <w:rPr>
          <w:rFonts w:ascii="宋体" w:hAnsi="宋体" w:cs="宋体" w:eastAsia="宋体" w:hint="default"/>
          <w:spacing w:val="-2"/>
          <w:sz w:val="21"/>
          <w:szCs w:val="21"/>
        </w:rPr>
        <w:t>然人股东任涛发行股份</w:t>
      </w:r>
      <w:r>
        <w:rPr>
          <w:rFonts w:ascii="Arial" w:hAnsi="Arial" w:cs="Arial" w:eastAsia="Arial" w:hint="default"/>
          <w:spacing w:val="-2"/>
          <w:sz w:val="21"/>
          <w:szCs w:val="21"/>
        </w:rPr>
        <w:t>350</w:t>
      </w:r>
      <w:r>
        <w:rPr>
          <w:rFonts w:ascii="宋体" w:hAnsi="宋体" w:cs="宋体" w:eastAsia="宋体" w:hint="default"/>
          <w:spacing w:val="-2"/>
          <w:sz w:val="21"/>
          <w:szCs w:val="21"/>
        </w:rPr>
        <w:t>万股，作为本公司收购广州紫光华宇信息技术有限公司</w:t>
      </w:r>
      <w:r>
        <w:rPr>
          <w:rFonts w:ascii="Arial" w:hAnsi="Arial" w:cs="Arial" w:eastAsia="Arial" w:hint="default"/>
          <w:spacing w:val="-2"/>
          <w:sz w:val="21"/>
          <w:szCs w:val="21"/>
        </w:rPr>
        <w:t>49%</w:t>
      </w:r>
      <w:r>
        <w:rPr>
          <w:rFonts w:ascii="宋体" w:hAnsi="宋体" w:cs="宋体" w:eastAsia="宋体" w:hint="default"/>
          <w:spacing w:val="-2"/>
          <w:sz w:val="21"/>
          <w:szCs w:val="21"/>
        </w:rPr>
        <w:t>股权的支付对价。</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该事项已于</w:t>
      </w:r>
      <w:r>
        <w:rPr>
          <w:rFonts w:ascii="Arial" w:hAnsi="Arial" w:cs="Arial" w:eastAsia="Arial" w:hint="default"/>
          <w:sz w:val="21"/>
          <w:szCs w:val="21"/>
        </w:rPr>
        <w:t>2009</w:t>
      </w:r>
      <w:r>
        <w:rPr>
          <w:rFonts w:ascii="宋体" w:hAnsi="宋体" w:cs="宋体" w:eastAsia="宋体" w:hint="default"/>
          <w:sz w:val="21"/>
          <w:szCs w:val="21"/>
        </w:rPr>
        <w:t>年</w:t>
      </w:r>
      <w:r>
        <w:rPr>
          <w:rFonts w:ascii="Arial" w:hAnsi="Arial" w:cs="Arial" w:eastAsia="Arial" w:hint="default"/>
          <w:sz w:val="21"/>
          <w:szCs w:val="21"/>
        </w:rPr>
        <w:t>3</w:t>
      </w:r>
      <w:r>
        <w:rPr>
          <w:rFonts w:ascii="宋体" w:hAnsi="宋体" w:cs="宋体" w:eastAsia="宋体" w:hint="default"/>
          <w:sz w:val="21"/>
          <w:szCs w:val="21"/>
        </w:rPr>
        <w:t>月</w:t>
      </w:r>
      <w:r>
        <w:rPr>
          <w:rFonts w:ascii="Arial" w:hAnsi="Arial" w:cs="Arial" w:eastAsia="Arial" w:hint="default"/>
          <w:sz w:val="21"/>
          <w:szCs w:val="21"/>
        </w:rPr>
        <w:t>4</w:t>
      </w:r>
      <w:r>
        <w:rPr>
          <w:rFonts w:ascii="宋体" w:hAnsi="宋体" w:cs="宋体" w:eastAsia="宋体" w:hint="default"/>
          <w:sz w:val="21"/>
          <w:szCs w:val="21"/>
        </w:rPr>
        <w:t>日经中国证券业协会备案并取得中证协函</w:t>
      </w:r>
      <w:r>
        <w:rPr>
          <w:rFonts w:ascii="Arial" w:hAnsi="Arial" w:cs="Arial" w:eastAsia="Arial" w:hint="default"/>
          <w:sz w:val="21"/>
          <w:szCs w:val="21"/>
        </w:rPr>
        <w:t>[2009]74</w:t>
      </w:r>
      <w:r>
        <w:rPr>
          <w:rFonts w:ascii="宋体" w:hAnsi="宋体" w:cs="宋体" w:eastAsia="宋体" w:hint="default"/>
          <w:sz w:val="21"/>
          <w:szCs w:val="21"/>
        </w:rPr>
        <w:t>号函，并由中建华会计师事务</w:t>
      </w:r>
      <w:r>
        <w:rPr>
          <w:rFonts w:ascii="宋体" w:hAnsi="宋体" w:cs="宋体" w:eastAsia="宋体" w:hint="default"/>
          <w:w w:val="100"/>
          <w:sz w:val="21"/>
          <w:szCs w:val="21"/>
        </w:rPr>
        <w:t> </w:t>
      </w:r>
      <w:r>
        <w:rPr>
          <w:rFonts w:ascii="宋体" w:hAnsi="宋体" w:cs="宋体" w:eastAsia="宋体" w:hint="default"/>
          <w:spacing w:val="-2"/>
          <w:sz w:val="21"/>
          <w:szCs w:val="21"/>
        </w:rPr>
        <w:t>所有限责任公司出具了中建验字</w:t>
      </w:r>
      <w:r>
        <w:rPr>
          <w:rFonts w:ascii="Arial" w:hAnsi="Arial" w:cs="Arial" w:eastAsia="Arial" w:hint="default"/>
          <w:spacing w:val="-2"/>
          <w:sz w:val="21"/>
          <w:szCs w:val="21"/>
        </w:rPr>
        <w:t>[2009]</w:t>
      </w:r>
      <w:r>
        <w:rPr>
          <w:rFonts w:ascii="宋体" w:hAnsi="宋体" w:cs="宋体" w:eastAsia="宋体" w:hint="default"/>
          <w:spacing w:val="-2"/>
          <w:sz w:val="21"/>
          <w:szCs w:val="21"/>
        </w:rPr>
        <w:t>第</w:t>
      </w:r>
      <w:r>
        <w:rPr>
          <w:rFonts w:ascii="Arial" w:hAnsi="Arial" w:cs="Arial" w:eastAsia="Arial" w:hint="default"/>
          <w:spacing w:val="-2"/>
          <w:sz w:val="21"/>
          <w:szCs w:val="21"/>
        </w:rPr>
        <w:t>203</w:t>
      </w:r>
      <w:r>
        <w:rPr>
          <w:rFonts w:ascii="宋体" w:hAnsi="宋体" w:cs="宋体" w:eastAsia="宋体" w:hint="default"/>
          <w:spacing w:val="-2"/>
          <w:sz w:val="21"/>
          <w:szCs w:val="21"/>
        </w:rPr>
        <w:t>号验资报告，增资事项的工商登记变更已办理完毕，注册资</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本变更为</w:t>
      </w:r>
      <w:r>
        <w:rPr>
          <w:rFonts w:ascii="Arial" w:hAnsi="Arial" w:cs="Arial" w:eastAsia="Arial" w:hint="default"/>
          <w:sz w:val="21"/>
          <w:szCs w:val="21"/>
        </w:rPr>
        <w:t>5,550</w:t>
      </w:r>
      <w:r>
        <w:rPr>
          <w:rFonts w:ascii="宋体" w:hAnsi="宋体" w:cs="宋体" w:eastAsia="宋体" w:hint="default"/>
          <w:sz w:val="21"/>
          <w:szCs w:val="21"/>
        </w:rPr>
        <w:t>万元。</w:t>
      </w:r>
    </w:p>
    <w:p>
      <w:pPr>
        <w:spacing w:line="297" w:lineRule="auto" w:before="170"/>
        <w:ind w:left="152" w:right="194" w:firstLine="425"/>
        <w:jc w:val="both"/>
        <w:rPr>
          <w:rFonts w:ascii="宋体" w:hAnsi="宋体" w:cs="宋体" w:eastAsia="宋体" w:hint="default"/>
          <w:sz w:val="21"/>
          <w:szCs w:val="21"/>
        </w:rPr>
      </w:pPr>
      <w:r>
        <w:rPr>
          <w:rFonts w:ascii="宋体" w:hAnsi="宋体" w:cs="宋体" w:eastAsia="宋体" w:hint="default"/>
          <w:spacing w:val="-2"/>
          <w:sz w:val="21"/>
          <w:szCs w:val="21"/>
        </w:rPr>
        <w:t>公司根据</w:t>
      </w:r>
      <w:r>
        <w:rPr>
          <w:rFonts w:ascii="Arial" w:hAnsi="Arial" w:cs="Arial" w:eastAsia="Arial" w:hint="default"/>
          <w:spacing w:val="-2"/>
          <w:sz w:val="21"/>
          <w:szCs w:val="21"/>
        </w:rPr>
        <w:t>2009</w:t>
      </w:r>
      <w:r>
        <w:rPr>
          <w:rFonts w:ascii="宋体" w:hAnsi="宋体" w:cs="宋体" w:eastAsia="宋体" w:hint="default"/>
          <w:spacing w:val="-2"/>
          <w:sz w:val="21"/>
          <w:szCs w:val="21"/>
        </w:rPr>
        <w:t>年第二次临时股东大会决议及修改后的公司章程并经中国证券监督管理委员会于</w:t>
      </w:r>
      <w:r>
        <w:rPr>
          <w:rFonts w:ascii="Arial" w:hAnsi="Arial" w:cs="Arial" w:eastAsia="Arial" w:hint="default"/>
          <w:spacing w:val="-2"/>
          <w:sz w:val="21"/>
          <w:szCs w:val="21"/>
        </w:rPr>
        <w:t>2011</w:t>
      </w:r>
      <w:r>
        <w:rPr>
          <w:rFonts w:ascii="Arial" w:hAnsi="Arial" w:cs="Arial" w:eastAsia="Arial" w:hint="default"/>
          <w:w w:val="100"/>
          <w:sz w:val="21"/>
          <w:szCs w:val="21"/>
        </w:rPr>
        <w:t> </w:t>
      </w:r>
      <w:r>
        <w:rPr>
          <w:rFonts w:ascii="宋体" w:hAnsi="宋体" w:cs="宋体" w:eastAsia="宋体" w:hint="default"/>
          <w:spacing w:val="-2"/>
          <w:sz w:val="21"/>
          <w:szCs w:val="21"/>
        </w:rPr>
        <w:t>年</w:t>
      </w:r>
      <w:r>
        <w:rPr>
          <w:rFonts w:ascii="Arial" w:hAnsi="Arial" w:cs="Arial" w:eastAsia="Arial" w:hint="default"/>
          <w:spacing w:val="-2"/>
          <w:sz w:val="21"/>
          <w:szCs w:val="21"/>
        </w:rPr>
        <w:t>9</w:t>
      </w:r>
      <w:r>
        <w:rPr>
          <w:rFonts w:ascii="宋体" w:hAnsi="宋体" w:cs="宋体" w:eastAsia="宋体" w:hint="default"/>
          <w:spacing w:val="-2"/>
          <w:sz w:val="21"/>
          <w:szCs w:val="21"/>
        </w:rPr>
        <w:t>月</w:t>
      </w:r>
      <w:r>
        <w:rPr>
          <w:rFonts w:ascii="Arial" w:hAnsi="Arial" w:cs="Arial" w:eastAsia="Arial" w:hint="default"/>
          <w:spacing w:val="-2"/>
          <w:sz w:val="21"/>
          <w:szCs w:val="21"/>
        </w:rPr>
        <w:t>16</w:t>
      </w:r>
      <w:r>
        <w:rPr>
          <w:rFonts w:ascii="宋体" w:hAnsi="宋体" w:cs="宋体" w:eastAsia="宋体" w:hint="default"/>
          <w:spacing w:val="-2"/>
          <w:sz w:val="21"/>
          <w:szCs w:val="21"/>
        </w:rPr>
        <w:t>日签发的证监许可</w:t>
      </w:r>
      <w:r>
        <w:rPr>
          <w:rFonts w:ascii="Arial" w:hAnsi="Arial" w:cs="Arial" w:eastAsia="Arial" w:hint="default"/>
          <w:spacing w:val="-2"/>
          <w:sz w:val="21"/>
          <w:szCs w:val="21"/>
        </w:rPr>
        <w:t>[2011]1492</w:t>
      </w:r>
      <w:r>
        <w:rPr>
          <w:rFonts w:ascii="宋体" w:hAnsi="宋体" w:cs="宋体" w:eastAsia="宋体" w:hint="default"/>
          <w:spacing w:val="-2"/>
          <w:sz w:val="21"/>
          <w:szCs w:val="21"/>
        </w:rPr>
        <w:t>号《关于核准北京紫光华宇软件股份有限公司首次公开发行股票并</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在创业板上市的批复》，于</w:t>
      </w:r>
      <w:r>
        <w:rPr>
          <w:rFonts w:ascii="Arial" w:hAnsi="Arial" w:cs="Arial" w:eastAsia="Arial" w:hint="default"/>
          <w:spacing w:val="-2"/>
          <w:sz w:val="21"/>
          <w:szCs w:val="21"/>
        </w:rPr>
        <w:t>2011</w:t>
      </w:r>
      <w:r>
        <w:rPr>
          <w:rFonts w:ascii="宋体" w:hAnsi="宋体" w:cs="宋体" w:eastAsia="宋体" w:hint="default"/>
          <w:spacing w:val="-2"/>
          <w:sz w:val="21"/>
          <w:szCs w:val="21"/>
        </w:rPr>
        <w:t>年</w:t>
      </w:r>
      <w:r>
        <w:rPr>
          <w:rFonts w:ascii="Arial" w:hAnsi="Arial" w:cs="Arial" w:eastAsia="Arial" w:hint="default"/>
          <w:spacing w:val="-2"/>
          <w:sz w:val="21"/>
          <w:szCs w:val="21"/>
        </w:rPr>
        <w:t>10</w:t>
      </w:r>
      <w:r>
        <w:rPr>
          <w:rFonts w:ascii="宋体" w:hAnsi="宋体" w:cs="宋体" w:eastAsia="宋体" w:hint="default"/>
          <w:spacing w:val="-2"/>
          <w:sz w:val="21"/>
          <w:szCs w:val="21"/>
        </w:rPr>
        <w:t>月</w:t>
      </w:r>
      <w:r>
        <w:rPr>
          <w:rFonts w:ascii="Arial" w:hAnsi="Arial" w:cs="Arial" w:eastAsia="Arial" w:hint="default"/>
          <w:spacing w:val="-2"/>
          <w:sz w:val="21"/>
          <w:szCs w:val="21"/>
        </w:rPr>
        <w:t>10</w:t>
      </w:r>
      <w:r>
        <w:rPr>
          <w:rFonts w:ascii="宋体" w:hAnsi="宋体" w:cs="宋体" w:eastAsia="宋体" w:hint="default"/>
          <w:spacing w:val="-2"/>
          <w:sz w:val="21"/>
          <w:szCs w:val="21"/>
        </w:rPr>
        <w:t>日以每股人民币</w:t>
      </w:r>
      <w:r>
        <w:rPr>
          <w:rFonts w:ascii="Arial" w:hAnsi="Arial" w:cs="Arial" w:eastAsia="Arial" w:hint="default"/>
          <w:spacing w:val="-2"/>
          <w:sz w:val="21"/>
          <w:szCs w:val="21"/>
        </w:rPr>
        <w:t>30.80</w:t>
      </w:r>
      <w:r>
        <w:rPr>
          <w:rFonts w:ascii="宋体" w:hAnsi="宋体" w:cs="宋体" w:eastAsia="宋体" w:hint="default"/>
          <w:spacing w:val="-2"/>
          <w:sz w:val="21"/>
          <w:szCs w:val="21"/>
        </w:rPr>
        <w:t>元向社会公开发行人民币普通股（</w:t>
      </w:r>
      <w:r>
        <w:rPr>
          <w:rFonts w:ascii="Arial" w:hAnsi="Arial" w:cs="Arial" w:eastAsia="Arial" w:hint="default"/>
          <w:spacing w:val="-2"/>
          <w:sz w:val="21"/>
          <w:szCs w:val="21"/>
        </w:rPr>
        <w:t>A</w:t>
      </w:r>
      <w:r>
        <w:rPr>
          <w:rFonts w:ascii="宋体" w:hAnsi="宋体" w:cs="宋体" w:eastAsia="宋体" w:hint="default"/>
          <w:spacing w:val="-2"/>
          <w:sz w:val="21"/>
          <w:szCs w:val="21"/>
        </w:rPr>
        <w:t>股）</w:t>
      </w:r>
      <w:r>
        <w:rPr>
          <w:rFonts w:ascii="宋体" w:hAnsi="宋体" w:cs="宋体" w:eastAsia="宋体" w:hint="default"/>
          <w:spacing w:val="-8"/>
          <w:sz w:val="21"/>
          <w:szCs w:val="21"/>
        </w:rPr>
        <w:t> </w:t>
      </w:r>
      <w:r>
        <w:rPr>
          <w:rFonts w:ascii="Arial" w:hAnsi="Arial" w:cs="Arial" w:eastAsia="Arial" w:hint="default"/>
          <w:spacing w:val="-2"/>
          <w:sz w:val="21"/>
          <w:szCs w:val="21"/>
        </w:rPr>
        <w:t>18,500,000</w:t>
      </w:r>
      <w:r>
        <w:rPr>
          <w:rFonts w:ascii="宋体" w:hAnsi="宋体" w:cs="宋体" w:eastAsia="宋体" w:hint="default"/>
          <w:spacing w:val="-2"/>
          <w:sz w:val="21"/>
          <w:szCs w:val="21"/>
        </w:rPr>
        <w:t>股，并由北京兴华会计师事务所有限责任公司出具了（</w:t>
      </w:r>
      <w:r>
        <w:rPr>
          <w:rFonts w:ascii="Arial" w:hAnsi="Arial" w:cs="Arial" w:eastAsia="Arial" w:hint="default"/>
          <w:spacing w:val="-2"/>
          <w:sz w:val="21"/>
          <w:szCs w:val="21"/>
        </w:rPr>
        <w:t>2011</w:t>
      </w:r>
      <w:r>
        <w:rPr>
          <w:rFonts w:ascii="宋体" w:hAnsi="宋体" w:cs="宋体" w:eastAsia="宋体" w:hint="default"/>
          <w:spacing w:val="-2"/>
          <w:sz w:val="21"/>
          <w:szCs w:val="21"/>
        </w:rPr>
        <w:t>）京会兴</w:t>
      </w:r>
      <w:r>
        <w:rPr>
          <w:rFonts w:ascii="Arial" w:hAnsi="Arial" w:cs="Arial" w:eastAsia="Arial" w:hint="default"/>
          <w:spacing w:val="-2"/>
          <w:sz w:val="21"/>
          <w:szCs w:val="21"/>
        </w:rPr>
        <w:t>(</w:t>
      </w:r>
      <w:r>
        <w:rPr>
          <w:rFonts w:ascii="宋体" w:hAnsi="宋体" w:cs="宋体" w:eastAsia="宋体" w:hint="default"/>
          <w:spacing w:val="-2"/>
          <w:sz w:val="21"/>
          <w:szCs w:val="21"/>
        </w:rPr>
        <w:t>验</w:t>
      </w:r>
      <w:r>
        <w:rPr>
          <w:rFonts w:ascii="Arial" w:hAnsi="Arial" w:cs="Arial" w:eastAsia="Arial" w:hint="default"/>
          <w:spacing w:val="-2"/>
          <w:sz w:val="21"/>
          <w:szCs w:val="21"/>
        </w:rPr>
        <w:t>)</w:t>
      </w:r>
      <w:r>
        <w:rPr>
          <w:rFonts w:ascii="宋体" w:hAnsi="宋体" w:cs="宋体" w:eastAsia="宋体" w:hint="default"/>
          <w:spacing w:val="-2"/>
          <w:sz w:val="21"/>
          <w:szCs w:val="21"/>
        </w:rPr>
        <w:t>字第</w:t>
      </w:r>
      <w:r>
        <w:rPr>
          <w:rFonts w:ascii="Arial" w:hAnsi="Arial" w:cs="Arial" w:eastAsia="Arial" w:hint="default"/>
          <w:spacing w:val="-2"/>
          <w:sz w:val="21"/>
          <w:szCs w:val="21"/>
        </w:rPr>
        <w:t>7-017</w:t>
      </w:r>
      <w:r>
        <w:rPr>
          <w:rFonts w:ascii="宋体" w:hAnsi="宋体" w:cs="宋体" w:eastAsia="宋体" w:hint="default"/>
          <w:spacing w:val="-2"/>
          <w:sz w:val="21"/>
          <w:szCs w:val="21"/>
        </w:rPr>
        <w:t>号验资报</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告，增资事项的工商登记变更已办理完毕，注册资本变更为</w:t>
      </w:r>
      <w:r>
        <w:rPr>
          <w:rFonts w:ascii="Arial" w:hAnsi="Arial" w:cs="Arial" w:eastAsia="Arial" w:hint="default"/>
          <w:sz w:val="21"/>
          <w:szCs w:val="21"/>
        </w:rPr>
        <w:t>7,400</w:t>
      </w:r>
      <w:r>
        <w:rPr>
          <w:rFonts w:ascii="宋体" w:hAnsi="宋体" w:cs="宋体" w:eastAsia="宋体" w:hint="default"/>
          <w:sz w:val="21"/>
          <w:szCs w:val="21"/>
        </w:rPr>
        <w:t>万元。</w:t>
      </w:r>
    </w:p>
    <w:p>
      <w:pPr>
        <w:spacing w:line="297" w:lineRule="auto" w:before="17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公司根据</w:t>
      </w:r>
      <w:r>
        <w:rPr>
          <w:rFonts w:ascii="Arial" w:hAnsi="Arial" w:cs="Arial" w:eastAsia="Arial" w:hint="default"/>
          <w:spacing w:val="-2"/>
          <w:sz w:val="21"/>
          <w:szCs w:val="21"/>
        </w:rPr>
        <w:t>2011</w:t>
      </w:r>
      <w:r>
        <w:rPr>
          <w:rFonts w:ascii="宋体" w:hAnsi="宋体" w:cs="宋体" w:eastAsia="宋体" w:hint="default"/>
          <w:spacing w:val="-2"/>
          <w:sz w:val="21"/>
          <w:szCs w:val="21"/>
        </w:rPr>
        <w:t>年年度股东大会决议和修改后章程，以</w:t>
      </w:r>
      <w:r>
        <w:rPr>
          <w:rFonts w:ascii="Arial" w:hAnsi="Arial" w:cs="Arial" w:eastAsia="Arial" w:hint="default"/>
          <w:spacing w:val="-2"/>
          <w:sz w:val="21"/>
          <w:szCs w:val="21"/>
        </w:rPr>
        <w:t>2012</w:t>
      </w:r>
      <w:r>
        <w:rPr>
          <w:rFonts w:ascii="宋体" w:hAnsi="宋体" w:cs="宋体" w:eastAsia="宋体" w:hint="default"/>
          <w:spacing w:val="-2"/>
          <w:sz w:val="21"/>
          <w:szCs w:val="21"/>
        </w:rPr>
        <w:t>年</w:t>
      </w:r>
      <w:r>
        <w:rPr>
          <w:rFonts w:ascii="Arial" w:hAnsi="Arial" w:cs="Arial" w:eastAsia="Arial" w:hint="default"/>
          <w:spacing w:val="-2"/>
          <w:sz w:val="21"/>
          <w:szCs w:val="21"/>
        </w:rPr>
        <w:t>3</w:t>
      </w:r>
      <w:r>
        <w:rPr>
          <w:rFonts w:ascii="宋体" w:hAnsi="宋体" w:cs="宋体" w:eastAsia="宋体" w:hint="default"/>
          <w:spacing w:val="-2"/>
          <w:sz w:val="21"/>
          <w:szCs w:val="21"/>
        </w:rPr>
        <w:t>月</w:t>
      </w:r>
      <w:r>
        <w:rPr>
          <w:rFonts w:ascii="Arial" w:hAnsi="Arial" w:cs="Arial" w:eastAsia="Arial" w:hint="default"/>
          <w:spacing w:val="-2"/>
          <w:sz w:val="21"/>
          <w:szCs w:val="21"/>
        </w:rPr>
        <w:t>30</w:t>
      </w:r>
      <w:r>
        <w:rPr>
          <w:rFonts w:ascii="宋体" w:hAnsi="宋体" w:cs="宋体" w:eastAsia="宋体" w:hint="default"/>
          <w:spacing w:val="-2"/>
          <w:sz w:val="21"/>
          <w:szCs w:val="21"/>
        </w:rPr>
        <w:t>日为转增基准日期，以截止</w:t>
      </w:r>
      <w:r>
        <w:rPr>
          <w:rFonts w:ascii="Arial" w:hAnsi="Arial" w:cs="Arial" w:eastAsia="Arial" w:hint="default"/>
          <w:spacing w:val="-2"/>
          <w:sz w:val="21"/>
          <w:szCs w:val="21"/>
        </w:rPr>
        <w:t>2011</w:t>
      </w:r>
      <w:r>
        <w:rPr>
          <w:rFonts w:ascii="Arial" w:hAnsi="Arial" w:cs="Arial" w:eastAsia="Arial" w:hint="default"/>
          <w:w w:val="100"/>
          <w:sz w:val="21"/>
          <w:szCs w:val="21"/>
        </w:rPr>
        <w:t> </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日公司总股本</w:t>
      </w:r>
      <w:r>
        <w:rPr>
          <w:rFonts w:ascii="Arial" w:hAnsi="Arial" w:cs="Arial" w:eastAsia="Arial" w:hint="default"/>
          <w:sz w:val="21"/>
          <w:szCs w:val="21"/>
        </w:rPr>
        <w:t>7,400</w:t>
      </w:r>
      <w:r>
        <w:rPr>
          <w:rFonts w:ascii="宋体" w:hAnsi="宋体" w:cs="宋体" w:eastAsia="宋体" w:hint="default"/>
          <w:sz w:val="21"/>
          <w:szCs w:val="21"/>
        </w:rPr>
        <w:t>万股为基数按每</w:t>
      </w:r>
      <w:r>
        <w:rPr>
          <w:rFonts w:ascii="Arial" w:hAnsi="Arial" w:cs="Arial" w:eastAsia="Arial" w:hint="default"/>
          <w:sz w:val="21"/>
          <w:szCs w:val="21"/>
        </w:rPr>
        <w:t>10</w:t>
      </w:r>
      <w:r>
        <w:rPr>
          <w:rFonts w:ascii="宋体" w:hAnsi="宋体" w:cs="宋体" w:eastAsia="宋体" w:hint="default"/>
          <w:sz w:val="21"/>
          <w:szCs w:val="21"/>
        </w:rPr>
        <w:t>股转增</w:t>
      </w:r>
      <w:r>
        <w:rPr>
          <w:rFonts w:ascii="Arial" w:hAnsi="Arial" w:cs="Arial" w:eastAsia="Arial" w:hint="default"/>
          <w:sz w:val="21"/>
          <w:szCs w:val="21"/>
        </w:rPr>
        <w:t>10</w:t>
      </w:r>
      <w:r>
        <w:rPr>
          <w:rFonts w:ascii="宋体" w:hAnsi="宋体" w:cs="宋体" w:eastAsia="宋体" w:hint="default"/>
          <w:sz w:val="21"/>
          <w:szCs w:val="21"/>
        </w:rPr>
        <w:t>股的比例，以资本公积向全体股东转增股份总</w:t>
      </w:r>
      <w:r>
        <w:rPr>
          <w:rFonts w:ascii="宋体" w:hAnsi="宋体" w:cs="宋体" w:eastAsia="宋体" w:hint="default"/>
          <w:w w:val="100"/>
          <w:sz w:val="21"/>
          <w:szCs w:val="21"/>
        </w:rPr>
        <w:t> </w:t>
      </w:r>
      <w:r>
        <w:rPr>
          <w:rFonts w:ascii="宋体" w:hAnsi="宋体" w:cs="宋体" w:eastAsia="宋体" w:hint="default"/>
          <w:spacing w:val="-2"/>
          <w:sz w:val="21"/>
          <w:szCs w:val="21"/>
        </w:rPr>
        <w:t>额</w:t>
      </w:r>
      <w:r>
        <w:rPr>
          <w:rFonts w:ascii="Arial" w:hAnsi="Arial" w:cs="Arial" w:eastAsia="Arial" w:hint="default"/>
          <w:spacing w:val="-2"/>
          <w:sz w:val="21"/>
          <w:szCs w:val="21"/>
        </w:rPr>
        <w:t>7,400</w:t>
      </w:r>
      <w:r>
        <w:rPr>
          <w:rFonts w:ascii="宋体" w:hAnsi="宋体" w:cs="宋体" w:eastAsia="宋体" w:hint="default"/>
          <w:spacing w:val="-2"/>
          <w:sz w:val="21"/>
          <w:szCs w:val="21"/>
        </w:rPr>
        <w:t>万股，每股面值</w:t>
      </w:r>
      <w:r>
        <w:rPr>
          <w:rFonts w:ascii="Arial" w:hAnsi="Arial" w:cs="Arial" w:eastAsia="Arial" w:hint="default"/>
          <w:spacing w:val="-2"/>
          <w:sz w:val="21"/>
          <w:szCs w:val="21"/>
        </w:rPr>
        <w:t>1</w:t>
      </w:r>
      <w:r>
        <w:rPr>
          <w:rFonts w:ascii="宋体" w:hAnsi="宋体" w:cs="宋体" w:eastAsia="宋体" w:hint="default"/>
          <w:spacing w:val="-2"/>
          <w:sz w:val="21"/>
          <w:szCs w:val="21"/>
        </w:rPr>
        <w:t>元，共计增加股本</w:t>
      </w:r>
      <w:r>
        <w:rPr>
          <w:rFonts w:ascii="Arial" w:hAnsi="Arial" w:cs="Arial" w:eastAsia="Arial" w:hint="default"/>
          <w:spacing w:val="-2"/>
          <w:sz w:val="21"/>
          <w:szCs w:val="21"/>
        </w:rPr>
        <w:t>7,400</w:t>
      </w:r>
      <w:r>
        <w:rPr>
          <w:rFonts w:ascii="宋体" w:hAnsi="宋体" w:cs="宋体" w:eastAsia="宋体" w:hint="default"/>
          <w:spacing w:val="-2"/>
          <w:sz w:val="21"/>
          <w:szCs w:val="21"/>
        </w:rPr>
        <w:t>万元，转增后公司总股本增加至</w:t>
      </w:r>
      <w:r>
        <w:rPr>
          <w:rFonts w:ascii="Arial" w:hAnsi="Arial" w:cs="Arial" w:eastAsia="Arial" w:hint="default"/>
          <w:spacing w:val="-2"/>
          <w:sz w:val="21"/>
          <w:szCs w:val="21"/>
        </w:rPr>
        <w:t>14,800</w:t>
      </w:r>
      <w:r>
        <w:rPr>
          <w:rFonts w:ascii="宋体" w:hAnsi="宋体" w:cs="宋体" w:eastAsia="宋体" w:hint="default"/>
          <w:spacing w:val="-2"/>
          <w:sz w:val="21"/>
          <w:szCs w:val="21"/>
        </w:rPr>
        <w:t>万股。已由北京</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兴华会计师事务所有限责任公司出具了</w:t>
      </w:r>
      <w:r>
        <w:rPr>
          <w:rFonts w:ascii="Arial" w:hAnsi="Arial" w:cs="Arial" w:eastAsia="Arial" w:hint="default"/>
          <w:sz w:val="21"/>
          <w:szCs w:val="21"/>
        </w:rPr>
        <w:t>[2012]</w:t>
      </w:r>
      <w:r>
        <w:rPr>
          <w:rFonts w:ascii="宋体" w:hAnsi="宋体" w:cs="宋体" w:eastAsia="宋体" w:hint="default"/>
          <w:sz w:val="21"/>
          <w:szCs w:val="21"/>
        </w:rPr>
        <w:t>京会兴验字第</w:t>
      </w:r>
      <w:r>
        <w:rPr>
          <w:rFonts w:ascii="Arial" w:hAnsi="Arial" w:cs="Arial" w:eastAsia="Arial" w:hint="default"/>
          <w:sz w:val="21"/>
          <w:szCs w:val="21"/>
        </w:rPr>
        <w:t>07010054</w:t>
      </w:r>
      <w:r>
        <w:rPr>
          <w:rFonts w:ascii="宋体" w:hAnsi="宋体" w:cs="宋体" w:eastAsia="宋体" w:hint="default"/>
          <w:sz w:val="21"/>
          <w:szCs w:val="21"/>
        </w:rPr>
        <w:t>号验资报告，增资事项的工商登记</w:t>
      </w:r>
      <w:r>
        <w:rPr>
          <w:rFonts w:ascii="宋体" w:hAnsi="宋体" w:cs="宋体" w:eastAsia="宋体" w:hint="default"/>
          <w:w w:val="100"/>
          <w:sz w:val="21"/>
          <w:szCs w:val="21"/>
        </w:rPr>
        <w:t> </w:t>
      </w:r>
      <w:r>
        <w:rPr>
          <w:rFonts w:ascii="宋体" w:hAnsi="宋体" w:cs="宋体" w:eastAsia="宋体" w:hint="default"/>
          <w:sz w:val="21"/>
          <w:szCs w:val="21"/>
        </w:rPr>
        <w:t>变更已办理完毕，注册资本变更为</w:t>
      </w:r>
      <w:r>
        <w:rPr>
          <w:rFonts w:ascii="Arial" w:hAnsi="Arial" w:cs="Arial" w:eastAsia="Arial" w:hint="default"/>
          <w:sz w:val="21"/>
          <w:szCs w:val="21"/>
        </w:rPr>
        <w:t>14,800</w:t>
      </w:r>
      <w:r>
        <w:rPr>
          <w:rFonts w:ascii="宋体" w:hAnsi="宋体" w:cs="宋体" w:eastAsia="宋体" w:hint="default"/>
          <w:sz w:val="21"/>
          <w:szCs w:val="21"/>
        </w:rPr>
        <w:t>万元。</w:t>
      </w:r>
    </w:p>
    <w:p>
      <w:pPr>
        <w:spacing w:line="297" w:lineRule="auto" w:before="170"/>
        <w:ind w:left="152" w:right="263" w:firstLine="425"/>
        <w:jc w:val="both"/>
        <w:rPr>
          <w:rFonts w:ascii="宋体" w:hAnsi="宋体" w:cs="宋体" w:eastAsia="宋体" w:hint="default"/>
          <w:sz w:val="21"/>
          <w:szCs w:val="21"/>
        </w:rPr>
      </w:pPr>
      <w:r>
        <w:rPr>
          <w:rFonts w:ascii="Arial" w:hAnsi="Arial" w:cs="Arial" w:eastAsia="Arial" w:hint="default"/>
          <w:spacing w:val="-2"/>
          <w:sz w:val="21"/>
          <w:szCs w:val="21"/>
        </w:rPr>
        <w:t>2013</w:t>
      </w:r>
      <w:r>
        <w:rPr>
          <w:rFonts w:ascii="宋体" w:hAnsi="宋体" w:cs="宋体" w:eastAsia="宋体" w:hint="default"/>
          <w:spacing w:val="-2"/>
          <w:sz w:val="21"/>
          <w:szCs w:val="21"/>
        </w:rPr>
        <w:t>年</w:t>
      </w:r>
      <w:r>
        <w:rPr>
          <w:rFonts w:ascii="Arial" w:hAnsi="Arial" w:cs="Arial" w:eastAsia="Arial" w:hint="default"/>
          <w:spacing w:val="-2"/>
          <w:sz w:val="21"/>
          <w:szCs w:val="21"/>
        </w:rPr>
        <w:t>1</w:t>
      </w:r>
      <w:r>
        <w:rPr>
          <w:rFonts w:ascii="宋体" w:hAnsi="宋体" w:cs="宋体" w:eastAsia="宋体" w:hint="default"/>
          <w:spacing w:val="-2"/>
          <w:sz w:val="21"/>
          <w:szCs w:val="21"/>
        </w:rPr>
        <w:t>月</w:t>
      </w:r>
      <w:r>
        <w:rPr>
          <w:rFonts w:ascii="Arial" w:hAnsi="Arial" w:cs="Arial" w:eastAsia="Arial" w:hint="default"/>
          <w:spacing w:val="-2"/>
          <w:sz w:val="21"/>
          <w:szCs w:val="21"/>
        </w:rPr>
        <w:t>29</w:t>
      </w:r>
      <w:r>
        <w:rPr>
          <w:rFonts w:ascii="宋体" w:hAnsi="宋体" w:cs="宋体" w:eastAsia="宋体" w:hint="default"/>
          <w:spacing w:val="-2"/>
          <w:sz w:val="21"/>
          <w:szCs w:val="21"/>
        </w:rPr>
        <w:t>日，根据第四届董事会第二十三次会议和</w:t>
      </w:r>
      <w:r>
        <w:rPr>
          <w:rFonts w:ascii="Arial" w:hAnsi="Arial" w:cs="Arial" w:eastAsia="Arial" w:hint="default"/>
          <w:spacing w:val="-2"/>
          <w:sz w:val="21"/>
          <w:szCs w:val="21"/>
        </w:rPr>
        <w:t>2013</w:t>
      </w:r>
      <w:r>
        <w:rPr>
          <w:rFonts w:ascii="宋体" w:hAnsi="宋体" w:cs="宋体" w:eastAsia="宋体" w:hint="default"/>
          <w:spacing w:val="-2"/>
          <w:sz w:val="21"/>
          <w:szCs w:val="21"/>
        </w:rPr>
        <w:t>年第二次股东大会审议通过的《关于变</w:t>
      </w:r>
      <w:r>
        <w:rPr>
          <w:rFonts w:ascii="宋体" w:hAnsi="宋体" w:cs="宋体" w:eastAsia="宋体" w:hint="default"/>
          <w:w w:val="100"/>
          <w:sz w:val="21"/>
          <w:szCs w:val="21"/>
        </w:rPr>
        <w:t> </w:t>
      </w:r>
      <w:r>
        <w:rPr>
          <w:rFonts w:ascii="宋体" w:hAnsi="宋体" w:cs="宋体" w:eastAsia="宋体" w:hint="default"/>
          <w:spacing w:val="-2"/>
          <w:sz w:val="21"/>
          <w:szCs w:val="21"/>
        </w:rPr>
        <w:t>更公司名称的议案》，将公司名称</w:t>
      </w:r>
      <w:r>
        <w:rPr>
          <w:rFonts w:ascii="Arial" w:hAnsi="Arial" w:cs="Arial" w:eastAsia="Arial" w:hint="default"/>
          <w:spacing w:val="-2"/>
          <w:sz w:val="21"/>
          <w:szCs w:val="21"/>
        </w:rPr>
        <w:t>“</w:t>
      </w:r>
      <w:r>
        <w:rPr>
          <w:rFonts w:ascii="宋体" w:hAnsi="宋体" w:cs="宋体" w:eastAsia="宋体" w:hint="default"/>
          <w:spacing w:val="-2"/>
          <w:sz w:val="21"/>
          <w:szCs w:val="21"/>
        </w:rPr>
        <w:t>北京紫光华宇软件股份有限公司</w:t>
      </w:r>
      <w:r>
        <w:rPr>
          <w:rFonts w:ascii="Arial" w:hAnsi="Arial" w:cs="Arial" w:eastAsia="Arial" w:hint="default"/>
          <w:spacing w:val="-2"/>
          <w:sz w:val="21"/>
          <w:szCs w:val="21"/>
        </w:rPr>
        <w:t>”</w:t>
      </w:r>
      <w:r>
        <w:rPr>
          <w:rFonts w:ascii="宋体" w:hAnsi="宋体" w:cs="宋体" w:eastAsia="宋体" w:hint="default"/>
          <w:spacing w:val="-2"/>
          <w:sz w:val="21"/>
          <w:szCs w:val="21"/>
        </w:rPr>
        <w:t>变更为</w:t>
      </w:r>
      <w:r>
        <w:rPr>
          <w:rFonts w:ascii="Arial" w:hAnsi="Arial" w:cs="Arial" w:eastAsia="Arial" w:hint="default"/>
          <w:spacing w:val="-2"/>
          <w:sz w:val="21"/>
          <w:szCs w:val="21"/>
        </w:rPr>
        <w:t>“</w:t>
      </w:r>
      <w:r>
        <w:rPr>
          <w:rFonts w:ascii="宋体" w:hAnsi="宋体" w:cs="宋体" w:eastAsia="宋体" w:hint="default"/>
          <w:spacing w:val="-2"/>
          <w:sz w:val="21"/>
          <w:szCs w:val="21"/>
        </w:rPr>
        <w:t>北京华宇软件股份有限公司</w:t>
      </w:r>
      <w:r>
        <w:rPr>
          <w:rFonts w:ascii="Arial" w:hAnsi="Arial" w:cs="Arial" w:eastAsia="Arial" w:hint="default"/>
          <w:spacing w:val="-2"/>
          <w:sz w:val="21"/>
          <w:szCs w:val="21"/>
        </w:rPr>
        <w:t>”</w:t>
      </w:r>
      <w:r>
        <w:rPr>
          <w:rFonts w:ascii="Arial" w:hAnsi="Arial" w:cs="Arial" w:eastAsia="Arial" w:hint="default"/>
          <w:spacing w:val="30"/>
          <w:sz w:val="21"/>
          <w:szCs w:val="21"/>
        </w:rPr>
        <w:t> </w:t>
      </w:r>
      <w:r>
        <w:rPr>
          <w:rFonts w:ascii="宋体" w:hAnsi="宋体" w:cs="宋体" w:eastAsia="宋体" w:hint="default"/>
          <w:sz w:val="21"/>
          <w:szCs w:val="21"/>
        </w:rPr>
        <w:t>变更事项的工商登记已办理完毕。</w:t>
      </w:r>
    </w:p>
    <w:p>
      <w:pPr>
        <w:spacing w:line="240" w:lineRule="auto" w:before="8"/>
        <w:rPr>
          <w:rFonts w:ascii="宋体" w:hAnsi="宋体" w:cs="宋体" w:eastAsia="宋体" w:hint="default"/>
          <w:sz w:val="14"/>
          <w:szCs w:val="14"/>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根据已经中国证券监督管理委员会审核无异议的《股票期权激励计划（草案）》（以下简称</w:t>
      </w:r>
      <w:r>
        <w:rPr>
          <w:rFonts w:ascii="Arial" w:hAnsi="Arial" w:cs="Arial" w:eastAsia="Arial" w:hint="default"/>
          <w:spacing w:val="-2"/>
          <w:sz w:val="21"/>
          <w:szCs w:val="21"/>
        </w:rPr>
        <w:t>“</w:t>
      </w:r>
      <w:r>
        <w:rPr>
          <w:rFonts w:ascii="宋体" w:hAnsi="宋体" w:cs="宋体" w:eastAsia="宋体" w:hint="default"/>
          <w:spacing w:val="-2"/>
          <w:sz w:val="21"/>
          <w:szCs w:val="21"/>
        </w:rPr>
        <w:t>《股票</w:t>
      </w:r>
      <w:r>
        <w:rPr>
          <w:rFonts w:ascii="宋体" w:hAnsi="宋体" w:cs="宋体" w:eastAsia="宋体" w:hint="default"/>
          <w:w w:val="100"/>
          <w:sz w:val="21"/>
          <w:szCs w:val="21"/>
        </w:rPr>
        <w:t> </w:t>
      </w:r>
      <w:r>
        <w:rPr>
          <w:rFonts w:ascii="宋体" w:hAnsi="宋体" w:cs="宋体" w:eastAsia="宋体" w:hint="default"/>
          <w:spacing w:val="-2"/>
          <w:sz w:val="21"/>
          <w:szCs w:val="21"/>
        </w:rPr>
        <w:t>期权激励计划》</w:t>
      </w:r>
      <w:r>
        <w:rPr>
          <w:rFonts w:ascii="Arial" w:hAnsi="Arial" w:cs="Arial" w:eastAsia="Arial" w:hint="default"/>
          <w:spacing w:val="-2"/>
          <w:sz w:val="21"/>
          <w:szCs w:val="21"/>
        </w:rPr>
        <w:t>”</w:t>
      </w:r>
      <w:r>
        <w:rPr>
          <w:rFonts w:ascii="宋体" w:hAnsi="宋体" w:cs="宋体" w:eastAsia="宋体" w:hint="default"/>
          <w:spacing w:val="-2"/>
          <w:sz w:val="21"/>
          <w:szCs w:val="21"/>
        </w:rPr>
        <w:t>）及《北京紫光华宇软件股份有限公司股票期权激励计划激励对象名单》，公司实施股</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票期权激励计划，行权期自</w:t>
      </w:r>
      <w:r>
        <w:rPr>
          <w:rFonts w:ascii="Arial" w:hAnsi="Arial" w:cs="Arial" w:eastAsia="Arial" w:hint="default"/>
          <w:sz w:val="21"/>
          <w:szCs w:val="21"/>
        </w:rPr>
        <w:t>2013</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28</w:t>
      </w:r>
      <w:r>
        <w:rPr>
          <w:rFonts w:ascii="宋体" w:hAnsi="宋体" w:cs="宋体" w:eastAsia="宋体" w:hint="default"/>
          <w:sz w:val="21"/>
          <w:szCs w:val="21"/>
        </w:rPr>
        <w:t>日起至</w:t>
      </w: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13</w:t>
      </w:r>
      <w:r>
        <w:rPr>
          <w:rFonts w:ascii="宋体" w:hAnsi="宋体" w:cs="宋体" w:eastAsia="宋体" w:hint="default"/>
          <w:sz w:val="21"/>
          <w:szCs w:val="21"/>
        </w:rPr>
        <w:t>日止。截止</w:t>
      </w:r>
      <w:r>
        <w:rPr>
          <w:rFonts w:ascii="Arial" w:hAnsi="Arial" w:cs="Arial" w:eastAsia="Arial" w:hint="default"/>
          <w:sz w:val="21"/>
          <w:szCs w:val="21"/>
        </w:rPr>
        <w:t>2017</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日，累计行权</w:t>
      </w:r>
      <w:r>
        <w:rPr>
          <w:rFonts w:ascii="宋体" w:hAnsi="宋体" w:cs="宋体" w:eastAsia="宋体" w:hint="default"/>
          <w:w w:val="100"/>
          <w:sz w:val="21"/>
          <w:szCs w:val="21"/>
        </w:rPr>
        <w:t> </w:t>
      </w:r>
      <w:r>
        <w:rPr>
          <w:rFonts w:ascii="Arial" w:hAnsi="Arial" w:cs="Arial" w:eastAsia="Arial" w:hint="default"/>
          <w:sz w:val="21"/>
          <w:szCs w:val="21"/>
        </w:rPr>
        <w:t>11,343,854</w:t>
      </w:r>
      <w:r>
        <w:rPr>
          <w:rFonts w:ascii="宋体" w:hAnsi="宋体" w:cs="宋体" w:eastAsia="宋体" w:hint="default"/>
          <w:sz w:val="21"/>
          <w:szCs w:val="21"/>
        </w:rPr>
        <w:t>股。</w:t>
      </w:r>
    </w:p>
    <w:p>
      <w:pPr>
        <w:spacing w:after="0" w:line="297" w:lineRule="auto"/>
        <w:jc w:val="left"/>
        <w:rPr>
          <w:rFonts w:ascii="宋体" w:hAnsi="宋体" w:cs="宋体" w:eastAsia="宋体" w:hint="default"/>
          <w:sz w:val="21"/>
          <w:szCs w:val="21"/>
        </w:rPr>
        <w:sectPr>
          <w:headerReference w:type="default" r:id="rId33"/>
          <w:footerReference w:type="default" r:id="rId34"/>
          <w:pgSz w:w="11910" w:h="16840"/>
          <w:pgMar w:header="877" w:footer="980" w:top="1100" w:bottom="1160" w:left="980" w:right="980"/>
          <w:pgNumType w:start="124"/>
        </w:sectPr>
      </w:pPr>
    </w:p>
    <w:p>
      <w:pPr>
        <w:spacing w:line="240" w:lineRule="auto" w:before="1"/>
        <w:rPr>
          <w:rFonts w:ascii="宋体" w:hAnsi="宋体" w:cs="宋体" w:eastAsia="宋体" w:hint="default"/>
          <w:sz w:val="25"/>
          <w:szCs w:val="25"/>
        </w:rPr>
      </w:pPr>
    </w:p>
    <w:p>
      <w:pPr>
        <w:spacing w:line="302" w:lineRule="auto" w:before="36"/>
        <w:ind w:left="152" w:right="278" w:firstLine="425"/>
        <w:jc w:val="both"/>
        <w:rPr>
          <w:rFonts w:ascii="宋体" w:hAnsi="宋体" w:cs="宋体" w:eastAsia="宋体" w:hint="default"/>
          <w:sz w:val="21"/>
          <w:szCs w:val="21"/>
        </w:rPr>
      </w:pPr>
      <w:r>
        <w:rPr>
          <w:rFonts w:ascii="宋体" w:hAnsi="宋体" w:cs="宋体" w:eastAsia="宋体" w:hint="default"/>
          <w:spacing w:val="-2"/>
          <w:sz w:val="21"/>
          <w:szCs w:val="21"/>
        </w:rPr>
        <w:t>根据公司</w:t>
      </w:r>
      <w:r>
        <w:rPr>
          <w:rFonts w:ascii="Arial" w:hAnsi="Arial" w:cs="Arial" w:eastAsia="Arial" w:hint="default"/>
          <w:spacing w:val="-2"/>
          <w:sz w:val="21"/>
          <w:szCs w:val="21"/>
        </w:rPr>
        <w:t>2014</w:t>
      </w:r>
      <w:r>
        <w:rPr>
          <w:rFonts w:ascii="宋体" w:hAnsi="宋体" w:cs="宋体" w:eastAsia="宋体" w:hint="default"/>
          <w:spacing w:val="-2"/>
          <w:sz w:val="21"/>
          <w:szCs w:val="21"/>
        </w:rPr>
        <w:t>年</w:t>
      </w:r>
      <w:r>
        <w:rPr>
          <w:rFonts w:ascii="Arial" w:hAnsi="Arial" w:cs="Arial" w:eastAsia="Arial" w:hint="default"/>
          <w:spacing w:val="-2"/>
          <w:sz w:val="21"/>
          <w:szCs w:val="21"/>
        </w:rPr>
        <w:t>9</w:t>
      </w:r>
      <w:r>
        <w:rPr>
          <w:rFonts w:ascii="宋体" w:hAnsi="宋体" w:cs="宋体" w:eastAsia="宋体" w:hint="default"/>
          <w:spacing w:val="-2"/>
          <w:sz w:val="21"/>
          <w:szCs w:val="21"/>
        </w:rPr>
        <w:t>月</w:t>
      </w:r>
      <w:r>
        <w:rPr>
          <w:rFonts w:ascii="Arial" w:hAnsi="Arial" w:cs="Arial" w:eastAsia="Arial" w:hint="default"/>
          <w:spacing w:val="-2"/>
          <w:sz w:val="21"/>
          <w:szCs w:val="21"/>
        </w:rPr>
        <w:t>15</w:t>
      </w:r>
      <w:r>
        <w:rPr>
          <w:rFonts w:ascii="宋体" w:hAnsi="宋体" w:cs="宋体" w:eastAsia="宋体" w:hint="default"/>
          <w:spacing w:val="-2"/>
          <w:sz w:val="21"/>
          <w:szCs w:val="21"/>
        </w:rPr>
        <w:t>召开的第五届董事会第十四次会议、</w:t>
      </w:r>
      <w:r>
        <w:rPr>
          <w:rFonts w:ascii="Arial" w:hAnsi="Arial" w:cs="Arial" w:eastAsia="Arial" w:hint="default"/>
          <w:spacing w:val="-2"/>
          <w:sz w:val="21"/>
          <w:szCs w:val="21"/>
        </w:rPr>
        <w:t>2014</w:t>
      </w:r>
      <w:r>
        <w:rPr>
          <w:rFonts w:ascii="宋体" w:hAnsi="宋体" w:cs="宋体" w:eastAsia="宋体" w:hint="default"/>
          <w:spacing w:val="-2"/>
          <w:sz w:val="21"/>
          <w:szCs w:val="21"/>
        </w:rPr>
        <w:t>年</w:t>
      </w:r>
      <w:r>
        <w:rPr>
          <w:rFonts w:ascii="Arial" w:hAnsi="Arial" w:cs="Arial" w:eastAsia="Arial" w:hint="default"/>
          <w:spacing w:val="-2"/>
          <w:sz w:val="21"/>
          <w:szCs w:val="21"/>
        </w:rPr>
        <w:t>10</w:t>
      </w:r>
      <w:r>
        <w:rPr>
          <w:rFonts w:ascii="宋体" w:hAnsi="宋体" w:cs="宋体" w:eastAsia="宋体" w:hint="default"/>
          <w:spacing w:val="-2"/>
          <w:sz w:val="21"/>
          <w:szCs w:val="21"/>
        </w:rPr>
        <w:t>月</w:t>
      </w:r>
      <w:r>
        <w:rPr>
          <w:rFonts w:ascii="Arial" w:hAnsi="Arial" w:cs="Arial" w:eastAsia="Arial" w:hint="default"/>
          <w:spacing w:val="-2"/>
          <w:sz w:val="21"/>
          <w:szCs w:val="21"/>
        </w:rPr>
        <w:t>8</w:t>
      </w:r>
      <w:r>
        <w:rPr>
          <w:rFonts w:ascii="宋体" w:hAnsi="宋体" w:cs="宋体" w:eastAsia="宋体" w:hint="default"/>
          <w:spacing w:val="-2"/>
          <w:sz w:val="21"/>
          <w:szCs w:val="21"/>
        </w:rPr>
        <w:t>日召开的</w:t>
      </w:r>
      <w:r>
        <w:rPr>
          <w:rFonts w:ascii="Arial" w:hAnsi="Arial" w:cs="Arial" w:eastAsia="Arial" w:hint="default"/>
          <w:spacing w:val="-2"/>
          <w:sz w:val="21"/>
          <w:szCs w:val="21"/>
        </w:rPr>
        <w:t>2014</w:t>
      </w:r>
      <w:r>
        <w:rPr>
          <w:rFonts w:ascii="宋体" w:hAnsi="宋体" w:cs="宋体" w:eastAsia="宋体" w:hint="default"/>
          <w:spacing w:val="-2"/>
          <w:sz w:val="21"/>
          <w:szCs w:val="21"/>
        </w:rPr>
        <w:t>年度第三次</w:t>
      </w:r>
      <w:r>
        <w:rPr>
          <w:rFonts w:ascii="宋体" w:hAnsi="宋体" w:cs="宋体" w:eastAsia="宋体" w:hint="default"/>
          <w:w w:val="100"/>
          <w:sz w:val="21"/>
          <w:szCs w:val="21"/>
        </w:rPr>
        <w:t> </w:t>
      </w:r>
      <w:r>
        <w:rPr>
          <w:rFonts w:ascii="宋体" w:hAnsi="宋体" w:cs="宋体" w:eastAsia="宋体" w:hint="default"/>
          <w:spacing w:val="-2"/>
          <w:sz w:val="21"/>
          <w:szCs w:val="21"/>
        </w:rPr>
        <w:t>临时股东大会的决议的规定，及与马勤等签署的《发行股份及支付现金购买资产协议》的规定，并经中</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国证券监督管理委员会证监许可</w:t>
      </w:r>
      <w:r>
        <w:rPr>
          <w:rFonts w:ascii="Arial" w:hAnsi="Arial" w:cs="Arial" w:eastAsia="Arial" w:hint="default"/>
          <w:spacing w:val="-2"/>
          <w:sz w:val="21"/>
          <w:szCs w:val="21"/>
        </w:rPr>
        <w:t>[2014]1413</w:t>
      </w:r>
      <w:r>
        <w:rPr>
          <w:rFonts w:ascii="宋体" w:hAnsi="宋体" w:cs="宋体" w:eastAsia="宋体" w:hint="default"/>
          <w:spacing w:val="-2"/>
          <w:sz w:val="21"/>
          <w:szCs w:val="21"/>
        </w:rPr>
        <w:t>号文《关于核准北京华宇软件股份有限公司向马勤等发行股</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2"/>
          <w:sz w:val="21"/>
          <w:szCs w:val="21"/>
        </w:rPr>
        <w:t>份购买资产的批复》的核准，公司以每股</w:t>
      </w:r>
      <w:r>
        <w:rPr>
          <w:rFonts w:ascii="Arial" w:hAnsi="Arial" w:cs="Arial" w:eastAsia="Arial" w:hint="default"/>
          <w:spacing w:val="-2"/>
          <w:sz w:val="21"/>
          <w:szCs w:val="21"/>
        </w:rPr>
        <w:t>37.27</w:t>
      </w:r>
      <w:r>
        <w:rPr>
          <w:rFonts w:ascii="宋体" w:hAnsi="宋体" w:cs="宋体" w:eastAsia="宋体" w:hint="default"/>
          <w:spacing w:val="-2"/>
          <w:sz w:val="21"/>
          <w:szCs w:val="21"/>
        </w:rPr>
        <w:t>元向马勤等</w:t>
      </w:r>
      <w:r>
        <w:rPr>
          <w:rFonts w:ascii="Arial" w:hAnsi="Arial" w:cs="Arial" w:eastAsia="Arial" w:hint="default"/>
          <w:spacing w:val="-2"/>
          <w:sz w:val="21"/>
          <w:szCs w:val="21"/>
        </w:rPr>
        <w:t>11</w:t>
      </w:r>
      <w:r>
        <w:rPr>
          <w:rFonts w:ascii="宋体" w:hAnsi="宋体" w:cs="宋体" w:eastAsia="宋体" w:hint="default"/>
          <w:spacing w:val="-2"/>
          <w:sz w:val="21"/>
          <w:szCs w:val="21"/>
        </w:rPr>
        <w:t>位自然人发行股份</w:t>
      </w:r>
      <w:r>
        <w:rPr>
          <w:rFonts w:ascii="Arial" w:hAnsi="Arial" w:cs="Arial" w:eastAsia="Arial" w:hint="default"/>
          <w:spacing w:val="-2"/>
          <w:sz w:val="21"/>
          <w:szCs w:val="21"/>
        </w:rPr>
        <w:t>1,814,831</w:t>
      </w:r>
      <w:r>
        <w:rPr>
          <w:rFonts w:ascii="宋体" w:hAnsi="宋体" w:cs="宋体" w:eastAsia="宋体" w:hint="default"/>
          <w:spacing w:val="-2"/>
          <w:sz w:val="21"/>
          <w:szCs w:val="21"/>
        </w:rPr>
        <w:t>股并支付现金</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2"/>
          <w:sz w:val="21"/>
          <w:szCs w:val="21"/>
        </w:rPr>
        <w:t>的方式购买其持有的上海浦东中软科技发展有限公司</w:t>
      </w:r>
      <w:r>
        <w:rPr>
          <w:rFonts w:ascii="Arial" w:hAnsi="Arial" w:cs="Arial" w:eastAsia="Arial" w:hint="default"/>
          <w:spacing w:val="-2"/>
          <w:sz w:val="21"/>
          <w:szCs w:val="21"/>
        </w:rPr>
        <w:t>90.185%</w:t>
      </w:r>
      <w:r>
        <w:rPr>
          <w:rFonts w:ascii="宋体" w:hAnsi="宋体" w:cs="宋体" w:eastAsia="宋体" w:hint="default"/>
          <w:spacing w:val="-2"/>
          <w:sz w:val="21"/>
          <w:szCs w:val="21"/>
        </w:rPr>
        <w:t>股权，此事项已经大华会计师事务所</w:t>
      </w:r>
      <w:r>
        <w:rPr>
          <w:rFonts w:ascii="Arial" w:hAnsi="Arial" w:cs="Arial" w:eastAsia="Arial" w:hint="default"/>
          <w:spacing w:val="-2"/>
          <w:sz w:val="21"/>
          <w:szCs w:val="21"/>
        </w:rPr>
        <w:t>(</w:t>
      </w:r>
      <w:r>
        <w:rPr>
          <w:rFonts w:ascii="宋体" w:hAnsi="宋体" w:cs="宋体" w:eastAsia="宋体" w:hint="default"/>
          <w:spacing w:val="-2"/>
          <w:sz w:val="21"/>
          <w:szCs w:val="21"/>
        </w:rPr>
        <w:t>特殊</w:t>
      </w:r>
      <w:r>
        <w:rPr>
          <w:rFonts w:ascii="宋体" w:hAnsi="宋体" w:cs="宋体" w:eastAsia="宋体" w:hint="default"/>
          <w:spacing w:val="-18"/>
          <w:sz w:val="21"/>
          <w:szCs w:val="21"/>
        </w:rPr>
        <w:t> </w:t>
      </w:r>
      <w:r>
        <w:rPr>
          <w:rFonts w:ascii="宋体" w:hAnsi="宋体" w:cs="宋体" w:eastAsia="宋体" w:hint="default"/>
          <w:sz w:val="21"/>
          <w:szCs w:val="21"/>
        </w:rPr>
        <w:t>普通合伙</w:t>
      </w:r>
      <w:r>
        <w:rPr>
          <w:rFonts w:ascii="Arial" w:hAnsi="Arial" w:cs="Arial" w:eastAsia="Arial" w:hint="default"/>
          <w:sz w:val="21"/>
          <w:szCs w:val="21"/>
        </w:rPr>
        <w:t>)</w:t>
      </w:r>
      <w:r>
        <w:rPr>
          <w:rFonts w:ascii="宋体" w:hAnsi="宋体" w:cs="宋体" w:eastAsia="宋体" w:hint="default"/>
          <w:sz w:val="21"/>
          <w:szCs w:val="21"/>
        </w:rPr>
        <w:t>审验，并出具大华验字</w:t>
      </w:r>
      <w:r>
        <w:rPr>
          <w:rFonts w:ascii="Arial" w:hAnsi="Arial" w:cs="Arial" w:eastAsia="Arial" w:hint="default"/>
          <w:sz w:val="21"/>
          <w:szCs w:val="21"/>
        </w:rPr>
        <w:t>[2015]000068</w:t>
      </w:r>
      <w:r>
        <w:rPr>
          <w:rFonts w:ascii="宋体" w:hAnsi="宋体" w:cs="宋体" w:eastAsia="宋体" w:hint="default"/>
          <w:sz w:val="21"/>
          <w:szCs w:val="21"/>
        </w:rPr>
        <w:t>号验资报告。</w:t>
      </w:r>
    </w:p>
    <w:p>
      <w:pPr>
        <w:spacing w:line="297" w:lineRule="auto" w:before="165"/>
        <w:ind w:left="152" w:right="194" w:firstLine="425"/>
        <w:jc w:val="both"/>
        <w:rPr>
          <w:rFonts w:ascii="宋体" w:hAnsi="宋体" w:cs="宋体" w:eastAsia="宋体" w:hint="default"/>
          <w:sz w:val="21"/>
          <w:szCs w:val="21"/>
        </w:rPr>
      </w:pPr>
      <w:r>
        <w:rPr>
          <w:rFonts w:ascii="宋体" w:hAnsi="宋体" w:cs="宋体" w:eastAsia="宋体" w:hint="default"/>
          <w:spacing w:val="-2"/>
          <w:sz w:val="21"/>
          <w:szCs w:val="21"/>
        </w:rPr>
        <w:t>根据公司</w:t>
      </w:r>
      <w:r>
        <w:rPr>
          <w:rFonts w:ascii="Arial" w:hAnsi="Arial" w:cs="Arial" w:eastAsia="Arial" w:hint="default"/>
          <w:spacing w:val="-2"/>
          <w:sz w:val="21"/>
          <w:szCs w:val="21"/>
        </w:rPr>
        <w:t>2014</w:t>
      </w:r>
      <w:r>
        <w:rPr>
          <w:rFonts w:ascii="宋体" w:hAnsi="宋体" w:cs="宋体" w:eastAsia="宋体" w:hint="default"/>
          <w:spacing w:val="-2"/>
          <w:sz w:val="21"/>
          <w:szCs w:val="21"/>
        </w:rPr>
        <w:t>年度股东大会决议，公司以截至</w:t>
      </w:r>
      <w:r>
        <w:rPr>
          <w:rFonts w:ascii="Arial" w:hAnsi="Arial" w:cs="Arial" w:eastAsia="Arial" w:hint="default"/>
          <w:spacing w:val="-2"/>
          <w:sz w:val="21"/>
          <w:szCs w:val="21"/>
        </w:rPr>
        <w:t>2014</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31</w:t>
      </w:r>
      <w:r>
        <w:rPr>
          <w:rFonts w:ascii="宋体" w:hAnsi="宋体" w:cs="宋体" w:eastAsia="宋体" w:hint="default"/>
          <w:spacing w:val="-2"/>
          <w:sz w:val="21"/>
          <w:szCs w:val="21"/>
        </w:rPr>
        <w:t>日的股本</w:t>
      </w:r>
      <w:r>
        <w:rPr>
          <w:rFonts w:ascii="Arial" w:hAnsi="Arial" w:cs="Arial" w:eastAsia="Arial" w:hint="default"/>
          <w:spacing w:val="-2"/>
          <w:sz w:val="21"/>
          <w:szCs w:val="21"/>
        </w:rPr>
        <w:t>149,954,550</w:t>
      </w:r>
      <w:r>
        <w:rPr>
          <w:rFonts w:ascii="宋体" w:hAnsi="宋体" w:cs="宋体" w:eastAsia="宋体" w:hint="default"/>
          <w:spacing w:val="-2"/>
          <w:sz w:val="21"/>
          <w:szCs w:val="21"/>
        </w:rPr>
        <w:t>为基数按每</w:t>
      </w:r>
      <w:r>
        <w:rPr>
          <w:rFonts w:ascii="Arial" w:hAnsi="Arial" w:cs="Arial" w:eastAsia="Arial" w:hint="default"/>
          <w:spacing w:val="-2"/>
          <w:sz w:val="21"/>
          <w:szCs w:val="21"/>
        </w:rPr>
        <w:t>10</w:t>
      </w:r>
      <w:r>
        <w:rPr>
          <w:rFonts w:ascii="宋体" w:hAnsi="宋体" w:cs="宋体" w:eastAsia="宋体" w:hint="default"/>
          <w:spacing w:val="-2"/>
          <w:sz w:val="21"/>
          <w:szCs w:val="21"/>
        </w:rPr>
        <w:t>股</w:t>
      </w:r>
      <w:r>
        <w:rPr>
          <w:rFonts w:ascii="宋体" w:hAnsi="宋体" w:cs="宋体" w:eastAsia="宋体" w:hint="default"/>
          <w:w w:val="100"/>
          <w:sz w:val="21"/>
          <w:szCs w:val="21"/>
        </w:rPr>
        <w:t> </w:t>
      </w:r>
      <w:r>
        <w:rPr>
          <w:rFonts w:ascii="宋体" w:hAnsi="宋体" w:cs="宋体" w:eastAsia="宋体" w:hint="default"/>
          <w:spacing w:val="-2"/>
          <w:sz w:val="21"/>
          <w:szCs w:val="21"/>
        </w:rPr>
        <w:t>转增</w:t>
      </w:r>
      <w:r>
        <w:rPr>
          <w:rFonts w:ascii="Arial" w:hAnsi="Arial" w:cs="Arial" w:eastAsia="Arial" w:hint="default"/>
          <w:spacing w:val="-2"/>
          <w:sz w:val="21"/>
          <w:szCs w:val="21"/>
        </w:rPr>
        <w:t>10</w:t>
      </w:r>
      <w:r>
        <w:rPr>
          <w:rFonts w:ascii="宋体" w:hAnsi="宋体" w:cs="宋体" w:eastAsia="宋体" w:hint="default"/>
          <w:spacing w:val="-2"/>
          <w:sz w:val="21"/>
          <w:szCs w:val="21"/>
        </w:rPr>
        <w:t>股的比例，以资本公积向全体股东转增股份总额</w:t>
      </w:r>
      <w:r>
        <w:rPr>
          <w:rFonts w:ascii="Arial" w:hAnsi="Arial" w:cs="Arial" w:eastAsia="Arial" w:hint="default"/>
          <w:spacing w:val="-2"/>
          <w:sz w:val="21"/>
          <w:szCs w:val="21"/>
        </w:rPr>
        <w:t>149,954,536</w:t>
      </w:r>
      <w:r>
        <w:rPr>
          <w:rFonts w:ascii="宋体" w:hAnsi="宋体" w:cs="宋体" w:eastAsia="宋体" w:hint="default"/>
          <w:spacing w:val="-2"/>
          <w:sz w:val="21"/>
          <w:szCs w:val="21"/>
        </w:rPr>
        <w:t>股（实际转增股数与股东大会决议批</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准股数差异为取整所致）。</w:t>
      </w:r>
    </w:p>
    <w:p>
      <w:pPr>
        <w:spacing w:line="240" w:lineRule="auto" w:before="8"/>
        <w:rPr>
          <w:rFonts w:ascii="宋体" w:hAnsi="宋体" w:cs="宋体" w:eastAsia="宋体" w:hint="default"/>
          <w:sz w:val="14"/>
          <w:szCs w:val="14"/>
        </w:rPr>
      </w:pPr>
    </w:p>
    <w:p>
      <w:pPr>
        <w:spacing w:line="302" w:lineRule="auto" w:before="0"/>
        <w:ind w:left="152" w:right="0" w:firstLine="425"/>
        <w:jc w:val="left"/>
        <w:rPr>
          <w:rFonts w:ascii="宋体" w:hAnsi="宋体" w:cs="宋体" w:eastAsia="宋体" w:hint="default"/>
          <w:sz w:val="21"/>
          <w:szCs w:val="21"/>
        </w:rPr>
      </w:pPr>
      <w:r>
        <w:rPr>
          <w:rFonts w:ascii="宋体" w:hAnsi="宋体" w:cs="宋体" w:eastAsia="宋体" w:hint="default"/>
          <w:sz w:val="21"/>
          <w:szCs w:val="21"/>
        </w:rPr>
        <w:t>根据公司第五届董事会第十九次会议决议、</w:t>
      </w:r>
      <w:r>
        <w:rPr>
          <w:rFonts w:ascii="Arial" w:hAnsi="Arial" w:cs="Arial" w:eastAsia="Arial" w:hint="default"/>
          <w:sz w:val="21"/>
          <w:szCs w:val="21"/>
        </w:rPr>
        <w:t>2014</w:t>
      </w:r>
      <w:r>
        <w:rPr>
          <w:rFonts w:ascii="宋体" w:hAnsi="宋体" w:cs="宋体" w:eastAsia="宋体" w:hint="default"/>
          <w:sz w:val="21"/>
          <w:szCs w:val="21"/>
        </w:rPr>
        <w:t>年度股东大会决议及中国证券监督管理委员会审核</w:t>
      </w:r>
      <w:r>
        <w:rPr>
          <w:rFonts w:ascii="宋体" w:hAnsi="宋体" w:cs="宋体" w:eastAsia="宋体" w:hint="default"/>
          <w:w w:val="100"/>
          <w:sz w:val="21"/>
          <w:szCs w:val="21"/>
        </w:rPr>
        <w:t> </w:t>
      </w:r>
      <w:r>
        <w:rPr>
          <w:rFonts w:ascii="宋体" w:hAnsi="宋体" w:cs="宋体" w:eastAsia="宋体" w:hint="default"/>
          <w:sz w:val="21"/>
          <w:szCs w:val="21"/>
        </w:rPr>
        <w:t>无异议的《关于限制性股票激励计划（草案）》，经公司第五届董事会第二十六次会议审议决定，公司</w:t>
      </w:r>
      <w:r>
        <w:rPr>
          <w:rFonts w:ascii="宋体" w:hAnsi="宋体" w:cs="宋体" w:eastAsia="宋体" w:hint="default"/>
          <w:w w:val="100"/>
          <w:sz w:val="21"/>
          <w:szCs w:val="21"/>
        </w:rPr>
        <w:t> </w:t>
      </w:r>
      <w:r>
        <w:rPr>
          <w:rFonts w:ascii="宋体" w:hAnsi="宋体" w:cs="宋体" w:eastAsia="宋体" w:hint="default"/>
          <w:sz w:val="21"/>
          <w:szCs w:val="21"/>
        </w:rPr>
        <w:t>董事会认为本次激励计划规定的授予条件均已满足，根据公司</w:t>
      </w:r>
      <w:r>
        <w:rPr>
          <w:rFonts w:ascii="Arial" w:hAnsi="Arial" w:cs="Arial" w:eastAsia="Arial" w:hint="default"/>
          <w:sz w:val="21"/>
          <w:szCs w:val="21"/>
        </w:rPr>
        <w:t>2014</w:t>
      </w:r>
      <w:r>
        <w:rPr>
          <w:rFonts w:ascii="宋体" w:hAnsi="宋体" w:cs="宋体" w:eastAsia="宋体" w:hint="default"/>
          <w:sz w:val="21"/>
          <w:szCs w:val="21"/>
        </w:rPr>
        <w:t>年年度股东大会授权，董事会确定授</w:t>
      </w:r>
      <w:r>
        <w:rPr>
          <w:rFonts w:ascii="宋体" w:hAnsi="宋体" w:cs="宋体" w:eastAsia="宋体" w:hint="default"/>
          <w:w w:val="100"/>
          <w:sz w:val="21"/>
          <w:szCs w:val="21"/>
        </w:rPr>
        <w:t> </w:t>
      </w:r>
      <w:r>
        <w:rPr>
          <w:rFonts w:ascii="宋体" w:hAnsi="宋体" w:cs="宋体" w:eastAsia="宋体" w:hint="default"/>
          <w:spacing w:val="-2"/>
          <w:sz w:val="21"/>
          <w:szCs w:val="21"/>
        </w:rPr>
        <w:t>予日为</w:t>
      </w:r>
      <w:r>
        <w:rPr>
          <w:rFonts w:ascii="Arial" w:hAnsi="Arial" w:cs="Arial" w:eastAsia="Arial" w:hint="default"/>
          <w:spacing w:val="-2"/>
          <w:sz w:val="21"/>
          <w:szCs w:val="21"/>
        </w:rPr>
        <w:t>2015</w:t>
      </w:r>
      <w:r>
        <w:rPr>
          <w:rFonts w:ascii="宋体" w:hAnsi="宋体" w:cs="宋体" w:eastAsia="宋体" w:hint="default"/>
          <w:spacing w:val="-2"/>
          <w:sz w:val="21"/>
          <w:szCs w:val="21"/>
        </w:rPr>
        <w:t>年</w:t>
      </w:r>
      <w:r>
        <w:rPr>
          <w:rFonts w:ascii="Arial" w:hAnsi="Arial" w:cs="Arial" w:eastAsia="Arial" w:hint="default"/>
          <w:spacing w:val="-2"/>
          <w:sz w:val="21"/>
          <w:szCs w:val="21"/>
        </w:rPr>
        <w:t>5</w:t>
      </w:r>
      <w:r>
        <w:rPr>
          <w:rFonts w:ascii="宋体" w:hAnsi="宋体" w:cs="宋体" w:eastAsia="宋体" w:hint="default"/>
          <w:spacing w:val="-2"/>
          <w:sz w:val="21"/>
          <w:szCs w:val="21"/>
        </w:rPr>
        <w:t>月</w:t>
      </w:r>
      <w:r>
        <w:rPr>
          <w:rFonts w:ascii="Arial" w:hAnsi="Arial" w:cs="Arial" w:eastAsia="Arial" w:hint="default"/>
          <w:spacing w:val="-2"/>
          <w:sz w:val="21"/>
          <w:szCs w:val="21"/>
        </w:rPr>
        <w:t>6</w:t>
      </w:r>
      <w:r>
        <w:rPr>
          <w:rFonts w:ascii="宋体" w:hAnsi="宋体" w:cs="宋体" w:eastAsia="宋体" w:hint="default"/>
          <w:spacing w:val="-2"/>
          <w:sz w:val="21"/>
          <w:szCs w:val="21"/>
        </w:rPr>
        <w:t>日。截止</w:t>
      </w: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31</w:t>
      </w:r>
      <w:r>
        <w:rPr>
          <w:rFonts w:ascii="宋体" w:hAnsi="宋体" w:cs="宋体" w:eastAsia="宋体" w:hint="default"/>
          <w:spacing w:val="-2"/>
          <w:sz w:val="21"/>
          <w:szCs w:val="21"/>
        </w:rPr>
        <w:t>日，扣除未解锁回购股票，本次限制性股票激励计划共发行股</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份</w:t>
      </w:r>
      <w:r>
        <w:rPr>
          <w:rFonts w:ascii="Arial" w:hAnsi="Arial" w:cs="Arial" w:eastAsia="Arial" w:hint="default"/>
          <w:sz w:val="21"/>
          <w:szCs w:val="21"/>
        </w:rPr>
        <w:t>7,532,127</w:t>
      </w:r>
      <w:r>
        <w:rPr>
          <w:rFonts w:ascii="宋体" w:hAnsi="宋体" w:cs="宋体" w:eastAsia="宋体" w:hint="default"/>
          <w:sz w:val="21"/>
          <w:szCs w:val="21"/>
        </w:rPr>
        <w:t>股。</w:t>
      </w:r>
    </w:p>
    <w:p>
      <w:pPr>
        <w:spacing w:line="302" w:lineRule="auto" w:before="165"/>
        <w:ind w:left="152" w:right="0" w:firstLine="425"/>
        <w:jc w:val="left"/>
        <w:rPr>
          <w:rFonts w:ascii="宋体" w:hAnsi="宋体" w:cs="宋体" w:eastAsia="宋体" w:hint="default"/>
          <w:sz w:val="21"/>
          <w:szCs w:val="21"/>
        </w:rPr>
      </w:pPr>
      <w:r>
        <w:rPr>
          <w:rFonts w:ascii="宋体" w:hAnsi="宋体" w:cs="宋体" w:eastAsia="宋体" w:hint="default"/>
          <w:sz w:val="21"/>
          <w:szCs w:val="21"/>
        </w:rPr>
        <w:t>根据公司第五届董事会第二十五次会议决议、</w:t>
      </w:r>
      <w:r>
        <w:rPr>
          <w:rFonts w:ascii="Arial" w:hAnsi="Arial" w:cs="Arial" w:eastAsia="Arial" w:hint="default"/>
          <w:sz w:val="21"/>
          <w:szCs w:val="21"/>
        </w:rPr>
        <w:t>2015</w:t>
      </w:r>
      <w:r>
        <w:rPr>
          <w:rFonts w:ascii="宋体" w:hAnsi="宋体" w:cs="宋体" w:eastAsia="宋体" w:hint="default"/>
          <w:sz w:val="21"/>
          <w:szCs w:val="21"/>
        </w:rPr>
        <w:t>年第一次临时股东大会决议，并经中国证券监督</w:t>
      </w:r>
      <w:r>
        <w:rPr>
          <w:rFonts w:ascii="宋体" w:hAnsi="宋体" w:cs="宋体" w:eastAsia="宋体" w:hint="default"/>
          <w:w w:val="100"/>
          <w:sz w:val="21"/>
          <w:szCs w:val="21"/>
        </w:rPr>
        <w:t> </w:t>
      </w:r>
      <w:r>
        <w:rPr>
          <w:rFonts w:ascii="宋体" w:hAnsi="宋体" w:cs="宋体" w:eastAsia="宋体" w:hint="default"/>
          <w:sz w:val="21"/>
          <w:szCs w:val="21"/>
        </w:rPr>
        <w:t>管理委员会《关于核准北京华宇软件股份有限公司向陈京念等发行股份购买资产并募集配套资金的批</w:t>
      </w:r>
      <w:r>
        <w:rPr>
          <w:rFonts w:ascii="宋体" w:hAnsi="宋体" w:cs="宋体" w:eastAsia="宋体" w:hint="default"/>
          <w:w w:val="100"/>
          <w:sz w:val="21"/>
          <w:szCs w:val="21"/>
        </w:rPr>
        <w:t> </w:t>
      </w:r>
      <w:r>
        <w:rPr>
          <w:rFonts w:ascii="宋体" w:hAnsi="宋体" w:cs="宋体" w:eastAsia="宋体" w:hint="default"/>
          <w:spacing w:val="-2"/>
          <w:sz w:val="21"/>
          <w:szCs w:val="21"/>
        </w:rPr>
        <w:t>复》（证监许可</w:t>
      </w:r>
      <w:r>
        <w:rPr>
          <w:rFonts w:ascii="Arial" w:hAnsi="Arial" w:cs="Arial" w:eastAsia="Arial" w:hint="default"/>
          <w:spacing w:val="-2"/>
          <w:sz w:val="21"/>
          <w:szCs w:val="21"/>
        </w:rPr>
        <w:t>[2015]2231</w:t>
      </w:r>
      <w:r>
        <w:rPr>
          <w:rFonts w:ascii="宋体" w:hAnsi="宋体" w:cs="宋体" w:eastAsia="宋体" w:hint="default"/>
          <w:spacing w:val="-2"/>
          <w:sz w:val="21"/>
          <w:szCs w:val="21"/>
        </w:rPr>
        <w:t>号）文件核准，公司向陈京念及沧州地铁物资有限公司定向增发</w:t>
      </w:r>
      <w:r>
        <w:rPr>
          <w:rFonts w:ascii="Arial" w:hAnsi="Arial" w:cs="Arial" w:eastAsia="Arial" w:hint="default"/>
          <w:spacing w:val="-2"/>
          <w:sz w:val="21"/>
          <w:szCs w:val="21"/>
        </w:rPr>
        <w:t>4,895,647</w:t>
      </w:r>
      <w:r>
        <w:rPr>
          <w:rFonts w:ascii="宋体" w:hAnsi="宋体" w:cs="宋体" w:eastAsia="宋体" w:hint="default"/>
          <w:spacing w:val="-2"/>
          <w:sz w:val="21"/>
          <w:szCs w:val="21"/>
        </w:rPr>
        <w:t>股</w:t>
      </w:r>
      <w:r>
        <w:rPr>
          <w:rFonts w:ascii="宋体" w:hAnsi="宋体" w:cs="宋体" w:eastAsia="宋体" w:hint="default"/>
          <w:spacing w:val="-5"/>
          <w:sz w:val="21"/>
          <w:szCs w:val="21"/>
        </w:rPr>
        <w:t> </w:t>
      </w:r>
      <w:r>
        <w:rPr>
          <w:rFonts w:ascii="宋体" w:hAnsi="宋体" w:cs="宋体" w:eastAsia="宋体" w:hint="default"/>
          <w:spacing w:val="-2"/>
          <w:sz w:val="21"/>
          <w:szCs w:val="21"/>
        </w:rPr>
        <w:t>股份，并非公开发行不超过</w:t>
      </w:r>
      <w:r>
        <w:rPr>
          <w:rFonts w:ascii="Arial" w:hAnsi="Arial" w:cs="Arial" w:eastAsia="Arial" w:hint="default"/>
          <w:spacing w:val="-2"/>
          <w:sz w:val="21"/>
          <w:szCs w:val="21"/>
        </w:rPr>
        <w:t>3,200,000</w:t>
      </w:r>
      <w:r>
        <w:rPr>
          <w:rFonts w:ascii="宋体" w:hAnsi="宋体" w:cs="宋体" w:eastAsia="宋体" w:hint="default"/>
          <w:spacing w:val="-2"/>
          <w:sz w:val="21"/>
          <w:szCs w:val="21"/>
        </w:rPr>
        <w:t>股新股募集本次发行股份购买资产的配套资金购买陈京念及沧州地</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2"/>
          <w:sz w:val="21"/>
          <w:szCs w:val="21"/>
        </w:rPr>
        <w:t>铁物资有限公司持有的华宇金信软件（北京）有限公司</w:t>
      </w:r>
      <w:r>
        <w:rPr>
          <w:rFonts w:ascii="Arial" w:hAnsi="Arial" w:cs="Arial" w:eastAsia="Arial" w:hint="default"/>
          <w:spacing w:val="-2"/>
          <w:sz w:val="21"/>
          <w:szCs w:val="21"/>
        </w:rPr>
        <w:t>49%</w:t>
      </w:r>
      <w:r>
        <w:rPr>
          <w:rFonts w:ascii="宋体" w:hAnsi="宋体" w:cs="宋体" w:eastAsia="宋体" w:hint="default"/>
          <w:spacing w:val="-2"/>
          <w:sz w:val="21"/>
          <w:szCs w:val="21"/>
        </w:rPr>
        <w:t>股权。公司</w:t>
      </w:r>
      <w:r>
        <w:rPr>
          <w:rFonts w:ascii="Arial" w:hAnsi="Arial" w:cs="Arial" w:eastAsia="Arial" w:hint="default"/>
          <w:spacing w:val="-2"/>
          <w:sz w:val="21"/>
          <w:szCs w:val="21"/>
        </w:rPr>
        <w:t>2015</w:t>
      </w:r>
      <w:r>
        <w:rPr>
          <w:rFonts w:ascii="宋体" w:hAnsi="宋体" w:cs="宋体" w:eastAsia="宋体" w:hint="default"/>
          <w:spacing w:val="-2"/>
          <w:sz w:val="21"/>
          <w:szCs w:val="21"/>
        </w:rPr>
        <w:t>年</w:t>
      </w:r>
      <w:r>
        <w:rPr>
          <w:rFonts w:ascii="Arial" w:hAnsi="Arial" w:cs="Arial" w:eastAsia="Arial" w:hint="default"/>
          <w:spacing w:val="-2"/>
          <w:sz w:val="21"/>
          <w:szCs w:val="21"/>
        </w:rPr>
        <w:t>10</w:t>
      </w:r>
      <w:r>
        <w:rPr>
          <w:rFonts w:ascii="宋体" w:hAnsi="宋体" w:cs="宋体" w:eastAsia="宋体" w:hint="default"/>
          <w:spacing w:val="-2"/>
          <w:sz w:val="21"/>
          <w:szCs w:val="21"/>
        </w:rPr>
        <w:t>月</w:t>
      </w:r>
      <w:r>
        <w:rPr>
          <w:rFonts w:ascii="Arial" w:hAnsi="Arial" w:cs="Arial" w:eastAsia="Arial" w:hint="default"/>
          <w:spacing w:val="-2"/>
          <w:sz w:val="21"/>
          <w:szCs w:val="21"/>
        </w:rPr>
        <w:t>28</w:t>
      </w:r>
      <w:r>
        <w:rPr>
          <w:rFonts w:ascii="宋体" w:hAnsi="宋体" w:cs="宋体" w:eastAsia="宋体" w:hint="default"/>
          <w:spacing w:val="-2"/>
          <w:sz w:val="21"/>
          <w:szCs w:val="21"/>
        </w:rPr>
        <w:t>日，已取得作为本</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次发行股份对价的华宇金信软件（北京）有限公司</w:t>
      </w:r>
      <w:r>
        <w:rPr>
          <w:rFonts w:ascii="Arial" w:hAnsi="Arial" w:cs="Arial" w:eastAsia="Arial" w:hint="default"/>
          <w:spacing w:val="-2"/>
          <w:sz w:val="21"/>
          <w:szCs w:val="21"/>
        </w:rPr>
        <w:t>49%</w:t>
      </w:r>
      <w:r>
        <w:rPr>
          <w:rFonts w:ascii="宋体" w:hAnsi="宋体" w:cs="宋体" w:eastAsia="宋体" w:hint="default"/>
          <w:spacing w:val="-2"/>
          <w:sz w:val="21"/>
          <w:szCs w:val="21"/>
        </w:rPr>
        <w:t>股权，新增股份</w:t>
      </w:r>
      <w:r>
        <w:rPr>
          <w:rFonts w:ascii="Arial" w:hAnsi="Arial" w:cs="Arial" w:eastAsia="Arial" w:hint="default"/>
          <w:spacing w:val="-2"/>
          <w:sz w:val="21"/>
          <w:szCs w:val="21"/>
        </w:rPr>
        <w:t>4,895,647</w:t>
      </w:r>
      <w:r>
        <w:rPr>
          <w:rFonts w:ascii="宋体" w:hAnsi="宋体" w:cs="宋体" w:eastAsia="宋体" w:hint="default"/>
          <w:spacing w:val="-2"/>
          <w:sz w:val="21"/>
          <w:szCs w:val="21"/>
        </w:rPr>
        <w:t>股，此事项已经中审华</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寅五洲会计师事务所</w:t>
      </w:r>
      <w:r>
        <w:rPr>
          <w:rFonts w:ascii="Arial" w:hAnsi="Arial" w:cs="Arial" w:eastAsia="Arial" w:hint="default"/>
          <w:spacing w:val="-2"/>
          <w:sz w:val="21"/>
          <w:szCs w:val="21"/>
        </w:rPr>
        <w:t>(</w:t>
      </w:r>
      <w:r>
        <w:rPr>
          <w:rFonts w:ascii="宋体" w:hAnsi="宋体" w:cs="宋体" w:eastAsia="宋体" w:hint="default"/>
          <w:spacing w:val="-2"/>
          <w:sz w:val="21"/>
          <w:szCs w:val="21"/>
        </w:rPr>
        <w:t>特殊普通合伙</w:t>
      </w:r>
      <w:r>
        <w:rPr>
          <w:rFonts w:ascii="Arial" w:hAnsi="Arial" w:cs="Arial" w:eastAsia="Arial" w:hint="default"/>
          <w:spacing w:val="-2"/>
          <w:sz w:val="21"/>
          <w:szCs w:val="21"/>
        </w:rPr>
        <w:t>)</w:t>
      </w:r>
      <w:r>
        <w:rPr>
          <w:rFonts w:ascii="宋体" w:hAnsi="宋体" w:cs="宋体" w:eastAsia="宋体" w:hint="default"/>
          <w:spacing w:val="-2"/>
          <w:sz w:val="21"/>
          <w:szCs w:val="21"/>
        </w:rPr>
        <w:t>出具</w:t>
      </w:r>
      <w:r>
        <w:rPr>
          <w:rFonts w:ascii="Arial" w:hAnsi="Arial" w:cs="Arial" w:eastAsia="Arial" w:hint="default"/>
          <w:spacing w:val="-2"/>
          <w:sz w:val="21"/>
          <w:szCs w:val="21"/>
        </w:rPr>
        <w:t>CHW</w:t>
      </w:r>
      <w:r>
        <w:rPr>
          <w:rFonts w:ascii="宋体" w:hAnsi="宋体" w:cs="宋体" w:eastAsia="宋体" w:hint="default"/>
          <w:spacing w:val="-2"/>
          <w:sz w:val="21"/>
          <w:szCs w:val="21"/>
        </w:rPr>
        <w:t>验字【</w:t>
      </w:r>
      <w:r>
        <w:rPr>
          <w:rFonts w:ascii="Arial" w:hAnsi="Arial" w:cs="Arial" w:eastAsia="Arial" w:hint="default"/>
          <w:spacing w:val="-2"/>
          <w:sz w:val="21"/>
          <w:szCs w:val="21"/>
        </w:rPr>
        <w:t>2015</w:t>
      </w:r>
      <w:r>
        <w:rPr>
          <w:rFonts w:ascii="宋体" w:hAnsi="宋体" w:cs="宋体" w:eastAsia="宋体" w:hint="default"/>
          <w:spacing w:val="-2"/>
          <w:sz w:val="21"/>
          <w:szCs w:val="21"/>
        </w:rPr>
        <w:t>】</w:t>
      </w:r>
      <w:r>
        <w:rPr>
          <w:rFonts w:ascii="Arial" w:hAnsi="Arial" w:cs="Arial" w:eastAsia="Arial" w:hint="default"/>
          <w:spacing w:val="-2"/>
          <w:sz w:val="21"/>
          <w:szCs w:val="21"/>
        </w:rPr>
        <w:t>0073</w:t>
      </w:r>
      <w:r>
        <w:rPr>
          <w:rFonts w:ascii="宋体" w:hAnsi="宋体" w:cs="宋体" w:eastAsia="宋体" w:hint="default"/>
          <w:spacing w:val="-2"/>
          <w:sz w:val="21"/>
          <w:szCs w:val="21"/>
        </w:rPr>
        <w:t>号验资报告审验。</w:t>
      </w:r>
      <w:r>
        <w:rPr>
          <w:rFonts w:ascii="Arial" w:hAnsi="Arial" w:cs="Arial" w:eastAsia="Arial" w:hint="default"/>
          <w:spacing w:val="-2"/>
          <w:sz w:val="21"/>
          <w:szCs w:val="21"/>
        </w:rPr>
        <w:t>2015</w:t>
      </w:r>
      <w:r>
        <w:rPr>
          <w:rFonts w:ascii="宋体" w:hAnsi="宋体" w:cs="宋体" w:eastAsia="宋体" w:hint="default"/>
          <w:spacing w:val="-2"/>
          <w:sz w:val="21"/>
          <w:szCs w:val="21"/>
        </w:rPr>
        <w:t>年</w:t>
      </w:r>
      <w:r>
        <w:rPr>
          <w:rFonts w:ascii="Arial" w:hAnsi="Arial" w:cs="Arial" w:eastAsia="Arial" w:hint="default"/>
          <w:spacing w:val="-2"/>
          <w:sz w:val="21"/>
          <w:szCs w:val="21"/>
        </w:rPr>
        <w:t>11</w:t>
      </w:r>
      <w:r>
        <w:rPr>
          <w:rFonts w:ascii="宋体" w:hAnsi="宋体" w:cs="宋体" w:eastAsia="宋体" w:hint="default"/>
          <w:spacing w:val="-2"/>
          <w:sz w:val="21"/>
          <w:szCs w:val="21"/>
        </w:rPr>
        <w:t>月</w:t>
      </w:r>
      <w:r>
        <w:rPr>
          <w:rFonts w:ascii="Arial" w:hAnsi="Arial" w:cs="Arial" w:eastAsia="Arial" w:hint="default"/>
          <w:spacing w:val="-2"/>
          <w:sz w:val="21"/>
          <w:szCs w:val="21"/>
        </w:rPr>
        <w:t>4</w:t>
      </w:r>
      <w:r>
        <w:rPr>
          <w:rFonts w:ascii="宋体" w:hAnsi="宋体" w:cs="宋体" w:eastAsia="宋体" w:hint="default"/>
          <w:spacing w:val="-2"/>
          <w:sz w:val="21"/>
          <w:szCs w:val="21"/>
        </w:rPr>
        <w:t>日，公</w:t>
      </w:r>
      <w:r>
        <w:rPr>
          <w:rFonts w:ascii="宋体" w:hAnsi="宋体" w:cs="宋体" w:eastAsia="宋体" w:hint="default"/>
          <w:spacing w:val="-12"/>
          <w:sz w:val="21"/>
          <w:szCs w:val="21"/>
        </w:rPr>
        <w:t> </w:t>
      </w:r>
      <w:r>
        <w:rPr>
          <w:rFonts w:ascii="宋体" w:hAnsi="宋体" w:cs="宋体" w:eastAsia="宋体" w:hint="default"/>
          <w:sz w:val="21"/>
          <w:szCs w:val="21"/>
        </w:rPr>
        <w:t>司已收到郭颖、郭楠、王琰、朱相宇、钱贵昱五位自然人缴纳的作为本次发行股份购买资产的募集配套</w:t>
      </w:r>
      <w:r>
        <w:rPr>
          <w:rFonts w:ascii="宋体" w:hAnsi="宋体" w:cs="宋体" w:eastAsia="宋体" w:hint="default"/>
          <w:w w:val="100"/>
          <w:sz w:val="21"/>
          <w:szCs w:val="21"/>
        </w:rPr>
        <w:t> </w:t>
      </w:r>
      <w:r>
        <w:rPr>
          <w:rFonts w:ascii="宋体" w:hAnsi="宋体" w:cs="宋体" w:eastAsia="宋体" w:hint="default"/>
          <w:spacing w:val="-2"/>
          <w:sz w:val="21"/>
          <w:szCs w:val="21"/>
        </w:rPr>
        <w:t>资金</w:t>
      </w:r>
      <w:r>
        <w:rPr>
          <w:rFonts w:ascii="Arial" w:hAnsi="Arial" w:cs="Arial" w:eastAsia="Arial" w:hint="default"/>
          <w:spacing w:val="-2"/>
          <w:sz w:val="21"/>
          <w:szCs w:val="21"/>
        </w:rPr>
        <w:t>8,182.80</w:t>
      </w:r>
      <w:r>
        <w:rPr>
          <w:rFonts w:ascii="宋体" w:hAnsi="宋体" w:cs="宋体" w:eastAsia="宋体" w:hint="default"/>
          <w:spacing w:val="-2"/>
          <w:sz w:val="21"/>
          <w:szCs w:val="21"/>
        </w:rPr>
        <w:t>万元（扣除承销商国信证券股份有限公司承销费用</w:t>
      </w:r>
      <w:r>
        <w:rPr>
          <w:rFonts w:ascii="Arial" w:hAnsi="Arial" w:cs="Arial" w:eastAsia="Arial" w:hint="default"/>
          <w:spacing w:val="-2"/>
          <w:sz w:val="21"/>
          <w:szCs w:val="21"/>
        </w:rPr>
        <w:t>300.00</w:t>
      </w:r>
      <w:r>
        <w:rPr>
          <w:rFonts w:ascii="宋体" w:hAnsi="宋体" w:cs="宋体" w:eastAsia="宋体" w:hint="default"/>
          <w:spacing w:val="-2"/>
          <w:sz w:val="21"/>
          <w:szCs w:val="21"/>
        </w:rPr>
        <w:t>万元），认购公司股份</w:t>
      </w:r>
      <w:r>
        <w:rPr>
          <w:rFonts w:ascii="Arial" w:hAnsi="Arial" w:cs="Arial" w:eastAsia="Arial" w:hint="default"/>
          <w:spacing w:val="-2"/>
          <w:sz w:val="21"/>
          <w:szCs w:val="21"/>
        </w:rPr>
        <w:t>312</w:t>
      </w:r>
      <w:r>
        <w:rPr>
          <w:rFonts w:ascii="宋体" w:hAnsi="宋体" w:cs="宋体" w:eastAsia="宋体" w:hint="default"/>
          <w:spacing w:val="-2"/>
          <w:sz w:val="21"/>
          <w:szCs w:val="21"/>
        </w:rPr>
        <w:t>万股，</w:t>
      </w:r>
      <w:r>
        <w:rPr>
          <w:rFonts w:ascii="宋体" w:hAnsi="宋体" w:cs="宋体" w:eastAsia="宋体" w:hint="default"/>
          <w:spacing w:val="-11"/>
          <w:sz w:val="21"/>
          <w:szCs w:val="21"/>
        </w:rPr>
        <w:t> </w:t>
      </w:r>
      <w:r>
        <w:rPr>
          <w:rFonts w:ascii="宋体" w:hAnsi="宋体" w:cs="宋体" w:eastAsia="宋体" w:hint="default"/>
          <w:spacing w:val="-2"/>
          <w:sz w:val="21"/>
          <w:szCs w:val="21"/>
        </w:rPr>
        <w:t>此事项已经此事项已经中审华寅五洲会计师事务所</w:t>
      </w:r>
      <w:r>
        <w:rPr>
          <w:rFonts w:ascii="Arial" w:hAnsi="Arial" w:cs="Arial" w:eastAsia="Arial" w:hint="default"/>
          <w:spacing w:val="-2"/>
          <w:sz w:val="21"/>
          <w:szCs w:val="21"/>
        </w:rPr>
        <w:t>(</w:t>
      </w:r>
      <w:r>
        <w:rPr>
          <w:rFonts w:ascii="宋体" w:hAnsi="宋体" w:cs="宋体" w:eastAsia="宋体" w:hint="default"/>
          <w:spacing w:val="-2"/>
          <w:sz w:val="21"/>
          <w:szCs w:val="21"/>
        </w:rPr>
        <w:t>特殊普通合伙</w:t>
      </w:r>
      <w:r>
        <w:rPr>
          <w:rFonts w:ascii="Arial" w:hAnsi="Arial" w:cs="Arial" w:eastAsia="Arial" w:hint="default"/>
          <w:spacing w:val="-2"/>
          <w:sz w:val="21"/>
          <w:szCs w:val="21"/>
        </w:rPr>
        <w:t>)</w:t>
      </w:r>
      <w:r>
        <w:rPr>
          <w:rFonts w:ascii="宋体" w:hAnsi="宋体" w:cs="宋体" w:eastAsia="宋体" w:hint="default"/>
          <w:spacing w:val="-2"/>
          <w:sz w:val="21"/>
          <w:szCs w:val="21"/>
        </w:rPr>
        <w:t>出具</w:t>
      </w:r>
      <w:r>
        <w:rPr>
          <w:rFonts w:ascii="Arial" w:hAnsi="Arial" w:cs="Arial" w:eastAsia="Arial" w:hint="default"/>
          <w:spacing w:val="-2"/>
          <w:sz w:val="21"/>
          <w:szCs w:val="21"/>
        </w:rPr>
        <w:t>CHW</w:t>
      </w:r>
      <w:r>
        <w:rPr>
          <w:rFonts w:ascii="宋体" w:hAnsi="宋体" w:cs="宋体" w:eastAsia="宋体" w:hint="default"/>
          <w:spacing w:val="-2"/>
          <w:sz w:val="21"/>
          <w:szCs w:val="21"/>
        </w:rPr>
        <w:t>验字【</w:t>
      </w:r>
      <w:r>
        <w:rPr>
          <w:rFonts w:ascii="Arial" w:hAnsi="Arial" w:cs="Arial" w:eastAsia="Arial" w:hint="default"/>
          <w:spacing w:val="-2"/>
          <w:sz w:val="21"/>
          <w:szCs w:val="21"/>
        </w:rPr>
        <w:t>2015</w:t>
      </w:r>
      <w:r>
        <w:rPr>
          <w:rFonts w:ascii="宋体" w:hAnsi="宋体" w:cs="宋体" w:eastAsia="宋体" w:hint="default"/>
          <w:spacing w:val="-2"/>
          <w:sz w:val="21"/>
          <w:szCs w:val="21"/>
        </w:rPr>
        <w:t>】</w:t>
      </w:r>
      <w:r>
        <w:rPr>
          <w:rFonts w:ascii="Arial" w:hAnsi="Arial" w:cs="Arial" w:eastAsia="Arial" w:hint="default"/>
          <w:spacing w:val="-2"/>
          <w:sz w:val="21"/>
          <w:szCs w:val="21"/>
        </w:rPr>
        <w:t>0074</w:t>
      </w:r>
      <w:r>
        <w:rPr>
          <w:rFonts w:ascii="宋体" w:hAnsi="宋体" w:cs="宋体" w:eastAsia="宋体" w:hint="default"/>
          <w:spacing w:val="-2"/>
          <w:sz w:val="21"/>
          <w:szCs w:val="21"/>
        </w:rPr>
        <w:t>号验资报</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告审验。</w:t>
      </w:r>
    </w:p>
    <w:p>
      <w:pPr>
        <w:spacing w:line="240" w:lineRule="auto" w:before="3"/>
        <w:rPr>
          <w:rFonts w:ascii="宋体" w:hAnsi="宋体" w:cs="宋体" w:eastAsia="宋体" w:hint="default"/>
          <w:sz w:val="14"/>
          <w:szCs w:val="14"/>
        </w:rPr>
      </w:pPr>
    </w:p>
    <w:p>
      <w:pPr>
        <w:spacing w:line="297" w:lineRule="auto" w:before="0"/>
        <w:ind w:left="152" w:right="261" w:firstLine="425"/>
        <w:jc w:val="both"/>
        <w:rPr>
          <w:rFonts w:ascii="宋体" w:hAnsi="宋体" w:cs="宋体" w:eastAsia="宋体" w:hint="default"/>
          <w:sz w:val="21"/>
          <w:szCs w:val="21"/>
        </w:rPr>
      </w:pPr>
      <w:r>
        <w:rPr>
          <w:rFonts w:ascii="宋体" w:hAnsi="宋体" w:cs="宋体" w:eastAsia="宋体" w:hint="default"/>
          <w:spacing w:val="-2"/>
          <w:sz w:val="21"/>
          <w:szCs w:val="21"/>
        </w:rPr>
        <w:t>根据公司</w:t>
      </w:r>
      <w:r>
        <w:rPr>
          <w:rFonts w:ascii="Arial" w:hAnsi="Arial" w:cs="Arial" w:eastAsia="Arial" w:hint="default"/>
          <w:spacing w:val="-2"/>
          <w:sz w:val="21"/>
          <w:szCs w:val="21"/>
        </w:rPr>
        <w:t>2015</w:t>
      </w:r>
      <w:r>
        <w:rPr>
          <w:rFonts w:ascii="宋体" w:hAnsi="宋体" w:cs="宋体" w:eastAsia="宋体" w:hint="default"/>
          <w:spacing w:val="-2"/>
          <w:sz w:val="21"/>
          <w:szCs w:val="21"/>
        </w:rPr>
        <w:t>年度股东大会决议，公司以截止</w:t>
      </w:r>
      <w:r>
        <w:rPr>
          <w:rFonts w:ascii="Arial" w:hAnsi="Arial" w:cs="Arial" w:eastAsia="Arial" w:hint="default"/>
          <w:spacing w:val="-2"/>
          <w:sz w:val="21"/>
          <w:szCs w:val="21"/>
        </w:rPr>
        <w:t>2015</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31</w:t>
      </w:r>
      <w:r>
        <w:rPr>
          <w:rFonts w:ascii="宋体" w:hAnsi="宋体" w:cs="宋体" w:eastAsia="宋体" w:hint="default"/>
          <w:spacing w:val="-2"/>
          <w:sz w:val="21"/>
          <w:szCs w:val="21"/>
        </w:rPr>
        <w:t>日的股本</w:t>
      </w:r>
      <w:r>
        <w:rPr>
          <w:rFonts w:ascii="Arial" w:hAnsi="Arial" w:cs="Arial" w:eastAsia="Arial" w:hint="default"/>
          <w:spacing w:val="-2"/>
          <w:sz w:val="21"/>
          <w:szCs w:val="21"/>
        </w:rPr>
        <w:t>320,680,060</w:t>
      </w:r>
      <w:r>
        <w:rPr>
          <w:rFonts w:ascii="宋体" w:hAnsi="宋体" w:cs="宋体" w:eastAsia="宋体" w:hint="default"/>
          <w:spacing w:val="-2"/>
          <w:sz w:val="21"/>
          <w:szCs w:val="21"/>
        </w:rPr>
        <w:t>为基数按每</w:t>
      </w:r>
      <w:r>
        <w:rPr>
          <w:rFonts w:ascii="Arial" w:hAnsi="Arial" w:cs="Arial" w:eastAsia="Arial" w:hint="default"/>
          <w:spacing w:val="-2"/>
          <w:sz w:val="21"/>
          <w:szCs w:val="21"/>
        </w:rPr>
        <w:t>10</w:t>
      </w:r>
      <w:r>
        <w:rPr>
          <w:rFonts w:ascii="宋体" w:hAnsi="宋体" w:cs="宋体" w:eastAsia="宋体" w:hint="default"/>
          <w:spacing w:val="-2"/>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w:t>
      </w:r>
      <w:r>
        <w:rPr>
          <w:rFonts w:ascii="Arial" w:hAnsi="Arial" w:cs="Arial" w:eastAsia="Arial" w:hint="default"/>
          <w:sz w:val="21"/>
          <w:szCs w:val="21"/>
        </w:rPr>
        <w:t>10</w:t>
      </w:r>
      <w:r>
        <w:rPr>
          <w:rFonts w:ascii="宋体" w:hAnsi="宋体" w:cs="宋体" w:eastAsia="宋体" w:hint="default"/>
          <w:sz w:val="21"/>
          <w:szCs w:val="21"/>
        </w:rPr>
        <w:t>股的比例，以资本公积向全体股东转增股份总额</w:t>
      </w:r>
      <w:r>
        <w:rPr>
          <w:rFonts w:ascii="Arial" w:hAnsi="Arial" w:cs="Arial" w:eastAsia="Arial" w:hint="default"/>
          <w:sz w:val="21"/>
          <w:szCs w:val="21"/>
        </w:rPr>
        <w:t>320,680,046</w:t>
      </w:r>
      <w:r>
        <w:rPr>
          <w:rFonts w:ascii="宋体" w:hAnsi="宋体" w:cs="宋体" w:eastAsia="宋体" w:hint="default"/>
          <w:sz w:val="21"/>
          <w:szCs w:val="21"/>
        </w:rPr>
        <w:t>股。</w:t>
      </w:r>
    </w:p>
    <w:p>
      <w:pPr>
        <w:spacing w:line="297" w:lineRule="auto" w:before="170"/>
        <w:ind w:left="152" w:right="234" w:firstLine="425"/>
        <w:jc w:val="both"/>
        <w:rPr>
          <w:rFonts w:ascii="宋体" w:hAnsi="宋体" w:cs="宋体" w:eastAsia="宋体" w:hint="default"/>
          <w:sz w:val="21"/>
          <w:szCs w:val="21"/>
        </w:rPr>
      </w:pPr>
      <w:r>
        <w:rPr>
          <w:rFonts w:ascii="宋体" w:hAnsi="宋体" w:cs="宋体" w:eastAsia="宋体" w:hint="default"/>
          <w:spacing w:val="-2"/>
          <w:sz w:val="21"/>
          <w:szCs w:val="21"/>
        </w:rPr>
        <w:t>根据公司第六届董事会第八次会议决议、</w:t>
      </w:r>
      <w:r>
        <w:rPr>
          <w:rFonts w:ascii="Arial" w:hAnsi="Arial" w:cs="Arial" w:eastAsia="Arial" w:hint="default"/>
          <w:spacing w:val="-2"/>
          <w:sz w:val="21"/>
          <w:szCs w:val="21"/>
        </w:rPr>
        <w:t>2016</w:t>
      </w:r>
      <w:r>
        <w:rPr>
          <w:rFonts w:ascii="宋体" w:hAnsi="宋体" w:cs="宋体" w:eastAsia="宋体" w:hint="default"/>
          <w:spacing w:val="-2"/>
          <w:sz w:val="21"/>
          <w:szCs w:val="21"/>
        </w:rPr>
        <w:t>年度第六次临时股东大会决议《</w:t>
      </w:r>
      <w:r>
        <w:rPr>
          <w:rFonts w:ascii="Arial" w:hAnsi="Arial" w:cs="Arial" w:eastAsia="Arial" w:hint="default"/>
          <w:spacing w:val="-2"/>
          <w:sz w:val="21"/>
          <w:szCs w:val="21"/>
        </w:rPr>
        <w:t>2016</w:t>
      </w:r>
      <w:r>
        <w:rPr>
          <w:rFonts w:ascii="宋体" w:hAnsi="宋体" w:cs="宋体" w:eastAsia="宋体" w:hint="default"/>
          <w:spacing w:val="-2"/>
          <w:sz w:val="21"/>
          <w:szCs w:val="21"/>
        </w:rPr>
        <w:t>年限制性股票激</w:t>
      </w:r>
      <w:r>
        <w:rPr>
          <w:rFonts w:ascii="宋体" w:hAnsi="宋体" w:cs="宋体" w:eastAsia="宋体" w:hint="default"/>
          <w:w w:val="100"/>
          <w:sz w:val="21"/>
          <w:szCs w:val="21"/>
        </w:rPr>
        <w:t> </w:t>
      </w:r>
      <w:r>
        <w:rPr>
          <w:rFonts w:ascii="宋体" w:hAnsi="宋体" w:cs="宋体" w:eastAsia="宋体" w:hint="default"/>
          <w:spacing w:val="-2"/>
          <w:sz w:val="21"/>
          <w:szCs w:val="21"/>
        </w:rPr>
        <w:t>励计划》（草案），公司向</w:t>
      </w:r>
      <w:r>
        <w:rPr>
          <w:rFonts w:ascii="Arial" w:hAnsi="Arial" w:cs="Arial" w:eastAsia="Arial" w:hint="default"/>
          <w:spacing w:val="-2"/>
          <w:sz w:val="21"/>
          <w:szCs w:val="21"/>
        </w:rPr>
        <w:t>881</w:t>
      </w:r>
      <w:r>
        <w:rPr>
          <w:rFonts w:ascii="宋体" w:hAnsi="宋体" w:cs="宋体" w:eastAsia="宋体" w:hint="default"/>
          <w:spacing w:val="-2"/>
          <w:sz w:val="21"/>
          <w:szCs w:val="21"/>
        </w:rPr>
        <w:t>名激励对象授予限制性股票共计</w:t>
      </w:r>
      <w:r>
        <w:rPr>
          <w:rFonts w:ascii="Arial" w:hAnsi="Arial" w:cs="Arial" w:eastAsia="Arial" w:hint="default"/>
          <w:spacing w:val="-2"/>
          <w:sz w:val="21"/>
          <w:szCs w:val="21"/>
        </w:rPr>
        <w:t>2,158.69</w:t>
      </w:r>
      <w:r>
        <w:rPr>
          <w:rFonts w:ascii="宋体" w:hAnsi="宋体" w:cs="宋体" w:eastAsia="宋体" w:hint="default"/>
          <w:spacing w:val="-2"/>
          <w:sz w:val="21"/>
          <w:szCs w:val="21"/>
        </w:rPr>
        <w:t>万股，截止</w:t>
      </w: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1</w:t>
      </w:r>
      <w:r>
        <w:rPr>
          <w:rFonts w:ascii="宋体" w:hAnsi="宋体" w:cs="宋体" w:eastAsia="宋体" w:hint="default"/>
          <w:spacing w:val="-2"/>
          <w:sz w:val="21"/>
          <w:szCs w:val="21"/>
        </w:rPr>
        <w:t>月</w:t>
      </w:r>
      <w:r>
        <w:rPr>
          <w:rFonts w:ascii="Arial" w:hAnsi="Arial" w:cs="Arial" w:eastAsia="Arial" w:hint="default"/>
          <w:spacing w:val="-2"/>
          <w:sz w:val="21"/>
          <w:szCs w:val="21"/>
        </w:rPr>
        <w:t>11</w:t>
      </w:r>
      <w:r>
        <w:rPr>
          <w:rFonts w:ascii="宋体" w:hAnsi="宋体" w:cs="宋体" w:eastAsia="宋体" w:hint="default"/>
          <w:spacing w:val="-2"/>
          <w:sz w:val="21"/>
          <w:szCs w:val="21"/>
        </w:rPr>
        <w:t>日，激</w:t>
      </w:r>
      <w:r>
        <w:rPr>
          <w:rFonts w:ascii="宋体" w:hAnsi="宋体" w:cs="宋体" w:eastAsia="宋体" w:hint="default"/>
          <w:spacing w:val="-12"/>
          <w:sz w:val="21"/>
          <w:szCs w:val="21"/>
        </w:rPr>
        <w:t> </w:t>
      </w:r>
      <w:r>
        <w:rPr>
          <w:rFonts w:ascii="宋体" w:hAnsi="宋体" w:cs="宋体" w:eastAsia="宋体" w:hint="default"/>
          <w:spacing w:val="-2"/>
          <w:sz w:val="21"/>
          <w:szCs w:val="21"/>
        </w:rPr>
        <w:t>励对象出资已缴足，此事项已经中审华会计师事务所（特殊普通合伙）审验，并出具</w:t>
      </w:r>
      <w:r>
        <w:rPr>
          <w:rFonts w:ascii="Arial" w:hAnsi="Arial" w:cs="Arial" w:eastAsia="Arial" w:hint="default"/>
          <w:spacing w:val="-2"/>
          <w:sz w:val="21"/>
          <w:szCs w:val="21"/>
        </w:rPr>
        <w:t>CAC</w:t>
      </w:r>
      <w:r>
        <w:rPr>
          <w:rFonts w:ascii="宋体" w:hAnsi="宋体" w:cs="宋体" w:eastAsia="宋体" w:hint="default"/>
          <w:spacing w:val="-2"/>
          <w:sz w:val="21"/>
          <w:szCs w:val="21"/>
        </w:rPr>
        <w:t>验字【</w:t>
      </w:r>
      <w:r>
        <w:rPr>
          <w:rFonts w:ascii="Arial" w:hAnsi="Arial" w:cs="Arial" w:eastAsia="Arial" w:hint="default"/>
          <w:spacing w:val="-2"/>
          <w:sz w:val="21"/>
          <w:szCs w:val="21"/>
        </w:rPr>
        <w:t>2017</w:t>
      </w:r>
      <w:r>
        <w:rPr>
          <w:rFonts w:ascii="宋体" w:hAnsi="宋体" w:cs="宋体" w:eastAsia="宋体" w:hint="default"/>
          <w:spacing w:val="-2"/>
          <w:sz w:val="21"/>
          <w:szCs w:val="21"/>
        </w:rPr>
        <w:t>】</w:t>
      </w:r>
      <w:r>
        <w:rPr>
          <w:rFonts w:ascii="宋体" w:hAnsi="宋体" w:cs="宋体" w:eastAsia="宋体" w:hint="default"/>
          <w:spacing w:val="-18"/>
          <w:sz w:val="21"/>
          <w:szCs w:val="21"/>
        </w:rPr>
        <w:t> </w:t>
      </w:r>
      <w:r>
        <w:rPr>
          <w:rFonts w:ascii="Arial" w:hAnsi="Arial" w:cs="Arial" w:eastAsia="Arial" w:hint="default"/>
          <w:sz w:val="21"/>
          <w:szCs w:val="21"/>
        </w:rPr>
        <w:t>0002</w:t>
      </w:r>
      <w:r>
        <w:rPr>
          <w:rFonts w:ascii="宋体" w:hAnsi="宋体" w:cs="宋体" w:eastAsia="宋体" w:hint="default"/>
          <w:sz w:val="21"/>
          <w:szCs w:val="21"/>
        </w:rPr>
        <w:t>号验资报告。</w:t>
      </w:r>
    </w:p>
    <w:p>
      <w:pPr>
        <w:spacing w:line="297" w:lineRule="auto" w:before="170"/>
        <w:ind w:left="152" w:right="283" w:firstLine="425"/>
        <w:jc w:val="both"/>
        <w:rPr>
          <w:rFonts w:ascii="宋体" w:hAnsi="宋体" w:cs="宋体" w:eastAsia="宋体" w:hint="default"/>
          <w:sz w:val="21"/>
          <w:szCs w:val="21"/>
        </w:rPr>
      </w:pPr>
      <w:r>
        <w:rPr>
          <w:rFonts w:ascii="宋体" w:hAnsi="宋体" w:cs="宋体" w:eastAsia="宋体" w:hint="default"/>
          <w:spacing w:val="-2"/>
          <w:sz w:val="21"/>
          <w:szCs w:val="21"/>
        </w:rPr>
        <w:t>根据公司</w:t>
      </w:r>
      <w:r>
        <w:rPr>
          <w:rFonts w:ascii="Arial" w:hAnsi="Arial" w:cs="Arial" w:eastAsia="Arial" w:hint="default"/>
          <w:spacing w:val="-2"/>
          <w:sz w:val="21"/>
          <w:szCs w:val="21"/>
        </w:rPr>
        <w:t>2017</w:t>
      </w:r>
      <w:r>
        <w:rPr>
          <w:rFonts w:ascii="宋体" w:hAnsi="宋体" w:cs="宋体" w:eastAsia="宋体" w:hint="default"/>
          <w:spacing w:val="-2"/>
          <w:sz w:val="21"/>
          <w:szCs w:val="21"/>
        </w:rPr>
        <w:t>年第一次临时股东大会决议、第六届董事会第十八次会议决议，并经中国证券监督管</w:t>
      </w:r>
      <w:r>
        <w:rPr>
          <w:rFonts w:ascii="宋体" w:hAnsi="宋体" w:cs="宋体" w:eastAsia="宋体" w:hint="default"/>
          <w:w w:val="100"/>
          <w:sz w:val="21"/>
          <w:szCs w:val="21"/>
        </w:rPr>
        <w:t> </w:t>
      </w:r>
      <w:r>
        <w:rPr>
          <w:rFonts w:ascii="宋体" w:hAnsi="宋体" w:cs="宋体" w:eastAsia="宋体" w:hint="default"/>
          <w:sz w:val="21"/>
          <w:szCs w:val="21"/>
        </w:rPr>
        <w:t>理委员会《关于核准北京华宇软件股份有限公司向任刚等发行股份购买资产并募集配套资金的批复》</w:t>
      </w:r>
    </w:p>
    <w:p>
      <w:pPr>
        <w:spacing w:line="297" w:lineRule="auto" w:before="34"/>
        <w:ind w:left="152" w:right="0" w:firstLine="0"/>
        <w:jc w:val="left"/>
        <w:rPr>
          <w:rFonts w:ascii="宋体" w:hAnsi="宋体" w:cs="宋体" w:eastAsia="宋体" w:hint="default"/>
          <w:sz w:val="21"/>
          <w:szCs w:val="21"/>
        </w:rPr>
      </w:pPr>
      <w:r>
        <w:rPr>
          <w:rFonts w:ascii="宋体" w:hAnsi="宋体" w:cs="宋体" w:eastAsia="宋体" w:hint="default"/>
          <w:sz w:val="21"/>
          <w:szCs w:val="21"/>
        </w:rPr>
        <w:t>（证监许可</w:t>
      </w:r>
      <w:r>
        <w:rPr>
          <w:rFonts w:ascii="Arial" w:hAnsi="Arial" w:cs="Arial" w:eastAsia="Arial" w:hint="default"/>
          <w:sz w:val="21"/>
          <w:szCs w:val="21"/>
        </w:rPr>
        <w:t>[2017]1395</w:t>
      </w:r>
      <w:r>
        <w:rPr>
          <w:rFonts w:ascii="宋体" w:hAnsi="宋体" w:cs="宋体" w:eastAsia="宋体" w:hint="default"/>
          <w:sz w:val="21"/>
          <w:szCs w:val="21"/>
        </w:rPr>
        <w:t>号）文件核准，公司向任刚等定向增发</w:t>
      </w:r>
      <w:r>
        <w:rPr>
          <w:rFonts w:ascii="Arial" w:hAnsi="Arial" w:cs="Arial" w:eastAsia="Arial" w:hint="default"/>
          <w:sz w:val="21"/>
          <w:szCs w:val="21"/>
        </w:rPr>
        <w:t>60,661,865</w:t>
      </w:r>
      <w:r>
        <w:rPr>
          <w:rFonts w:ascii="宋体" w:hAnsi="宋体" w:cs="宋体" w:eastAsia="宋体" w:hint="default"/>
          <w:sz w:val="21"/>
          <w:szCs w:val="21"/>
        </w:rPr>
        <w:t>股股份，并非公开发行股份募</w:t>
      </w:r>
      <w:r>
        <w:rPr>
          <w:rFonts w:ascii="宋体" w:hAnsi="宋体" w:cs="宋体" w:eastAsia="宋体" w:hint="default"/>
          <w:w w:val="100"/>
          <w:sz w:val="21"/>
          <w:szCs w:val="21"/>
        </w:rPr>
        <w:t> </w:t>
      </w:r>
      <w:r>
        <w:rPr>
          <w:rFonts w:ascii="宋体" w:hAnsi="宋体" w:cs="宋体" w:eastAsia="宋体" w:hint="default"/>
          <w:spacing w:val="-2"/>
          <w:sz w:val="21"/>
          <w:szCs w:val="21"/>
        </w:rPr>
        <w:t>集配套资金不超过</w:t>
      </w:r>
      <w:r>
        <w:rPr>
          <w:rFonts w:ascii="Arial" w:hAnsi="Arial" w:cs="Arial" w:eastAsia="Arial" w:hint="default"/>
          <w:spacing w:val="-2"/>
          <w:sz w:val="21"/>
          <w:szCs w:val="21"/>
        </w:rPr>
        <w:t>49,000</w:t>
      </w:r>
      <w:r>
        <w:rPr>
          <w:rFonts w:ascii="宋体" w:hAnsi="宋体" w:cs="宋体" w:eastAsia="宋体" w:hint="default"/>
          <w:spacing w:val="-2"/>
          <w:sz w:val="21"/>
          <w:szCs w:val="21"/>
        </w:rPr>
        <w:t>万元，购买任刚等持有的联奕科技有限公司</w:t>
      </w:r>
      <w:r>
        <w:rPr>
          <w:rFonts w:ascii="Arial" w:hAnsi="Arial" w:cs="Arial" w:eastAsia="Arial" w:hint="default"/>
          <w:spacing w:val="-2"/>
          <w:sz w:val="21"/>
          <w:szCs w:val="21"/>
        </w:rPr>
        <w:t>100%</w:t>
      </w:r>
      <w:r>
        <w:rPr>
          <w:rFonts w:ascii="宋体" w:hAnsi="宋体" w:cs="宋体" w:eastAsia="宋体" w:hint="default"/>
          <w:spacing w:val="-2"/>
          <w:sz w:val="21"/>
          <w:szCs w:val="21"/>
        </w:rPr>
        <w:t>股权。公司</w:t>
      </w: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8</w:t>
      </w:r>
      <w:r>
        <w:rPr>
          <w:rFonts w:ascii="宋体" w:hAnsi="宋体" w:cs="宋体" w:eastAsia="宋体" w:hint="default"/>
          <w:spacing w:val="-2"/>
          <w:sz w:val="21"/>
          <w:szCs w:val="21"/>
        </w:rPr>
        <w:t>月</w:t>
      </w:r>
      <w:r>
        <w:rPr>
          <w:rFonts w:ascii="Arial" w:hAnsi="Arial" w:cs="Arial" w:eastAsia="Arial" w:hint="default"/>
          <w:spacing w:val="-2"/>
          <w:sz w:val="21"/>
          <w:szCs w:val="21"/>
        </w:rPr>
        <w:t>21</w:t>
      </w:r>
      <w:r>
        <w:rPr>
          <w:rFonts w:ascii="宋体" w:hAnsi="宋体" w:cs="宋体" w:eastAsia="宋体" w:hint="default"/>
          <w:spacing w:val="-2"/>
          <w:sz w:val="21"/>
          <w:szCs w:val="21"/>
        </w:rPr>
        <w:t>日，</w:t>
      </w:r>
      <w:r>
        <w:rPr>
          <w:rFonts w:ascii="宋体" w:hAnsi="宋体" w:cs="宋体" w:eastAsia="宋体" w:hint="default"/>
          <w:spacing w:val="-13"/>
          <w:sz w:val="21"/>
          <w:szCs w:val="21"/>
        </w:rPr>
        <w:t> </w:t>
      </w:r>
      <w:r>
        <w:rPr>
          <w:rFonts w:ascii="宋体" w:hAnsi="宋体" w:cs="宋体" w:eastAsia="宋体" w:hint="default"/>
          <w:spacing w:val="-2"/>
          <w:sz w:val="21"/>
          <w:szCs w:val="21"/>
        </w:rPr>
        <w:t>已取得作为本次发行股份对价的联奕科技有限公司</w:t>
      </w:r>
      <w:r>
        <w:rPr>
          <w:rFonts w:ascii="Arial" w:hAnsi="Arial" w:cs="Arial" w:eastAsia="Arial" w:hint="default"/>
          <w:spacing w:val="-2"/>
          <w:sz w:val="21"/>
          <w:szCs w:val="21"/>
        </w:rPr>
        <w:t>100%</w:t>
      </w:r>
      <w:r>
        <w:rPr>
          <w:rFonts w:ascii="宋体" w:hAnsi="宋体" w:cs="宋体" w:eastAsia="宋体" w:hint="default"/>
          <w:spacing w:val="-2"/>
          <w:sz w:val="21"/>
          <w:szCs w:val="21"/>
        </w:rPr>
        <w:t>股权，新增股份</w:t>
      </w:r>
      <w:r>
        <w:rPr>
          <w:rFonts w:ascii="Arial" w:hAnsi="Arial" w:cs="Arial" w:eastAsia="Arial" w:hint="default"/>
          <w:spacing w:val="-2"/>
          <w:sz w:val="21"/>
          <w:szCs w:val="21"/>
        </w:rPr>
        <w:t>60,661,865</w:t>
      </w:r>
      <w:r>
        <w:rPr>
          <w:rFonts w:ascii="宋体" w:hAnsi="宋体" w:cs="宋体" w:eastAsia="宋体" w:hint="default"/>
          <w:spacing w:val="-2"/>
          <w:sz w:val="21"/>
          <w:szCs w:val="21"/>
        </w:rPr>
        <w:t>股，此事项已经中审</w:t>
      </w:r>
    </w:p>
    <w:p>
      <w:pPr>
        <w:spacing w:after="0" w:line="297"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02" w:lineRule="auto" w:before="36"/>
        <w:ind w:left="152" w:right="173" w:firstLine="0"/>
        <w:jc w:val="left"/>
        <w:rPr>
          <w:rFonts w:ascii="宋体" w:hAnsi="宋体" w:cs="宋体" w:eastAsia="宋体" w:hint="default"/>
          <w:sz w:val="21"/>
          <w:szCs w:val="21"/>
        </w:rPr>
      </w:pPr>
      <w:r>
        <w:rPr>
          <w:rFonts w:ascii="宋体" w:hAnsi="宋体" w:cs="宋体" w:eastAsia="宋体" w:hint="default"/>
          <w:sz w:val="21"/>
          <w:szCs w:val="21"/>
        </w:rPr>
        <w:t>华会计师事务所</w:t>
      </w:r>
      <w:r>
        <w:rPr>
          <w:rFonts w:ascii="Arial" w:hAnsi="Arial" w:cs="Arial" w:eastAsia="Arial" w:hint="default"/>
          <w:sz w:val="21"/>
          <w:szCs w:val="21"/>
        </w:rPr>
        <w:t>(</w:t>
      </w:r>
      <w:r>
        <w:rPr>
          <w:rFonts w:ascii="宋体" w:hAnsi="宋体" w:cs="宋体" w:eastAsia="宋体" w:hint="default"/>
          <w:sz w:val="21"/>
          <w:szCs w:val="21"/>
        </w:rPr>
        <w:t>特殊普通合伙</w:t>
      </w:r>
      <w:r>
        <w:rPr>
          <w:rFonts w:ascii="Arial" w:hAnsi="Arial" w:cs="Arial" w:eastAsia="Arial" w:hint="default"/>
          <w:sz w:val="21"/>
          <w:szCs w:val="21"/>
        </w:rPr>
        <w:t>)</w:t>
      </w:r>
      <w:r>
        <w:rPr>
          <w:rFonts w:ascii="宋体" w:hAnsi="宋体" w:cs="宋体" w:eastAsia="宋体" w:hint="default"/>
          <w:sz w:val="21"/>
          <w:szCs w:val="21"/>
        </w:rPr>
        <w:t>出具</w:t>
      </w:r>
      <w:r>
        <w:rPr>
          <w:rFonts w:ascii="Arial" w:hAnsi="Arial" w:cs="Arial" w:eastAsia="Arial" w:hint="default"/>
          <w:sz w:val="21"/>
          <w:szCs w:val="21"/>
        </w:rPr>
        <w:t>CAC</w:t>
      </w:r>
      <w:r>
        <w:rPr>
          <w:rFonts w:ascii="宋体" w:hAnsi="宋体" w:cs="宋体" w:eastAsia="宋体" w:hint="default"/>
          <w:sz w:val="21"/>
          <w:szCs w:val="21"/>
        </w:rPr>
        <w:t>验字【</w:t>
      </w:r>
      <w:r>
        <w:rPr>
          <w:rFonts w:ascii="Arial" w:hAnsi="Arial" w:cs="Arial" w:eastAsia="Arial" w:hint="default"/>
          <w:sz w:val="21"/>
          <w:szCs w:val="21"/>
        </w:rPr>
        <w:t>2017</w:t>
      </w:r>
      <w:r>
        <w:rPr>
          <w:rFonts w:ascii="宋体" w:hAnsi="宋体" w:cs="宋体" w:eastAsia="宋体" w:hint="default"/>
          <w:sz w:val="21"/>
          <w:szCs w:val="21"/>
        </w:rPr>
        <w:t>】</w:t>
      </w:r>
      <w:r>
        <w:rPr>
          <w:rFonts w:ascii="Arial" w:hAnsi="Arial" w:cs="Arial" w:eastAsia="Arial" w:hint="default"/>
          <w:sz w:val="21"/>
          <w:szCs w:val="21"/>
        </w:rPr>
        <w:t>0036</w:t>
      </w:r>
      <w:r>
        <w:rPr>
          <w:rFonts w:ascii="宋体" w:hAnsi="宋体" w:cs="宋体" w:eastAsia="宋体" w:hint="default"/>
          <w:sz w:val="21"/>
          <w:szCs w:val="21"/>
        </w:rPr>
        <w:t>号验资报告审验。截至</w:t>
      </w:r>
      <w:r>
        <w:rPr>
          <w:rFonts w:ascii="Arial" w:hAnsi="Arial" w:cs="Arial" w:eastAsia="Arial" w:hint="default"/>
          <w:sz w:val="21"/>
          <w:szCs w:val="21"/>
        </w:rPr>
        <w:t>2017</w:t>
      </w:r>
      <w:r>
        <w:rPr>
          <w:rFonts w:ascii="宋体" w:hAnsi="宋体" w:cs="宋体" w:eastAsia="宋体" w:hint="default"/>
          <w:sz w:val="21"/>
          <w:szCs w:val="21"/>
        </w:rPr>
        <w:t>年</w:t>
      </w: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18</w:t>
      </w:r>
      <w:r>
        <w:rPr>
          <w:rFonts w:ascii="宋体" w:hAnsi="宋体" w:cs="宋体" w:eastAsia="宋体" w:hint="default"/>
          <w:sz w:val="21"/>
          <w:szCs w:val="21"/>
        </w:rPr>
        <w:t>日止，</w:t>
      </w:r>
      <w:r>
        <w:rPr>
          <w:rFonts w:ascii="宋体" w:hAnsi="宋体" w:cs="宋体" w:eastAsia="宋体" w:hint="default"/>
          <w:w w:val="100"/>
          <w:sz w:val="21"/>
          <w:szCs w:val="21"/>
        </w:rPr>
        <w:t> </w:t>
      </w:r>
      <w:r>
        <w:rPr>
          <w:rFonts w:ascii="宋体" w:hAnsi="宋体" w:cs="宋体" w:eastAsia="宋体" w:hint="default"/>
          <w:sz w:val="21"/>
          <w:szCs w:val="21"/>
        </w:rPr>
        <w:t>公司已收到上海国鑫投资发展有限公司、北京中关村并购母基金投资中心（有限合伙）、全国社保基金</w:t>
      </w:r>
      <w:r>
        <w:rPr>
          <w:rFonts w:ascii="宋体" w:hAnsi="宋体" w:cs="宋体" w:eastAsia="宋体" w:hint="default"/>
          <w:w w:val="100"/>
          <w:sz w:val="21"/>
          <w:szCs w:val="21"/>
        </w:rPr>
        <w:t> </w:t>
      </w:r>
      <w:r>
        <w:rPr>
          <w:rFonts w:ascii="宋体" w:hAnsi="宋体" w:cs="宋体" w:eastAsia="宋体" w:hint="default"/>
          <w:spacing w:val="-2"/>
          <w:sz w:val="21"/>
          <w:szCs w:val="21"/>
        </w:rPr>
        <w:t>五零四组合、嘉实基金超新星</w:t>
      </w:r>
      <w:r>
        <w:rPr>
          <w:rFonts w:ascii="Arial" w:hAnsi="Arial" w:cs="Arial" w:eastAsia="Arial" w:hint="default"/>
          <w:spacing w:val="-2"/>
          <w:sz w:val="21"/>
          <w:szCs w:val="21"/>
        </w:rPr>
        <w:t>1</w:t>
      </w:r>
      <w:r>
        <w:rPr>
          <w:rFonts w:ascii="宋体" w:hAnsi="宋体" w:cs="宋体" w:eastAsia="宋体" w:hint="default"/>
          <w:spacing w:val="-2"/>
          <w:sz w:val="21"/>
          <w:szCs w:val="21"/>
        </w:rPr>
        <w:t>号定增资产管理计划、嘉实基金</w:t>
      </w:r>
      <w:r>
        <w:rPr>
          <w:rFonts w:ascii="Arial" w:hAnsi="Arial" w:cs="Arial" w:eastAsia="Arial" w:hint="default"/>
          <w:spacing w:val="-2"/>
          <w:sz w:val="21"/>
          <w:szCs w:val="21"/>
        </w:rPr>
        <w:t>-</w:t>
      </w:r>
      <w:r>
        <w:rPr>
          <w:rFonts w:ascii="宋体" w:hAnsi="宋体" w:cs="宋体" w:eastAsia="宋体" w:hint="default"/>
          <w:spacing w:val="-2"/>
          <w:sz w:val="21"/>
          <w:szCs w:val="21"/>
        </w:rPr>
        <w:t>浦发银行</w:t>
      </w:r>
      <w:r>
        <w:rPr>
          <w:rFonts w:ascii="Arial" w:hAnsi="Arial" w:cs="Arial" w:eastAsia="Arial" w:hint="default"/>
          <w:spacing w:val="-2"/>
          <w:sz w:val="21"/>
          <w:szCs w:val="21"/>
        </w:rPr>
        <w:t>-</w:t>
      </w:r>
      <w:r>
        <w:rPr>
          <w:rFonts w:ascii="宋体" w:hAnsi="宋体" w:cs="宋体" w:eastAsia="宋体" w:hint="default"/>
          <w:spacing w:val="-2"/>
          <w:sz w:val="21"/>
          <w:szCs w:val="21"/>
        </w:rPr>
        <w:t>睿思</w:t>
      </w:r>
      <w:r>
        <w:rPr>
          <w:rFonts w:ascii="Arial" w:hAnsi="Arial" w:cs="Arial" w:eastAsia="Arial" w:hint="default"/>
          <w:spacing w:val="-2"/>
          <w:sz w:val="21"/>
          <w:szCs w:val="21"/>
        </w:rPr>
        <w:t>5</w:t>
      </w:r>
      <w:r>
        <w:rPr>
          <w:rFonts w:ascii="宋体" w:hAnsi="宋体" w:cs="宋体" w:eastAsia="宋体" w:hint="default"/>
          <w:spacing w:val="-2"/>
          <w:sz w:val="21"/>
          <w:szCs w:val="21"/>
        </w:rPr>
        <w:t>号资产管理计划、邵学缴</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纳的作为本次发行股份购买资产的募集配套资金</w:t>
      </w:r>
      <w:r>
        <w:rPr>
          <w:rFonts w:ascii="Arial" w:hAnsi="Arial" w:cs="Arial" w:eastAsia="Arial" w:hint="default"/>
          <w:sz w:val="21"/>
          <w:szCs w:val="21"/>
        </w:rPr>
        <w:t>48,000</w:t>
      </w:r>
      <w:r>
        <w:rPr>
          <w:rFonts w:ascii="宋体" w:hAnsi="宋体" w:cs="宋体" w:eastAsia="宋体" w:hint="default"/>
          <w:sz w:val="21"/>
          <w:szCs w:val="21"/>
        </w:rPr>
        <w:t>万元（扣除承销商国信证券股份有限公司承销费</w:t>
      </w:r>
      <w:r>
        <w:rPr>
          <w:rFonts w:ascii="宋体" w:hAnsi="宋体" w:cs="宋体" w:eastAsia="宋体" w:hint="default"/>
          <w:w w:val="100"/>
          <w:sz w:val="21"/>
          <w:szCs w:val="21"/>
        </w:rPr>
        <w:t> </w:t>
      </w:r>
      <w:r>
        <w:rPr>
          <w:rFonts w:ascii="宋体" w:hAnsi="宋体" w:cs="宋体" w:eastAsia="宋体" w:hint="default"/>
          <w:sz w:val="21"/>
          <w:szCs w:val="21"/>
        </w:rPr>
        <w:t>用</w:t>
      </w:r>
      <w:r>
        <w:rPr>
          <w:rFonts w:ascii="Arial" w:hAnsi="Arial" w:cs="Arial" w:eastAsia="Arial" w:hint="default"/>
          <w:sz w:val="21"/>
          <w:szCs w:val="21"/>
        </w:rPr>
        <w:t>1,000</w:t>
      </w:r>
      <w:r>
        <w:rPr>
          <w:rFonts w:ascii="宋体" w:hAnsi="宋体" w:cs="宋体" w:eastAsia="宋体" w:hint="default"/>
          <w:sz w:val="21"/>
          <w:szCs w:val="21"/>
        </w:rPr>
        <w:t>万元），认购公司股份</w:t>
      </w:r>
      <w:r>
        <w:rPr>
          <w:rFonts w:ascii="Arial" w:hAnsi="Arial" w:cs="Arial" w:eastAsia="Arial" w:hint="default"/>
          <w:sz w:val="21"/>
          <w:szCs w:val="21"/>
        </w:rPr>
        <w:t>31,091,370</w:t>
      </w:r>
      <w:r>
        <w:rPr>
          <w:rFonts w:ascii="宋体" w:hAnsi="宋体" w:cs="宋体" w:eastAsia="宋体" w:hint="default"/>
          <w:sz w:val="21"/>
          <w:szCs w:val="21"/>
        </w:rPr>
        <w:t>股，此事项已经中审华会计师事务所</w:t>
      </w:r>
      <w:r>
        <w:rPr>
          <w:rFonts w:ascii="Arial" w:hAnsi="Arial" w:cs="Arial" w:eastAsia="Arial" w:hint="default"/>
          <w:sz w:val="21"/>
          <w:szCs w:val="21"/>
        </w:rPr>
        <w:t>(</w:t>
      </w:r>
      <w:r>
        <w:rPr>
          <w:rFonts w:ascii="宋体" w:hAnsi="宋体" w:cs="宋体" w:eastAsia="宋体" w:hint="default"/>
          <w:sz w:val="21"/>
          <w:szCs w:val="21"/>
        </w:rPr>
        <w:t>特殊普通合伙</w:t>
      </w:r>
      <w:r>
        <w:rPr>
          <w:rFonts w:ascii="Arial" w:hAnsi="Arial" w:cs="Arial" w:eastAsia="Arial" w:hint="default"/>
          <w:sz w:val="21"/>
          <w:szCs w:val="21"/>
        </w:rPr>
        <w:t>)</w:t>
      </w:r>
      <w:r>
        <w:rPr>
          <w:rFonts w:ascii="宋体" w:hAnsi="宋体" w:cs="宋体" w:eastAsia="宋体" w:hint="default"/>
          <w:sz w:val="21"/>
          <w:szCs w:val="21"/>
        </w:rPr>
        <w:t>出具</w:t>
      </w:r>
      <w:r>
        <w:rPr>
          <w:rFonts w:ascii="Arial" w:hAnsi="Arial" w:cs="Arial" w:eastAsia="Arial" w:hint="default"/>
          <w:sz w:val="21"/>
          <w:szCs w:val="21"/>
        </w:rPr>
        <w:t>CAC</w:t>
      </w:r>
      <w:r>
        <w:rPr>
          <w:rFonts w:ascii="Arial" w:hAnsi="Arial" w:cs="Arial" w:eastAsia="Arial" w:hint="default"/>
          <w:w w:val="100"/>
          <w:sz w:val="21"/>
          <w:szCs w:val="21"/>
        </w:rPr>
        <w:t> </w:t>
      </w:r>
      <w:r>
        <w:rPr>
          <w:rFonts w:ascii="宋体" w:hAnsi="宋体" w:cs="宋体" w:eastAsia="宋体" w:hint="default"/>
          <w:sz w:val="21"/>
          <w:szCs w:val="21"/>
        </w:rPr>
        <w:t>验字【</w:t>
      </w:r>
      <w:r>
        <w:rPr>
          <w:rFonts w:ascii="Arial" w:hAnsi="Arial" w:cs="Arial" w:eastAsia="Arial" w:hint="default"/>
          <w:sz w:val="21"/>
          <w:szCs w:val="21"/>
        </w:rPr>
        <w:t>2017</w:t>
      </w:r>
      <w:r>
        <w:rPr>
          <w:rFonts w:ascii="宋体" w:hAnsi="宋体" w:cs="宋体" w:eastAsia="宋体" w:hint="default"/>
          <w:sz w:val="21"/>
          <w:szCs w:val="21"/>
        </w:rPr>
        <w:t>】</w:t>
      </w:r>
      <w:r>
        <w:rPr>
          <w:rFonts w:ascii="Arial" w:hAnsi="Arial" w:cs="Arial" w:eastAsia="Arial" w:hint="default"/>
          <w:sz w:val="21"/>
          <w:szCs w:val="21"/>
        </w:rPr>
        <w:t>0051</w:t>
      </w:r>
      <w:r>
        <w:rPr>
          <w:rFonts w:ascii="宋体" w:hAnsi="宋体" w:cs="宋体" w:eastAsia="宋体" w:hint="default"/>
          <w:sz w:val="21"/>
          <w:szCs w:val="21"/>
        </w:rPr>
        <w:t>号验资报告审验。</w:t>
      </w:r>
    </w:p>
    <w:p>
      <w:pPr>
        <w:spacing w:line="240" w:lineRule="auto" w:before="11"/>
        <w:rPr>
          <w:rFonts w:ascii="宋体" w:hAnsi="宋体" w:cs="宋体" w:eastAsia="宋体" w:hint="default"/>
          <w:sz w:val="9"/>
          <w:szCs w:val="9"/>
        </w:rPr>
      </w:pPr>
    </w:p>
    <w:p>
      <w:pPr>
        <w:spacing w:before="36"/>
        <w:ind w:left="578" w:right="0" w:firstLine="0"/>
        <w:jc w:val="left"/>
        <w:rPr>
          <w:rFonts w:ascii="Arial" w:hAnsi="Arial" w:cs="Arial" w:eastAsia="Arial" w:hint="default"/>
          <w:sz w:val="21"/>
          <w:szCs w:val="21"/>
        </w:rPr>
      </w:pPr>
      <w:r>
        <w:rPr>
          <w:rFonts w:ascii="宋体" w:hAnsi="宋体" w:cs="宋体" w:eastAsia="宋体" w:hint="default"/>
          <w:sz w:val="21"/>
          <w:szCs w:val="21"/>
        </w:rPr>
        <w:t>截至</w:t>
      </w:r>
      <w:r>
        <w:rPr>
          <w:rFonts w:ascii="Arial" w:hAnsi="Arial" w:cs="Arial" w:eastAsia="Arial" w:hint="default"/>
          <w:sz w:val="21"/>
          <w:szCs w:val="21"/>
        </w:rPr>
        <w:t>2017</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日中国证券登记结算有限责任公司深圳分公司登记股本为人民币</w:t>
      </w:r>
      <w:r>
        <w:rPr>
          <w:rFonts w:ascii="Arial" w:hAnsi="Arial" w:cs="Arial" w:eastAsia="Arial" w:hint="default"/>
          <w:sz w:val="21"/>
          <w:szCs w:val="21"/>
        </w:rPr>
        <w:t>760,681,176.00</w:t>
      </w:r>
    </w:p>
    <w:p>
      <w:pPr>
        <w:spacing w:before="70"/>
        <w:ind w:left="152" w:right="0"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9"/>
        <w:rPr>
          <w:rFonts w:ascii="宋体" w:hAnsi="宋体" w:cs="宋体" w:eastAsia="宋体" w:hint="default"/>
          <w:sz w:val="15"/>
          <w:szCs w:val="15"/>
        </w:rPr>
      </w:pPr>
    </w:p>
    <w:p>
      <w:pPr>
        <w:spacing w:line="314" w:lineRule="auto" w:before="3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本公司建立了股东大会、董事会、监事会的法人治理结构。目前设综合管理办公室、财务部、审计</w:t>
      </w:r>
      <w:r>
        <w:rPr>
          <w:rFonts w:ascii="宋体" w:hAnsi="宋体" w:cs="宋体" w:eastAsia="宋体" w:hint="default"/>
          <w:w w:val="100"/>
          <w:sz w:val="21"/>
          <w:szCs w:val="21"/>
        </w:rPr>
        <w:t> </w:t>
      </w:r>
      <w:r>
        <w:rPr>
          <w:rFonts w:ascii="宋体" w:hAnsi="宋体" w:cs="宋体" w:eastAsia="宋体" w:hint="default"/>
          <w:sz w:val="21"/>
          <w:szCs w:val="21"/>
        </w:rPr>
        <w:t>部、证券部、研发部、行政部、华宇大学等部门。</w:t>
      </w:r>
    </w:p>
    <w:p>
      <w:pPr>
        <w:spacing w:line="312"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本公司及其子公司（以下简称</w:t>
      </w:r>
      <w:r>
        <w:rPr>
          <w:rFonts w:ascii="Arial" w:hAnsi="Arial" w:cs="Arial" w:eastAsia="Arial" w:hint="default"/>
          <w:spacing w:val="-2"/>
          <w:sz w:val="21"/>
          <w:szCs w:val="21"/>
        </w:rPr>
        <w:t>“</w:t>
      </w:r>
      <w:r>
        <w:rPr>
          <w:rFonts w:ascii="宋体" w:hAnsi="宋体" w:cs="宋体" w:eastAsia="宋体" w:hint="default"/>
          <w:spacing w:val="-2"/>
          <w:sz w:val="21"/>
          <w:szCs w:val="21"/>
        </w:rPr>
        <w:t>本集团</w:t>
      </w:r>
      <w:r>
        <w:rPr>
          <w:rFonts w:ascii="Arial" w:hAnsi="Arial" w:cs="Arial" w:eastAsia="Arial" w:hint="default"/>
          <w:spacing w:val="-2"/>
          <w:sz w:val="21"/>
          <w:szCs w:val="21"/>
        </w:rPr>
        <w:t>”</w:t>
      </w:r>
      <w:r>
        <w:rPr>
          <w:rFonts w:ascii="宋体" w:hAnsi="宋体" w:cs="宋体" w:eastAsia="宋体" w:hint="default"/>
          <w:spacing w:val="-2"/>
          <w:sz w:val="21"/>
          <w:szCs w:val="21"/>
        </w:rPr>
        <w:t>）业务性质和主要经营活动：销售自行开发后的产品、软件、</w:t>
      </w:r>
      <w:r>
        <w:rPr>
          <w:rFonts w:ascii="宋体" w:hAnsi="宋体" w:cs="宋体" w:eastAsia="宋体" w:hint="default"/>
          <w:w w:val="100"/>
          <w:sz w:val="21"/>
          <w:szCs w:val="21"/>
        </w:rPr>
        <w:t> </w:t>
      </w:r>
      <w:r>
        <w:rPr>
          <w:rFonts w:ascii="宋体" w:hAnsi="宋体" w:cs="宋体" w:eastAsia="宋体" w:hint="default"/>
          <w:sz w:val="21"/>
          <w:szCs w:val="21"/>
        </w:rPr>
        <w:t>计算机软硬件及外围设备；网络技术、应用电子技术开发、技术转让、技术服务、技术咨询、技术培</w:t>
      </w:r>
      <w:r>
        <w:rPr>
          <w:rFonts w:ascii="宋体" w:hAnsi="宋体" w:cs="宋体" w:eastAsia="宋体" w:hint="default"/>
          <w:w w:val="100"/>
          <w:sz w:val="21"/>
          <w:szCs w:val="21"/>
        </w:rPr>
        <w:t> </w:t>
      </w:r>
      <w:r>
        <w:rPr>
          <w:rFonts w:ascii="宋体" w:hAnsi="宋体" w:cs="宋体" w:eastAsia="宋体" w:hint="default"/>
          <w:sz w:val="21"/>
          <w:szCs w:val="21"/>
        </w:rPr>
        <w:t>训、网络安全技术咨询和技术服务、集成电路设计；计算机网络系统集成、管理及维护、承接计算机网</w:t>
      </w:r>
      <w:r>
        <w:rPr>
          <w:rFonts w:ascii="宋体" w:hAnsi="宋体" w:cs="宋体" w:eastAsia="宋体" w:hint="default"/>
          <w:w w:val="100"/>
          <w:sz w:val="21"/>
          <w:szCs w:val="21"/>
        </w:rPr>
        <w:t> </w:t>
      </w:r>
      <w:r>
        <w:rPr>
          <w:rFonts w:ascii="宋体" w:hAnsi="宋体" w:cs="宋体" w:eastAsia="宋体" w:hint="default"/>
          <w:sz w:val="21"/>
          <w:szCs w:val="21"/>
        </w:rPr>
        <w:t>络工程及综合布线工程、楼宇智能化系统的设计、施工、维修；计算机维修；施工总承包、专业承包、</w:t>
      </w:r>
      <w:r>
        <w:rPr>
          <w:rFonts w:ascii="宋体" w:hAnsi="宋体" w:cs="宋体" w:eastAsia="宋体" w:hint="default"/>
          <w:w w:val="100"/>
          <w:sz w:val="21"/>
          <w:szCs w:val="21"/>
        </w:rPr>
        <w:t> </w:t>
      </w:r>
      <w:r>
        <w:rPr>
          <w:rFonts w:ascii="宋体" w:hAnsi="宋体" w:cs="宋体" w:eastAsia="宋体" w:hint="default"/>
          <w:sz w:val="21"/>
          <w:szCs w:val="21"/>
        </w:rPr>
        <w:t>劳务分包；通信与自动控制技术研究；数据处理和存储服务；安全技术防范产品批发；教育咨询服务；</w:t>
      </w:r>
      <w:r>
        <w:rPr>
          <w:rFonts w:ascii="宋体" w:hAnsi="宋体" w:cs="宋体" w:eastAsia="宋体" w:hint="default"/>
          <w:w w:val="100"/>
          <w:sz w:val="21"/>
          <w:szCs w:val="21"/>
        </w:rPr>
        <w:t> </w:t>
      </w:r>
      <w:r>
        <w:rPr>
          <w:rFonts w:ascii="宋体" w:hAnsi="宋体" w:cs="宋体" w:eastAsia="宋体" w:hint="default"/>
          <w:sz w:val="21"/>
          <w:szCs w:val="21"/>
        </w:rPr>
        <w:t>企业管理咨询、电子商务服务、第二类增值电信业务中的呼叫中心业务和信息服务业务等。</w:t>
      </w:r>
    </w:p>
    <w:p>
      <w:pPr>
        <w:spacing w:line="516" w:lineRule="exact" w:before="10"/>
        <w:ind w:left="578" w:right="0" w:firstLine="0"/>
        <w:jc w:val="left"/>
        <w:rPr>
          <w:rFonts w:ascii="宋体" w:hAnsi="宋体" w:cs="宋体" w:eastAsia="宋体" w:hint="default"/>
          <w:sz w:val="21"/>
          <w:szCs w:val="21"/>
        </w:rPr>
      </w:pPr>
      <w:r>
        <w:rPr>
          <w:rFonts w:ascii="宋体" w:hAnsi="宋体" w:cs="宋体" w:eastAsia="宋体" w:hint="default"/>
          <w:sz w:val="21"/>
          <w:szCs w:val="21"/>
        </w:rPr>
        <w:t>本财务报表及财务报表附注业经本公司第六届董事会第二十七次会议于</w:t>
      </w: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4</w:t>
      </w:r>
      <w:r>
        <w:rPr>
          <w:rFonts w:ascii="宋体" w:hAnsi="宋体" w:cs="宋体" w:eastAsia="宋体" w:hint="default"/>
          <w:sz w:val="21"/>
          <w:szCs w:val="21"/>
        </w:rPr>
        <w:t>月</w:t>
      </w:r>
      <w:r>
        <w:rPr>
          <w:rFonts w:ascii="Arial" w:hAnsi="Arial" w:cs="Arial" w:eastAsia="Arial" w:hint="default"/>
          <w:sz w:val="21"/>
          <w:szCs w:val="21"/>
        </w:rPr>
        <w:t>8</w:t>
      </w:r>
      <w:r>
        <w:rPr>
          <w:rFonts w:ascii="宋体" w:hAnsi="宋体" w:cs="宋体" w:eastAsia="宋体" w:hint="default"/>
          <w:sz w:val="21"/>
          <w:szCs w:val="21"/>
        </w:rPr>
        <w:t>日批准。</w:t>
      </w:r>
      <w:r>
        <w:rPr>
          <w:rFonts w:ascii="宋体" w:hAnsi="宋体" w:cs="宋体" w:eastAsia="宋体" w:hint="default"/>
          <w:w w:val="100"/>
          <w:sz w:val="21"/>
          <w:szCs w:val="21"/>
        </w:rPr>
        <w:t> </w:t>
      </w:r>
      <w:r>
        <w:rPr>
          <w:rFonts w:ascii="宋体" w:hAnsi="宋体" w:cs="宋体" w:eastAsia="宋体" w:hint="default"/>
          <w:spacing w:val="-2"/>
          <w:sz w:val="21"/>
          <w:szCs w:val="21"/>
        </w:rPr>
        <w:t>本年度的合并财务报表范围共</w:t>
      </w:r>
      <w:r>
        <w:rPr>
          <w:rFonts w:ascii="Arial" w:hAnsi="Arial" w:cs="Arial" w:eastAsia="Arial" w:hint="default"/>
          <w:spacing w:val="-2"/>
          <w:sz w:val="21"/>
          <w:szCs w:val="21"/>
        </w:rPr>
        <w:t>18</w:t>
      </w:r>
      <w:r>
        <w:rPr>
          <w:rFonts w:ascii="宋体" w:hAnsi="宋体" w:cs="宋体" w:eastAsia="宋体" w:hint="default"/>
          <w:spacing w:val="-2"/>
          <w:sz w:val="21"/>
          <w:szCs w:val="21"/>
        </w:rPr>
        <w:t>家公司（含本部），合并范围新增联奕科技有限公司、溯源云（北</w:t>
      </w:r>
    </w:p>
    <w:p>
      <w:pPr>
        <w:spacing w:line="297" w:lineRule="auto" w:before="11"/>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京）科技服务有限公司</w:t>
      </w:r>
      <w:r>
        <w:rPr>
          <w:rFonts w:ascii="Arial" w:hAnsi="Arial" w:cs="Arial" w:eastAsia="Arial" w:hint="default"/>
          <w:spacing w:val="-2"/>
          <w:sz w:val="21"/>
          <w:szCs w:val="21"/>
        </w:rPr>
        <w:t>2</w:t>
      </w:r>
      <w:r>
        <w:rPr>
          <w:rFonts w:ascii="宋体" w:hAnsi="宋体" w:cs="宋体" w:eastAsia="宋体" w:hint="default"/>
          <w:spacing w:val="-2"/>
          <w:sz w:val="21"/>
          <w:szCs w:val="21"/>
        </w:rPr>
        <w:t>家子公司，合并合并范围新增广州优奕科信息科技有限公司、中科智慧水运科技</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创新（广州）有限公司</w:t>
      </w:r>
      <w:r>
        <w:rPr>
          <w:rFonts w:ascii="Arial" w:hAnsi="Arial" w:cs="Arial" w:eastAsia="Arial" w:hint="default"/>
          <w:sz w:val="21"/>
          <w:szCs w:val="21"/>
        </w:rPr>
        <w:t>2</w:t>
      </w:r>
      <w:r>
        <w:rPr>
          <w:rFonts w:ascii="宋体" w:hAnsi="宋体" w:cs="宋体" w:eastAsia="宋体" w:hint="default"/>
          <w:sz w:val="21"/>
          <w:szCs w:val="21"/>
        </w:rPr>
        <w:t>家孙公司；本年度合并范围减少北京华宇科创投资有限公司</w:t>
      </w:r>
      <w:r>
        <w:rPr>
          <w:rFonts w:ascii="Arial" w:hAnsi="Arial" w:cs="Arial" w:eastAsia="Arial" w:hint="default"/>
          <w:sz w:val="21"/>
          <w:szCs w:val="21"/>
        </w:rPr>
        <w:t>1</w:t>
      </w:r>
      <w:r>
        <w:rPr>
          <w:rFonts w:ascii="宋体" w:hAnsi="宋体" w:cs="宋体" w:eastAsia="宋体" w:hint="default"/>
          <w:sz w:val="21"/>
          <w:szCs w:val="21"/>
        </w:rPr>
        <w:t>家子公司。</w:t>
      </w:r>
    </w:p>
    <w:p>
      <w:pPr>
        <w:pStyle w:val="Heading2"/>
        <w:spacing w:line="240" w:lineRule="auto" w:before="157"/>
        <w:ind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、编制基础</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297" w:lineRule="auto" w:before="0"/>
        <w:ind w:left="152" w:right="242" w:firstLine="425"/>
        <w:jc w:val="both"/>
        <w:rPr>
          <w:rFonts w:ascii="宋体" w:hAnsi="宋体" w:cs="宋体" w:eastAsia="宋体" w:hint="default"/>
          <w:sz w:val="21"/>
          <w:szCs w:val="21"/>
        </w:rPr>
      </w:pPr>
      <w:r>
        <w:rPr>
          <w:rFonts w:ascii="宋体" w:hAnsi="宋体" w:cs="宋体" w:eastAsia="宋体" w:hint="default"/>
          <w:spacing w:val="-2"/>
          <w:sz w:val="21"/>
          <w:szCs w:val="21"/>
        </w:rPr>
        <w:t>本财务报表按照财政部颁布的企业会计准则及其应用指南、解释及其他有关规定（统称</w:t>
      </w:r>
      <w:r>
        <w:rPr>
          <w:rFonts w:ascii="Arial" w:hAnsi="Arial" w:cs="Arial" w:eastAsia="Arial" w:hint="default"/>
          <w:spacing w:val="-2"/>
          <w:sz w:val="21"/>
          <w:szCs w:val="21"/>
        </w:rPr>
        <w:t>“</w:t>
      </w:r>
      <w:r>
        <w:rPr>
          <w:rFonts w:ascii="宋体" w:hAnsi="宋体" w:cs="宋体" w:eastAsia="宋体" w:hint="default"/>
          <w:spacing w:val="-2"/>
          <w:sz w:val="21"/>
          <w:szCs w:val="21"/>
        </w:rPr>
        <w:t>企业会计准</w:t>
      </w:r>
      <w:r>
        <w:rPr>
          <w:rFonts w:ascii="宋体" w:hAnsi="宋体" w:cs="宋体" w:eastAsia="宋体" w:hint="default"/>
          <w:w w:val="100"/>
          <w:sz w:val="21"/>
          <w:szCs w:val="21"/>
        </w:rPr>
        <w:t> </w:t>
      </w:r>
      <w:r>
        <w:rPr>
          <w:rFonts w:ascii="宋体" w:hAnsi="宋体" w:cs="宋体" w:eastAsia="宋体" w:hint="default"/>
          <w:spacing w:val="-2"/>
          <w:sz w:val="21"/>
          <w:szCs w:val="21"/>
        </w:rPr>
        <w:t>则</w:t>
      </w:r>
      <w:r>
        <w:rPr>
          <w:rFonts w:ascii="Arial" w:hAnsi="Arial" w:cs="Arial" w:eastAsia="Arial" w:hint="default"/>
          <w:spacing w:val="-2"/>
          <w:sz w:val="21"/>
          <w:szCs w:val="21"/>
        </w:rPr>
        <w:t>”</w:t>
      </w:r>
      <w:r>
        <w:rPr>
          <w:rFonts w:ascii="宋体" w:hAnsi="宋体" w:cs="宋体" w:eastAsia="宋体" w:hint="default"/>
          <w:spacing w:val="-2"/>
          <w:sz w:val="21"/>
          <w:szCs w:val="21"/>
        </w:rPr>
        <w:t>）编制。此外，本集团还按照中国证监会《公开发行证券的公司信息披露编报规则第</w:t>
      </w:r>
      <w:r>
        <w:rPr>
          <w:rFonts w:ascii="Arial" w:hAnsi="Arial" w:cs="Arial" w:eastAsia="Arial" w:hint="default"/>
          <w:spacing w:val="-2"/>
          <w:sz w:val="21"/>
          <w:szCs w:val="21"/>
        </w:rPr>
        <w:t>15</w:t>
      </w:r>
      <w:r>
        <w:rPr>
          <w:rFonts w:ascii="宋体" w:hAnsi="宋体" w:cs="宋体" w:eastAsia="宋体" w:hint="default"/>
          <w:spacing w:val="-2"/>
          <w:sz w:val="21"/>
          <w:szCs w:val="21"/>
        </w:rPr>
        <w:t>号</w:t>
      </w:r>
      <w:r>
        <w:rPr>
          <w:rFonts w:ascii="Arial" w:hAnsi="Arial" w:cs="Arial" w:eastAsia="Arial" w:hint="default"/>
          <w:spacing w:val="-2"/>
          <w:sz w:val="21"/>
          <w:szCs w:val="21"/>
        </w:rPr>
        <w:t>—</w:t>
      </w:r>
      <w:r>
        <w:rPr>
          <w:rFonts w:ascii="宋体" w:hAnsi="宋体" w:cs="宋体" w:eastAsia="宋体" w:hint="default"/>
          <w:spacing w:val="-2"/>
          <w:sz w:val="21"/>
          <w:szCs w:val="21"/>
        </w:rPr>
        <w:t>财务报告</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的一般规定》（</w:t>
      </w:r>
      <w:r>
        <w:rPr>
          <w:rFonts w:ascii="Arial" w:hAnsi="Arial" w:cs="Arial" w:eastAsia="Arial" w:hint="default"/>
          <w:sz w:val="21"/>
          <w:szCs w:val="21"/>
        </w:rPr>
        <w:t>2014</w:t>
      </w:r>
      <w:r>
        <w:rPr>
          <w:rFonts w:ascii="宋体" w:hAnsi="宋体" w:cs="宋体" w:eastAsia="宋体" w:hint="default"/>
          <w:sz w:val="21"/>
          <w:szCs w:val="21"/>
        </w:rPr>
        <w:t>年修订）披露有关财务信息。</w:t>
      </w:r>
    </w:p>
    <w:p>
      <w:pPr>
        <w:spacing w:line="314" w:lineRule="auto" w:before="17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本集团会计核算以权责发生制为基础。除某些金融工具外，本财务报表均以历史成本为计量基础。</w:t>
      </w:r>
      <w:r>
        <w:rPr>
          <w:rFonts w:ascii="宋体" w:hAnsi="宋体" w:cs="宋体" w:eastAsia="宋体" w:hint="default"/>
          <w:w w:val="100"/>
          <w:sz w:val="21"/>
          <w:szCs w:val="21"/>
        </w:rPr>
        <w:t> </w:t>
      </w:r>
      <w:r>
        <w:rPr>
          <w:rFonts w:ascii="宋体" w:hAnsi="宋体" w:cs="宋体" w:eastAsia="宋体" w:hint="default"/>
          <w:sz w:val="21"/>
          <w:szCs w:val="21"/>
        </w:rPr>
        <w:t>资产如果发生减值，则按照相关规定计提相应的减值准备。</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、持续经营</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本财务报表以持续经营为基础列报。</w:t>
      </w:r>
    </w:p>
    <w:p>
      <w:pPr>
        <w:spacing w:after="0"/>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五、重要会计政策及会计估计</w:t>
      </w:r>
      <w:r>
        <w:rPr>
          <w:b w:val="0"/>
          <w:bCs w:val="0"/>
        </w:rPr>
      </w:r>
    </w:p>
    <w:p>
      <w:pPr>
        <w:spacing w:line="240" w:lineRule="auto" w:before="6"/>
        <w:rPr>
          <w:rFonts w:ascii="Microsoft JhengHei" w:hAnsi="Microsoft JhengHei" w:cs="Microsoft JhengHei" w:eastAsia="Microsoft JhengHei" w:hint="default"/>
          <w:b/>
          <w:bCs/>
          <w:sz w:val="20"/>
          <w:szCs w:val="20"/>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本集团根据自身生产经营特点，确定无形资产摊销、研究开发支出、限制性股票及收入确认政策，</w:t>
      </w:r>
      <w:r>
        <w:rPr>
          <w:rFonts w:ascii="宋体" w:hAnsi="宋体" w:cs="宋体" w:eastAsia="宋体" w:hint="default"/>
          <w:w w:val="100"/>
          <w:sz w:val="21"/>
          <w:szCs w:val="21"/>
        </w:rPr>
        <w:t> </w:t>
      </w:r>
      <w:r>
        <w:rPr>
          <w:rFonts w:ascii="宋体" w:hAnsi="宋体" w:cs="宋体" w:eastAsia="宋体" w:hint="default"/>
          <w:sz w:val="21"/>
          <w:szCs w:val="21"/>
        </w:rPr>
        <w:t>具体会计政策参见附注五、</w:t>
      </w:r>
      <w:r>
        <w:rPr>
          <w:rFonts w:ascii="Arial" w:hAnsi="Arial" w:cs="Arial" w:eastAsia="Arial" w:hint="default"/>
          <w:sz w:val="21"/>
          <w:szCs w:val="21"/>
        </w:rPr>
        <w:t>17</w:t>
      </w:r>
      <w:r>
        <w:rPr>
          <w:rFonts w:ascii="宋体" w:hAnsi="宋体" w:cs="宋体" w:eastAsia="宋体" w:hint="default"/>
          <w:sz w:val="21"/>
          <w:szCs w:val="21"/>
        </w:rPr>
        <w:t>、附注五、</w:t>
      </w:r>
      <w:r>
        <w:rPr>
          <w:rFonts w:ascii="Arial" w:hAnsi="Arial" w:cs="Arial" w:eastAsia="Arial" w:hint="default"/>
          <w:sz w:val="21"/>
          <w:szCs w:val="21"/>
        </w:rPr>
        <w:t>22</w:t>
      </w:r>
      <w:r>
        <w:rPr>
          <w:rFonts w:ascii="宋体" w:hAnsi="宋体" w:cs="宋体" w:eastAsia="宋体" w:hint="default"/>
          <w:sz w:val="21"/>
          <w:szCs w:val="21"/>
        </w:rPr>
        <w:t>、附注五、</w:t>
      </w:r>
      <w:r>
        <w:rPr>
          <w:rFonts w:ascii="Arial" w:hAnsi="Arial" w:cs="Arial" w:eastAsia="Arial" w:hint="default"/>
          <w:sz w:val="21"/>
          <w:szCs w:val="21"/>
        </w:rPr>
        <w:t>23</w:t>
      </w:r>
      <w:r>
        <w:rPr>
          <w:rFonts w:ascii="宋体" w:hAnsi="宋体" w:cs="宋体" w:eastAsia="宋体" w:hint="default"/>
          <w:sz w:val="21"/>
          <w:szCs w:val="21"/>
        </w:rPr>
        <w:t>。</w:t>
      </w:r>
    </w:p>
    <w:p>
      <w:pPr>
        <w:spacing w:before="175"/>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297" w:lineRule="auto" w:before="0"/>
        <w:ind w:left="152" w:right="234" w:firstLine="425"/>
        <w:jc w:val="both"/>
        <w:rPr>
          <w:rFonts w:ascii="宋体" w:hAnsi="宋体" w:cs="宋体" w:eastAsia="宋体" w:hint="default"/>
          <w:sz w:val="21"/>
          <w:szCs w:val="21"/>
        </w:rPr>
      </w:pPr>
      <w:r>
        <w:rPr>
          <w:rFonts w:ascii="宋体" w:hAnsi="宋体" w:cs="宋体" w:eastAsia="宋体" w:hint="default"/>
          <w:spacing w:val="-2"/>
          <w:sz w:val="21"/>
          <w:szCs w:val="21"/>
        </w:rPr>
        <w:t>本财务报表符合企业会计准则的要求，真实、完整地反映了本公司</w:t>
      </w: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31</w:t>
      </w:r>
      <w:r>
        <w:rPr>
          <w:rFonts w:ascii="宋体" w:hAnsi="宋体" w:cs="宋体" w:eastAsia="宋体" w:hint="default"/>
          <w:spacing w:val="-2"/>
          <w:sz w:val="21"/>
          <w:szCs w:val="21"/>
        </w:rPr>
        <w:t>日的合并及公司财</w:t>
      </w:r>
      <w:r>
        <w:rPr>
          <w:rFonts w:ascii="宋体" w:hAnsi="宋体" w:cs="宋体" w:eastAsia="宋体" w:hint="default"/>
          <w:w w:val="100"/>
          <w:sz w:val="21"/>
          <w:szCs w:val="21"/>
        </w:rPr>
        <w:t> </w:t>
      </w:r>
      <w:r>
        <w:rPr>
          <w:rFonts w:ascii="宋体" w:hAnsi="宋体" w:cs="宋体" w:eastAsia="宋体" w:hint="default"/>
          <w:sz w:val="21"/>
          <w:szCs w:val="21"/>
        </w:rPr>
        <w:t>务状况以及</w:t>
      </w:r>
      <w:r>
        <w:rPr>
          <w:rFonts w:ascii="Arial" w:hAnsi="Arial" w:cs="Arial" w:eastAsia="Arial" w:hint="default"/>
          <w:sz w:val="21"/>
          <w:szCs w:val="21"/>
        </w:rPr>
        <w:t>2017</w:t>
      </w:r>
      <w:r>
        <w:rPr>
          <w:rFonts w:ascii="宋体" w:hAnsi="宋体" w:cs="宋体" w:eastAsia="宋体" w:hint="default"/>
          <w:sz w:val="21"/>
          <w:szCs w:val="21"/>
        </w:rPr>
        <w:t>年度的合并及公司经营成果和合并及公司现金流量等有关信息。</w:t>
      </w:r>
    </w:p>
    <w:p>
      <w:pPr>
        <w:spacing w:before="192"/>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1"/>
          <w:szCs w:val="21"/>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本集团会计期间采用公历年度，即每年自</w:t>
      </w:r>
      <w:r>
        <w:rPr>
          <w:rFonts w:ascii="Arial" w:hAnsi="Arial" w:cs="Arial" w:eastAsia="Arial" w:hint="default"/>
          <w:sz w:val="21"/>
          <w:szCs w:val="21"/>
        </w:rPr>
        <w:t>1</w:t>
      </w:r>
      <w:r>
        <w:rPr>
          <w:rFonts w:ascii="宋体" w:hAnsi="宋体" w:cs="宋体" w:eastAsia="宋体" w:hint="default"/>
          <w:sz w:val="21"/>
          <w:szCs w:val="21"/>
        </w:rPr>
        <w:t>月</w:t>
      </w:r>
      <w:r>
        <w:rPr>
          <w:rFonts w:ascii="Arial" w:hAnsi="Arial" w:cs="Arial" w:eastAsia="Arial" w:hint="default"/>
          <w:sz w:val="21"/>
          <w:szCs w:val="21"/>
        </w:rPr>
        <w:t>1</w:t>
      </w:r>
      <w:r>
        <w:rPr>
          <w:rFonts w:ascii="宋体" w:hAnsi="宋体" w:cs="宋体" w:eastAsia="宋体" w:hint="default"/>
          <w:sz w:val="21"/>
          <w:szCs w:val="21"/>
        </w:rPr>
        <w:t>日起至</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日止。</w:t>
      </w:r>
    </w:p>
    <w:p>
      <w:pPr>
        <w:spacing w:line="240" w:lineRule="auto" w:before="13"/>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本集团的营业周期为</w:t>
      </w:r>
      <w:r>
        <w:rPr>
          <w:rFonts w:ascii="Arial" w:hAnsi="Arial" w:cs="Arial" w:eastAsia="Arial" w:hint="default"/>
          <w:sz w:val="21"/>
          <w:szCs w:val="21"/>
        </w:rPr>
        <w:t>12</w:t>
      </w:r>
      <w:r>
        <w:rPr>
          <w:rFonts w:ascii="宋体" w:hAnsi="宋体" w:cs="宋体" w:eastAsia="宋体" w:hint="default"/>
          <w:sz w:val="21"/>
          <w:szCs w:val="21"/>
        </w:rPr>
        <w:t>个月。</w:t>
      </w:r>
    </w:p>
    <w:p>
      <w:pPr>
        <w:spacing w:line="240" w:lineRule="auto" w:before="13"/>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本公司及境内子公司以人民币为记账本位币。本集团编制本财务报表时所采用的货币为人民币。</w:t>
      </w:r>
    </w:p>
    <w:p>
      <w:pPr>
        <w:spacing w:line="240" w:lineRule="auto" w:before="1"/>
        <w:rPr>
          <w:rFonts w:ascii="宋体" w:hAnsi="宋体" w:cs="宋体" w:eastAsia="宋体" w:hint="default"/>
          <w:sz w:val="20"/>
          <w:szCs w:val="20"/>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sz w:val="21"/>
          <w:szCs w:val="21"/>
        </w:rPr>
      </w:r>
    </w:p>
    <w:p>
      <w:pPr>
        <w:spacing w:line="670" w:lineRule="exact" w:before="23"/>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）同一控制下的企业合并</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对于同一控制下的企业合并，合并方在合并中取得的被合并方的资产、负债，除因会计政策不同而</w:t>
      </w:r>
    </w:p>
    <w:p>
      <w:pPr>
        <w:spacing w:line="256"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进行的调整以外，按合并日被合并方在最终控制方合并财务报表中的账面价值计量。合并对价的账面价</w:t>
      </w:r>
    </w:p>
    <w:p>
      <w:pPr>
        <w:spacing w:line="451" w:lineRule="auto" w:before="85"/>
        <w:ind w:left="578" w:right="0" w:hanging="426"/>
        <w:jc w:val="left"/>
        <w:rPr>
          <w:rFonts w:ascii="宋体" w:hAnsi="宋体" w:cs="宋体" w:eastAsia="宋体" w:hint="default"/>
          <w:sz w:val="21"/>
          <w:szCs w:val="21"/>
        </w:rPr>
      </w:pPr>
      <w:r>
        <w:rPr>
          <w:rFonts w:ascii="宋体" w:hAnsi="宋体" w:cs="宋体" w:eastAsia="宋体" w:hint="default"/>
          <w:sz w:val="21"/>
          <w:szCs w:val="21"/>
        </w:rPr>
        <w:t>值与合并中取得的净资产账面价值的差额调整资本公积，资本公积不足冲减的，调整留存收益。</w:t>
      </w:r>
      <w:r>
        <w:rPr>
          <w:rFonts w:ascii="宋体" w:hAnsi="宋体" w:cs="宋体" w:eastAsia="宋体" w:hint="default"/>
          <w:w w:val="100"/>
          <w:sz w:val="21"/>
          <w:szCs w:val="21"/>
        </w:rPr>
        <w:t> </w:t>
      </w:r>
      <w:r>
        <w:rPr>
          <w:rFonts w:ascii="宋体" w:hAnsi="宋体" w:cs="宋体" w:eastAsia="宋体" w:hint="default"/>
          <w:sz w:val="21"/>
          <w:szCs w:val="21"/>
        </w:rPr>
        <w:t>通过多次交易分步实现同一控制下的企业合并</w:t>
      </w:r>
    </w:p>
    <w:p>
      <w:pPr>
        <w:spacing w:line="314" w:lineRule="auto" w:before="5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在个别财务报表中，以合并日持股比例计算的合并日应享有被合并方净资产在最终控制方合并财务</w:t>
      </w:r>
      <w:r>
        <w:rPr>
          <w:rFonts w:ascii="宋体" w:hAnsi="宋体" w:cs="宋体" w:eastAsia="宋体" w:hint="default"/>
          <w:w w:val="100"/>
          <w:sz w:val="21"/>
          <w:szCs w:val="21"/>
        </w:rPr>
        <w:t> </w:t>
      </w:r>
      <w:r>
        <w:rPr>
          <w:rFonts w:ascii="宋体" w:hAnsi="宋体" w:cs="宋体" w:eastAsia="宋体" w:hint="default"/>
          <w:spacing w:val="-2"/>
          <w:sz w:val="21"/>
          <w:szCs w:val="21"/>
        </w:rPr>
        <w:t>报表中的账面价值的份额作为该项投资的初始投资成本；初始投资成本与合并前持有投资的账面价值加</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上合并日新支付对价的账面价值之和的差额，调整资本公积，资本公积不足冲减的，调整留存收益。</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在合并财务报表中，合并方在合并中取得的被合并方的资产、负债，除因会计政策不同而进行的调</w:t>
      </w:r>
      <w:r>
        <w:rPr>
          <w:rFonts w:ascii="宋体" w:hAnsi="宋体" w:cs="宋体" w:eastAsia="宋体" w:hint="default"/>
          <w:w w:val="100"/>
          <w:sz w:val="21"/>
          <w:szCs w:val="21"/>
        </w:rPr>
        <w:t> </w:t>
      </w:r>
      <w:r>
        <w:rPr>
          <w:rFonts w:ascii="宋体" w:hAnsi="宋体" w:cs="宋体" w:eastAsia="宋体" w:hint="default"/>
          <w:spacing w:val="-2"/>
          <w:sz w:val="21"/>
          <w:szCs w:val="21"/>
        </w:rPr>
        <w:t>整以外，按合并日在最终控制方合并财务报表中的账面价值计量；合并前持有投资的账面价值加上合并</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日新支付对价的账面价值之和，与合并中取得的净资产账面价值的差额，调整资本公积，资本公积不足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冲减的，调整留存收益。合并方在取得被合并方控制权之前持有的长期股权投资，在取得原股权之日与</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合并方与被合并方同处于同一方最终控制之日孰晚日起至合并日之间已确认有关损益、其他综合收益和</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其他所有者权益变动，应分别冲减比较报表期间的期初留存收益或当期损益。</w:t>
      </w:r>
    </w:p>
    <w:p>
      <w:pPr>
        <w:spacing w:after="0" w:line="314" w:lineRule="auto"/>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）非同一控制下的企业合并</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对于非同一控制下的企业合并，合并成本为购买日为取得对被购买方的控制权而付出的资产、发生</w:t>
      </w:r>
      <w:r>
        <w:rPr>
          <w:rFonts w:ascii="宋体" w:hAnsi="宋体" w:cs="宋体" w:eastAsia="宋体" w:hint="default"/>
          <w:w w:val="100"/>
          <w:sz w:val="21"/>
          <w:szCs w:val="21"/>
        </w:rPr>
        <w:t> </w:t>
      </w:r>
      <w:r>
        <w:rPr>
          <w:rFonts w:ascii="宋体" w:hAnsi="宋体" w:cs="宋体" w:eastAsia="宋体" w:hint="default"/>
          <w:spacing w:val="-2"/>
          <w:sz w:val="21"/>
          <w:szCs w:val="21"/>
        </w:rPr>
        <w:t>或承担的负债以及发行的权益性证券的公允价值。在购买日，取得的被购买方的资产、负债及或有负债</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按公允价值确认。对合并成本大于合并中取得的被购买方可辨认净资产公允价值份额的差额，确认为商</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誉，按成本扣除累计减值准备进行后续计量；对合并成本小于合并中取得的被购买方可辨认净资产公允</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价值份额的差额，经复核后计入当期损益。</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通过多次交易分步实现非同一控制下的企业合并</w:t>
      </w:r>
      <w:r>
        <w:rPr>
          <w:rFonts w:ascii="宋体" w:hAnsi="宋体" w:cs="宋体" w:eastAsia="宋体" w:hint="default"/>
          <w:w w:val="100"/>
          <w:sz w:val="21"/>
          <w:szCs w:val="21"/>
        </w:rPr>
        <w:t> </w:t>
      </w:r>
      <w:r>
        <w:rPr>
          <w:rFonts w:ascii="宋体" w:hAnsi="宋体" w:cs="宋体" w:eastAsia="宋体" w:hint="default"/>
          <w:spacing w:val="-2"/>
          <w:sz w:val="21"/>
          <w:szCs w:val="21"/>
        </w:rPr>
        <w:t>在个别财务报表中，以购买日之前所持被购买方的股权投资的账面价值与购买日新增投资成本之</w:t>
      </w:r>
    </w:p>
    <w:p>
      <w:pPr>
        <w:spacing w:line="314" w:lineRule="auto" w:before="11"/>
        <w:ind w:left="152" w:right="333" w:firstLine="0"/>
        <w:jc w:val="both"/>
        <w:rPr>
          <w:rFonts w:ascii="宋体" w:hAnsi="宋体" w:cs="宋体" w:eastAsia="宋体" w:hint="default"/>
          <w:sz w:val="21"/>
          <w:szCs w:val="21"/>
        </w:rPr>
      </w:pPr>
      <w:r>
        <w:rPr>
          <w:rFonts w:ascii="宋体" w:hAnsi="宋体" w:cs="宋体" w:eastAsia="宋体" w:hint="default"/>
          <w:spacing w:val="-2"/>
          <w:sz w:val="21"/>
          <w:szCs w:val="21"/>
        </w:rPr>
        <w:t>和，作为该项投资的初始投资成本。购买日之前持有的股权投资因采用权益法核算而确认的其他综合收</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益，购买日对这部分其他综合收益不作处理，在处置该项投资时采用与被投资单位直接处置相关资产或</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负债相同的基础进行会计处理；因被投资方除净损益、其他综合收益和利润分配以外的其他所有者权益</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变动而确认的所有者权益，在处置该项投资时转入处置期间的当期损益。购买日之前持有的股权投资采</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用公允价值计量的，原计入其他综合收益的累计公允价值变动在改按成本法核算时转入当期损益。</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在合并财务报表中，合并成本为购买日支付的对价与购买日之前已经持有的被购买方的股权在购买</w:t>
      </w:r>
      <w:r>
        <w:rPr>
          <w:rFonts w:ascii="宋体" w:hAnsi="宋体" w:cs="宋体" w:eastAsia="宋体" w:hint="default"/>
          <w:w w:val="100"/>
          <w:sz w:val="21"/>
          <w:szCs w:val="21"/>
        </w:rPr>
        <w:t> </w:t>
      </w:r>
      <w:r>
        <w:rPr>
          <w:rFonts w:ascii="宋体" w:hAnsi="宋体" w:cs="宋体" w:eastAsia="宋体" w:hint="default"/>
          <w:spacing w:val="-2"/>
          <w:sz w:val="21"/>
          <w:szCs w:val="21"/>
        </w:rPr>
        <w:t>日的公允价值之和。对于购买日之前已经持有的被购买方的股权，按照该股权在购买日的公允价值进行</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重新计量，公允价值与其账面价值之间的差额计入当期收益；购买日之前已经持有的被购买方的股权涉</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及其他综合收益、其他所有者权益变动转为购买日当期收益，由于被投资方重新计量设定收益计划净负</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债或净资产变动而产生的其他综合收益除外。</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）企业合并中有关交易费用的处理</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为进行企业合并发生的审计、法律服务、评估咨询等中介费用以及其他相关管理费用，于发生时计</w:t>
      </w:r>
      <w:r>
        <w:rPr>
          <w:rFonts w:ascii="宋体" w:hAnsi="宋体" w:cs="宋体" w:eastAsia="宋体" w:hint="default"/>
          <w:w w:val="100"/>
          <w:sz w:val="21"/>
          <w:szCs w:val="21"/>
        </w:rPr>
        <w:t> </w:t>
      </w:r>
      <w:r>
        <w:rPr>
          <w:rFonts w:ascii="宋体" w:hAnsi="宋体" w:cs="宋体" w:eastAsia="宋体" w:hint="default"/>
          <w:spacing w:val="-2"/>
          <w:sz w:val="21"/>
          <w:szCs w:val="21"/>
        </w:rPr>
        <w:t>入当期损益。作为合并对价发行的权益性证券或债务性证券的交易费用，计入权益性证券或债务性证券</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的初始确认金额。</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）合并范围</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合并财务报表的合并范围以控制为基础予以确定。控制，是指本公司拥有对被投资单位的权力，通</w:t>
      </w:r>
      <w:r>
        <w:rPr>
          <w:rFonts w:ascii="宋体" w:hAnsi="宋体" w:cs="宋体" w:eastAsia="宋体" w:hint="default"/>
          <w:w w:val="100"/>
          <w:sz w:val="21"/>
          <w:szCs w:val="21"/>
        </w:rPr>
        <w:t> </w:t>
      </w:r>
      <w:r>
        <w:rPr>
          <w:rFonts w:ascii="宋体" w:hAnsi="宋体" w:cs="宋体" w:eastAsia="宋体" w:hint="default"/>
          <w:spacing w:val="-2"/>
          <w:sz w:val="21"/>
          <w:szCs w:val="21"/>
        </w:rPr>
        <w:t>过参与被投资单位的相关活动而享有可变回报，并且有能力运用对被投资单位的权力影响其回报金额。</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子公司，是指被本公司控制的主体（含企业、被投资单位中可分割的部分、结构化主体等）。</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合并财务报表以本公司和子公司的财务报表为基础，根据其他有关资料，由本公司编制。在编制合</w:t>
      </w:r>
      <w:r>
        <w:rPr>
          <w:rFonts w:ascii="宋体" w:hAnsi="宋体" w:cs="宋体" w:eastAsia="宋体" w:hint="default"/>
          <w:w w:val="100"/>
          <w:sz w:val="21"/>
          <w:szCs w:val="21"/>
        </w:rPr>
        <w:t> </w:t>
      </w:r>
      <w:r>
        <w:rPr>
          <w:rFonts w:ascii="宋体" w:hAnsi="宋体" w:cs="宋体" w:eastAsia="宋体" w:hint="default"/>
          <w:spacing w:val="-2"/>
          <w:sz w:val="21"/>
          <w:szCs w:val="21"/>
        </w:rPr>
        <w:t>并财务报表时，本公司和子公司的会计政策和会计期间要求保持一致，公司间的重大交易和往来余额予</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以抵销。</w:t>
      </w:r>
    </w:p>
    <w:p>
      <w:pPr>
        <w:spacing w:after="0" w:line="314" w:lineRule="auto"/>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14" w:lineRule="auto" w:before="3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在报告期内因同一控制下企业合并增加的子公司以及业务，视同该子公司以及业务自同受最终控制</w:t>
      </w:r>
      <w:r>
        <w:rPr>
          <w:rFonts w:ascii="宋体" w:hAnsi="宋体" w:cs="宋体" w:eastAsia="宋体" w:hint="default"/>
          <w:w w:val="100"/>
          <w:sz w:val="21"/>
          <w:szCs w:val="21"/>
        </w:rPr>
        <w:t> </w:t>
      </w:r>
      <w:r>
        <w:rPr>
          <w:rFonts w:ascii="宋体" w:hAnsi="宋体" w:cs="宋体" w:eastAsia="宋体" w:hint="default"/>
          <w:spacing w:val="-2"/>
          <w:sz w:val="21"/>
          <w:szCs w:val="21"/>
        </w:rPr>
        <w:t>方控制之日起纳入本公司的合并范围，将其自同受最终控制方控制之日起的经营成果、现金流量分别纳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入合并利润表、合并现金流量表中。</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在报告期内因非同一控制下企业合并增加的子公司以及业务，将该子公司以及业务自购买日至报告</w:t>
      </w:r>
      <w:r>
        <w:rPr>
          <w:rFonts w:ascii="宋体" w:hAnsi="宋体" w:cs="宋体" w:eastAsia="宋体" w:hint="default"/>
          <w:w w:val="100"/>
          <w:sz w:val="21"/>
          <w:szCs w:val="21"/>
        </w:rPr>
        <w:t> </w:t>
      </w:r>
      <w:r>
        <w:rPr>
          <w:rFonts w:ascii="宋体" w:hAnsi="宋体" w:cs="宋体" w:eastAsia="宋体" w:hint="default"/>
          <w:sz w:val="21"/>
          <w:szCs w:val="21"/>
        </w:rPr>
        <w:t>期末的收入、费用、利润纳入合并利润表，将其现金流量纳入合并现金流量表。</w:t>
      </w:r>
    </w:p>
    <w:p>
      <w:pPr>
        <w:spacing w:line="302" w:lineRule="auto" w:before="176"/>
        <w:ind w:left="152" w:right="263" w:firstLine="425"/>
        <w:jc w:val="both"/>
        <w:rPr>
          <w:rFonts w:ascii="宋体" w:hAnsi="宋体" w:cs="宋体" w:eastAsia="宋体" w:hint="default"/>
          <w:sz w:val="21"/>
          <w:szCs w:val="21"/>
        </w:rPr>
      </w:pPr>
      <w:r>
        <w:rPr>
          <w:rFonts w:ascii="宋体" w:hAnsi="宋体" w:cs="宋体" w:eastAsia="宋体" w:hint="default"/>
          <w:sz w:val="21"/>
          <w:szCs w:val="21"/>
        </w:rPr>
        <w:t>子公司的股东权益中不属于本公司所拥有的部分，作为少数股东权益在合并资产负债表中股东权益</w:t>
      </w:r>
      <w:r>
        <w:rPr>
          <w:rFonts w:ascii="宋体" w:hAnsi="宋体" w:cs="宋体" w:eastAsia="宋体" w:hint="default"/>
          <w:w w:val="100"/>
          <w:sz w:val="21"/>
          <w:szCs w:val="21"/>
        </w:rPr>
        <w:t> </w:t>
      </w:r>
      <w:r>
        <w:rPr>
          <w:rFonts w:ascii="宋体" w:hAnsi="宋体" w:cs="宋体" w:eastAsia="宋体" w:hint="default"/>
          <w:spacing w:val="-2"/>
          <w:sz w:val="21"/>
          <w:szCs w:val="21"/>
        </w:rPr>
        <w:t>项下单独列示；子公司当期净损益中属于少数股东权益的份额，在合并利润表中净利润项目下以</w:t>
      </w:r>
      <w:r>
        <w:rPr>
          <w:rFonts w:ascii="Arial" w:hAnsi="Arial" w:cs="Arial" w:eastAsia="Arial" w:hint="default"/>
          <w:spacing w:val="-2"/>
          <w:sz w:val="21"/>
          <w:szCs w:val="21"/>
        </w:rPr>
        <w:t>“</w:t>
      </w:r>
      <w:r>
        <w:rPr>
          <w:rFonts w:ascii="宋体" w:hAnsi="宋体" w:cs="宋体" w:eastAsia="宋体" w:hint="default"/>
          <w:spacing w:val="-2"/>
          <w:sz w:val="21"/>
          <w:szCs w:val="21"/>
        </w:rPr>
        <w:t>少数股</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东损益</w:t>
      </w:r>
      <w:r>
        <w:rPr>
          <w:rFonts w:ascii="Arial" w:hAnsi="Arial" w:cs="Arial" w:eastAsia="Arial" w:hint="default"/>
          <w:spacing w:val="-2"/>
          <w:sz w:val="21"/>
          <w:szCs w:val="21"/>
        </w:rPr>
        <w:t>”</w:t>
      </w:r>
      <w:r>
        <w:rPr>
          <w:rFonts w:ascii="宋体" w:hAnsi="宋体" w:cs="宋体" w:eastAsia="宋体" w:hint="default"/>
          <w:spacing w:val="-2"/>
          <w:sz w:val="21"/>
          <w:szCs w:val="21"/>
        </w:rPr>
        <w:t>项目列示。少数股东分担的子公司的亏损超过了少数股东在该子公司期初所有者权益中所享有的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份额，其余额仍冲减少数股东权益。</w:t>
      </w:r>
    </w:p>
    <w:p>
      <w:pPr>
        <w:spacing w:line="240" w:lineRule="auto" w:before="1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）购买子公司少数股东股权</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因购买少数股权新取得的长期股权投资成本与按照新增持股比例计算应享有子公司自购买日或合并</w:t>
      </w:r>
      <w:r>
        <w:rPr>
          <w:rFonts w:ascii="宋体" w:hAnsi="宋体" w:cs="宋体" w:eastAsia="宋体" w:hint="default"/>
          <w:w w:val="100"/>
          <w:sz w:val="21"/>
          <w:szCs w:val="21"/>
        </w:rPr>
        <w:t> </w:t>
      </w:r>
      <w:r>
        <w:rPr>
          <w:rFonts w:ascii="宋体" w:hAnsi="宋体" w:cs="宋体" w:eastAsia="宋体" w:hint="default"/>
          <w:spacing w:val="-2"/>
          <w:sz w:val="21"/>
          <w:szCs w:val="21"/>
        </w:rPr>
        <w:t>日开始持续计算的净资产份额之间的差额，以及在不丧失控制权的情况下因部分处置对子公司的股权投</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资而取得的处置价款与处置长期股权投资相对应享有子公司自购买日或合并日开始持续计算的净资产份</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额之间的差额，均调整合并资产负债表中的资本公积，资本公积不足冲减的，调整留存收益。</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）丧失子公司控制权的处理</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因处置部分股权投资或其他原因丧失了对原有子公司控制权的，剩余股权按照其在丧失控制权日的</w:t>
      </w:r>
      <w:r>
        <w:rPr>
          <w:rFonts w:ascii="宋体" w:hAnsi="宋体" w:cs="宋体" w:eastAsia="宋体" w:hint="default"/>
          <w:w w:val="100"/>
          <w:sz w:val="21"/>
          <w:szCs w:val="21"/>
        </w:rPr>
        <w:t> </w:t>
      </w:r>
      <w:r>
        <w:rPr>
          <w:rFonts w:ascii="宋体" w:hAnsi="宋体" w:cs="宋体" w:eastAsia="宋体" w:hint="default"/>
          <w:spacing w:val="-2"/>
          <w:sz w:val="21"/>
          <w:szCs w:val="21"/>
        </w:rPr>
        <w:t>公允价值进行重新计量；处置股权取得的对价与剩余股权公允价值之和，减去按原持股比例计算应享有</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原有子公司自购买日开始持续计算的净资产账面价值的份额与商誉之和，形成的差额计入丧失控制权当</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期的投资收益。</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与原有子公司的股权投资相关的其他综合收益等，在丧失控制权时转入当期损益，由于被投资方重</w:t>
      </w:r>
      <w:r>
        <w:rPr>
          <w:rFonts w:ascii="宋体" w:hAnsi="宋体" w:cs="宋体" w:eastAsia="宋体" w:hint="default"/>
          <w:w w:val="100"/>
          <w:sz w:val="21"/>
          <w:szCs w:val="21"/>
        </w:rPr>
        <w:t> </w:t>
      </w:r>
      <w:r>
        <w:rPr>
          <w:rFonts w:ascii="宋体" w:hAnsi="宋体" w:cs="宋体" w:eastAsia="宋体" w:hint="default"/>
          <w:sz w:val="21"/>
          <w:szCs w:val="21"/>
        </w:rPr>
        <w:t>新计量设定收益计划净负债或净资产变动而产生的其他综合收益除外。</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、合营安排分类及共同经营会计处理方法</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合营安排，是指一项由两个或两个以上的参与方共同控制的安排。本集团合营安排分为共同经营和</w:t>
      </w:r>
      <w:r>
        <w:rPr>
          <w:rFonts w:ascii="宋体" w:hAnsi="宋体" w:cs="宋体" w:eastAsia="宋体" w:hint="default"/>
          <w:w w:val="100"/>
          <w:sz w:val="21"/>
          <w:szCs w:val="21"/>
        </w:rPr>
        <w:t> </w:t>
      </w:r>
      <w:r>
        <w:rPr>
          <w:rFonts w:ascii="宋体" w:hAnsi="宋体" w:cs="宋体" w:eastAsia="宋体" w:hint="default"/>
          <w:sz w:val="21"/>
          <w:szCs w:val="21"/>
        </w:rPr>
        <w:t>合营企业。</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）共同经营</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共同经营是指本集团享有该安排相关资产且承担该安排相关负债的合营安排。</w:t>
      </w:r>
    </w:p>
    <w:p>
      <w:pPr>
        <w:spacing w:line="240" w:lineRule="auto" w:before="9"/>
        <w:rPr>
          <w:rFonts w:ascii="宋体" w:hAnsi="宋体" w:cs="宋体" w:eastAsia="宋体" w:hint="default"/>
          <w:sz w:val="15"/>
          <w:szCs w:val="15"/>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本集团确认与共同经营中利益份额相关的下列项目，并按照相关企业会计准则的规定进行会计处</w:t>
      </w:r>
    </w:p>
    <w:p>
      <w:pPr>
        <w:spacing w:before="85"/>
        <w:ind w:left="152" w:right="0" w:firstLine="0"/>
        <w:jc w:val="left"/>
        <w:rPr>
          <w:rFonts w:ascii="宋体" w:hAnsi="宋体" w:cs="宋体" w:eastAsia="宋体" w:hint="default"/>
          <w:sz w:val="21"/>
          <w:szCs w:val="21"/>
        </w:rPr>
      </w:pPr>
      <w:r>
        <w:rPr>
          <w:rFonts w:ascii="宋体" w:hAnsi="宋体" w:cs="宋体" w:eastAsia="宋体" w:hint="default"/>
          <w:sz w:val="21"/>
          <w:szCs w:val="21"/>
        </w:rPr>
        <w:t>理：</w:t>
      </w:r>
    </w:p>
    <w:p>
      <w:pPr>
        <w:spacing w:line="240" w:lineRule="auto" w:before="9"/>
        <w:rPr>
          <w:rFonts w:ascii="宋体" w:hAnsi="宋体" w:cs="宋体" w:eastAsia="宋体" w:hint="default"/>
          <w:sz w:val="15"/>
          <w:szCs w:val="15"/>
        </w:rPr>
      </w:pPr>
    </w:p>
    <w:p>
      <w:pPr>
        <w:spacing w:line="427" w:lineRule="auto" w:before="36"/>
        <w:ind w:left="578" w:right="0" w:firstLine="0"/>
        <w:jc w:val="left"/>
        <w:rPr>
          <w:rFonts w:ascii="宋体" w:hAnsi="宋体" w:cs="宋体" w:eastAsia="宋体" w:hint="default"/>
          <w:sz w:val="21"/>
          <w:szCs w:val="21"/>
        </w:rPr>
      </w:pPr>
      <w:r>
        <w:rPr>
          <w:rFonts w:ascii="Arial" w:hAnsi="Arial" w:cs="Arial" w:eastAsia="Arial" w:hint="default"/>
          <w:spacing w:val="-2"/>
          <w:sz w:val="21"/>
          <w:szCs w:val="21"/>
        </w:rPr>
        <w:t>A</w:t>
      </w:r>
      <w:r>
        <w:rPr>
          <w:rFonts w:ascii="宋体" w:hAnsi="宋体" w:cs="宋体" w:eastAsia="宋体" w:hint="default"/>
          <w:spacing w:val="-2"/>
          <w:sz w:val="21"/>
          <w:szCs w:val="21"/>
        </w:rPr>
        <w:t>、确认单独所持有的资产，以及按其份额确认共同持有的资产；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Arial" w:hAnsi="Arial" w:cs="Arial" w:eastAsia="Arial" w:hint="default"/>
          <w:spacing w:val="-2"/>
          <w:sz w:val="21"/>
          <w:szCs w:val="21"/>
        </w:rPr>
        <w:t>B</w:t>
      </w:r>
      <w:r>
        <w:rPr>
          <w:rFonts w:ascii="宋体" w:hAnsi="宋体" w:cs="宋体" w:eastAsia="宋体" w:hint="default"/>
          <w:spacing w:val="-2"/>
          <w:sz w:val="21"/>
          <w:szCs w:val="21"/>
        </w:rPr>
        <w:t>、确认单独所承担的负债，以及按其份额确认共同承担的负债；</w:t>
      </w:r>
    </w:p>
    <w:p>
      <w:pPr>
        <w:spacing w:after="0" w:line="427"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427" w:lineRule="auto" w:before="36"/>
        <w:ind w:left="578" w:right="0" w:firstLine="0"/>
        <w:jc w:val="left"/>
        <w:rPr>
          <w:rFonts w:ascii="宋体" w:hAnsi="宋体" w:cs="宋体" w:eastAsia="宋体" w:hint="default"/>
          <w:sz w:val="21"/>
          <w:szCs w:val="21"/>
        </w:rPr>
      </w:pPr>
      <w:r>
        <w:rPr>
          <w:rFonts w:ascii="Arial" w:hAnsi="Arial" w:cs="Arial" w:eastAsia="Arial" w:hint="default"/>
          <w:sz w:val="21"/>
          <w:szCs w:val="21"/>
        </w:rPr>
        <w:t>C</w:t>
      </w:r>
      <w:r>
        <w:rPr>
          <w:rFonts w:ascii="宋体" w:hAnsi="宋体" w:cs="宋体" w:eastAsia="宋体" w:hint="default"/>
          <w:sz w:val="21"/>
          <w:szCs w:val="21"/>
        </w:rPr>
        <w:t>、确认出售其享有的共同经营产出份额所产生的收入；</w:t>
      </w:r>
      <w:r>
        <w:rPr>
          <w:rFonts w:ascii="宋体" w:hAnsi="宋体" w:cs="宋体" w:eastAsia="宋体" w:hint="default"/>
          <w:w w:val="100"/>
          <w:sz w:val="21"/>
          <w:szCs w:val="21"/>
        </w:rPr>
        <w:t> </w:t>
      </w:r>
      <w:r>
        <w:rPr>
          <w:rFonts w:ascii="Arial" w:hAnsi="Arial" w:cs="Arial" w:eastAsia="Arial" w:hint="default"/>
          <w:sz w:val="21"/>
          <w:szCs w:val="21"/>
        </w:rPr>
        <w:t>D</w:t>
      </w:r>
      <w:r>
        <w:rPr>
          <w:rFonts w:ascii="宋体" w:hAnsi="宋体" w:cs="宋体" w:eastAsia="宋体" w:hint="default"/>
          <w:sz w:val="21"/>
          <w:szCs w:val="21"/>
        </w:rPr>
        <w:t>、按其份额确认共同经营因出售产出所产生的收入；</w:t>
      </w:r>
      <w:r>
        <w:rPr>
          <w:rFonts w:ascii="宋体" w:hAnsi="宋体" w:cs="宋体" w:eastAsia="宋体" w:hint="default"/>
          <w:w w:val="100"/>
          <w:sz w:val="21"/>
          <w:szCs w:val="21"/>
        </w:rPr>
        <w:t> </w:t>
      </w:r>
      <w:r>
        <w:rPr>
          <w:rFonts w:ascii="Arial" w:hAnsi="Arial" w:cs="Arial" w:eastAsia="Arial" w:hint="default"/>
          <w:spacing w:val="-2"/>
          <w:sz w:val="21"/>
          <w:szCs w:val="21"/>
        </w:rPr>
        <w:t>E</w:t>
      </w:r>
      <w:r>
        <w:rPr>
          <w:rFonts w:ascii="宋体" w:hAnsi="宋体" w:cs="宋体" w:eastAsia="宋体" w:hint="default"/>
          <w:spacing w:val="-2"/>
          <w:sz w:val="21"/>
          <w:szCs w:val="21"/>
        </w:rPr>
        <w:t>、确认单独所发生的费用，以及按其份额确认共同经营发生的费用。</w:t>
      </w:r>
    </w:p>
    <w:p>
      <w:pPr>
        <w:spacing w:before="65"/>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）合营企业</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451" w:lineRule="auto"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合营企业是指本集团仅对该安排的净资产享有权利的合营安排。</w:t>
      </w:r>
      <w:r>
        <w:rPr>
          <w:rFonts w:ascii="宋体" w:hAnsi="宋体" w:cs="宋体" w:eastAsia="宋体" w:hint="default"/>
          <w:w w:val="100"/>
          <w:sz w:val="21"/>
          <w:szCs w:val="21"/>
        </w:rPr>
        <w:t> </w:t>
      </w:r>
      <w:r>
        <w:rPr>
          <w:rFonts w:ascii="宋体" w:hAnsi="宋体" w:cs="宋体" w:eastAsia="宋体" w:hint="default"/>
          <w:spacing w:val="-2"/>
          <w:sz w:val="21"/>
          <w:szCs w:val="21"/>
        </w:rPr>
        <w:t>本集团按照长期股权投资有关权益法核算的规定对合营企业的投资进行会计处理。</w:t>
      </w:r>
    </w:p>
    <w:p>
      <w:pPr>
        <w:spacing w:before="78"/>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现金是指库存现金以及可以随时用于支付的存款。现金等价物，是指本集团持有的期限短、流动性</w:t>
      </w:r>
      <w:r>
        <w:rPr>
          <w:rFonts w:ascii="宋体" w:hAnsi="宋体" w:cs="宋体" w:eastAsia="宋体" w:hint="default"/>
          <w:w w:val="100"/>
          <w:sz w:val="21"/>
          <w:szCs w:val="21"/>
        </w:rPr>
        <w:t> </w:t>
      </w:r>
      <w:r>
        <w:rPr>
          <w:rFonts w:ascii="宋体" w:hAnsi="宋体" w:cs="宋体" w:eastAsia="宋体" w:hint="default"/>
          <w:sz w:val="21"/>
          <w:szCs w:val="21"/>
        </w:rPr>
        <w:t>强、易于转换为已知金额现金、价值变动风险很小的投资。</w:t>
      </w:r>
    </w:p>
    <w:p>
      <w:pPr>
        <w:spacing w:line="240" w:lineRule="auto" w:before="2"/>
        <w:rPr>
          <w:rFonts w:ascii="宋体" w:hAnsi="宋体" w:cs="宋体" w:eastAsia="宋体" w:hint="default"/>
          <w:sz w:val="15"/>
          <w:szCs w:val="15"/>
        </w:rPr>
      </w:pPr>
    </w:p>
    <w:p>
      <w:pPr>
        <w:spacing w:line="482" w:lineRule="auto" w:before="0"/>
        <w:ind w:left="578" w:right="1614" w:hanging="426"/>
        <w:jc w:val="left"/>
        <w:rPr>
          <w:rFonts w:ascii="宋体" w:hAnsi="宋体" w:cs="宋体" w:eastAsia="宋体" w:hint="default"/>
          <w:sz w:val="21"/>
          <w:szCs w:val="21"/>
        </w:rPr>
      </w:pPr>
      <w:r>
        <w:rPr>
          <w:rFonts w:ascii="Arial" w:hAnsi="Arial" w:cs="Arial" w:eastAsia="Arial" w:hint="default"/>
          <w:b/>
          <w:bCs/>
          <w:sz w:val="21"/>
          <w:szCs w:val="21"/>
        </w:rPr>
        <w:t>9</w:t>
      </w:r>
      <w:r>
        <w:rPr>
          <w:rFonts w:ascii="Microsoft JhengHei" w:hAnsi="Microsoft JhengHei" w:cs="Microsoft JhengHei" w:eastAsia="Microsoft JhengHei" w:hint="default"/>
          <w:b/>
          <w:bCs/>
          <w:sz w:val="21"/>
          <w:szCs w:val="21"/>
        </w:rPr>
        <w:t>、外币业务和外币报表折算</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本集团发生外币业务，按交易发生日的即期汇率折算为记账本位币金额。</w:t>
      </w:r>
    </w:p>
    <w:p>
      <w:pPr>
        <w:spacing w:line="314" w:lineRule="auto" w:before="29"/>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资产负债表日，对外币货币性项目，采用资产负债表日即期汇率折算。因资产负债表日即期汇率与</w:t>
      </w:r>
      <w:r>
        <w:rPr>
          <w:rFonts w:ascii="宋体" w:hAnsi="宋体" w:cs="宋体" w:eastAsia="宋体" w:hint="default"/>
          <w:w w:val="100"/>
          <w:sz w:val="21"/>
          <w:szCs w:val="21"/>
        </w:rPr>
        <w:t> </w:t>
      </w:r>
      <w:r>
        <w:rPr>
          <w:rFonts w:ascii="宋体" w:hAnsi="宋体" w:cs="宋体" w:eastAsia="宋体" w:hint="default"/>
          <w:spacing w:val="-2"/>
          <w:sz w:val="21"/>
          <w:szCs w:val="21"/>
        </w:rPr>
        <w:t>初始确认时或者前一资产负债表日即期汇率不同而产生的汇兑差额，计入当期损益；对以历史成本计量</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的外币非货币性项目，仍采用交易发生日的即期汇率折算；对以公允价值计量的外币非货币性项目，采</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用公允价值确定日的即期汇率折算，折算后的记账本位币金额与原记账本位币金额的差额，计入当期损</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益。</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10</w:t>
      </w: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金融工具是指形成一个企业的金融资产，并形成其他单位的金融负债或权益工具的合同。</w:t>
      </w:r>
    </w:p>
    <w:p>
      <w:pPr>
        <w:spacing w:line="240" w:lineRule="auto" w:before="1"/>
        <w:rPr>
          <w:rFonts w:ascii="宋体" w:hAnsi="宋体" w:cs="宋体" w:eastAsia="宋体" w:hint="default"/>
          <w:sz w:val="20"/>
          <w:szCs w:val="20"/>
        </w:rPr>
      </w:pPr>
    </w:p>
    <w:p>
      <w:pPr>
        <w:spacing w:line="468" w:lineRule="auto" w:before="0"/>
        <w:ind w:left="578" w:right="1614"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）金融工具的确认和终止确认</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本集团于成为金融工具合同的一方时确认一项金融资产或金融负债。</w:t>
      </w:r>
      <w:r>
        <w:rPr>
          <w:rFonts w:ascii="宋体" w:hAnsi="宋体" w:cs="宋体" w:eastAsia="宋体" w:hint="default"/>
          <w:w w:val="100"/>
          <w:sz w:val="21"/>
          <w:szCs w:val="21"/>
        </w:rPr>
        <w:t> </w:t>
      </w:r>
      <w:r>
        <w:rPr>
          <w:rFonts w:ascii="宋体" w:hAnsi="宋体" w:cs="宋体" w:eastAsia="宋体" w:hint="default"/>
          <w:sz w:val="21"/>
          <w:szCs w:val="21"/>
        </w:rPr>
        <w:t>金融资产满足下列条件之一的，终止确认：</w:t>
      </w:r>
    </w:p>
    <w:p>
      <w:pPr>
        <w:spacing w:before="41"/>
        <w:ind w:left="578" w:right="0" w:firstLine="0"/>
        <w:jc w:val="left"/>
        <w:rPr>
          <w:rFonts w:ascii="宋体" w:hAnsi="宋体" w:cs="宋体" w:eastAsia="宋体" w:hint="default"/>
          <w:sz w:val="21"/>
          <w:szCs w:val="21"/>
        </w:rPr>
      </w:pPr>
      <w:r>
        <w:rPr>
          <w:rFonts w:ascii="宋体" w:hAnsi="宋体" w:cs="宋体" w:eastAsia="宋体" w:hint="default"/>
          <w:sz w:val="21"/>
          <w:szCs w:val="21"/>
        </w:rPr>
        <w:t>①收取该金融资产现金流量的合同权利终止；</w:t>
      </w:r>
    </w:p>
    <w:p>
      <w:pPr>
        <w:spacing w:line="510" w:lineRule="atLeast" w:before="6"/>
        <w:ind w:left="578" w:right="0" w:firstLine="0"/>
        <w:jc w:val="left"/>
        <w:rPr>
          <w:rFonts w:ascii="宋体" w:hAnsi="宋体" w:cs="宋体" w:eastAsia="宋体" w:hint="default"/>
          <w:sz w:val="21"/>
          <w:szCs w:val="21"/>
        </w:rPr>
      </w:pPr>
      <w:r>
        <w:rPr>
          <w:rFonts w:ascii="宋体" w:hAnsi="宋体" w:cs="宋体" w:eastAsia="宋体" w:hint="default"/>
          <w:sz w:val="21"/>
          <w:szCs w:val="21"/>
        </w:rPr>
        <w:t>②该金融资产已转移，且符合下述金融资产转移的终止确认条件。</w:t>
      </w:r>
      <w:r>
        <w:rPr>
          <w:rFonts w:ascii="宋体" w:hAnsi="宋体" w:cs="宋体" w:eastAsia="宋体" w:hint="default"/>
          <w:w w:val="100"/>
          <w:sz w:val="21"/>
          <w:szCs w:val="21"/>
        </w:rPr>
        <w:t> </w:t>
      </w:r>
      <w:r>
        <w:rPr>
          <w:rFonts w:ascii="宋体" w:hAnsi="宋体" w:cs="宋体" w:eastAsia="宋体" w:hint="default"/>
          <w:spacing w:val="-2"/>
          <w:sz w:val="21"/>
          <w:szCs w:val="21"/>
        </w:rPr>
        <w:t>金融负债的现时义务全部或部分已经解除的，终止确认该金融负债或其一部分。本集团（债务人）</w:t>
      </w:r>
    </w:p>
    <w:p>
      <w:pPr>
        <w:spacing w:line="314" w:lineRule="auto" w:before="8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与债权人之间签订协议，以承担新金融负债方式替换现存金融负债，且新金融负债与现存金融负债的合</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同条款实质上不同的，终止确认现存金融负债，并同时确认新金融负债。</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以常规方式买卖金融资产，按交易日进行会计确认和终止确认。</w:t>
      </w:r>
    </w:p>
    <w:p>
      <w:pPr>
        <w:spacing w:after="0"/>
        <w:jc w:val="left"/>
        <w:rPr>
          <w:rFonts w:ascii="宋体" w:hAnsi="宋体" w:cs="宋体" w:eastAsia="宋体" w:hint="default"/>
          <w:sz w:val="21"/>
          <w:szCs w:val="21"/>
        </w:rPr>
        <w:sectPr>
          <w:footerReference w:type="default" r:id="rId35"/>
          <w:pgSz w:w="11910" w:h="16840"/>
          <w:pgMar w:footer="980" w:header="877" w:top="1100" w:bottom="1160" w:left="980" w:right="980"/>
          <w:pgNumType w:start="130"/>
        </w:sectPr>
      </w:pPr>
    </w:p>
    <w:p>
      <w:pPr>
        <w:spacing w:line="240" w:lineRule="auto" w:before="11"/>
        <w:rPr>
          <w:rFonts w:ascii="宋体" w:hAnsi="宋体" w:cs="宋体" w:eastAsia="宋体" w:hint="default"/>
          <w:sz w:val="20"/>
          <w:szCs w:val="20"/>
        </w:rPr>
      </w:pPr>
    </w:p>
    <w:p>
      <w:pPr>
        <w:spacing w:line="335" w:lineRule="exact"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）金融资产分类和计量</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1"/>
          <w:szCs w:val="21"/>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z w:val="21"/>
          <w:szCs w:val="21"/>
        </w:rPr>
        <w:t>本集团的金融资产于初始确认时分为以下四类：以公允价值计量且其变动计入当期损益的金融资</w:t>
      </w:r>
      <w:r>
        <w:rPr>
          <w:rFonts w:ascii="宋体" w:hAnsi="宋体" w:cs="宋体" w:eastAsia="宋体" w:hint="default"/>
          <w:w w:val="100"/>
          <w:sz w:val="21"/>
          <w:szCs w:val="21"/>
        </w:rPr>
        <w:t> </w:t>
      </w:r>
      <w:r>
        <w:rPr>
          <w:rFonts w:ascii="宋体" w:hAnsi="宋体" w:cs="宋体" w:eastAsia="宋体" w:hint="default"/>
          <w:spacing w:val="-2"/>
          <w:sz w:val="21"/>
          <w:szCs w:val="21"/>
        </w:rPr>
        <w:t>产、持有至到期投资、贷款和应收款项、可供出售金融资产。金融资产在初始确认时以公允价值计量。</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对于以公允价值计量且其变动计入当期损益的金融资产，相关交易费用直接计入当期损益，其他类别的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金融资产相关交易费用计入其初始确认金额。</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pacing w:val="-2"/>
          <w:sz w:val="21"/>
          <w:szCs w:val="21"/>
        </w:rPr>
        <w:t>以公允价值计量且其变动计入当期损益的金融资产，包括交易性金融资产和初始确认时指定为以公</w:t>
      </w:r>
    </w:p>
    <w:p>
      <w:pPr>
        <w:spacing w:line="314" w:lineRule="auto" w:before="11"/>
        <w:ind w:left="152" w:right="333" w:firstLine="0"/>
        <w:jc w:val="both"/>
        <w:rPr>
          <w:rFonts w:ascii="宋体" w:hAnsi="宋体" w:cs="宋体" w:eastAsia="宋体" w:hint="default"/>
          <w:sz w:val="21"/>
          <w:szCs w:val="21"/>
        </w:rPr>
      </w:pPr>
      <w:r>
        <w:rPr>
          <w:rFonts w:ascii="宋体" w:hAnsi="宋体" w:cs="宋体" w:eastAsia="宋体" w:hint="default"/>
          <w:spacing w:val="-2"/>
          <w:sz w:val="21"/>
          <w:szCs w:val="21"/>
        </w:rPr>
        <w:t>允价值计量且其变动计入当期损益的金融资产。对于此类金融资产，采用公允价值进行后续计量，公允</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价值变动形成的利得或损失以及与该等金融资产相关的股利和利息收入计入当期损益。</w:t>
      </w:r>
    </w:p>
    <w:p>
      <w:pPr>
        <w:spacing w:line="516" w:lineRule="exact" w:before="9"/>
        <w:ind w:left="578" w:right="0" w:firstLine="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持有至到期投资，是指到期日固定、回收金额固定或可确定，且本集团有明确意图和能力持有至到</w:t>
      </w:r>
    </w:p>
    <w:p>
      <w:pPr>
        <w:spacing w:line="314" w:lineRule="auto" w:before="11"/>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期的非衍生金融资产。持有至到期投资采用实际利率法，按照摊余成本进行后续计量，其终止确认、发</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生减值或摊销产生的利得或损失，均计入当期损益。</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2"/>
          <w:sz w:val="21"/>
          <w:szCs w:val="21"/>
        </w:rPr>
        <w:t>应收款项，是指在活跃市场中没有报价、回收金额固定或可确定的非衍生金融资产，包括应收账款</w:t>
      </w:r>
    </w:p>
    <w:p>
      <w:pPr>
        <w:spacing w:line="297" w:lineRule="auto" w:before="11"/>
        <w:ind w:left="152" w:right="312" w:firstLine="0"/>
        <w:jc w:val="both"/>
        <w:rPr>
          <w:rFonts w:ascii="宋体" w:hAnsi="宋体" w:cs="宋体" w:eastAsia="宋体" w:hint="default"/>
          <w:sz w:val="21"/>
          <w:szCs w:val="21"/>
        </w:rPr>
      </w:pPr>
      <w:r>
        <w:rPr>
          <w:rFonts w:ascii="宋体" w:hAnsi="宋体" w:cs="宋体" w:eastAsia="宋体" w:hint="default"/>
          <w:spacing w:val="-2"/>
          <w:sz w:val="21"/>
          <w:szCs w:val="21"/>
        </w:rPr>
        <w:t>和其他应收款等（附注三、</w:t>
      </w:r>
      <w:r>
        <w:rPr>
          <w:rFonts w:ascii="Arial" w:hAnsi="Arial" w:cs="Arial" w:eastAsia="Arial" w:hint="default"/>
          <w:spacing w:val="-2"/>
          <w:sz w:val="21"/>
          <w:szCs w:val="21"/>
        </w:rPr>
        <w:t>12</w:t>
      </w:r>
      <w:r>
        <w:rPr>
          <w:rFonts w:ascii="宋体" w:hAnsi="宋体" w:cs="宋体" w:eastAsia="宋体" w:hint="default"/>
          <w:spacing w:val="-2"/>
          <w:sz w:val="21"/>
          <w:szCs w:val="21"/>
        </w:rPr>
        <w:t>）。应收款项采用实际利率法，按摊余成本进行后续计量，在终止确认、</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发生减值或摊销时产生的利得或损失，计入当期损益。</w:t>
      </w:r>
    </w:p>
    <w:p>
      <w:pPr>
        <w:spacing w:line="516" w:lineRule="exact" w:before="23"/>
        <w:ind w:left="578" w:right="0" w:firstLine="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2"/>
          <w:sz w:val="21"/>
          <w:szCs w:val="21"/>
        </w:rPr>
        <w:t>可供出售金融资产，是指初始确认时即指定为可供出售的非衍生金融资产，以及除上述金融资产类</w:t>
      </w:r>
    </w:p>
    <w:p>
      <w:pPr>
        <w:spacing w:line="314" w:lineRule="auto" w:before="11"/>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别以外的金融资产。可供出售金融资产采用公允价值进行后续计量，其折溢价采用实际利率法摊销并确</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认为利息收入。除减值损失及外币货币性金融资产的汇兑差额确认为当期损益外，可供出售金融资产的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公允价值变动确认为其他综合收益，在该金融资产终止确认时转出，计入当期损益。与可供出售金融资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产相关的股利或利息收入，计入当期损益。</w:t>
      </w:r>
    </w:p>
    <w:p>
      <w:pPr>
        <w:spacing w:line="314"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对于在活跃市场中没有报价且其公允价值不能可靠计量的权益工具投资，以及与该权益工具挂钩并</w:t>
      </w:r>
      <w:r>
        <w:rPr>
          <w:rFonts w:ascii="宋体" w:hAnsi="宋体" w:cs="宋体" w:eastAsia="宋体" w:hint="default"/>
          <w:w w:val="100"/>
          <w:sz w:val="21"/>
          <w:szCs w:val="21"/>
        </w:rPr>
        <w:t> </w:t>
      </w:r>
      <w:r>
        <w:rPr>
          <w:rFonts w:ascii="宋体" w:hAnsi="宋体" w:cs="宋体" w:eastAsia="宋体" w:hint="default"/>
          <w:sz w:val="21"/>
          <w:szCs w:val="21"/>
        </w:rPr>
        <w:t>须通过交付该权益工具结算的衍生金融资产，按成本计量。</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）金融负债分类和计量</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本集团的金融负债于初始确认时分类为：以公允价值计量且其变动计入当期损益的金融负债、其他</w:t>
      </w:r>
      <w:r>
        <w:rPr>
          <w:rFonts w:ascii="宋体" w:hAnsi="宋体" w:cs="宋体" w:eastAsia="宋体" w:hint="default"/>
          <w:w w:val="100"/>
          <w:sz w:val="21"/>
          <w:szCs w:val="21"/>
        </w:rPr>
        <w:t> </w:t>
      </w:r>
      <w:r>
        <w:rPr>
          <w:rFonts w:ascii="宋体" w:hAnsi="宋体" w:cs="宋体" w:eastAsia="宋体" w:hint="default"/>
          <w:spacing w:val="-2"/>
          <w:sz w:val="21"/>
          <w:szCs w:val="21"/>
        </w:rPr>
        <w:t>金融负债。对于未划分为以公允价值计量且其变动计入当期损益的金融负债的，相关交易费用计入其初</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始确认金额。</w:t>
      </w:r>
    </w:p>
    <w:p>
      <w:pPr>
        <w:spacing w:line="451" w:lineRule="auto"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r>
        <w:rPr>
          <w:rFonts w:ascii="宋体" w:hAnsi="宋体" w:cs="宋体" w:eastAsia="宋体" w:hint="default"/>
          <w:w w:val="100"/>
          <w:sz w:val="21"/>
          <w:szCs w:val="21"/>
        </w:rPr>
        <w:t> </w:t>
      </w:r>
      <w:r>
        <w:rPr>
          <w:rFonts w:ascii="宋体" w:hAnsi="宋体" w:cs="宋体" w:eastAsia="宋体" w:hint="default"/>
          <w:spacing w:val="-2"/>
          <w:sz w:val="21"/>
          <w:szCs w:val="21"/>
        </w:rPr>
        <w:t>以公允价值计量且其变动计入当期损益的金融负债，包括交易性金融负债和初始确认时指定为以公</w:t>
      </w:r>
    </w:p>
    <w:p>
      <w:pPr>
        <w:spacing w:after="0" w:line="451"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14" w:lineRule="auto"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允价值计量且其变动计入当期损益的金融负债。对于此类金融负债，按照公允价值进行后续计量，公允</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价值变动形成的利得或损失以及与该等金融负债相关的股利和利息支出计入当期损益。</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与在活跃市场中没有报价、公允价值不能可靠计量的权益工具挂钩并须通过交付该权益工具结算的</w:t>
      </w:r>
    </w:p>
    <w:p>
      <w:pPr>
        <w:spacing w:line="314" w:lineRule="auto" w:before="11"/>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衍生金融负债，按照成本进行后续计量。其他金融负债采用实际利率法，按摊余成本进行后续计量，终</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止确认或摊销产生的利得或损失计入当期损益。</w:t>
      </w:r>
    </w:p>
    <w:p>
      <w:pPr>
        <w:spacing w:line="451" w:lineRule="auto" w:before="176"/>
        <w:ind w:left="578" w:right="4494" w:firstLine="0"/>
        <w:jc w:val="left"/>
        <w:rPr>
          <w:rFonts w:ascii="宋体" w:hAnsi="宋体" w:cs="宋体" w:eastAsia="宋体" w:hint="default"/>
          <w:sz w:val="21"/>
          <w:szCs w:val="21"/>
        </w:rPr>
      </w:pPr>
      <w:r>
        <w:rPr>
          <w:rFonts w:ascii="宋体" w:hAnsi="宋体" w:cs="宋体" w:eastAsia="宋体" w:hint="default"/>
          <w:sz w:val="21"/>
          <w:szCs w:val="21"/>
        </w:rPr>
        <w:t>金融负债与权益工具的区分</w:t>
      </w:r>
      <w:r>
        <w:rPr>
          <w:rFonts w:ascii="宋体" w:hAnsi="宋体" w:cs="宋体" w:eastAsia="宋体" w:hint="default"/>
          <w:w w:val="100"/>
          <w:sz w:val="21"/>
          <w:szCs w:val="21"/>
        </w:rPr>
        <w:t> </w:t>
      </w:r>
      <w:r>
        <w:rPr>
          <w:rFonts w:ascii="宋体" w:hAnsi="宋体" w:cs="宋体" w:eastAsia="宋体" w:hint="default"/>
          <w:spacing w:val="-2"/>
          <w:sz w:val="21"/>
          <w:szCs w:val="21"/>
        </w:rPr>
        <w:t>金融负债，是指符合下列条件之一的负债：</w:t>
      </w:r>
    </w:p>
    <w:p>
      <w:pPr>
        <w:spacing w:before="56"/>
        <w:ind w:left="578" w:right="0" w:firstLine="0"/>
        <w:jc w:val="left"/>
        <w:rPr>
          <w:rFonts w:ascii="宋体" w:hAnsi="宋体" w:cs="宋体" w:eastAsia="宋体" w:hint="default"/>
          <w:sz w:val="21"/>
          <w:szCs w:val="21"/>
        </w:rPr>
      </w:pPr>
      <w:r>
        <w:rPr>
          <w:rFonts w:ascii="宋体" w:hAnsi="宋体" w:cs="宋体" w:eastAsia="宋体" w:hint="default"/>
          <w:sz w:val="21"/>
          <w:szCs w:val="21"/>
        </w:rPr>
        <w:t>①向其他方交付现金或其他金融资产的合同义务。</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②在潜在不利条件下，与其他方交换金融资产或金融负债的合同义务。</w:t>
      </w:r>
    </w:p>
    <w:p>
      <w:pPr>
        <w:spacing w:line="240" w:lineRule="auto" w:before="6"/>
        <w:rPr>
          <w:rFonts w:ascii="宋体" w:hAnsi="宋体" w:cs="宋体" w:eastAsia="宋体" w:hint="default"/>
          <w:sz w:val="18"/>
          <w:szCs w:val="18"/>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③将来须用或可用企业自身权益工具进行结算的非衍生工具合同，且企业根据该合同将交付可变数</w:t>
      </w:r>
      <w:r>
        <w:rPr>
          <w:rFonts w:ascii="宋体" w:hAnsi="宋体" w:cs="宋体" w:eastAsia="宋体" w:hint="default"/>
          <w:w w:val="100"/>
          <w:sz w:val="21"/>
          <w:szCs w:val="21"/>
        </w:rPr>
        <w:t> </w:t>
      </w:r>
      <w:r>
        <w:rPr>
          <w:rFonts w:ascii="宋体" w:hAnsi="宋体" w:cs="宋体" w:eastAsia="宋体" w:hint="default"/>
          <w:sz w:val="21"/>
          <w:szCs w:val="21"/>
        </w:rPr>
        <w:t>量的自身权益工具。</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④将来须用或可用企业自身权益工具进行结算的衍生工具合同，但以固定数量的自身权益工具交换</w:t>
      </w:r>
      <w:r>
        <w:rPr>
          <w:rFonts w:ascii="宋体" w:hAnsi="宋体" w:cs="宋体" w:eastAsia="宋体" w:hint="default"/>
          <w:w w:val="100"/>
          <w:sz w:val="21"/>
          <w:szCs w:val="21"/>
        </w:rPr>
        <w:t> </w:t>
      </w:r>
      <w:r>
        <w:rPr>
          <w:rFonts w:ascii="宋体" w:hAnsi="宋体" w:cs="宋体" w:eastAsia="宋体" w:hint="default"/>
          <w:sz w:val="21"/>
          <w:szCs w:val="21"/>
        </w:rPr>
        <w:t>固定金额的现金或其他金融资产的衍生工具合同除外。</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权益工具，是指能证明拥有某个企业在扣除所有负债后的资产中剩余权益的合同。</w:t>
      </w:r>
      <w:r>
        <w:rPr>
          <w:rFonts w:ascii="宋体" w:hAnsi="宋体" w:cs="宋体" w:eastAsia="宋体" w:hint="default"/>
          <w:w w:val="100"/>
          <w:sz w:val="21"/>
          <w:szCs w:val="21"/>
        </w:rPr>
        <w:t> </w:t>
      </w:r>
      <w:r>
        <w:rPr>
          <w:rFonts w:ascii="宋体" w:hAnsi="宋体" w:cs="宋体" w:eastAsia="宋体" w:hint="default"/>
          <w:spacing w:val="-2"/>
          <w:sz w:val="21"/>
          <w:szCs w:val="21"/>
        </w:rPr>
        <w:t>如果本集团不能无条件地避免以交付现金或其他金融资产来履行一项合同义务，则该合同义务符合</w:t>
      </w:r>
    </w:p>
    <w:p>
      <w:pPr>
        <w:spacing w:before="11"/>
        <w:ind w:left="152" w:right="0" w:firstLine="0"/>
        <w:jc w:val="left"/>
        <w:rPr>
          <w:rFonts w:ascii="宋体" w:hAnsi="宋体" w:cs="宋体" w:eastAsia="宋体" w:hint="default"/>
          <w:sz w:val="21"/>
          <w:szCs w:val="21"/>
        </w:rPr>
      </w:pPr>
      <w:r>
        <w:rPr>
          <w:rFonts w:ascii="宋体" w:hAnsi="宋体" w:cs="宋体" w:eastAsia="宋体" w:hint="default"/>
          <w:sz w:val="21"/>
          <w:szCs w:val="21"/>
        </w:rPr>
        <w:t>金融负债的定义。</w:t>
      </w:r>
    </w:p>
    <w:p>
      <w:pPr>
        <w:spacing w:line="240" w:lineRule="auto" w:before="6"/>
        <w:rPr>
          <w:rFonts w:ascii="宋体" w:hAnsi="宋体" w:cs="宋体" w:eastAsia="宋体" w:hint="default"/>
          <w:sz w:val="18"/>
          <w:szCs w:val="18"/>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如果一项金融工具须用或可用本集团自身权益工具进行结算，需要考虑用于结算该工具的本集团自</w:t>
      </w:r>
      <w:r>
        <w:rPr>
          <w:rFonts w:ascii="宋体" w:hAnsi="宋体" w:cs="宋体" w:eastAsia="宋体" w:hint="default"/>
          <w:w w:val="100"/>
          <w:sz w:val="21"/>
          <w:szCs w:val="21"/>
        </w:rPr>
        <w:t> </w:t>
      </w:r>
      <w:r>
        <w:rPr>
          <w:rFonts w:ascii="宋体" w:hAnsi="宋体" w:cs="宋体" w:eastAsia="宋体" w:hint="default"/>
          <w:spacing w:val="-2"/>
          <w:sz w:val="21"/>
          <w:szCs w:val="21"/>
        </w:rPr>
        <w:t>身权益工具，是作为现金或其他金融资产的替代品，还是为了使该工具持有方享有在发行方扣除所有负</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债后的资产中的剩余权益。如果是前者，该工具是本集团的金融负债；如果是后者，该工具是本集团的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权益工具。</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）金融工具的公允价值</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存在活跃市场的金融资产或金融负债，本集团采用活跃市场中的报价确定其公允价值。金融工具不</w:t>
      </w:r>
      <w:r>
        <w:rPr>
          <w:rFonts w:ascii="宋体" w:hAnsi="宋体" w:cs="宋体" w:eastAsia="宋体" w:hint="default"/>
          <w:w w:val="100"/>
          <w:sz w:val="21"/>
          <w:szCs w:val="21"/>
        </w:rPr>
        <w:t> </w:t>
      </w:r>
      <w:r>
        <w:rPr>
          <w:rFonts w:ascii="宋体" w:hAnsi="宋体" w:cs="宋体" w:eastAsia="宋体" w:hint="default"/>
          <w:sz w:val="21"/>
          <w:szCs w:val="21"/>
        </w:rPr>
        <w:t>存在活跃市场的，本集团采用估值技术确定其公允价值。</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）金融资产减值</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除了以公允价值计量且其变动计入当期损益的金融资产外，本集团于资产负债表日对其他金融资产</w:t>
      </w:r>
      <w:r>
        <w:rPr>
          <w:rFonts w:ascii="宋体" w:hAnsi="宋体" w:cs="宋体" w:eastAsia="宋体" w:hint="default"/>
          <w:w w:val="100"/>
          <w:sz w:val="21"/>
          <w:szCs w:val="21"/>
        </w:rPr>
        <w:t> </w:t>
      </w:r>
      <w:r>
        <w:rPr>
          <w:rFonts w:ascii="宋体" w:hAnsi="宋体" w:cs="宋体" w:eastAsia="宋体" w:hint="default"/>
          <w:spacing w:val="-2"/>
          <w:sz w:val="21"/>
          <w:szCs w:val="21"/>
        </w:rPr>
        <w:t>的账面价值进行检查，有客观证据表明该金融资产发生减值的，计提减值准备。表明金融资产发生减值</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的客观证据，是指金融资产初始确认后实际发生的、对该金融资产的预计未来现金流量有影响，且企业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能够对该影响进行可靠计量的事项。</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金融资产发生减值的客观证据，包括下列可观察到的情形：</w:t>
      </w:r>
    </w:p>
    <w:p>
      <w:pPr>
        <w:spacing w:after="0"/>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①发行方或债务人发生严重财务困难；</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②债务人违反了合同条款，如偿付利息或本金发生违约或逾期等；</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③本集团出于经济或法律等方面因素的考虑，对发生财务困难的债务人作出让步；</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④债务人很可能倒闭或者进行其他财务重组；</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⑤因发行方发生重大财务困难，导致金融资产无法在活跃市场继续交易；</w:t>
      </w:r>
    </w:p>
    <w:p>
      <w:pPr>
        <w:spacing w:line="240" w:lineRule="auto" w:before="6"/>
        <w:rPr>
          <w:rFonts w:ascii="宋体" w:hAnsi="宋体" w:cs="宋体" w:eastAsia="宋体" w:hint="default"/>
          <w:sz w:val="18"/>
          <w:szCs w:val="18"/>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⑥无法辨认一组金融资产中的某项资产的现金流量是否已经减少，但根据公开的数据对其进行总体</w:t>
      </w:r>
      <w:r>
        <w:rPr>
          <w:rFonts w:ascii="宋体" w:hAnsi="宋体" w:cs="宋体" w:eastAsia="宋体" w:hint="default"/>
          <w:w w:val="100"/>
          <w:sz w:val="21"/>
          <w:szCs w:val="21"/>
        </w:rPr>
        <w:t> </w:t>
      </w:r>
      <w:r>
        <w:rPr>
          <w:rFonts w:ascii="宋体" w:hAnsi="宋体" w:cs="宋体" w:eastAsia="宋体" w:hint="default"/>
          <w:sz w:val="21"/>
          <w:szCs w:val="21"/>
        </w:rPr>
        <w:t>评价后发现，该组金融资产自初始确认以来的预计未来现金流量确已减少且可计量，包括：</w:t>
      </w:r>
    </w:p>
    <w:p>
      <w:pPr>
        <w:spacing w:before="176"/>
        <w:ind w:left="993"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该组金融资产的债务人支付能力逐步恶化；</w:t>
      </w:r>
    </w:p>
    <w:p>
      <w:pPr>
        <w:spacing w:line="240" w:lineRule="auto" w:before="4"/>
        <w:rPr>
          <w:rFonts w:ascii="宋体" w:hAnsi="宋体" w:cs="宋体" w:eastAsia="宋体" w:hint="default"/>
          <w:sz w:val="17"/>
          <w:szCs w:val="17"/>
        </w:rPr>
      </w:pPr>
    </w:p>
    <w:p>
      <w:pPr>
        <w:spacing w:before="0"/>
        <w:ind w:left="993"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债务人所在国家或地区经济出现了可能导致该组金融资产无法支付的状况；</w:t>
      </w:r>
    </w:p>
    <w:p>
      <w:pPr>
        <w:spacing w:line="240" w:lineRule="auto" w:before="4"/>
        <w:rPr>
          <w:rFonts w:ascii="宋体" w:hAnsi="宋体" w:cs="宋体" w:eastAsia="宋体" w:hint="default"/>
          <w:sz w:val="17"/>
          <w:szCs w:val="17"/>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⑦债务人经营所处的技术、市场、经济或法律环境等发生重大不利变化，使权益工具投资人可能无</w:t>
      </w:r>
      <w:r>
        <w:rPr>
          <w:rFonts w:ascii="宋体" w:hAnsi="宋体" w:cs="宋体" w:eastAsia="宋体" w:hint="default"/>
          <w:w w:val="100"/>
          <w:sz w:val="21"/>
          <w:szCs w:val="21"/>
        </w:rPr>
        <w:t> </w:t>
      </w:r>
      <w:r>
        <w:rPr>
          <w:rFonts w:ascii="宋体" w:hAnsi="宋体" w:cs="宋体" w:eastAsia="宋体" w:hint="default"/>
          <w:sz w:val="21"/>
          <w:szCs w:val="21"/>
        </w:rPr>
        <w:t>法收回投资成本；</w:t>
      </w:r>
    </w:p>
    <w:p>
      <w:pPr>
        <w:spacing w:line="314"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⑧权益工具投资的公允价值发生严重或非暂时性下跌，如权益工具投资于资产负债表日的公允价值</w:t>
      </w:r>
      <w:r>
        <w:rPr>
          <w:rFonts w:ascii="宋体" w:hAnsi="宋体" w:cs="宋体" w:eastAsia="宋体" w:hint="default"/>
          <w:w w:val="100"/>
          <w:sz w:val="21"/>
          <w:szCs w:val="21"/>
        </w:rPr>
        <w:t> </w:t>
      </w:r>
      <w:r>
        <w:rPr>
          <w:rFonts w:ascii="宋体" w:hAnsi="宋体" w:cs="宋体" w:eastAsia="宋体" w:hint="default"/>
          <w:sz w:val="21"/>
          <w:szCs w:val="21"/>
        </w:rPr>
        <w:t>低于其初始投资成本超过</w:t>
      </w:r>
      <w:r>
        <w:rPr>
          <w:rFonts w:ascii="Arial" w:hAnsi="Arial" w:cs="Arial" w:eastAsia="Arial" w:hint="default"/>
          <w:sz w:val="21"/>
          <w:szCs w:val="21"/>
        </w:rPr>
        <w:t>50%</w:t>
      </w:r>
      <w:r>
        <w:rPr>
          <w:rFonts w:ascii="宋体" w:hAnsi="宋体" w:cs="宋体" w:eastAsia="宋体" w:hint="default"/>
          <w:sz w:val="21"/>
          <w:szCs w:val="21"/>
        </w:rPr>
        <w:t>（含</w:t>
      </w:r>
      <w:r>
        <w:rPr>
          <w:rFonts w:ascii="Arial" w:hAnsi="Arial" w:cs="Arial" w:eastAsia="Arial" w:hint="default"/>
          <w:sz w:val="21"/>
          <w:szCs w:val="21"/>
        </w:rPr>
        <w:t>50%</w:t>
      </w:r>
      <w:r>
        <w:rPr>
          <w:rFonts w:ascii="宋体" w:hAnsi="宋体" w:cs="宋体" w:eastAsia="宋体" w:hint="default"/>
          <w:sz w:val="21"/>
          <w:szCs w:val="21"/>
        </w:rPr>
        <w:t>）或低于其初始投资成本持续时间超过</w:t>
      </w:r>
      <w:r>
        <w:rPr>
          <w:rFonts w:ascii="Arial" w:hAnsi="Arial" w:cs="Arial" w:eastAsia="Arial" w:hint="default"/>
          <w:sz w:val="21"/>
          <w:szCs w:val="21"/>
        </w:rPr>
        <w:t>12</w:t>
      </w:r>
      <w:r>
        <w:rPr>
          <w:rFonts w:ascii="宋体" w:hAnsi="宋体" w:cs="宋体" w:eastAsia="宋体" w:hint="default"/>
          <w:sz w:val="21"/>
          <w:szCs w:val="21"/>
        </w:rPr>
        <w:t>个月（含</w:t>
      </w:r>
      <w:r>
        <w:rPr>
          <w:rFonts w:ascii="Arial" w:hAnsi="Arial" w:cs="Arial" w:eastAsia="Arial" w:hint="default"/>
          <w:sz w:val="21"/>
          <w:szCs w:val="21"/>
        </w:rPr>
        <w:t>12</w:t>
      </w:r>
      <w:r>
        <w:rPr>
          <w:rFonts w:ascii="宋体" w:hAnsi="宋体" w:cs="宋体" w:eastAsia="宋体" w:hint="default"/>
          <w:sz w:val="21"/>
          <w:szCs w:val="21"/>
        </w:rPr>
        <w:t>个月）。</w:t>
      </w:r>
    </w:p>
    <w:p>
      <w:pPr>
        <w:spacing w:before="153"/>
        <w:ind w:left="578" w:right="0" w:firstLine="0"/>
        <w:jc w:val="left"/>
        <w:rPr>
          <w:rFonts w:ascii="宋体" w:hAnsi="宋体" w:cs="宋体" w:eastAsia="宋体" w:hint="default"/>
          <w:sz w:val="21"/>
          <w:szCs w:val="21"/>
        </w:rPr>
      </w:pPr>
      <w:r>
        <w:rPr>
          <w:rFonts w:ascii="宋体" w:hAnsi="宋体" w:cs="宋体" w:eastAsia="宋体" w:hint="default"/>
          <w:sz w:val="21"/>
          <w:szCs w:val="21"/>
        </w:rPr>
        <w:t>低于其初始投资成本持续时间超过</w:t>
      </w:r>
      <w:r>
        <w:rPr>
          <w:rFonts w:ascii="Arial" w:hAnsi="Arial" w:cs="Arial" w:eastAsia="Arial" w:hint="default"/>
          <w:sz w:val="21"/>
          <w:szCs w:val="21"/>
        </w:rPr>
        <w:t>12</w:t>
      </w:r>
      <w:r>
        <w:rPr>
          <w:rFonts w:ascii="宋体" w:hAnsi="宋体" w:cs="宋体" w:eastAsia="宋体" w:hint="default"/>
          <w:sz w:val="21"/>
          <w:szCs w:val="21"/>
        </w:rPr>
        <w:t>个月（含</w:t>
      </w:r>
      <w:r>
        <w:rPr>
          <w:rFonts w:ascii="Arial" w:hAnsi="Arial" w:cs="Arial" w:eastAsia="Arial" w:hint="default"/>
          <w:sz w:val="21"/>
          <w:szCs w:val="21"/>
        </w:rPr>
        <w:t>12</w:t>
      </w:r>
      <w:r>
        <w:rPr>
          <w:rFonts w:ascii="宋体" w:hAnsi="宋体" w:cs="宋体" w:eastAsia="宋体" w:hint="default"/>
          <w:sz w:val="21"/>
          <w:szCs w:val="21"/>
        </w:rPr>
        <w:t>个月）是指，权益工具投资公允价值月度均值连续</w:t>
      </w:r>
    </w:p>
    <w:p>
      <w:pPr>
        <w:spacing w:before="70"/>
        <w:ind w:left="152" w:right="0" w:firstLine="0"/>
        <w:jc w:val="left"/>
        <w:rPr>
          <w:rFonts w:ascii="宋体" w:hAnsi="宋体" w:cs="宋体" w:eastAsia="宋体" w:hint="default"/>
          <w:sz w:val="21"/>
          <w:szCs w:val="21"/>
        </w:rPr>
      </w:pPr>
      <w:r>
        <w:rPr>
          <w:rFonts w:ascii="Arial" w:hAnsi="Arial" w:cs="Arial" w:eastAsia="Arial" w:hint="default"/>
          <w:sz w:val="21"/>
          <w:szCs w:val="21"/>
        </w:rPr>
        <w:t>12</w:t>
      </w:r>
      <w:r>
        <w:rPr>
          <w:rFonts w:ascii="宋体" w:hAnsi="宋体" w:cs="宋体" w:eastAsia="宋体" w:hint="default"/>
          <w:sz w:val="21"/>
          <w:szCs w:val="21"/>
        </w:rPr>
        <w:t>个月均低于其初始投资成本</w:t>
      </w:r>
    </w:p>
    <w:p>
      <w:pPr>
        <w:spacing w:line="240" w:lineRule="auto" w:before="4"/>
        <w:rPr>
          <w:rFonts w:ascii="宋体" w:hAnsi="宋体" w:cs="宋体" w:eastAsia="宋体" w:hint="default"/>
          <w:sz w:val="17"/>
          <w:szCs w:val="17"/>
        </w:rPr>
      </w:pPr>
    </w:p>
    <w:p>
      <w:pPr>
        <w:spacing w:line="451" w:lineRule="auto" w:before="0"/>
        <w:ind w:left="578" w:right="4494" w:firstLine="0"/>
        <w:jc w:val="left"/>
        <w:rPr>
          <w:rFonts w:ascii="宋体" w:hAnsi="宋体" w:cs="宋体" w:eastAsia="宋体" w:hint="default"/>
          <w:sz w:val="21"/>
          <w:szCs w:val="21"/>
        </w:rPr>
      </w:pPr>
      <w:r>
        <w:rPr>
          <w:rFonts w:ascii="宋体" w:hAnsi="宋体" w:cs="宋体" w:eastAsia="宋体" w:hint="default"/>
          <w:spacing w:val="-2"/>
          <w:sz w:val="21"/>
          <w:szCs w:val="21"/>
        </w:rPr>
        <w:t>⑨其他表明金融资产发生减值的客观证据。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以摊余成本计量的金融资产</w:t>
      </w:r>
    </w:p>
    <w:p>
      <w:pPr>
        <w:spacing w:before="56"/>
        <w:ind w:left="578" w:right="0" w:firstLine="0"/>
        <w:jc w:val="left"/>
        <w:rPr>
          <w:rFonts w:ascii="宋体" w:hAnsi="宋体" w:cs="宋体" w:eastAsia="宋体" w:hint="default"/>
          <w:sz w:val="21"/>
          <w:szCs w:val="21"/>
        </w:rPr>
      </w:pPr>
      <w:r>
        <w:rPr>
          <w:rFonts w:ascii="宋体" w:hAnsi="宋体" w:cs="宋体" w:eastAsia="宋体" w:hint="default"/>
          <w:sz w:val="21"/>
          <w:szCs w:val="21"/>
        </w:rPr>
        <w:t>如果有客观证据表明该金融资产发生减值，则将该金融资产的账面价值减记至预计未来现金流量</w:t>
      </w:r>
    </w:p>
    <w:p>
      <w:pPr>
        <w:spacing w:line="314" w:lineRule="auto" w:before="8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（不包括尚未发生的未来信用损失）现值，减记金额计入当期损益。预计未来现金流量现值，按照该金</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融资产原实际利率折现确定，并考虑相关担保物的价值。</w:t>
      </w:r>
    </w:p>
    <w:p>
      <w:pPr>
        <w:spacing w:line="314"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对单项金额重大的金融资产单独进行减值测试，如有客观证据表明其已发生减值，确认减值损失，</w:t>
      </w:r>
      <w:r>
        <w:rPr>
          <w:rFonts w:ascii="宋体" w:hAnsi="宋体" w:cs="宋体" w:eastAsia="宋体" w:hint="default"/>
          <w:w w:val="100"/>
          <w:sz w:val="21"/>
          <w:szCs w:val="21"/>
        </w:rPr>
        <w:t> </w:t>
      </w:r>
      <w:r>
        <w:rPr>
          <w:rFonts w:ascii="宋体" w:hAnsi="宋体" w:cs="宋体" w:eastAsia="宋体" w:hint="default"/>
          <w:spacing w:val="-2"/>
          <w:sz w:val="21"/>
          <w:szCs w:val="21"/>
        </w:rPr>
        <w:t>计入当期损益。对单项金额不重大的金融资产，单独进行减值测试或包括在具有类似信用风险特征的金</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融资产组合中进行减值测试。单独测试未发生减值的金融资产（包括单项金额重大和不重大的金融资</w:t>
      </w:r>
      <w:r>
        <w:rPr>
          <w:rFonts w:ascii="宋体" w:hAnsi="宋体" w:cs="宋体" w:eastAsia="宋体" w:hint="default"/>
          <w:w w:val="100"/>
          <w:sz w:val="21"/>
          <w:szCs w:val="21"/>
        </w:rPr>
        <w:t> </w:t>
      </w:r>
      <w:r>
        <w:rPr>
          <w:rFonts w:ascii="宋体" w:hAnsi="宋体" w:cs="宋体" w:eastAsia="宋体" w:hint="default"/>
          <w:spacing w:val="-2"/>
          <w:sz w:val="21"/>
          <w:szCs w:val="21"/>
        </w:rPr>
        <w:t>产），包括在具有类似信用风险特征的金融资产组合中再进行减值测试。已单项确认减值损失的金融资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产，不包括在具有类似信用风险特征的金融资产组合中进行减值测试。</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本集团对以摊余成本计量的金融资产确认减值损失后，如有客观证据表明该金融资产价值已恢复，</w:t>
      </w:r>
      <w:r>
        <w:rPr>
          <w:rFonts w:ascii="宋体" w:hAnsi="宋体" w:cs="宋体" w:eastAsia="宋体" w:hint="default"/>
          <w:w w:val="100"/>
          <w:sz w:val="21"/>
          <w:szCs w:val="21"/>
        </w:rPr>
        <w:t> </w:t>
      </w:r>
      <w:r>
        <w:rPr>
          <w:rFonts w:ascii="宋体" w:hAnsi="宋体" w:cs="宋体" w:eastAsia="宋体" w:hint="default"/>
          <w:spacing w:val="-2"/>
          <w:sz w:val="21"/>
          <w:szCs w:val="21"/>
        </w:rPr>
        <w:t>且客观上与确认该损失后发生的事项有关，原确认的减值损失予以转回，计入当期损益。但是，该转回</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后的账面价值不超过假定不计提减值准备情况下该金融资产在转回日的摊余成本。</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2"/>
          <w:sz w:val="21"/>
          <w:szCs w:val="21"/>
        </w:rPr>
        <w:t>如果有客观证据表明该金融资产发生减值，原直接计入其他综合收益的因公允价值下降形成的累计</w:t>
      </w:r>
    </w:p>
    <w:p>
      <w:pPr>
        <w:spacing w:before="11"/>
        <w:ind w:left="152" w:right="0" w:firstLine="0"/>
        <w:jc w:val="left"/>
        <w:rPr>
          <w:rFonts w:ascii="宋体" w:hAnsi="宋体" w:cs="宋体" w:eastAsia="宋体" w:hint="default"/>
          <w:sz w:val="21"/>
          <w:szCs w:val="21"/>
        </w:rPr>
      </w:pPr>
      <w:r>
        <w:rPr>
          <w:rFonts w:ascii="宋体" w:hAnsi="宋体" w:cs="宋体" w:eastAsia="宋体" w:hint="default"/>
          <w:sz w:val="21"/>
          <w:szCs w:val="21"/>
        </w:rPr>
        <w:t>损失，予以转出，计入当期损益。该转出的累计损失，为可供出售金融资产的初始取得成本扣除已收回</w:t>
      </w:r>
    </w:p>
    <w:p>
      <w:pPr>
        <w:spacing w:after="0"/>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sz w:val="21"/>
          <w:szCs w:val="21"/>
        </w:rPr>
        <w:t>本金和已摊销金额、当前公允价值和原已计入损益的减值损失后的余额。</w:t>
      </w:r>
    </w:p>
    <w:p>
      <w:pPr>
        <w:spacing w:line="240" w:lineRule="auto" w:before="6"/>
        <w:rPr>
          <w:rFonts w:ascii="宋体" w:hAnsi="宋体" w:cs="宋体" w:eastAsia="宋体" w:hint="default"/>
          <w:sz w:val="18"/>
          <w:szCs w:val="18"/>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对于已确认减值损失的可供出售债务工具，在随后的会计期间公允价值已上升且客观上与确认原减</w:t>
      </w:r>
      <w:r>
        <w:rPr>
          <w:rFonts w:ascii="宋体" w:hAnsi="宋体" w:cs="宋体" w:eastAsia="宋体" w:hint="default"/>
          <w:w w:val="100"/>
          <w:sz w:val="21"/>
          <w:szCs w:val="21"/>
        </w:rPr>
        <w:t> </w:t>
      </w:r>
      <w:r>
        <w:rPr>
          <w:rFonts w:ascii="宋体" w:hAnsi="宋体" w:cs="宋体" w:eastAsia="宋体" w:hint="default"/>
          <w:spacing w:val="-2"/>
          <w:sz w:val="21"/>
          <w:szCs w:val="21"/>
        </w:rPr>
        <w:t>值损失确认后发生的事项有关的，原确认的减值损失予以转回，计入当期损益。可供出售权益工具投资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发生的减值损失，不通过损益转回。</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以成本计量的金融资产</w:t>
      </w:r>
      <w:r>
        <w:rPr>
          <w:rFonts w:ascii="宋体" w:hAnsi="宋体" w:cs="宋体" w:eastAsia="宋体" w:hint="default"/>
          <w:w w:val="100"/>
          <w:sz w:val="21"/>
          <w:szCs w:val="21"/>
        </w:rPr>
        <w:t> </w:t>
      </w:r>
      <w:r>
        <w:rPr>
          <w:rFonts w:ascii="宋体" w:hAnsi="宋体" w:cs="宋体" w:eastAsia="宋体" w:hint="default"/>
          <w:spacing w:val="-2"/>
          <w:sz w:val="21"/>
          <w:szCs w:val="21"/>
        </w:rPr>
        <w:t>在活跃市场中没有报价且其公允价值不能可靠计量的权益工具投资，或与该权益工具挂钩并须通过</w:t>
      </w:r>
    </w:p>
    <w:p>
      <w:pPr>
        <w:spacing w:line="314" w:lineRule="auto" w:before="11"/>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交付该权益工具结算的衍生金融资产发生减值时，将该金融资产的账面价值，与按照类似金融资产当时</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市场收益率对未来现金流量折现确定的现值之间的差额，确认为减值损失，计入当期损益。发生的减值</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损失一经确认，不得转回。</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）金融资产转移</w:t>
      </w:r>
      <w:r>
        <w:rPr>
          <w:rFonts w:ascii="Microsoft JhengHei" w:hAnsi="Microsoft JhengHei" w:cs="Microsoft JhengHei" w:eastAsia="Microsoft JhengHei" w:hint="default"/>
          <w:sz w:val="21"/>
          <w:szCs w:val="21"/>
        </w:rPr>
      </w:r>
    </w:p>
    <w:p>
      <w:pPr>
        <w:spacing w:line="510" w:lineRule="atLeast" w:before="135"/>
        <w:ind w:left="578" w:right="0" w:firstLine="0"/>
        <w:jc w:val="left"/>
        <w:rPr>
          <w:rFonts w:ascii="宋体" w:hAnsi="宋体" w:cs="宋体" w:eastAsia="宋体" w:hint="default"/>
          <w:sz w:val="21"/>
          <w:szCs w:val="21"/>
        </w:rPr>
      </w:pPr>
      <w:r>
        <w:rPr>
          <w:rFonts w:ascii="宋体" w:hAnsi="宋体" w:cs="宋体" w:eastAsia="宋体" w:hint="default"/>
          <w:sz w:val="21"/>
          <w:szCs w:val="21"/>
        </w:rPr>
        <w:t>金融资产转移，是指将金融资产让与或交付给该金融资产发行方以外的另一方（转入方）。</w:t>
      </w:r>
      <w:r>
        <w:rPr>
          <w:rFonts w:ascii="宋体" w:hAnsi="宋体" w:cs="宋体" w:eastAsia="宋体" w:hint="default"/>
          <w:w w:val="100"/>
          <w:sz w:val="21"/>
          <w:szCs w:val="21"/>
        </w:rPr>
        <w:t> </w:t>
      </w:r>
      <w:r>
        <w:rPr>
          <w:rFonts w:ascii="宋体" w:hAnsi="宋体" w:cs="宋体" w:eastAsia="宋体" w:hint="default"/>
          <w:spacing w:val="-2"/>
          <w:sz w:val="21"/>
          <w:szCs w:val="21"/>
        </w:rPr>
        <w:t>本集团已将金融资产所有权上几乎所有的风险和报酬转移给转入方的，终止确认该金融资产；保留</w:t>
      </w:r>
    </w:p>
    <w:p>
      <w:pPr>
        <w:spacing w:before="85"/>
        <w:ind w:left="152" w:right="0" w:firstLine="0"/>
        <w:jc w:val="both"/>
        <w:rPr>
          <w:rFonts w:ascii="宋体" w:hAnsi="宋体" w:cs="宋体" w:eastAsia="宋体" w:hint="default"/>
          <w:sz w:val="21"/>
          <w:szCs w:val="21"/>
        </w:rPr>
      </w:pPr>
      <w:r>
        <w:rPr>
          <w:rFonts w:ascii="宋体" w:hAnsi="宋体" w:cs="宋体" w:eastAsia="宋体" w:hint="default"/>
          <w:sz w:val="21"/>
          <w:szCs w:val="21"/>
        </w:rPr>
        <w:t>了金融资产所有权上几乎所有的风险和报酬的，不终止确认该金融资产。</w:t>
      </w:r>
    </w:p>
    <w:p>
      <w:pPr>
        <w:spacing w:line="240" w:lineRule="auto" w:before="6"/>
        <w:rPr>
          <w:rFonts w:ascii="宋体" w:hAnsi="宋体" w:cs="宋体" w:eastAsia="宋体" w:hint="default"/>
          <w:sz w:val="18"/>
          <w:szCs w:val="18"/>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本集团既没有转移也没有保留金融资产所有权上几乎所有的风险和报酬的，分别下列情况处理：放</w:t>
      </w:r>
      <w:r>
        <w:rPr>
          <w:rFonts w:ascii="宋体" w:hAnsi="宋体" w:cs="宋体" w:eastAsia="宋体" w:hint="default"/>
          <w:w w:val="100"/>
          <w:sz w:val="21"/>
          <w:szCs w:val="21"/>
        </w:rPr>
        <w:t> </w:t>
      </w:r>
      <w:r>
        <w:rPr>
          <w:rFonts w:ascii="宋体" w:hAnsi="宋体" w:cs="宋体" w:eastAsia="宋体" w:hint="default"/>
          <w:sz w:val="21"/>
          <w:szCs w:val="21"/>
        </w:rPr>
        <w:t>弃了对该金融资产控制的，终止确认该金融资产并确认产生的资产和负债；未放弃对该金融资产控制</w:t>
      </w:r>
      <w:r>
        <w:rPr>
          <w:rFonts w:ascii="宋体" w:hAnsi="宋体" w:cs="宋体" w:eastAsia="宋体" w:hint="default"/>
          <w:w w:val="100"/>
          <w:sz w:val="21"/>
          <w:szCs w:val="21"/>
        </w:rPr>
        <w:t> </w:t>
      </w:r>
      <w:r>
        <w:rPr>
          <w:rFonts w:ascii="宋体" w:hAnsi="宋体" w:cs="宋体" w:eastAsia="宋体" w:hint="default"/>
          <w:sz w:val="21"/>
          <w:szCs w:val="21"/>
        </w:rPr>
        <w:t>的，按照其继续涉入所转移金融资产的程度确认有关金融资产，并相应确认有关负债。</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）金融资产和金融负债的抵销</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当本集团具有抵销已确认金融资产和金融负债的法定权利，且目前可执行该种法定权利，同时本集</w:t>
      </w:r>
      <w:r>
        <w:rPr>
          <w:rFonts w:ascii="宋体" w:hAnsi="宋体" w:cs="宋体" w:eastAsia="宋体" w:hint="default"/>
          <w:w w:val="100"/>
          <w:sz w:val="21"/>
          <w:szCs w:val="21"/>
        </w:rPr>
        <w:t> </w:t>
      </w:r>
      <w:r>
        <w:rPr>
          <w:rFonts w:ascii="宋体" w:hAnsi="宋体" w:cs="宋体" w:eastAsia="宋体" w:hint="default"/>
          <w:spacing w:val="-2"/>
          <w:sz w:val="21"/>
          <w:szCs w:val="21"/>
        </w:rPr>
        <w:t>团计划以净额结算或同时变现该金融资产和清偿该金融负债时，金融资产和金融负债以相互抵销后的金</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额在资产负债表内列示。除此以外，金融资产和金融负债在资产负债表内分别列示，不予相互抵销。</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11</w:t>
      </w:r>
      <w:r>
        <w:rPr>
          <w:rFonts w:ascii="Microsoft JhengHei" w:hAnsi="Microsoft JhengHei" w:cs="Microsoft JhengHei" w:eastAsia="Microsoft JhengHei" w:hint="default"/>
          <w:b/>
          <w:bCs/>
          <w:sz w:val="21"/>
          <w:szCs w:val="21"/>
        </w:rPr>
        <w:t>、应收款项</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）单项金额重大并单独计提坏账准备的应收款项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687"/>
        <w:gridCol w:w="5881"/>
      </w:tblGrid>
      <w:tr>
        <w:trPr>
          <w:trHeight w:val="715"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应收账款期末余额超过</w:t>
            </w:r>
            <w:r>
              <w:rPr>
                <w:rFonts w:ascii="宋体" w:hAnsi="宋体" w:cs="宋体" w:eastAsia="宋体" w:hint="default"/>
                <w:spacing w:val="-44"/>
                <w:sz w:val="18"/>
                <w:szCs w:val="18"/>
              </w:rPr>
              <w:t> </w:t>
            </w:r>
            <w:r>
              <w:rPr>
                <w:rFonts w:ascii="Arial" w:hAnsi="Arial" w:cs="Arial" w:eastAsia="Arial" w:hint="default"/>
                <w:w w:val="99"/>
                <w:sz w:val="18"/>
                <w:szCs w:val="18"/>
              </w:rPr>
              <w:t>500</w:t>
            </w:r>
            <w:r>
              <w:rPr>
                <w:rFonts w:ascii="Arial" w:hAnsi="Arial" w:cs="Arial" w:eastAsia="Arial" w:hint="default"/>
                <w:spacing w:val="-4"/>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元（含</w:t>
            </w:r>
            <w:r>
              <w:rPr>
                <w:rFonts w:ascii="宋体" w:hAnsi="宋体" w:cs="宋体" w:eastAsia="宋体" w:hint="default"/>
                <w:spacing w:val="-45"/>
                <w:sz w:val="18"/>
                <w:szCs w:val="18"/>
              </w:rPr>
              <w:t> </w:t>
            </w:r>
            <w:r>
              <w:rPr>
                <w:rFonts w:ascii="Arial" w:hAnsi="Arial" w:cs="Arial" w:eastAsia="Arial" w:hint="default"/>
                <w:w w:val="99"/>
                <w:sz w:val="18"/>
                <w:szCs w:val="18"/>
              </w:rPr>
              <w:t>500</w:t>
            </w:r>
            <w:r>
              <w:rPr>
                <w:rFonts w:ascii="Arial" w:hAnsi="Arial" w:cs="Arial" w:eastAsia="Arial" w:hint="default"/>
                <w:spacing w:val="-4"/>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、其他应</w:t>
            </w:r>
            <w:r>
              <w:rPr>
                <w:rFonts w:ascii="宋体" w:hAnsi="宋体" w:cs="宋体" w:eastAsia="宋体" w:hint="default"/>
                <w:spacing w:val="-3"/>
                <w:sz w:val="18"/>
                <w:szCs w:val="18"/>
              </w:rPr>
              <w:t>收</w:t>
            </w:r>
            <w:r>
              <w:rPr>
                <w:rFonts w:ascii="宋体" w:hAnsi="宋体" w:cs="宋体" w:eastAsia="宋体" w:hint="default"/>
                <w:sz w:val="18"/>
                <w:szCs w:val="18"/>
              </w:rPr>
              <w:t>款期末余额超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7"/>
                <w:sz w:val="18"/>
                <w:szCs w:val="18"/>
              </w:rPr>
              <w:t> </w:t>
            </w:r>
            <w:r>
              <w:rPr>
                <w:rFonts w:ascii="Arial" w:hAnsi="Arial" w:cs="Arial" w:eastAsia="Arial" w:hint="default"/>
                <w:sz w:val="18"/>
                <w:szCs w:val="18"/>
              </w:rPr>
              <w:t>200</w:t>
            </w:r>
            <w:r>
              <w:rPr>
                <w:rFonts w:ascii="Arial" w:hAnsi="Arial" w:cs="Arial" w:eastAsia="Arial" w:hint="default"/>
                <w:spacing w:val="-7"/>
                <w:sz w:val="18"/>
                <w:szCs w:val="18"/>
              </w:rPr>
              <w:t> </w:t>
            </w:r>
            <w:r>
              <w:rPr>
                <w:rFonts w:ascii="宋体" w:hAnsi="宋体" w:cs="宋体" w:eastAsia="宋体" w:hint="default"/>
                <w:sz w:val="18"/>
                <w:szCs w:val="18"/>
              </w:rPr>
              <w:t>万元（含</w:t>
            </w:r>
            <w:r>
              <w:rPr>
                <w:rFonts w:ascii="宋体" w:hAnsi="宋体" w:cs="宋体" w:eastAsia="宋体" w:hint="default"/>
                <w:spacing w:val="-47"/>
                <w:sz w:val="18"/>
                <w:szCs w:val="18"/>
              </w:rPr>
              <w:t> </w:t>
            </w:r>
            <w:r>
              <w:rPr>
                <w:rFonts w:ascii="Arial" w:hAnsi="Arial" w:cs="Arial" w:eastAsia="Arial" w:hint="default"/>
                <w:sz w:val="18"/>
                <w:szCs w:val="18"/>
              </w:rPr>
              <w:t>200</w:t>
            </w:r>
            <w:r>
              <w:rPr>
                <w:rFonts w:ascii="Arial" w:hAnsi="Arial" w:cs="Arial" w:eastAsia="Arial" w:hint="default"/>
                <w:spacing w:val="-7"/>
                <w:sz w:val="18"/>
                <w:szCs w:val="18"/>
              </w:rPr>
              <w:t> </w:t>
            </w:r>
            <w:r>
              <w:rPr>
                <w:rFonts w:ascii="宋体" w:hAnsi="宋体" w:cs="宋体" w:eastAsia="宋体" w:hint="default"/>
                <w:sz w:val="18"/>
                <w:szCs w:val="18"/>
              </w:rPr>
              <w:t>万元）为单项金额重大的应收款项。</w:t>
            </w:r>
          </w:p>
        </w:tc>
      </w:tr>
      <w:tr>
        <w:trPr>
          <w:trHeight w:val="1025"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对于单项金额重大的应收款项单独进行减值测试，有客观证据表明发生了 减值，根据其未来现金流量现值低于其账面价值的差额计提坏账准备。单 项金额重大经单独测试未发生减值的应收款项，再按组合计提坏账准备。</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）按信用风险特征组合计提坏账准备的应收款项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5"/>
        <w:gridCol w:w="4783"/>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公司合并范围内的关联方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押金、备用金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6"/>
        <w:rPr>
          <w:rFonts w:ascii="Microsoft JhengHei" w:hAnsi="Microsoft JhengHei" w:cs="Microsoft JhengHei" w:eastAsia="Microsoft JhengHei" w:hint="default"/>
          <w:b/>
          <w:bCs/>
          <w:sz w:val="9"/>
          <w:szCs w:val="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6"/>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4"/>
          <w:szCs w:val="14"/>
        </w:rPr>
      </w:pPr>
    </w:p>
    <w:tbl>
      <w:tblPr>
        <w:tblW w:w="0" w:type="auto"/>
        <w:jc w:val="left"/>
        <w:tblInd w:w="193" w:type="dxa"/>
        <w:tblLayout w:type="fixed"/>
        <w:tblCellMar>
          <w:top w:w="0" w:type="dxa"/>
          <w:left w:w="0" w:type="dxa"/>
          <w:bottom w:w="0" w:type="dxa"/>
          <w:right w:w="0" w:type="dxa"/>
        </w:tblCellMar>
        <w:tblLook w:val="01E0"/>
      </w:tblPr>
      <w:tblGrid>
        <w:gridCol w:w="3167"/>
        <w:gridCol w:w="3202"/>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30.00%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w:t>
      </w:r>
    </w:p>
    <w:p>
      <w:pPr>
        <w:spacing w:line="240" w:lineRule="auto" w:before="6"/>
        <w:rPr>
          <w:rFonts w:ascii="宋体" w:hAnsi="宋体" w:cs="宋体" w:eastAsia="宋体" w:hint="default"/>
          <w:sz w:val="18"/>
          <w:szCs w:val="18"/>
        </w:rPr>
      </w:pPr>
    </w:p>
    <w:p>
      <w:pPr>
        <w:spacing w:line="427" w:lineRule="auto" w:before="0"/>
        <w:ind w:left="152" w:right="4494"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4"/>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宋体" w:hAnsi="宋体" w:cs="宋体" w:eastAsia="宋体" w:hint="default"/>
          <w:sz w:val="21"/>
          <w:szCs w:val="21"/>
        </w:rPr>
        <w:t>不适用</w:t>
      </w:r>
      <w:r>
        <w:rPr>
          <w:rFonts w:ascii="宋体" w:hAnsi="宋体" w:cs="宋体" w:eastAsia="宋体" w:hint="default"/>
          <w:spacing w:val="-99"/>
          <w:sz w:val="21"/>
          <w:szCs w:val="21"/>
        </w:rPr>
        <w:t> </w:t>
      </w:r>
      <w:r>
        <w:rPr>
          <w:rFonts w:ascii="宋体" w:hAnsi="宋体" w:cs="宋体" w:eastAsia="宋体" w:hint="default"/>
          <w:spacing w:val="-2"/>
          <w:sz w:val="21"/>
          <w:szCs w:val="21"/>
        </w:rPr>
        <w:t>组合中，采用其他方法计提坏账准备的：</w:t>
      </w:r>
    </w:p>
    <w:p>
      <w:pPr>
        <w:spacing w:before="77"/>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公司合并范围内的关联方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）单项金额不重大但单独计提坏账准备的应收款项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2693"/>
        <w:gridCol w:w="6875"/>
      </w:tblGrid>
      <w:tr>
        <w:trPr>
          <w:trHeight w:val="401" w:hRule="exact"/>
        </w:trPr>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12</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line="484" w:lineRule="auto" w:before="0"/>
        <w:ind w:left="578" w:right="3774"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）存货的分类</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pacing w:val="-2"/>
          <w:sz w:val="21"/>
          <w:szCs w:val="21"/>
        </w:rPr>
        <w:t>本集团存货分为原材料、在产品、库存商品、发出商品等。</w:t>
      </w:r>
    </w:p>
    <w:p>
      <w:pPr>
        <w:spacing w:line="482" w:lineRule="auto" w:before="49"/>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）发出存货的计价方法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本集团存货取得时按实际成本计价。原材料、发出商品等发出时采用个别计价法计价。</w:t>
      </w:r>
    </w:p>
    <w:p>
      <w:pPr>
        <w:spacing w:after="0" w:line="482"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）存货可变现净值的确定依据及存货跌价准备的计提方法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存货可变现净值是按存货的估计售价减去至完工时估计将要发生的成本、估计的销售费用以及相关</w:t>
      </w:r>
      <w:r>
        <w:rPr>
          <w:rFonts w:ascii="宋体" w:hAnsi="宋体" w:cs="宋体" w:eastAsia="宋体" w:hint="default"/>
          <w:w w:val="100"/>
          <w:sz w:val="21"/>
          <w:szCs w:val="21"/>
        </w:rPr>
        <w:t> </w:t>
      </w:r>
      <w:r>
        <w:rPr>
          <w:rFonts w:ascii="宋体" w:hAnsi="宋体" w:cs="宋体" w:eastAsia="宋体" w:hint="default"/>
          <w:spacing w:val="-2"/>
          <w:sz w:val="21"/>
          <w:szCs w:val="21"/>
        </w:rPr>
        <w:t>税费后的金额。在确定存货的可变现净值时，以取得的确凿证据为基础，同时考虑持有存货的目的以及</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资产负债表日后事项的影响。</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资产负债表日，存货成本高于其可变现净值的，计提存货跌价准备。本集团通常按照单个存货项目</w:t>
      </w:r>
      <w:r>
        <w:rPr>
          <w:rFonts w:ascii="宋体" w:hAnsi="宋体" w:cs="宋体" w:eastAsia="宋体" w:hint="default"/>
          <w:w w:val="100"/>
          <w:sz w:val="21"/>
          <w:szCs w:val="21"/>
        </w:rPr>
        <w:t> </w:t>
      </w:r>
      <w:r>
        <w:rPr>
          <w:rFonts w:ascii="宋体" w:hAnsi="宋体" w:cs="宋体" w:eastAsia="宋体" w:hint="default"/>
          <w:spacing w:val="-2"/>
          <w:sz w:val="21"/>
          <w:szCs w:val="21"/>
        </w:rPr>
        <w:t>计提存货跌价准备，资产负债表日，以前减记存货价值的影响因素已经消失的，存货跌价准备在原已计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提的金额内转回。</w:t>
      </w:r>
    </w:p>
    <w:p>
      <w:pPr>
        <w:spacing w:line="240" w:lineRule="auto" w:before="2"/>
        <w:rPr>
          <w:rFonts w:ascii="宋体" w:hAnsi="宋体" w:cs="宋体" w:eastAsia="宋体" w:hint="default"/>
          <w:sz w:val="15"/>
          <w:szCs w:val="15"/>
        </w:rPr>
      </w:pPr>
    </w:p>
    <w:p>
      <w:pPr>
        <w:spacing w:line="482" w:lineRule="auto" w:before="0"/>
        <w:ind w:left="578" w:right="4494"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本集团存货盘存制度采用永续盘存制。</w:t>
      </w:r>
    </w:p>
    <w:p>
      <w:pPr>
        <w:spacing w:before="51"/>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13</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长期股权投资包括对子公司、合营企业和联营企业的权益性投资。本集团能够对被投资单位施加重</w:t>
      </w:r>
      <w:r>
        <w:rPr>
          <w:rFonts w:ascii="宋体" w:hAnsi="宋体" w:cs="宋体" w:eastAsia="宋体" w:hint="default"/>
          <w:w w:val="100"/>
          <w:sz w:val="21"/>
          <w:szCs w:val="21"/>
        </w:rPr>
        <w:t> </w:t>
      </w:r>
      <w:r>
        <w:rPr>
          <w:rFonts w:ascii="宋体" w:hAnsi="宋体" w:cs="宋体" w:eastAsia="宋体" w:hint="default"/>
          <w:sz w:val="21"/>
          <w:szCs w:val="21"/>
        </w:rPr>
        <w:t>大影响的，为本集团的联营企业。</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）初始投资成本确定</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形成企业合并的长期股权投资：同一控制下企业合并取得的长期股权投资，在合并日按照取得被合</w:t>
      </w:r>
      <w:r>
        <w:rPr>
          <w:rFonts w:ascii="宋体" w:hAnsi="宋体" w:cs="宋体" w:eastAsia="宋体" w:hint="default"/>
          <w:w w:val="100"/>
          <w:sz w:val="21"/>
          <w:szCs w:val="21"/>
        </w:rPr>
        <w:t> </w:t>
      </w:r>
      <w:r>
        <w:rPr>
          <w:rFonts w:ascii="宋体" w:hAnsi="宋体" w:cs="宋体" w:eastAsia="宋体" w:hint="default"/>
          <w:spacing w:val="-2"/>
          <w:sz w:val="21"/>
          <w:szCs w:val="21"/>
        </w:rPr>
        <w:t>并方所有者权益在最终控制方合并财务报表中的账面价值份额作为投资成本；非同一控制下企业合并取</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得的长期股权投资，按照合并成本作为长期股权投资的投资成本。</w:t>
      </w:r>
    </w:p>
    <w:p>
      <w:pPr>
        <w:spacing w:line="314" w:lineRule="auto" w:before="176"/>
        <w:ind w:left="152" w:right="174" w:firstLine="425"/>
        <w:jc w:val="left"/>
        <w:rPr>
          <w:rFonts w:ascii="宋体" w:hAnsi="宋体" w:cs="宋体" w:eastAsia="宋体" w:hint="default"/>
          <w:sz w:val="21"/>
          <w:szCs w:val="21"/>
        </w:rPr>
      </w:pPr>
      <w:r>
        <w:rPr>
          <w:rFonts w:ascii="宋体" w:hAnsi="宋体" w:cs="宋体" w:eastAsia="宋体" w:hint="default"/>
          <w:spacing w:val="-2"/>
          <w:sz w:val="21"/>
          <w:szCs w:val="21"/>
        </w:rPr>
        <w:t>对于其他方式取得的长期股权投资：支付现金取得的长期股权投资，按照实际支付的购买价款作为</w:t>
      </w:r>
      <w:r>
        <w:rPr>
          <w:rFonts w:ascii="宋体" w:hAnsi="宋体" w:cs="宋体" w:eastAsia="宋体" w:hint="default"/>
          <w:w w:val="100"/>
          <w:sz w:val="21"/>
          <w:szCs w:val="21"/>
        </w:rPr>
        <w:t> </w:t>
      </w:r>
      <w:r>
        <w:rPr>
          <w:rFonts w:ascii="宋体" w:hAnsi="宋体" w:cs="宋体" w:eastAsia="宋体" w:hint="default"/>
          <w:sz w:val="21"/>
          <w:szCs w:val="21"/>
        </w:rPr>
        <w:t>初始投资成本；发行权益性证券取得的长期股权投资，以发行权益性证券的公允价值作为初始投资成</w:t>
      </w:r>
      <w:r>
        <w:rPr>
          <w:rFonts w:ascii="宋体" w:hAnsi="宋体" w:cs="宋体" w:eastAsia="宋体" w:hint="default"/>
          <w:w w:val="100"/>
          <w:sz w:val="21"/>
          <w:szCs w:val="21"/>
        </w:rPr>
        <w:t> </w:t>
      </w:r>
      <w:r>
        <w:rPr>
          <w:rFonts w:ascii="宋体" w:hAnsi="宋体" w:cs="宋体" w:eastAsia="宋体" w:hint="default"/>
          <w:sz w:val="21"/>
          <w:szCs w:val="21"/>
        </w:rPr>
        <w:t>本。</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）后续计量及损益确认方法</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对子公司的投资，采用成本法核算，除非投资符合持有待售的条件；对联营企业和合营企业的投</w:t>
      </w:r>
      <w:r>
        <w:rPr>
          <w:rFonts w:ascii="宋体" w:hAnsi="宋体" w:cs="宋体" w:eastAsia="宋体" w:hint="default"/>
          <w:w w:val="100"/>
          <w:sz w:val="21"/>
          <w:szCs w:val="21"/>
        </w:rPr>
        <w:t> </w:t>
      </w:r>
      <w:r>
        <w:rPr>
          <w:rFonts w:ascii="宋体" w:hAnsi="宋体" w:cs="宋体" w:eastAsia="宋体" w:hint="default"/>
          <w:sz w:val="21"/>
          <w:szCs w:val="21"/>
        </w:rPr>
        <w:t>资，采用权益法核算。</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采用成本法核算的长期股权投资，除取得投资时实际支付的价款或对价中包含的已宣告但尚未发放</w:t>
      </w:r>
      <w:r>
        <w:rPr>
          <w:rFonts w:ascii="宋体" w:hAnsi="宋体" w:cs="宋体" w:eastAsia="宋体" w:hint="default"/>
          <w:w w:val="100"/>
          <w:sz w:val="21"/>
          <w:szCs w:val="21"/>
        </w:rPr>
        <w:t> </w:t>
      </w:r>
      <w:r>
        <w:rPr>
          <w:rFonts w:ascii="宋体" w:hAnsi="宋体" w:cs="宋体" w:eastAsia="宋体" w:hint="default"/>
          <w:sz w:val="21"/>
          <w:szCs w:val="21"/>
        </w:rPr>
        <w:t>的现金股利或利润外，被投资单位宣告分派的现金股利或利润，确认为投资收益计入当期损益。</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采用权益法核算的长期股权投资，初始投资成本大于投资时应享有被投资单位可辨认净资产公允价</w:t>
      </w:r>
      <w:r>
        <w:rPr>
          <w:rFonts w:ascii="宋体" w:hAnsi="宋体" w:cs="宋体" w:eastAsia="宋体" w:hint="default"/>
          <w:w w:val="100"/>
          <w:sz w:val="21"/>
          <w:szCs w:val="21"/>
        </w:rPr>
        <w:t> </w:t>
      </w:r>
      <w:r>
        <w:rPr>
          <w:rFonts w:ascii="宋体" w:hAnsi="宋体" w:cs="宋体" w:eastAsia="宋体" w:hint="default"/>
          <w:spacing w:val="-2"/>
          <w:sz w:val="21"/>
          <w:szCs w:val="21"/>
        </w:rPr>
        <w:t>值份额的，不调整长期股权投资的投资成本；初始投资成本小于投资时应享有被投资单位可辨认净资产</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公允价值份额的，对长期股权投资的账面价值进行调整，差额计入投资当期的损益。</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采用权益法核算时，按照应享有或应分担的被投资单位实现的净损益和其他综合收益的份额，分别</w:t>
      </w:r>
      <w:r>
        <w:rPr>
          <w:rFonts w:ascii="宋体" w:hAnsi="宋体" w:cs="宋体" w:eastAsia="宋体" w:hint="default"/>
          <w:w w:val="100"/>
          <w:sz w:val="21"/>
          <w:szCs w:val="21"/>
        </w:rPr>
        <w:t> </w:t>
      </w:r>
      <w:r>
        <w:rPr>
          <w:rFonts w:ascii="宋体" w:hAnsi="宋体" w:cs="宋体" w:eastAsia="宋体" w:hint="default"/>
          <w:spacing w:val="-2"/>
          <w:sz w:val="21"/>
          <w:szCs w:val="21"/>
        </w:rPr>
        <w:t>确认投资收益和其他综合收益，同时调整长期股权投资的账面价值；按照被投资单位宣告分派的利润或</w:t>
      </w:r>
    </w:p>
    <w:p>
      <w:pPr>
        <w:spacing w:after="0" w:line="314" w:lineRule="auto"/>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14" w:lineRule="auto"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现金股利计算应享有的部分，相应减少长期股权投资的账面价值；被投资单位除净损益、其他综合收益</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和利润分配以外所有者权益的其他变动，调整长期股权投资的账面价值并计入资本公积（其他资本公</w:t>
      </w:r>
      <w:r>
        <w:rPr>
          <w:rFonts w:ascii="宋体" w:hAnsi="宋体" w:cs="宋体" w:eastAsia="宋体" w:hint="default"/>
          <w:w w:val="100"/>
          <w:sz w:val="21"/>
          <w:szCs w:val="21"/>
        </w:rPr>
        <w:t> </w:t>
      </w:r>
      <w:r>
        <w:rPr>
          <w:rFonts w:ascii="宋体" w:hAnsi="宋体" w:cs="宋体" w:eastAsia="宋体" w:hint="default"/>
          <w:spacing w:val="-2"/>
          <w:sz w:val="21"/>
          <w:szCs w:val="21"/>
        </w:rPr>
        <w:t>积）。在确认应享有被投资单位净损益的份额时，以取得投资时被投资单位各项可辨认资产等的公允价</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值为基础，并按照本集团的会计政策及会计期间，对被投资单位的净利润进行调整后确认。</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因追加投资等原因能够对被投资单位施加重大影响或实施共同控制但不构成控制的，在转换日，按</w:t>
      </w:r>
      <w:r>
        <w:rPr>
          <w:rFonts w:ascii="宋体" w:hAnsi="宋体" w:cs="宋体" w:eastAsia="宋体" w:hint="default"/>
          <w:w w:val="100"/>
          <w:sz w:val="21"/>
          <w:szCs w:val="21"/>
        </w:rPr>
        <w:t> </w:t>
      </w:r>
      <w:r>
        <w:rPr>
          <w:rFonts w:ascii="宋体" w:hAnsi="宋体" w:cs="宋体" w:eastAsia="宋体" w:hint="default"/>
          <w:spacing w:val="-2"/>
          <w:sz w:val="21"/>
          <w:szCs w:val="21"/>
        </w:rPr>
        <w:t>照原股权的公允价值加上新增投资成本之和，作为改按权益法核算的初始投资成本。原股权于转换日的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公允价值与账面价值之间的差额，以及原计入其他综合收益的累计公允价值变动转入改按权益法核算的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当期损益。</w:t>
      </w:r>
    </w:p>
    <w:p>
      <w:pPr>
        <w:spacing w:line="309" w:lineRule="auto" w:before="176"/>
        <w:ind w:left="152" w:right="312" w:firstLine="425"/>
        <w:jc w:val="both"/>
        <w:rPr>
          <w:rFonts w:ascii="宋体" w:hAnsi="宋体" w:cs="宋体" w:eastAsia="宋体" w:hint="default"/>
          <w:sz w:val="21"/>
          <w:szCs w:val="21"/>
        </w:rPr>
      </w:pPr>
      <w:r>
        <w:rPr>
          <w:rFonts w:ascii="宋体" w:hAnsi="宋体" w:cs="宋体" w:eastAsia="宋体" w:hint="default"/>
          <w:spacing w:val="-2"/>
          <w:sz w:val="21"/>
          <w:szCs w:val="21"/>
        </w:rPr>
        <w:t>因处置部分股权投资等原因丧失了对被投资单位的共同控制或重大影响的，处置后的剩余股权在丧</w:t>
      </w:r>
      <w:r>
        <w:rPr>
          <w:rFonts w:ascii="宋体" w:hAnsi="宋体" w:cs="宋体" w:eastAsia="宋体" w:hint="default"/>
          <w:w w:val="100"/>
          <w:sz w:val="21"/>
          <w:szCs w:val="21"/>
        </w:rPr>
        <w:t> </w:t>
      </w:r>
      <w:r>
        <w:rPr>
          <w:rFonts w:ascii="宋体" w:hAnsi="宋体" w:cs="宋体" w:eastAsia="宋体" w:hint="default"/>
          <w:spacing w:val="-2"/>
          <w:sz w:val="21"/>
          <w:szCs w:val="21"/>
        </w:rPr>
        <w:t>失共同控制或重大影响之日改按《企业会计准则第</w:t>
      </w:r>
      <w:r>
        <w:rPr>
          <w:rFonts w:ascii="Arial" w:hAnsi="Arial" w:cs="Arial" w:eastAsia="Arial" w:hint="default"/>
          <w:spacing w:val="-2"/>
          <w:sz w:val="21"/>
          <w:szCs w:val="21"/>
        </w:rPr>
        <w:t>22</w:t>
      </w:r>
      <w:r>
        <w:rPr>
          <w:rFonts w:ascii="宋体" w:hAnsi="宋体" w:cs="宋体" w:eastAsia="宋体" w:hint="default"/>
          <w:spacing w:val="-2"/>
          <w:sz w:val="21"/>
          <w:szCs w:val="21"/>
        </w:rPr>
        <w:t>号</w:t>
      </w:r>
      <w:r>
        <w:rPr>
          <w:rFonts w:ascii="Arial" w:hAnsi="Arial" w:cs="Arial" w:eastAsia="Arial" w:hint="default"/>
          <w:spacing w:val="-2"/>
          <w:sz w:val="21"/>
          <w:szCs w:val="21"/>
        </w:rPr>
        <w:t>—</w:t>
      </w:r>
      <w:r>
        <w:rPr>
          <w:rFonts w:ascii="宋体" w:hAnsi="宋体" w:cs="宋体" w:eastAsia="宋体" w:hint="default"/>
          <w:spacing w:val="-2"/>
          <w:sz w:val="21"/>
          <w:szCs w:val="21"/>
        </w:rPr>
        <w:t>金融工具确认和计量》进行会计处理，公允价</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值与账面价值之间的差额计入当期损益。原股权投资因采用权益法核算而确认的其他综合收益，在终止</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采用权益法核算时采用与被投资单位直接处置相关资产或负债相同的基础进行会计处理；原股权投资相</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关的其他所有者权益变动转入当期损益。</w:t>
      </w:r>
    </w:p>
    <w:p>
      <w:pPr>
        <w:spacing w:line="240" w:lineRule="auto" w:before="10"/>
        <w:rPr>
          <w:rFonts w:ascii="宋体" w:hAnsi="宋体" w:cs="宋体" w:eastAsia="宋体" w:hint="default"/>
          <w:sz w:val="13"/>
          <w:szCs w:val="13"/>
        </w:rPr>
      </w:pPr>
    </w:p>
    <w:p>
      <w:pPr>
        <w:spacing w:line="307" w:lineRule="auto" w:before="0"/>
        <w:ind w:left="152" w:right="314" w:firstLine="425"/>
        <w:jc w:val="both"/>
        <w:rPr>
          <w:rFonts w:ascii="宋体" w:hAnsi="宋体" w:cs="宋体" w:eastAsia="宋体" w:hint="default"/>
          <w:sz w:val="21"/>
          <w:szCs w:val="21"/>
        </w:rPr>
      </w:pPr>
      <w:r>
        <w:rPr>
          <w:rFonts w:ascii="宋体" w:hAnsi="宋体" w:cs="宋体" w:eastAsia="宋体" w:hint="default"/>
          <w:spacing w:val="-2"/>
          <w:sz w:val="21"/>
          <w:szCs w:val="21"/>
        </w:rPr>
        <w:t>因处置部分股权投资等原因丧失了对被投资单位的控制的，处置后的剩余股权能够对被投资单位实</w:t>
      </w:r>
      <w:r>
        <w:rPr>
          <w:rFonts w:ascii="宋体" w:hAnsi="宋体" w:cs="宋体" w:eastAsia="宋体" w:hint="default"/>
          <w:w w:val="100"/>
          <w:sz w:val="21"/>
          <w:szCs w:val="21"/>
        </w:rPr>
        <w:t> </w:t>
      </w:r>
      <w:r>
        <w:rPr>
          <w:rFonts w:ascii="宋体" w:hAnsi="宋体" w:cs="宋体" w:eastAsia="宋体" w:hint="default"/>
          <w:spacing w:val="-2"/>
          <w:sz w:val="21"/>
          <w:szCs w:val="21"/>
        </w:rPr>
        <w:t>施共同控制或施加重大影响的，改按权益法核算，并对该剩余股权视同自取得时即采用权益法核算进行</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调整；处置后的剩余股权不能对被投资单位实施共同控制或施加重大影响的，改按《企业会计准则第</w:t>
      </w:r>
      <w:r>
        <w:rPr>
          <w:rFonts w:ascii="Arial" w:hAnsi="Arial" w:cs="Arial" w:eastAsia="Arial" w:hint="default"/>
          <w:spacing w:val="-2"/>
          <w:sz w:val="21"/>
          <w:szCs w:val="21"/>
        </w:rPr>
        <w:t>22</w:t>
      </w:r>
      <w:r>
        <w:rPr>
          <w:rFonts w:ascii="Arial" w:hAnsi="Arial" w:cs="Arial" w:eastAsia="Arial" w:hint="default"/>
          <w:spacing w:val="22"/>
          <w:sz w:val="21"/>
          <w:szCs w:val="21"/>
        </w:rPr>
        <w:t> </w:t>
      </w:r>
      <w:r>
        <w:rPr>
          <w:rFonts w:ascii="宋体" w:hAnsi="宋体" w:cs="宋体" w:eastAsia="宋体" w:hint="default"/>
          <w:spacing w:val="-2"/>
          <w:sz w:val="21"/>
          <w:szCs w:val="21"/>
        </w:rPr>
        <w:t>号</w:t>
      </w:r>
      <w:r>
        <w:rPr>
          <w:rFonts w:ascii="Arial" w:hAnsi="Arial" w:cs="Arial" w:eastAsia="Arial" w:hint="default"/>
          <w:spacing w:val="-2"/>
          <w:sz w:val="21"/>
          <w:szCs w:val="21"/>
        </w:rPr>
        <w:t>—</w:t>
      </w:r>
      <w:r>
        <w:rPr>
          <w:rFonts w:ascii="宋体" w:hAnsi="宋体" w:cs="宋体" w:eastAsia="宋体" w:hint="default"/>
          <w:spacing w:val="-2"/>
          <w:sz w:val="21"/>
          <w:szCs w:val="21"/>
        </w:rPr>
        <w:t>金融工具确认和计量》的有关规定进行会计处理，其在丧失控制之日的公允价值与账面价值之间的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差额计入当期损益。</w:t>
      </w:r>
    </w:p>
    <w:p>
      <w:pPr>
        <w:spacing w:line="240" w:lineRule="auto" w:before="12"/>
        <w:rPr>
          <w:rFonts w:ascii="宋体" w:hAnsi="宋体" w:cs="宋体" w:eastAsia="宋体" w:hint="default"/>
          <w:sz w:val="13"/>
          <w:szCs w:val="13"/>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因其他投资方增资而导致本公司持股比例下降、从而丧失控制权但能对被投资单位实施共同控制或</w:t>
      </w:r>
      <w:r>
        <w:rPr>
          <w:rFonts w:ascii="宋体" w:hAnsi="宋体" w:cs="宋体" w:eastAsia="宋体" w:hint="default"/>
          <w:w w:val="100"/>
          <w:sz w:val="21"/>
          <w:szCs w:val="21"/>
        </w:rPr>
        <w:t> </w:t>
      </w:r>
      <w:r>
        <w:rPr>
          <w:rFonts w:ascii="宋体" w:hAnsi="宋体" w:cs="宋体" w:eastAsia="宋体" w:hint="default"/>
          <w:spacing w:val="-2"/>
          <w:sz w:val="21"/>
          <w:szCs w:val="21"/>
        </w:rPr>
        <w:t>施加重大影响的，按照新的持股比例确认本公司应享有的被投资单位因增资扩股而增加净资产的份额，</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与应结转持股比例下降部分所对应的长期股权投资原账面价值之间的差额计入当期损益；然后，按照新</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的持股比例视同自取得投资时即采用权益法核算进行调整。</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本集团与联营企业及合营企业之间发生的未实现内部交易损益按照持股比例计算归属于本集团的部</w:t>
      </w:r>
      <w:r>
        <w:rPr>
          <w:rFonts w:ascii="宋体" w:hAnsi="宋体" w:cs="宋体" w:eastAsia="宋体" w:hint="default"/>
          <w:w w:val="100"/>
          <w:sz w:val="21"/>
          <w:szCs w:val="21"/>
        </w:rPr>
        <w:t> </w:t>
      </w:r>
      <w:r>
        <w:rPr>
          <w:rFonts w:ascii="宋体" w:hAnsi="宋体" w:cs="宋体" w:eastAsia="宋体" w:hint="default"/>
          <w:spacing w:val="-2"/>
          <w:sz w:val="21"/>
          <w:szCs w:val="21"/>
        </w:rPr>
        <w:t>分，在抵销基础上确认投资损益。但本集团与被投资单位发生的未实现内部交易损失，属于所转让资产</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减值损失的，不予以抵销。</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）确定对被投资单位具有共同控制、重大影响的依据</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共同控制，是指按照相关约定对某项安排所共有的控制，并且该安排的相关活动必须经过分享控制</w:t>
      </w:r>
      <w:r>
        <w:rPr>
          <w:rFonts w:ascii="宋体" w:hAnsi="宋体" w:cs="宋体" w:eastAsia="宋体" w:hint="default"/>
          <w:w w:val="100"/>
          <w:sz w:val="21"/>
          <w:szCs w:val="21"/>
        </w:rPr>
        <w:t> </w:t>
      </w:r>
      <w:r>
        <w:rPr>
          <w:rFonts w:ascii="宋体" w:hAnsi="宋体" w:cs="宋体" w:eastAsia="宋体" w:hint="default"/>
          <w:spacing w:val="-2"/>
          <w:sz w:val="21"/>
          <w:szCs w:val="21"/>
        </w:rPr>
        <w:t>权的参与方一致同意后才能决策。在判断是否存在共同控制时，首先判断是否由所有参与方或参与方组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合集体控制该安排，其次再判断该安排相关活动的决策是否必须经过这些集体控制该安排的参与方一致</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同意。如果所有参与方或一组参与方必须一致行动才能决定某项安排的相关活动，则认为所有参与方或</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一组参与方集体控制该安排；如果存在两个或两个以上的参与方组合能够集体控制某项安排的，不构成</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共同控制。判断是否存在共同控制时，不考虑享有的保护性权利。</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重大影响，是指投资方对被投资单位的财务和经营政策有参与决策的权力，但并不能够控制或者与</w:t>
      </w:r>
      <w:r>
        <w:rPr>
          <w:rFonts w:ascii="宋体" w:hAnsi="宋体" w:cs="宋体" w:eastAsia="宋体" w:hint="default"/>
          <w:w w:val="100"/>
          <w:sz w:val="21"/>
          <w:szCs w:val="21"/>
        </w:rPr>
        <w:t> </w:t>
      </w:r>
      <w:r>
        <w:rPr>
          <w:rFonts w:ascii="宋体" w:hAnsi="宋体" w:cs="宋体" w:eastAsia="宋体" w:hint="default"/>
          <w:spacing w:val="-2"/>
          <w:sz w:val="21"/>
          <w:szCs w:val="21"/>
        </w:rPr>
        <w:t>其他方一起共同控制这些政策的制定。在确定能否对被投资单位施加重大影响时，考虑投资方直接或间</w:t>
      </w:r>
    </w:p>
    <w:p>
      <w:pPr>
        <w:spacing w:after="0" w:line="314" w:lineRule="auto"/>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14" w:lineRule="auto" w:before="36"/>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接持有被投资单位的表决权股份以及投资方及其他方持有的当期可执行潜在表决权在假定转换为对被投</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资方单位的股权后产生的影响，包括被投资单位发行的当期可转换的认股权证、股份期权及可转换公司</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债券等的影响。</w:t>
      </w:r>
    </w:p>
    <w:p>
      <w:pPr>
        <w:spacing w:line="307" w:lineRule="auto" w:before="176"/>
        <w:ind w:left="152" w:right="329" w:firstLine="425"/>
        <w:jc w:val="both"/>
        <w:rPr>
          <w:rFonts w:ascii="宋体" w:hAnsi="宋体" w:cs="宋体" w:eastAsia="宋体" w:hint="default"/>
          <w:sz w:val="21"/>
          <w:szCs w:val="21"/>
        </w:rPr>
      </w:pPr>
      <w:r>
        <w:rPr>
          <w:rFonts w:ascii="宋体" w:hAnsi="宋体" w:cs="宋体" w:eastAsia="宋体" w:hint="default"/>
          <w:spacing w:val="-2"/>
          <w:sz w:val="21"/>
          <w:szCs w:val="21"/>
        </w:rPr>
        <w:t>当本公司直接或通过子公司间接拥有被投资单位</w:t>
      </w:r>
      <w:r>
        <w:rPr>
          <w:rFonts w:ascii="Arial" w:hAnsi="Arial" w:cs="Arial" w:eastAsia="Arial" w:hint="default"/>
          <w:spacing w:val="-2"/>
          <w:sz w:val="21"/>
          <w:szCs w:val="21"/>
        </w:rPr>
        <w:t>20%</w:t>
      </w:r>
      <w:r>
        <w:rPr>
          <w:rFonts w:ascii="宋体" w:hAnsi="宋体" w:cs="宋体" w:eastAsia="宋体" w:hint="default"/>
          <w:spacing w:val="-2"/>
          <w:sz w:val="21"/>
          <w:szCs w:val="21"/>
        </w:rPr>
        <w:t>（含</w:t>
      </w:r>
      <w:r>
        <w:rPr>
          <w:rFonts w:ascii="Arial" w:hAnsi="Arial" w:cs="Arial" w:eastAsia="Arial" w:hint="default"/>
          <w:spacing w:val="-2"/>
          <w:sz w:val="21"/>
          <w:szCs w:val="21"/>
        </w:rPr>
        <w:t>20%</w:t>
      </w:r>
      <w:r>
        <w:rPr>
          <w:rFonts w:ascii="宋体" w:hAnsi="宋体" w:cs="宋体" w:eastAsia="宋体" w:hint="default"/>
          <w:spacing w:val="-2"/>
          <w:sz w:val="21"/>
          <w:szCs w:val="21"/>
        </w:rPr>
        <w:t>）以上但低于</w:t>
      </w:r>
      <w:r>
        <w:rPr>
          <w:rFonts w:ascii="Arial" w:hAnsi="Arial" w:cs="Arial" w:eastAsia="Arial" w:hint="default"/>
          <w:spacing w:val="-2"/>
          <w:sz w:val="21"/>
          <w:szCs w:val="21"/>
        </w:rPr>
        <w:t>50%</w:t>
      </w:r>
      <w:r>
        <w:rPr>
          <w:rFonts w:ascii="宋体" w:hAnsi="宋体" w:cs="宋体" w:eastAsia="宋体" w:hint="default"/>
          <w:spacing w:val="-2"/>
          <w:sz w:val="21"/>
          <w:szCs w:val="21"/>
        </w:rPr>
        <w:t>的表决权股份时，</w:t>
      </w:r>
      <w:r>
        <w:rPr>
          <w:rFonts w:ascii="宋体" w:hAnsi="宋体" w:cs="宋体" w:eastAsia="宋体" w:hint="default"/>
          <w:w w:val="100"/>
          <w:sz w:val="21"/>
          <w:szCs w:val="21"/>
        </w:rPr>
        <w:t> </w:t>
      </w:r>
      <w:r>
        <w:rPr>
          <w:rFonts w:ascii="宋体" w:hAnsi="宋体" w:cs="宋体" w:eastAsia="宋体" w:hint="default"/>
          <w:spacing w:val="-2"/>
          <w:sz w:val="21"/>
          <w:szCs w:val="21"/>
        </w:rPr>
        <w:t>一般认为对被投资单位具有重大影响，除非有明确证据表明该种情况下不能参与被投资单位的生产经营</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2"/>
          <w:sz w:val="21"/>
          <w:szCs w:val="21"/>
        </w:rPr>
        <w:t>决策，不形成重大影响；本集团拥有被投资单位</w:t>
      </w:r>
      <w:r>
        <w:rPr>
          <w:rFonts w:ascii="Arial" w:hAnsi="Arial" w:cs="Arial" w:eastAsia="Arial" w:hint="default"/>
          <w:spacing w:val="-2"/>
          <w:sz w:val="21"/>
          <w:szCs w:val="21"/>
        </w:rPr>
        <w:t>20%</w:t>
      </w:r>
      <w:r>
        <w:rPr>
          <w:rFonts w:ascii="宋体" w:hAnsi="宋体" w:cs="宋体" w:eastAsia="宋体" w:hint="default"/>
          <w:spacing w:val="-2"/>
          <w:sz w:val="21"/>
          <w:szCs w:val="21"/>
        </w:rPr>
        <w:t>（不含）以下的表决权股份时，一般不认为对被投</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2"/>
          <w:sz w:val="21"/>
          <w:szCs w:val="21"/>
        </w:rPr>
        <w:t>资单位具有重大影响，除非有明确证据表明该种情况下能够参与被投资单位的生产经营决策，形成重大</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影响。</w:t>
      </w:r>
    </w:p>
    <w:p>
      <w:pPr>
        <w:spacing w:line="240" w:lineRule="auto" w:before="8"/>
        <w:rPr>
          <w:rFonts w:ascii="宋体" w:hAnsi="宋体" w:cs="宋体" w:eastAsia="宋体" w:hint="default"/>
          <w:sz w:val="15"/>
          <w:szCs w:val="15"/>
        </w:rPr>
      </w:pPr>
    </w:p>
    <w:p>
      <w:pPr>
        <w:spacing w:line="484" w:lineRule="auto" w:before="0"/>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）减值测试方法及减值准备计提方法</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对子公司、联营企业及合营企业的投资，计提资产减值的方法见附注五、</w:t>
      </w:r>
      <w:r>
        <w:rPr>
          <w:rFonts w:ascii="Arial" w:hAnsi="Arial" w:cs="Arial" w:eastAsia="Arial" w:hint="default"/>
          <w:spacing w:val="-2"/>
          <w:sz w:val="21"/>
          <w:szCs w:val="21"/>
        </w:rPr>
        <w:t>18</w:t>
      </w:r>
      <w:r>
        <w:rPr>
          <w:rFonts w:ascii="宋体" w:hAnsi="宋体" w:cs="宋体" w:eastAsia="宋体" w:hint="default"/>
          <w:spacing w:val="-2"/>
          <w:sz w:val="21"/>
          <w:szCs w:val="21"/>
        </w:rPr>
        <w:t>。</w:t>
      </w:r>
    </w:p>
    <w:p>
      <w:pPr>
        <w:spacing w:before="9"/>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14</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）确认条件</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本集团固定资产是指为生产商品、提供劳务、出租或经营管理而持有的，使用寿命超过一个会计年</w:t>
      </w:r>
      <w:r>
        <w:rPr>
          <w:rFonts w:ascii="宋体" w:hAnsi="宋体" w:cs="宋体" w:eastAsia="宋体" w:hint="default"/>
          <w:w w:val="100"/>
          <w:sz w:val="21"/>
          <w:szCs w:val="21"/>
        </w:rPr>
        <w:t> </w:t>
      </w:r>
      <w:r>
        <w:rPr>
          <w:rFonts w:ascii="宋体" w:hAnsi="宋体" w:cs="宋体" w:eastAsia="宋体" w:hint="default"/>
          <w:sz w:val="21"/>
          <w:szCs w:val="21"/>
        </w:rPr>
        <w:t>度的有形资产。</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与该固定资产有关的经济利益很可能流入企业，并且该固定资产的成本能够可靠地计量时，固定资</w:t>
      </w:r>
      <w:r>
        <w:rPr>
          <w:rFonts w:ascii="宋体" w:hAnsi="宋体" w:cs="宋体" w:eastAsia="宋体" w:hint="default"/>
          <w:w w:val="100"/>
          <w:sz w:val="21"/>
          <w:szCs w:val="21"/>
        </w:rPr>
        <w:t> </w:t>
      </w:r>
      <w:r>
        <w:rPr>
          <w:rFonts w:ascii="宋体" w:hAnsi="宋体" w:cs="宋体" w:eastAsia="宋体" w:hint="default"/>
          <w:sz w:val="21"/>
          <w:szCs w:val="21"/>
        </w:rPr>
        <w:t>产才能予以确认。</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本集团固定资产按照取得时的实际成本进行初始计量。</w:t>
      </w:r>
    </w:p>
    <w:p>
      <w:pPr>
        <w:spacing w:line="240" w:lineRule="auto" w:before="1"/>
        <w:rPr>
          <w:rFonts w:ascii="宋体" w:hAnsi="宋体" w:cs="宋体" w:eastAsia="宋体" w:hint="default"/>
          <w:sz w:val="20"/>
          <w:szCs w:val="20"/>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）折旧方法</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30-50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1.90%-3.17%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4-10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9.50%-23.75%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w w:val="99"/>
                <w:sz w:val="18"/>
              </w:rPr>
              <w:t>5</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Arial" w:hAnsi="Arial" w:cs="Arial" w:eastAsia="Arial" w:hint="default"/>
                <w:sz w:val="18"/>
                <w:szCs w:val="18"/>
              </w:rPr>
            </w:pPr>
            <w:r>
              <w:rPr>
                <w:rFonts w:ascii="Arial"/>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19.00%</w:t>
            </w:r>
          </w:p>
        </w:tc>
      </w:tr>
    </w:tbl>
    <w:p>
      <w:pPr>
        <w:spacing w:line="240" w:lineRule="auto" w:before="6"/>
        <w:rPr>
          <w:rFonts w:ascii="Microsoft JhengHei" w:hAnsi="Microsoft JhengHei" w:cs="Microsoft JhengHei" w:eastAsia="Microsoft JhengHei" w:hint="default"/>
          <w:b/>
          <w:bCs/>
          <w:sz w:val="9"/>
          <w:szCs w:val="9"/>
        </w:rPr>
      </w:pPr>
    </w:p>
    <w:p>
      <w:pPr>
        <w:spacing w:line="314" w:lineRule="auto" w:before="3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本集团采用年限平均法计提折旧。固定资产自达到预定可使用状态时开始计提折旧，终止确认时或</w:t>
      </w:r>
      <w:r>
        <w:rPr>
          <w:rFonts w:ascii="宋体" w:hAnsi="宋体" w:cs="宋体" w:eastAsia="宋体" w:hint="default"/>
          <w:w w:val="100"/>
          <w:sz w:val="21"/>
          <w:szCs w:val="21"/>
        </w:rPr>
        <w:t> </w:t>
      </w:r>
      <w:r>
        <w:rPr>
          <w:rFonts w:ascii="宋体" w:hAnsi="宋体" w:cs="宋体" w:eastAsia="宋体" w:hint="default"/>
          <w:spacing w:val="-2"/>
          <w:sz w:val="21"/>
          <w:szCs w:val="21"/>
        </w:rPr>
        <w:t>划分为持有待售非流动资产时停止计提折旧。在不考虑减值准备的情况下，按固定资产类别、预计使用</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寿命和预计残值。其中，已计提减值准备的固定资产，还应扣除已计提的固定资产减值准备累计金额计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算确定折旧率。</w:t>
      </w:r>
    </w:p>
    <w:p>
      <w:pPr>
        <w:spacing w:line="240" w:lineRule="auto" w:before="2"/>
        <w:rPr>
          <w:rFonts w:ascii="宋体" w:hAnsi="宋体" w:cs="宋体" w:eastAsia="宋体" w:hint="default"/>
          <w:sz w:val="15"/>
          <w:szCs w:val="15"/>
        </w:rPr>
      </w:pPr>
    </w:p>
    <w:p>
      <w:pPr>
        <w:spacing w:line="482" w:lineRule="auto" w:before="0"/>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）融资租入固定资产的认定依据、计价和折旧方法</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2"/>
          <w:sz w:val="21"/>
          <w:szCs w:val="21"/>
        </w:rPr>
        <w:t>当本集团租入的固定资产符合下列一项或数项标准时，确认为融资租入固定资产：</w:t>
      </w:r>
    </w:p>
    <w:p>
      <w:pPr>
        <w:spacing w:before="29"/>
        <w:ind w:left="578" w:right="0" w:firstLine="0"/>
        <w:jc w:val="left"/>
        <w:rPr>
          <w:rFonts w:ascii="宋体" w:hAnsi="宋体" w:cs="宋体" w:eastAsia="宋体" w:hint="default"/>
          <w:sz w:val="21"/>
          <w:szCs w:val="21"/>
        </w:rPr>
      </w:pPr>
      <w:r>
        <w:rPr>
          <w:rFonts w:ascii="宋体" w:hAnsi="宋体" w:cs="宋体" w:eastAsia="宋体" w:hint="default"/>
          <w:sz w:val="21"/>
          <w:szCs w:val="21"/>
        </w:rPr>
        <w:t>①在租赁期届满时，租赁资产的所有权转移给本集团。</w:t>
      </w:r>
    </w:p>
    <w:p>
      <w:pPr>
        <w:spacing w:after="0"/>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14" w:lineRule="auto" w:before="3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②本集团有购买租赁资产的选择权，所订立的购买价款预计将远低于行使选择权时租赁资产的公允</w:t>
      </w:r>
      <w:r>
        <w:rPr>
          <w:rFonts w:ascii="宋体" w:hAnsi="宋体" w:cs="宋体" w:eastAsia="宋体" w:hint="default"/>
          <w:w w:val="100"/>
          <w:sz w:val="21"/>
          <w:szCs w:val="21"/>
        </w:rPr>
        <w:t> </w:t>
      </w:r>
      <w:r>
        <w:rPr>
          <w:rFonts w:ascii="宋体" w:hAnsi="宋体" w:cs="宋体" w:eastAsia="宋体" w:hint="default"/>
          <w:sz w:val="21"/>
          <w:szCs w:val="21"/>
        </w:rPr>
        <w:t>价值，因而在租赁开始日就可以合理确定本集团将会行使这种选择权。</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③即使资产的所有权不转移，但租赁期占租赁资产使用寿命的大部分。</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④本集团在租赁开始日的最低租赁付款额现值，几乎相当于租赁开始日租赁资产公允价值。</w:t>
      </w:r>
    </w:p>
    <w:p>
      <w:pPr>
        <w:spacing w:line="510" w:lineRule="atLeast" w:before="6"/>
        <w:ind w:left="578" w:right="0" w:firstLine="0"/>
        <w:jc w:val="left"/>
        <w:rPr>
          <w:rFonts w:ascii="宋体" w:hAnsi="宋体" w:cs="宋体" w:eastAsia="宋体" w:hint="default"/>
          <w:sz w:val="21"/>
          <w:szCs w:val="21"/>
        </w:rPr>
      </w:pPr>
      <w:r>
        <w:rPr>
          <w:rFonts w:ascii="宋体" w:hAnsi="宋体" w:cs="宋体" w:eastAsia="宋体" w:hint="default"/>
          <w:sz w:val="21"/>
          <w:szCs w:val="21"/>
        </w:rPr>
        <w:t>⑤租赁资产性质特殊，如果不作较大改造，只有本集团才能使用。</w:t>
      </w:r>
      <w:r>
        <w:rPr>
          <w:rFonts w:ascii="宋体" w:hAnsi="宋体" w:cs="宋体" w:eastAsia="宋体" w:hint="default"/>
          <w:w w:val="100"/>
          <w:sz w:val="21"/>
          <w:szCs w:val="21"/>
        </w:rPr>
        <w:t> </w:t>
      </w:r>
      <w:r>
        <w:rPr>
          <w:rFonts w:ascii="宋体" w:hAnsi="宋体" w:cs="宋体" w:eastAsia="宋体" w:hint="default"/>
          <w:spacing w:val="-2"/>
          <w:sz w:val="21"/>
          <w:szCs w:val="21"/>
        </w:rPr>
        <w:t>融资租赁租入的固定资产，按租赁开始日租赁资产公允价值与最低租赁付款额的现值两者中较低</w:t>
      </w:r>
    </w:p>
    <w:p>
      <w:pPr>
        <w:spacing w:line="314" w:lineRule="auto" w:before="85"/>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者，作为入账价值。最低租赁付款额作为长期应付款的入账价值，其差额作为未确认融资费用。在租赁</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谈判和签订租赁合同过程中发生的，可归属于租赁项目的手续费、律师费、差旅费、印花税等初始直接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费用，计入租入资产价值。未确认融资费用在租赁期内各个期间采用实际利率法进行分摊。</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融资租入的固定资产采用与自有固定资产一致的政策计提租赁资产折旧。能够合理确定租赁期届满</w:t>
      </w:r>
      <w:r>
        <w:rPr>
          <w:rFonts w:ascii="宋体" w:hAnsi="宋体" w:cs="宋体" w:eastAsia="宋体" w:hint="default"/>
          <w:w w:val="100"/>
          <w:sz w:val="21"/>
          <w:szCs w:val="21"/>
        </w:rPr>
        <w:t> </w:t>
      </w:r>
      <w:r>
        <w:rPr>
          <w:rFonts w:ascii="宋体" w:hAnsi="宋体" w:cs="宋体" w:eastAsia="宋体" w:hint="default"/>
          <w:spacing w:val="-2"/>
          <w:sz w:val="21"/>
          <w:szCs w:val="21"/>
        </w:rPr>
        <w:t>时将会取得租赁资产所有权的，在租赁资产尚可使用年限内计提折旧；无法合理确定租赁期届满时能够</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取得租赁资产所有权的，在租赁期与租赁资产尚可使用年限两者中较短的期间内计提折旧。</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每年年度终了，本集团对固定资产的使用寿命、预计净残值和折旧方法进行复核。使用寿命预计数</w:t>
      </w:r>
      <w:r>
        <w:rPr>
          <w:rFonts w:ascii="宋体" w:hAnsi="宋体" w:cs="宋体" w:eastAsia="宋体" w:hint="default"/>
          <w:w w:val="100"/>
          <w:sz w:val="21"/>
          <w:szCs w:val="21"/>
        </w:rPr>
        <w:t> </w:t>
      </w:r>
      <w:r>
        <w:rPr>
          <w:rFonts w:ascii="宋体" w:hAnsi="宋体" w:cs="宋体" w:eastAsia="宋体" w:hint="default"/>
          <w:spacing w:val="-2"/>
          <w:sz w:val="21"/>
          <w:szCs w:val="21"/>
        </w:rPr>
        <w:t>与原先估计数有差异的，调整固定资产使用寿命；预计净残值预计数与原先估计数有差异的，调整预计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净残值。</w:t>
      </w:r>
    </w:p>
    <w:p>
      <w:pPr>
        <w:spacing w:line="314" w:lineRule="auto" w:before="176"/>
        <w:ind w:left="152" w:right="0" w:firstLine="425"/>
        <w:jc w:val="left"/>
        <w:rPr>
          <w:rFonts w:ascii="宋体" w:hAnsi="宋体" w:cs="宋体" w:eastAsia="宋体" w:hint="default"/>
          <w:sz w:val="21"/>
          <w:szCs w:val="21"/>
        </w:rPr>
      </w:pPr>
      <w:r>
        <w:rPr>
          <w:rFonts w:ascii="宋体" w:hAnsi="宋体" w:cs="宋体" w:eastAsia="宋体" w:hint="default"/>
          <w:sz w:val="21"/>
          <w:szCs w:val="21"/>
        </w:rPr>
        <w:t>本集团对固定资产进行定期检查发生的大修理费用，有确凿证据表明符合固定资产确认条件的部</w:t>
      </w:r>
      <w:r>
        <w:rPr>
          <w:rFonts w:ascii="宋体" w:hAnsi="宋体" w:cs="宋体" w:eastAsia="宋体" w:hint="default"/>
          <w:w w:val="100"/>
          <w:sz w:val="21"/>
          <w:szCs w:val="21"/>
        </w:rPr>
        <w:t> </w:t>
      </w:r>
      <w:r>
        <w:rPr>
          <w:rFonts w:ascii="宋体" w:hAnsi="宋体" w:cs="宋体" w:eastAsia="宋体" w:hint="default"/>
          <w:spacing w:val="-2"/>
          <w:sz w:val="21"/>
          <w:szCs w:val="21"/>
        </w:rPr>
        <w:t>分，计入固定资产成本，不符合固定资产确认条件的计入当期损益。固定资产在定期大修理间隔期间，</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照提折旧。</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固定资产的减值测试方法、减值准备计提方法见附注五、</w:t>
      </w:r>
      <w:r>
        <w:rPr>
          <w:rFonts w:ascii="Arial" w:hAnsi="Arial" w:cs="Arial" w:eastAsia="Arial" w:hint="default"/>
          <w:sz w:val="21"/>
          <w:szCs w:val="21"/>
        </w:rPr>
        <w:t>18</w:t>
      </w:r>
      <w:r>
        <w:rPr>
          <w:rFonts w:ascii="宋体" w:hAnsi="宋体" w:cs="宋体" w:eastAsia="宋体" w:hint="default"/>
          <w:sz w:val="21"/>
          <w:szCs w:val="21"/>
        </w:rPr>
        <w:t>。</w:t>
      </w:r>
    </w:p>
    <w:p>
      <w:pPr>
        <w:spacing w:line="240" w:lineRule="auto" w:before="13"/>
        <w:rPr>
          <w:rFonts w:ascii="宋体" w:hAnsi="宋体" w:cs="宋体" w:eastAsia="宋体" w:hint="default"/>
          <w:sz w:val="18"/>
          <w:szCs w:val="18"/>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15</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本集团在建工程成本按实际工程支出确定，包括在建期间发生的各项必要工程支出、工程达到预定</w:t>
      </w:r>
      <w:r>
        <w:rPr>
          <w:rFonts w:ascii="宋体" w:hAnsi="宋体" w:cs="宋体" w:eastAsia="宋体" w:hint="default"/>
          <w:w w:val="100"/>
          <w:sz w:val="21"/>
          <w:szCs w:val="21"/>
        </w:rPr>
        <w:t> </w:t>
      </w:r>
      <w:r>
        <w:rPr>
          <w:rFonts w:ascii="宋体" w:hAnsi="宋体" w:cs="宋体" w:eastAsia="宋体" w:hint="default"/>
          <w:sz w:val="21"/>
          <w:szCs w:val="21"/>
        </w:rPr>
        <w:t>可使用状态前的应予资本化的借款费用以及其他相关费用等。</w:t>
      </w:r>
    </w:p>
    <w:p>
      <w:pPr>
        <w:spacing w:line="451" w:lineRule="auto" w:before="176"/>
        <w:ind w:left="578" w:right="4494" w:firstLine="0"/>
        <w:jc w:val="left"/>
        <w:rPr>
          <w:rFonts w:ascii="宋体" w:hAnsi="宋体" w:cs="宋体" w:eastAsia="宋体" w:hint="default"/>
          <w:sz w:val="21"/>
          <w:szCs w:val="21"/>
        </w:rPr>
      </w:pPr>
      <w:r>
        <w:rPr>
          <w:rFonts w:ascii="宋体" w:hAnsi="宋体" w:cs="宋体" w:eastAsia="宋体" w:hint="default"/>
          <w:spacing w:val="-2"/>
          <w:sz w:val="21"/>
          <w:szCs w:val="21"/>
        </w:rPr>
        <w:t>在建工程在达到预定可使用状态时转入固定资产。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在建工程计提资产减值方法见附注五、</w:t>
      </w:r>
      <w:r>
        <w:rPr>
          <w:rFonts w:ascii="Arial" w:hAnsi="Arial" w:cs="Arial" w:eastAsia="Arial" w:hint="default"/>
          <w:sz w:val="21"/>
          <w:szCs w:val="21"/>
        </w:rPr>
        <w:t>18</w:t>
      </w:r>
      <w:r>
        <w:rPr>
          <w:rFonts w:ascii="宋体" w:hAnsi="宋体" w:cs="宋体" w:eastAsia="宋体" w:hint="default"/>
          <w:sz w:val="21"/>
          <w:szCs w:val="21"/>
        </w:rPr>
        <w:t>。</w:t>
      </w:r>
    </w:p>
    <w:p>
      <w:pPr>
        <w:spacing w:before="41"/>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16</w:t>
      </w:r>
      <w:r>
        <w:rPr>
          <w:rFonts w:ascii="Microsoft JhengHei" w:hAnsi="Microsoft JhengHei" w:cs="Microsoft JhengHei" w:eastAsia="Microsoft JhengHei" w:hint="default"/>
          <w:b/>
          <w:bCs/>
          <w:sz w:val="21"/>
          <w:szCs w:val="21"/>
        </w:rPr>
        <w:t>、借款费用</w:t>
      </w:r>
      <w:r>
        <w:rPr>
          <w:rFonts w:ascii="Microsoft JhengHei" w:hAnsi="Microsoft JhengHei" w:cs="Microsoft JhengHei" w:eastAsia="Microsoft JhengHei" w:hint="default"/>
          <w:sz w:val="21"/>
          <w:szCs w:val="21"/>
        </w:rPr>
      </w:r>
    </w:p>
    <w:p>
      <w:pPr>
        <w:spacing w:line="670" w:lineRule="exact" w:before="23"/>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）借款费用资本化的确认原则</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本集团发生的借款费用，可直接归属于符合资本化条件的资产的购建或者生产的，予以资本化，计</w:t>
      </w:r>
    </w:p>
    <w:p>
      <w:pPr>
        <w:spacing w:line="256" w:lineRule="exact"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入相关资产成本；其他借款费用，在发生时根据其发生额确认为费用，计入当期损益。借款费用同时满</w:t>
      </w:r>
    </w:p>
    <w:p>
      <w:pPr>
        <w:spacing w:before="85"/>
        <w:ind w:left="152" w:right="0" w:firstLine="0"/>
        <w:jc w:val="both"/>
        <w:rPr>
          <w:rFonts w:ascii="宋体" w:hAnsi="宋体" w:cs="宋体" w:eastAsia="宋体" w:hint="default"/>
          <w:sz w:val="21"/>
          <w:szCs w:val="21"/>
        </w:rPr>
      </w:pPr>
      <w:r>
        <w:rPr>
          <w:rFonts w:ascii="宋体" w:hAnsi="宋体" w:cs="宋体" w:eastAsia="宋体" w:hint="default"/>
          <w:sz w:val="21"/>
          <w:szCs w:val="21"/>
        </w:rPr>
        <w:t>足下列条件的，开始资本化：</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①资产支出已经发生，资产支出包括为购建或者生产符合资本化条件的资产而以支付现金、转移非</w:t>
      </w:r>
    </w:p>
    <w:p>
      <w:pPr>
        <w:spacing w:after="0"/>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现金资产或者承担带息债务形式发生的支出；</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②借款费用已经发生；</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③为使资产达到预定可使用或者可销售状态所必要的购建或者生产活动已经开始。</w:t>
      </w:r>
    </w:p>
    <w:p>
      <w:pPr>
        <w:spacing w:line="670" w:lineRule="exact" w:before="39"/>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）借款费用资本化期间</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本集团购建或者生产符合资本化条件的资产达到预定可使用或者可销售状态时，借款费用停止资本</w:t>
      </w:r>
    </w:p>
    <w:p>
      <w:pPr>
        <w:spacing w:line="256"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化。在符合资本化条件的资产达到预定可使用或者可销售状态之后所发生的借款费用，在发生时根据其</w:t>
      </w:r>
    </w:p>
    <w:p>
      <w:pPr>
        <w:spacing w:before="85"/>
        <w:ind w:left="152" w:right="0" w:firstLine="0"/>
        <w:jc w:val="left"/>
        <w:rPr>
          <w:rFonts w:ascii="宋体" w:hAnsi="宋体" w:cs="宋体" w:eastAsia="宋体" w:hint="default"/>
          <w:sz w:val="21"/>
          <w:szCs w:val="21"/>
        </w:rPr>
      </w:pPr>
      <w:r>
        <w:rPr>
          <w:rFonts w:ascii="宋体" w:hAnsi="宋体" w:cs="宋体" w:eastAsia="宋体" w:hint="default"/>
          <w:sz w:val="21"/>
          <w:szCs w:val="21"/>
        </w:rPr>
        <w:t>发生额确认为费用，计入当期损益。</w:t>
      </w:r>
    </w:p>
    <w:p>
      <w:pPr>
        <w:spacing w:line="240" w:lineRule="auto" w:before="6"/>
        <w:rPr>
          <w:rFonts w:ascii="宋体" w:hAnsi="宋体" w:cs="宋体" w:eastAsia="宋体" w:hint="default"/>
          <w:sz w:val="18"/>
          <w:szCs w:val="18"/>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符合资本化条件的资产在购建或者生产过程中发生非正常中断、且中断时间连续超过</w:t>
      </w:r>
      <w:r>
        <w:rPr>
          <w:rFonts w:ascii="Arial" w:hAnsi="Arial" w:cs="Arial" w:eastAsia="Arial" w:hint="default"/>
          <w:spacing w:val="-2"/>
          <w:sz w:val="21"/>
          <w:szCs w:val="21"/>
        </w:rPr>
        <w:t>3</w:t>
      </w:r>
      <w:r>
        <w:rPr>
          <w:rFonts w:ascii="宋体" w:hAnsi="宋体" w:cs="宋体" w:eastAsia="宋体" w:hint="default"/>
          <w:spacing w:val="-2"/>
          <w:sz w:val="21"/>
          <w:szCs w:val="21"/>
        </w:rPr>
        <w:t>个月的，暂停</w:t>
      </w:r>
      <w:r>
        <w:rPr>
          <w:rFonts w:ascii="宋体" w:hAnsi="宋体" w:cs="宋体" w:eastAsia="宋体" w:hint="default"/>
          <w:w w:val="100"/>
          <w:sz w:val="21"/>
          <w:szCs w:val="21"/>
        </w:rPr>
        <w:t> </w:t>
      </w:r>
      <w:r>
        <w:rPr>
          <w:rFonts w:ascii="宋体" w:hAnsi="宋体" w:cs="宋体" w:eastAsia="宋体" w:hint="default"/>
          <w:sz w:val="21"/>
          <w:szCs w:val="21"/>
        </w:rPr>
        <w:t>借款费用的资本化；正常中断期间的借款费用继续资本化。</w:t>
      </w:r>
    </w:p>
    <w:p>
      <w:pPr>
        <w:spacing w:line="240" w:lineRule="auto" w:before="3"/>
        <w:rPr>
          <w:rFonts w:ascii="宋体" w:hAnsi="宋体" w:cs="宋体" w:eastAsia="宋体" w:hint="default"/>
          <w:sz w:val="16"/>
          <w:szCs w:val="16"/>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）借款费用资本化率以及资本化金额的计算方法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专门借款当期实际发生的利息费用，减去尚未动用的借款资金存入银行取得的利息收入或进行暂时</w:t>
      </w:r>
      <w:r>
        <w:rPr>
          <w:rFonts w:ascii="宋体" w:hAnsi="宋体" w:cs="宋体" w:eastAsia="宋体" w:hint="default"/>
          <w:w w:val="100"/>
          <w:sz w:val="21"/>
          <w:szCs w:val="21"/>
        </w:rPr>
        <w:t> </w:t>
      </w:r>
      <w:r>
        <w:rPr>
          <w:rFonts w:ascii="宋体" w:hAnsi="宋体" w:cs="宋体" w:eastAsia="宋体" w:hint="default"/>
          <w:spacing w:val="-2"/>
          <w:sz w:val="21"/>
          <w:szCs w:val="21"/>
        </w:rPr>
        <w:t>性投资取得的投资收益后的金额予以资本化；一般借款根据累计资产支出超过专门借款部分的资产支出</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加权平均数乘以所占用一般借款的资本化率，确定资本化金额。资本化率根据一般借款的加权平均利率</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计算确定。</w:t>
      </w:r>
    </w:p>
    <w:p>
      <w:pPr>
        <w:spacing w:line="240" w:lineRule="auto" w:before="9"/>
        <w:rPr>
          <w:rFonts w:ascii="宋体" w:hAnsi="宋体" w:cs="宋体" w:eastAsia="宋体" w:hint="default"/>
          <w:sz w:val="10"/>
          <w:szCs w:val="10"/>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资本化期间内，外币专门借款的汇兑差额全部予以资本化；外币一般借款的汇兑差额计入当期损</w:t>
      </w:r>
    </w:p>
    <w:p>
      <w:pPr>
        <w:spacing w:before="85"/>
        <w:ind w:left="152" w:right="0"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240" w:lineRule="auto" w:before="6"/>
        <w:rPr>
          <w:rFonts w:ascii="宋体" w:hAnsi="宋体" w:cs="宋体" w:eastAsia="宋体" w:hint="default"/>
          <w:sz w:val="22"/>
          <w:szCs w:val="22"/>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17</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line="482" w:lineRule="auto" w:before="0"/>
        <w:ind w:left="578" w:right="4494"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）计价方法、使用寿命、减值测试</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本集团无形资产包括土地使用权、软件、专利权等。</w:t>
      </w:r>
    </w:p>
    <w:p>
      <w:pPr>
        <w:spacing w:line="314" w:lineRule="auto" w:before="29"/>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无形资产按照成本进行初始计量，并于取得无形资产时分析判断其使用寿命。使用寿命为有限的，</w:t>
      </w:r>
      <w:r>
        <w:rPr>
          <w:rFonts w:ascii="宋体" w:hAnsi="宋体" w:cs="宋体" w:eastAsia="宋体" w:hint="default"/>
          <w:w w:val="100"/>
          <w:sz w:val="21"/>
          <w:szCs w:val="21"/>
        </w:rPr>
        <w:t> </w:t>
      </w:r>
      <w:r>
        <w:rPr>
          <w:rFonts w:ascii="宋体" w:hAnsi="宋体" w:cs="宋体" w:eastAsia="宋体" w:hint="default"/>
          <w:spacing w:val="-2"/>
          <w:sz w:val="21"/>
          <w:szCs w:val="21"/>
        </w:rPr>
        <w:t>自无形资产可供使用时起，采用能反映与该资产有关的经济利益的预期实现方式的摊销方法，在预计使</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用年限内摊销；无法可靠确定预期实现方式的，采用直线法摊销；使用寿命不确定的无形资产，不作摊</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销。</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使用寿命有限的无形资产摊销方法如下：</w:t>
      </w:r>
    </w:p>
    <w:p>
      <w:pPr>
        <w:spacing w:line="240" w:lineRule="auto" w:before="3"/>
        <w:rPr>
          <w:rFonts w:ascii="宋体" w:hAnsi="宋体" w:cs="宋体" w:eastAsia="宋体" w:hint="default"/>
          <w:sz w:val="15"/>
          <w:szCs w:val="15"/>
        </w:rPr>
      </w:pPr>
    </w:p>
    <w:tbl>
      <w:tblPr>
        <w:tblW w:w="0" w:type="auto"/>
        <w:jc w:val="left"/>
        <w:tblInd w:w="164" w:type="dxa"/>
        <w:tblLayout w:type="fixed"/>
        <w:tblCellMar>
          <w:top w:w="0" w:type="dxa"/>
          <w:left w:w="0" w:type="dxa"/>
          <w:bottom w:w="0" w:type="dxa"/>
          <w:right w:w="0" w:type="dxa"/>
        </w:tblCellMar>
        <w:tblLook w:val="01E0"/>
      </w:tblPr>
      <w:tblGrid>
        <w:gridCol w:w="2376"/>
        <w:gridCol w:w="2693"/>
        <w:gridCol w:w="2352"/>
        <w:gridCol w:w="1861"/>
      </w:tblGrid>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Arial" w:hAnsi="Arial" w:cs="Arial" w:eastAsia="Arial" w:hint="default"/>
                <w:sz w:val="18"/>
                <w:szCs w:val="18"/>
              </w:rPr>
            </w:pPr>
            <w:r>
              <w:rPr>
                <w:rFonts w:ascii="Arial"/>
                <w:sz w:val="18"/>
              </w:rPr>
              <w:t>50</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186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与收入高度相关的软件</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销售期</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按销售金额摊销</w:t>
            </w:r>
          </w:p>
        </w:tc>
        <w:tc>
          <w:tcPr>
            <w:tcW w:w="18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Arial" w:hAnsi="Arial" w:cs="Arial" w:eastAsia="Arial" w:hint="default"/>
                <w:sz w:val="18"/>
                <w:szCs w:val="18"/>
              </w:rPr>
            </w:pPr>
            <w:r>
              <w:rPr>
                <w:rFonts w:ascii="Arial"/>
                <w:sz w:val="18"/>
              </w:rPr>
              <w:t>5-10</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186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专利到期剩余期限</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186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Arial" w:hAnsi="Arial" w:cs="Arial" w:eastAsia="Arial" w:hint="default"/>
                <w:sz w:val="18"/>
                <w:szCs w:val="18"/>
              </w:rPr>
            </w:pPr>
            <w:r>
              <w:rPr>
                <w:rFonts w:ascii="Arial"/>
                <w:sz w:val="18"/>
              </w:rPr>
              <w:t>10</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18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14" w:lineRule="auto" w:before="3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本集团于每年年度终了，对使用寿命有限的无形资产的使用寿命及摊销方法进行复核，与以前估计</w:t>
      </w:r>
      <w:r>
        <w:rPr>
          <w:rFonts w:ascii="宋体" w:hAnsi="宋体" w:cs="宋体" w:eastAsia="宋体" w:hint="default"/>
          <w:w w:val="100"/>
          <w:sz w:val="21"/>
          <w:szCs w:val="21"/>
        </w:rPr>
        <w:t> </w:t>
      </w:r>
      <w:r>
        <w:rPr>
          <w:rFonts w:ascii="宋体" w:hAnsi="宋体" w:cs="宋体" w:eastAsia="宋体" w:hint="default"/>
          <w:sz w:val="21"/>
          <w:szCs w:val="21"/>
        </w:rPr>
        <w:t>不同的，调整原先估计数，并按会计估计变更处理。</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资产负债表日预计某项无形资产已经不能给企业带来未来经济利益的，将该项无形资产的账面价值</w:t>
      </w:r>
      <w:r>
        <w:rPr>
          <w:rFonts w:ascii="宋体" w:hAnsi="宋体" w:cs="宋体" w:eastAsia="宋体" w:hint="default"/>
          <w:w w:val="100"/>
          <w:sz w:val="21"/>
          <w:szCs w:val="21"/>
        </w:rPr>
        <w:t> </w:t>
      </w:r>
      <w:r>
        <w:rPr>
          <w:rFonts w:ascii="宋体" w:hAnsi="宋体" w:cs="宋体" w:eastAsia="宋体" w:hint="default"/>
          <w:sz w:val="21"/>
          <w:szCs w:val="21"/>
        </w:rPr>
        <w:t>全部转入当期损益。</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无形资产计提资产减值方法见附注五、</w:t>
      </w:r>
      <w:r>
        <w:rPr>
          <w:rFonts w:ascii="Arial" w:hAnsi="Arial" w:cs="Arial" w:eastAsia="Arial" w:hint="default"/>
          <w:sz w:val="21"/>
          <w:szCs w:val="21"/>
        </w:rPr>
        <w:t>18</w:t>
      </w:r>
      <w:r>
        <w:rPr>
          <w:rFonts w:ascii="宋体" w:hAnsi="宋体" w:cs="宋体" w:eastAsia="宋体" w:hint="default"/>
          <w:sz w:val="21"/>
          <w:szCs w:val="21"/>
        </w:rPr>
        <w:t>。</w:t>
      </w:r>
    </w:p>
    <w:p>
      <w:pPr>
        <w:spacing w:line="240" w:lineRule="auto" w:before="13"/>
        <w:rPr>
          <w:rFonts w:ascii="宋体" w:hAnsi="宋体" w:cs="宋体" w:eastAsia="宋体" w:hint="default"/>
          <w:sz w:val="18"/>
          <w:szCs w:val="18"/>
        </w:rPr>
      </w:pPr>
    </w:p>
    <w:p>
      <w:pPr>
        <w:spacing w:line="468" w:lineRule="auto" w:before="0"/>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）内部研究开发支出会计政策</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本集团将内部研究开发项目的支出，区分为研究阶段支出和开发阶段支出。</w:t>
      </w:r>
      <w:r>
        <w:rPr>
          <w:rFonts w:ascii="宋体" w:hAnsi="宋体" w:cs="宋体" w:eastAsia="宋体" w:hint="default"/>
          <w:w w:val="100"/>
          <w:sz w:val="21"/>
          <w:szCs w:val="21"/>
        </w:rPr>
        <w:t> </w:t>
      </w:r>
      <w:r>
        <w:rPr>
          <w:rFonts w:ascii="宋体" w:hAnsi="宋体" w:cs="宋体" w:eastAsia="宋体" w:hint="default"/>
          <w:sz w:val="21"/>
          <w:szCs w:val="21"/>
        </w:rPr>
        <w:t>研究阶段的支出，于发生时计入当期损益。</w:t>
      </w:r>
    </w:p>
    <w:p>
      <w:pPr>
        <w:spacing w:line="314" w:lineRule="auto" w:before="42"/>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开发阶段的支出，同时满足下列条件的，才能予以资本化，即：完成该无形资产以使其能够使用或</w:t>
      </w:r>
      <w:r>
        <w:rPr>
          <w:rFonts w:ascii="宋体" w:hAnsi="宋体" w:cs="宋体" w:eastAsia="宋体" w:hint="default"/>
          <w:w w:val="100"/>
          <w:sz w:val="21"/>
          <w:szCs w:val="21"/>
        </w:rPr>
        <w:t> </w:t>
      </w:r>
      <w:r>
        <w:rPr>
          <w:rFonts w:ascii="宋体" w:hAnsi="宋体" w:cs="宋体" w:eastAsia="宋体" w:hint="default"/>
          <w:spacing w:val="-2"/>
          <w:sz w:val="21"/>
          <w:szCs w:val="21"/>
        </w:rPr>
        <w:t>出售在技术上具有可行性；具有完成该无形资产并使用或出售的意图；无形资产产生经济利益的方式，</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包括能够证明运用该无形资产生产的产品存在市场或无形资产自身存在市场，无形资产将在内部使用</w:t>
      </w:r>
      <w:r>
        <w:rPr>
          <w:rFonts w:ascii="宋体" w:hAnsi="宋体" w:cs="宋体" w:eastAsia="宋体" w:hint="default"/>
          <w:w w:val="100"/>
          <w:sz w:val="21"/>
          <w:szCs w:val="21"/>
        </w:rPr>
        <w:t> </w:t>
      </w:r>
      <w:r>
        <w:rPr>
          <w:rFonts w:ascii="宋体" w:hAnsi="宋体" w:cs="宋体" w:eastAsia="宋体" w:hint="default"/>
          <w:spacing w:val="-2"/>
          <w:sz w:val="21"/>
          <w:szCs w:val="21"/>
        </w:rPr>
        <w:t>的，能够证明其有用性；有足够的技术、财务资源和其他资源支持，以完成该无形资产的开发，并有能</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力使用或出售该无形资产；归属于该无形资产开发阶段的支出能够可靠地计量。不满足上述条件的开发</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支出计入当期损益。</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本集团研究开发项目在满足上述条件，通过技术可行性及经济可行性研究，形成项目立项后，进入</w:t>
      </w:r>
      <w:r>
        <w:rPr>
          <w:rFonts w:ascii="宋体" w:hAnsi="宋体" w:cs="宋体" w:eastAsia="宋体" w:hint="default"/>
          <w:w w:val="100"/>
          <w:sz w:val="21"/>
          <w:szCs w:val="21"/>
        </w:rPr>
        <w:t> </w:t>
      </w:r>
      <w:r>
        <w:rPr>
          <w:rFonts w:ascii="宋体" w:hAnsi="宋体" w:cs="宋体" w:eastAsia="宋体" w:hint="default"/>
          <w:sz w:val="21"/>
          <w:szCs w:val="21"/>
        </w:rPr>
        <w:t>开发阶段。</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已资本化的开发阶段的支出在资产负债表上列示为开发支出，自该项目达到预定用途之日转为无形</w:t>
      </w:r>
      <w:r>
        <w:rPr>
          <w:rFonts w:ascii="宋体" w:hAnsi="宋体" w:cs="宋体" w:eastAsia="宋体" w:hint="default"/>
          <w:w w:val="100"/>
          <w:sz w:val="21"/>
          <w:szCs w:val="21"/>
        </w:rPr>
        <w:t> </w:t>
      </w:r>
      <w:r>
        <w:rPr>
          <w:rFonts w:ascii="宋体" w:hAnsi="宋体" w:cs="宋体" w:eastAsia="宋体" w:hint="default"/>
          <w:sz w:val="21"/>
          <w:szCs w:val="21"/>
        </w:rPr>
        <w:t>资产。</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具体研发项目的资本化条件：</w:t>
      </w:r>
      <w:r>
        <w:rPr>
          <w:rFonts w:ascii="宋体" w:hAnsi="宋体" w:cs="宋体" w:eastAsia="宋体" w:hint="default"/>
          <w:w w:val="100"/>
          <w:sz w:val="21"/>
          <w:szCs w:val="21"/>
        </w:rPr>
        <w:t> </w:t>
      </w:r>
      <w:r>
        <w:rPr>
          <w:rFonts w:ascii="宋体" w:hAnsi="宋体" w:cs="宋体" w:eastAsia="宋体" w:hint="default"/>
          <w:spacing w:val="-2"/>
          <w:sz w:val="21"/>
          <w:szCs w:val="21"/>
        </w:rPr>
        <w:t>公司将产品策划阶段作为研究阶段，即开发部门根据市场调研情况，对计划开发的产品进行可行性</w:t>
      </w:r>
    </w:p>
    <w:p>
      <w:pPr>
        <w:spacing w:before="11"/>
        <w:ind w:left="152" w:right="0" w:firstLine="0"/>
        <w:jc w:val="left"/>
        <w:rPr>
          <w:rFonts w:ascii="宋体" w:hAnsi="宋体" w:cs="宋体" w:eastAsia="宋体" w:hint="default"/>
          <w:sz w:val="21"/>
          <w:szCs w:val="21"/>
        </w:rPr>
      </w:pPr>
      <w:r>
        <w:rPr>
          <w:rFonts w:ascii="宋体" w:hAnsi="宋体" w:cs="宋体" w:eastAsia="宋体" w:hint="default"/>
          <w:sz w:val="21"/>
          <w:szCs w:val="21"/>
        </w:rPr>
        <w:t>论证，撰写《产品开发可行性报告》。</w:t>
      </w:r>
    </w:p>
    <w:p>
      <w:pPr>
        <w:spacing w:line="240" w:lineRule="auto" w:before="6"/>
        <w:rPr>
          <w:rFonts w:ascii="宋体" w:hAnsi="宋体" w:cs="宋体" w:eastAsia="宋体" w:hint="default"/>
          <w:sz w:val="18"/>
          <w:szCs w:val="18"/>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公司将产品开发阶段作为开发阶段，即产品论证结束后，由开发部门提交《软件产品立项审批表》</w:t>
      </w:r>
      <w:r>
        <w:rPr>
          <w:rFonts w:ascii="宋体" w:hAnsi="宋体" w:cs="宋体" w:eastAsia="宋体" w:hint="default"/>
          <w:w w:val="100"/>
          <w:sz w:val="21"/>
          <w:szCs w:val="21"/>
        </w:rPr>
        <w:t> </w:t>
      </w:r>
      <w:r>
        <w:rPr>
          <w:rFonts w:ascii="宋体" w:hAnsi="宋体" w:cs="宋体" w:eastAsia="宋体" w:hint="default"/>
          <w:spacing w:val="-2"/>
          <w:sz w:val="21"/>
          <w:szCs w:val="21"/>
        </w:rPr>
        <w:t>申请立项，经审批通过后，产品正式立项，组建产品开发项目组，指定产品经理，开发支出资本化过程</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开始。</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18</w:t>
      </w:r>
      <w:r>
        <w:rPr>
          <w:rFonts w:ascii="Microsoft JhengHei" w:hAnsi="Microsoft JhengHei" w:cs="Microsoft JhengHei" w:eastAsia="Microsoft JhengHei" w:hint="default"/>
          <w:b/>
          <w:bCs/>
          <w:sz w:val="21"/>
          <w:szCs w:val="21"/>
        </w:rPr>
        <w:t>、长期资产减值</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对子公司、联营企业和合营企业的长期股权投资、采用成本模式进行后续计量的投资性房地产、固</w:t>
      </w:r>
      <w:r>
        <w:rPr>
          <w:rFonts w:ascii="宋体" w:hAnsi="宋体" w:cs="宋体" w:eastAsia="宋体" w:hint="default"/>
          <w:w w:val="100"/>
          <w:sz w:val="21"/>
          <w:szCs w:val="21"/>
        </w:rPr>
        <w:t> </w:t>
      </w:r>
      <w:r>
        <w:rPr>
          <w:rFonts w:ascii="宋体" w:hAnsi="宋体" w:cs="宋体" w:eastAsia="宋体" w:hint="default"/>
          <w:spacing w:val="-2"/>
          <w:sz w:val="21"/>
          <w:szCs w:val="21"/>
        </w:rPr>
        <w:t>定资产、在建工程、采用成本模式计量的生产性生物资产、无形资产、商誉、探明石油天然气矿区权益</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和井及相关设施等（存货、按公允价值模式计量的投资性房地产、递延所得税资产、金融资产除外）的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资产减值，按以下方法确定：</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于资产负债表日判断资产是否存在可能发生减值的迹象，存在减值迹象的，本集团将估计其可收回</w:t>
      </w:r>
      <w:r>
        <w:rPr>
          <w:rFonts w:ascii="宋体" w:hAnsi="宋体" w:cs="宋体" w:eastAsia="宋体" w:hint="default"/>
          <w:w w:val="100"/>
          <w:sz w:val="21"/>
          <w:szCs w:val="21"/>
        </w:rPr>
        <w:t> </w:t>
      </w:r>
      <w:r>
        <w:rPr>
          <w:rFonts w:ascii="宋体" w:hAnsi="宋体" w:cs="宋体" w:eastAsia="宋体" w:hint="default"/>
          <w:spacing w:val="-2"/>
          <w:sz w:val="21"/>
          <w:szCs w:val="21"/>
        </w:rPr>
        <w:t>金额，进行减值测试。对因企业合并所形成的商誉、使用寿命不确定的无形资产和尚未达到可使用状态</w:t>
      </w:r>
    </w:p>
    <w:p>
      <w:pPr>
        <w:spacing w:after="0" w:line="314" w:lineRule="auto"/>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的无形资产无论是否存在减值迹象，每年都进行减值测试。</w:t>
      </w:r>
    </w:p>
    <w:p>
      <w:pPr>
        <w:spacing w:line="240" w:lineRule="auto" w:before="6"/>
        <w:rPr>
          <w:rFonts w:ascii="宋体" w:hAnsi="宋体" w:cs="宋体" w:eastAsia="宋体" w:hint="default"/>
          <w:sz w:val="18"/>
          <w:szCs w:val="18"/>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可收回金额根据资产的公允价值减去处置费用后的净额与资产预计未来现金流量的现值两者之间较</w:t>
      </w:r>
      <w:r>
        <w:rPr>
          <w:rFonts w:ascii="宋体" w:hAnsi="宋体" w:cs="宋体" w:eastAsia="宋体" w:hint="default"/>
          <w:w w:val="100"/>
          <w:sz w:val="21"/>
          <w:szCs w:val="21"/>
        </w:rPr>
        <w:t> </w:t>
      </w:r>
      <w:r>
        <w:rPr>
          <w:rFonts w:ascii="宋体" w:hAnsi="宋体" w:cs="宋体" w:eastAsia="宋体" w:hint="default"/>
          <w:spacing w:val="-2"/>
          <w:sz w:val="21"/>
          <w:szCs w:val="21"/>
        </w:rPr>
        <w:t>高者确定。本集团以单项资产为基础估计其可收回金额；难以对单项资产的可收回金额进行估计的，以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该资产所属的资产组为基础确定资产组的可收回金额。资产组的认定，以资产组产生的主要现金流入是</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否独立于其他资产或者资产组的现金流入为依据。</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当资产或资产组的可收回金额低于其账面价值时，本集团将其账面价值减记至可收回金额，减记的</w:t>
      </w:r>
      <w:r>
        <w:rPr>
          <w:rFonts w:ascii="宋体" w:hAnsi="宋体" w:cs="宋体" w:eastAsia="宋体" w:hint="default"/>
          <w:w w:val="100"/>
          <w:sz w:val="21"/>
          <w:szCs w:val="21"/>
        </w:rPr>
        <w:t> </w:t>
      </w:r>
      <w:r>
        <w:rPr>
          <w:rFonts w:ascii="宋体" w:hAnsi="宋体" w:cs="宋体" w:eastAsia="宋体" w:hint="default"/>
          <w:sz w:val="21"/>
          <w:szCs w:val="21"/>
        </w:rPr>
        <w:t>金额计入当期损益，同时计提相应的资产减值准备。</w:t>
      </w:r>
    </w:p>
    <w:p>
      <w:pPr>
        <w:spacing w:line="314" w:lineRule="auto" w:before="176"/>
        <w:ind w:left="152" w:right="174" w:firstLine="425"/>
        <w:jc w:val="left"/>
        <w:rPr>
          <w:rFonts w:ascii="宋体" w:hAnsi="宋体" w:cs="宋体" w:eastAsia="宋体" w:hint="default"/>
          <w:sz w:val="21"/>
          <w:szCs w:val="21"/>
        </w:rPr>
      </w:pPr>
      <w:r>
        <w:rPr>
          <w:rFonts w:ascii="宋体" w:hAnsi="宋体" w:cs="宋体" w:eastAsia="宋体" w:hint="default"/>
          <w:spacing w:val="-2"/>
          <w:sz w:val="21"/>
          <w:szCs w:val="21"/>
        </w:rPr>
        <w:t>就商誉的减值测试而言，对于因企业合并形成的商誉的账面价值，自购买日起按照合理的方法分摊</w:t>
      </w:r>
      <w:r>
        <w:rPr>
          <w:rFonts w:ascii="宋体" w:hAnsi="宋体" w:cs="宋体" w:eastAsia="宋体" w:hint="default"/>
          <w:w w:val="100"/>
          <w:sz w:val="21"/>
          <w:szCs w:val="21"/>
        </w:rPr>
        <w:t> </w:t>
      </w:r>
      <w:r>
        <w:rPr>
          <w:rFonts w:ascii="宋体" w:hAnsi="宋体" w:cs="宋体" w:eastAsia="宋体" w:hint="default"/>
          <w:spacing w:val="-2"/>
          <w:sz w:val="21"/>
          <w:szCs w:val="21"/>
        </w:rPr>
        <w:t>至相关的资产组；难以分摊至相关的资产组的，将其分摊至相关的资产组组合。相关的资产组或资产组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组合，是能够从企业合并的协同效应中受益的资产组或者资产组组合，且不大于本集团确定的报告分</w:t>
      </w:r>
      <w:r>
        <w:rPr>
          <w:rFonts w:ascii="宋体" w:hAnsi="宋体" w:cs="宋体" w:eastAsia="宋体" w:hint="default"/>
          <w:w w:val="100"/>
          <w:sz w:val="21"/>
          <w:szCs w:val="21"/>
        </w:rPr>
        <w:t> </w:t>
      </w:r>
      <w:r>
        <w:rPr>
          <w:rFonts w:ascii="宋体" w:hAnsi="宋体" w:cs="宋体" w:eastAsia="宋体" w:hint="default"/>
          <w:sz w:val="21"/>
          <w:szCs w:val="21"/>
        </w:rPr>
        <w:t>部。</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减值测试时，如与商誉相关的资产组或者资产组组合存在减值迹象的，首先对不包含商誉的资产组</w:t>
      </w:r>
      <w:r>
        <w:rPr>
          <w:rFonts w:ascii="宋体" w:hAnsi="宋体" w:cs="宋体" w:eastAsia="宋体" w:hint="default"/>
          <w:w w:val="100"/>
          <w:sz w:val="21"/>
          <w:szCs w:val="21"/>
        </w:rPr>
        <w:t> </w:t>
      </w:r>
      <w:r>
        <w:rPr>
          <w:rFonts w:ascii="宋体" w:hAnsi="宋体" w:cs="宋体" w:eastAsia="宋体" w:hint="default"/>
          <w:spacing w:val="-2"/>
          <w:sz w:val="21"/>
          <w:szCs w:val="21"/>
        </w:rPr>
        <w:t>或者资产组组合进行减值测试，计算可收回金额，确认相应的减值损失。然后对包含商誉的资产组或者</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资产组组合进行减值测试，比较其账面价值与可收回金额，如可收回金额低于账面价值的，确认商誉的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减值损失。</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资产减值损失一经确认，在以后会计期间不再转回。</w:t>
      </w:r>
    </w:p>
    <w:p>
      <w:pPr>
        <w:spacing w:line="670" w:lineRule="exact" w:before="39"/>
        <w:ind w:left="578" w:right="0" w:hanging="426"/>
        <w:jc w:val="left"/>
        <w:rPr>
          <w:rFonts w:ascii="宋体" w:hAnsi="宋体" w:cs="宋体" w:eastAsia="宋体" w:hint="default"/>
          <w:sz w:val="21"/>
          <w:szCs w:val="21"/>
        </w:rPr>
      </w:pPr>
      <w:r>
        <w:rPr>
          <w:rFonts w:ascii="Arial" w:hAnsi="Arial" w:cs="Arial" w:eastAsia="Arial" w:hint="default"/>
          <w:b/>
          <w:bCs/>
          <w:sz w:val="21"/>
          <w:szCs w:val="21"/>
        </w:rPr>
        <w:t>19</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pacing w:val="-2"/>
          <w:sz w:val="21"/>
          <w:szCs w:val="21"/>
        </w:rPr>
        <w:t>本集团发生的长期待摊费用按实际成本计价，并按预计受益期限平均摊销。对不能使以后会计期间</w:t>
      </w:r>
    </w:p>
    <w:p>
      <w:pPr>
        <w:spacing w:line="256"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受益的长期待摊费用项目，其摊余价值全部计入当期损益。</w:t>
      </w:r>
    </w:p>
    <w:p>
      <w:pPr>
        <w:spacing w:line="240" w:lineRule="auto" w:before="1"/>
        <w:rPr>
          <w:rFonts w:ascii="宋体" w:hAnsi="宋体" w:cs="宋体" w:eastAsia="宋体" w:hint="default"/>
          <w:sz w:val="20"/>
          <w:szCs w:val="20"/>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20</w:t>
      </w:r>
      <w:r>
        <w:rPr>
          <w:rFonts w:ascii="Microsoft JhengHei" w:hAnsi="Microsoft JhengHei" w:cs="Microsoft JhengHei" w:eastAsia="Microsoft JhengHei" w:hint="default"/>
          <w:b/>
          <w:bCs/>
          <w:sz w:val="21"/>
          <w:szCs w:val="21"/>
        </w:rPr>
        <w:t>、职工薪酬</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职工薪酬，是指企业为获得职工提供的服务或解除劳动关系而给予的各种形式的报酬或补偿。职工</w:t>
      </w:r>
      <w:r>
        <w:rPr>
          <w:rFonts w:ascii="宋体" w:hAnsi="宋体" w:cs="宋体" w:eastAsia="宋体" w:hint="default"/>
          <w:w w:val="100"/>
          <w:sz w:val="21"/>
          <w:szCs w:val="21"/>
        </w:rPr>
        <w:t> </w:t>
      </w:r>
      <w:r>
        <w:rPr>
          <w:rFonts w:ascii="宋体" w:hAnsi="宋体" w:cs="宋体" w:eastAsia="宋体" w:hint="default"/>
          <w:spacing w:val="-2"/>
          <w:sz w:val="21"/>
          <w:szCs w:val="21"/>
        </w:rPr>
        <w:t>薪酬包括短期薪酬、离职后福利、辞退福利和其他长期职工福利。企业提供给职工配偶、子女、受赡养</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人、已故员工遗属及其他受益人等的福利，也属于职工薪酬。</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根据流动性，职工薪酬分别列示于资产负债表的</w:t>
      </w:r>
      <w:r>
        <w:rPr>
          <w:rFonts w:ascii="Arial" w:hAnsi="Arial" w:cs="Arial" w:eastAsia="Arial" w:hint="default"/>
          <w:sz w:val="21"/>
          <w:szCs w:val="21"/>
        </w:rPr>
        <w:t>“</w:t>
      </w:r>
      <w:r>
        <w:rPr>
          <w:rFonts w:ascii="宋体" w:hAnsi="宋体" w:cs="宋体" w:eastAsia="宋体" w:hint="default"/>
          <w:sz w:val="21"/>
          <w:szCs w:val="21"/>
        </w:rPr>
        <w:t>应付职工薪酬</w:t>
      </w:r>
      <w:r>
        <w:rPr>
          <w:rFonts w:ascii="Arial" w:hAnsi="Arial" w:cs="Arial" w:eastAsia="Arial" w:hint="default"/>
          <w:sz w:val="21"/>
          <w:szCs w:val="21"/>
        </w:rPr>
        <w:t>”</w:t>
      </w:r>
      <w:r>
        <w:rPr>
          <w:rFonts w:ascii="宋体" w:hAnsi="宋体" w:cs="宋体" w:eastAsia="宋体" w:hint="default"/>
          <w:sz w:val="21"/>
          <w:szCs w:val="21"/>
        </w:rPr>
        <w:t>项目和</w:t>
      </w:r>
      <w:r>
        <w:rPr>
          <w:rFonts w:ascii="Arial" w:hAnsi="Arial" w:cs="Arial" w:eastAsia="Arial" w:hint="default"/>
          <w:sz w:val="21"/>
          <w:szCs w:val="21"/>
        </w:rPr>
        <w:t>“</w:t>
      </w:r>
      <w:r>
        <w:rPr>
          <w:rFonts w:ascii="宋体" w:hAnsi="宋体" w:cs="宋体" w:eastAsia="宋体" w:hint="default"/>
          <w:sz w:val="21"/>
          <w:szCs w:val="21"/>
        </w:rPr>
        <w:t>长期应付职工薪酬</w:t>
      </w:r>
      <w:r>
        <w:rPr>
          <w:rFonts w:ascii="Arial" w:hAnsi="Arial" w:cs="Arial" w:eastAsia="Arial" w:hint="default"/>
          <w:sz w:val="21"/>
          <w:szCs w:val="21"/>
        </w:rPr>
        <w:t>”</w:t>
      </w:r>
      <w:r>
        <w:rPr>
          <w:rFonts w:ascii="宋体" w:hAnsi="宋体" w:cs="宋体" w:eastAsia="宋体" w:hint="default"/>
          <w:sz w:val="21"/>
          <w:szCs w:val="21"/>
        </w:rPr>
        <w:t>项目。</w:t>
      </w:r>
    </w:p>
    <w:p>
      <w:pPr>
        <w:spacing w:line="670" w:lineRule="exact" w:before="24"/>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本集团在职工提供服务的会计期间，将实际发生的职工工资、奖金、按规定的基准和比例为职工缴</w:t>
      </w:r>
    </w:p>
    <w:p>
      <w:pPr>
        <w:spacing w:line="256"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纳的医疗保险费、工伤保险费和生育保险费等社会保险费和住房公积金，确认为负债，并计入当期损益</w:t>
      </w:r>
    </w:p>
    <w:p>
      <w:pPr>
        <w:spacing w:line="314" w:lineRule="auto" w:before="8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或相关资产成本。如果该负债预期在职工提供相关服务的年度报告期结束后十二个月内不能完全支付，</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且财务影响重大的，则该负债将以折现后的金额计量。</w:t>
      </w:r>
    </w:p>
    <w:p>
      <w:pPr>
        <w:spacing w:after="0" w:line="314"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）离职后福利的会计处理方法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离职后福利计划包括设定提存计划和设定受益计划。其中，设定提存计划，是指向独立的基金缴存</w:t>
      </w:r>
      <w:r>
        <w:rPr>
          <w:rFonts w:ascii="宋体" w:hAnsi="宋体" w:cs="宋体" w:eastAsia="宋体" w:hint="default"/>
          <w:w w:val="100"/>
          <w:sz w:val="21"/>
          <w:szCs w:val="21"/>
        </w:rPr>
        <w:t> </w:t>
      </w:r>
      <w:r>
        <w:rPr>
          <w:rFonts w:ascii="宋体" w:hAnsi="宋体" w:cs="宋体" w:eastAsia="宋体" w:hint="default"/>
          <w:spacing w:val="-2"/>
          <w:sz w:val="21"/>
          <w:szCs w:val="21"/>
        </w:rPr>
        <w:t>固定费用后，企业不再承担进一步支付义务的离职后福利计划；设定受益计划，是指除设定提存计划以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外的离职后福利计划。</w:t>
      </w:r>
    </w:p>
    <w:p>
      <w:pPr>
        <w:spacing w:line="451" w:lineRule="auto" w:before="176"/>
        <w:ind w:left="578" w:right="4494" w:firstLine="0"/>
        <w:jc w:val="left"/>
        <w:rPr>
          <w:rFonts w:ascii="宋体" w:hAnsi="宋体" w:cs="宋体" w:eastAsia="宋体" w:hint="default"/>
          <w:sz w:val="21"/>
          <w:szCs w:val="21"/>
        </w:rPr>
      </w:pPr>
      <w:r>
        <w:rPr>
          <w:rFonts w:ascii="宋体" w:hAnsi="宋体" w:cs="宋体" w:eastAsia="宋体" w:hint="default"/>
          <w:sz w:val="21"/>
          <w:szCs w:val="21"/>
        </w:rPr>
        <w:t>设定提存计划</w:t>
      </w:r>
      <w:r>
        <w:rPr>
          <w:rFonts w:ascii="宋体" w:hAnsi="宋体" w:cs="宋体" w:eastAsia="宋体" w:hint="default"/>
          <w:w w:val="100"/>
          <w:sz w:val="21"/>
          <w:szCs w:val="21"/>
        </w:rPr>
        <w:t> </w:t>
      </w:r>
      <w:r>
        <w:rPr>
          <w:rFonts w:ascii="宋体" w:hAnsi="宋体" w:cs="宋体" w:eastAsia="宋体" w:hint="default"/>
          <w:spacing w:val="-2"/>
          <w:sz w:val="21"/>
          <w:szCs w:val="21"/>
        </w:rPr>
        <w:t>设定提存计划包括基本养老保险、失业保险等。</w:t>
      </w:r>
    </w:p>
    <w:p>
      <w:pPr>
        <w:spacing w:line="314" w:lineRule="auto" w:before="5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在职工提供服务的会计期间，根据设定提存计划计算的应缴存金额确认为负债，并计入当期损益或</w:t>
      </w:r>
      <w:r>
        <w:rPr>
          <w:rFonts w:ascii="宋体" w:hAnsi="宋体" w:cs="宋体" w:eastAsia="宋体" w:hint="default"/>
          <w:w w:val="100"/>
          <w:sz w:val="21"/>
          <w:szCs w:val="21"/>
        </w:rPr>
        <w:t> </w:t>
      </w:r>
      <w:r>
        <w:rPr>
          <w:rFonts w:ascii="宋体" w:hAnsi="宋体" w:cs="宋体" w:eastAsia="宋体" w:hint="default"/>
          <w:sz w:val="21"/>
          <w:szCs w:val="21"/>
        </w:rPr>
        <w:t>相关资产成本。</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设定受益计划</w:t>
      </w:r>
      <w:r>
        <w:rPr>
          <w:rFonts w:ascii="宋体" w:hAnsi="宋体" w:cs="宋体" w:eastAsia="宋体" w:hint="default"/>
          <w:w w:val="100"/>
          <w:sz w:val="21"/>
          <w:szCs w:val="21"/>
        </w:rPr>
        <w:t> </w:t>
      </w:r>
      <w:r>
        <w:rPr>
          <w:rFonts w:ascii="宋体" w:hAnsi="宋体" w:cs="宋体" w:eastAsia="宋体" w:hint="default"/>
          <w:spacing w:val="-2"/>
          <w:sz w:val="21"/>
          <w:szCs w:val="21"/>
        </w:rPr>
        <w:t>对于设定受益计划，在年度资产负债表日由独立精算师进行精算估值，以预期累积福利单位法确定</w:t>
      </w:r>
    </w:p>
    <w:p>
      <w:pPr>
        <w:spacing w:before="11"/>
        <w:ind w:left="152" w:right="0" w:firstLine="0"/>
        <w:jc w:val="left"/>
        <w:rPr>
          <w:rFonts w:ascii="宋体" w:hAnsi="宋体" w:cs="宋体" w:eastAsia="宋体" w:hint="default"/>
          <w:sz w:val="21"/>
          <w:szCs w:val="21"/>
        </w:rPr>
      </w:pPr>
      <w:r>
        <w:rPr>
          <w:rFonts w:ascii="宋体" w:hAnsi="宋体" w:cs="宋体" w:eastAsia="宋体" w:hint="default"/>
          <w:sz w:val="21"/>
          <w:szCs w:val="21"/>
        </w:rPr>
        <w:t>提供福利的成本。本集团设定受益计划导致的职工薪酬成本包括下列组成部分：</w:t>
      </w:r>
    </w:p>
    <w:p>
      <w:pPr>
        <w:spacing w:line="240" w:lineRule="auto" w:before="6"/>
        <w:rPr>
          <w:rFonts w:ascii="宋体" w:hAnsi="宋体" w:cs="宋体" w:eastAsia="宋体" w:hint="default"/>
          <w:sz w:val="18"/>
          <w:szCs w:val="18"/>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①服务成本，包括当期服务成本、过去服务成本和结算利得或损失。其中，当期服务成本，是指职</w:t>
      </w:r>
      <w:r>
        <w:rPr>
          <w:rFonts w:ascii="宋体" w:hAnsi="宋体" w:cs="宋体" w:eastAsia="宋体" w:hint="default"/>
          <w:w w:val="100"/>
          <w:sz w:val="21"/>
          <w:szCs w:val="21"/>
        </w:rPr>
        <w:t> </w:t>
      </w:r>
      <w:r>
        <w:rPr>
          <w:rFonts w:ascii="宋体" w:hAnsi="宋体" w:cs="宋体" w:eastAsia="宋体" w:hint="default"/>
          <w:spacing w:val="-2"/>
          <w:sz w:val="21"/>
          <w:szCs w:val="21"/>
        </w:rPr>
        <w:t>工当期提供服务所导致的设定受益计划义务现值的增加额；过去服务成本，是指设定受益计划修改所导</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致的与以前期间职工服务相关的设定受益计划义务现值的增加或减少。</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②设定受益计划净负债或净资产的利息净额，包括计划资产的利息收益、设定受益计划义务的利息</w:t>
      </w:r>
      <w:r>
        <w:rPr>
          <w:rFonts w:ascii="宋体" w:hAnsi="宋体" w:cs="宋体" w:eastAsia="宋体" w:hint="default"/>
          <w:w w:val="100"/>
          <w:sz w:val="21"/>
          <w:szCs w:val="21"/>
        </w:rPr>
        <w:t> </w:t>
      </w:r>
      <w:r>
        <w:rPr>
          <w:rFonts w:ascii="宋体" w:hAnsi="宋体" w:cs="宋体" w:eastAsia="宋体" w:hint="default"/>
          <w:sz w:val="21"/>
          <w:szCs w:val="21"/>
        </w:rPr>
        <w:t>费用以及资产上限影响的利息。</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③重新计量设定受益计划净负债或净资产所产生的变动。</w:t>
      </w:r>
      <w:r>
        <w:rPr>
          <w:rFonts w:ascii="宋体" w:hAnsi="宋体" w:cs="宋体" w:eastAsia="宋体" w:hint="default"/>
          <w:w w:val="100"/>
          <w:sz w:val="21"/>
          <w:szCs w:val="21"/>
        </w:rPr>
        <w:t> </w:t>
      </w:r>
      <w:r>
        <w:rPr>
          <w:rFonts w:ascii="宋体" w:hAnsi="宋体" w:cs="宋体" w:eastAsia="宋体" w:hint="default"/>
          <w:spacing w:val="-2"/>
          <w:sz w:val="21"/>
          <w:szCs w:val="21"/>
        </w:rPr>
        <w:t>除非其他会计准则要求或允许职工福利成本计入资产成本，本集团将上述第①和②项计入当期损</w:t>
      </w:r>
    </w:p>
    <w:p>
      <w:pPr>
        <w:spacing w:line="314" w:lineRule="auto" w:before="11"/>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益；第③项计入其他综合收益且不会在后续会计期间转回至损益，在原设定受益计划终止时在权益范围</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内将原计入其他综合收益的部分全部结转至未分配利润。</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）辞退福利的会计处理方法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本集团向职工提供辞退福利的，在下列两者孰早日确认辞退福利产生的职工薪酬负债，并计入当期</w:t>
      </w:r>
      <w:r>
        <w:rPr>
          <w:rFonts w:ascii="宋体" w:hAnsi="宋体" w:cs="宋体" w:eastAsia="宋体" w:hint="default"/>
          <w:w w:val="100"/>
          <w:sz w:val="21"/>
          <w:szCs w:val="21"/>
        </w:rPr>
        <w:t> </w:t>
      </w:r>
      <w:r>
        <w:rPr>
          <w:rFonts w:ascii="宋体" w:hAnsi="宋体" w:cs="宋体" w:eastAsia="宋体" w:hint="default"/>
          <w:spacing w:val="-2"/>
          <w:sz w:val="21"/>
          <w:szCs w:val="21"/>
        </w:rPr>
        <w:t>损益：本集团不能单方面撤回因解除劳动关系计划或裁减建议所提供的辞退福利时；本集团确认与涉及</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支付辞退福利的重组相关的成本或费用时。</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实行职工内部退休计划的，在正式退休日之前的经济补偿，属于辞退福利，自职工停止提供服务日</w:t>
      </w:r>
      <w:r>
        <w:rPr>
          <w:rFonts w:ascii="宋体" w:hAnsi="宋体" w:cs="宋体" w:eastAsia="宋体" w:hint="default"/>
          <w:w w:val="100"/>
          <w:sz w:val="21"/>
          <w:szCs w:val="21"/>
        </w:rPr>
        <w:t> </w:t>
      </w:r>
      <w:r>
        <w:rPr>
          <w:rFonts w:ascii="宋体" w:hAnsi="宋体" w:cs="宋体" w:eastAsia="宋体" w:hint="default"/>
          <w:spacing w:val="-2"/>
          <w:sz w:val="21"/>
          <w:szCs w:val="21"/>
        </w:rPr>
        <w:t>至正常退休日期间，拟支付的内退职工工资和缴纳的社会保险费等一次性计入当期损益。正式退休日期</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之后的经济补偿（如正常养老退休金），按照离职后福利处理。</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）其他长期职工福利的会计处理方法</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本集团向职工提供的其他长期职工福利，符合设定提存计划条件的，按照上述关于设定提存计划的</w:t>
      </w:r>
      <w:r>
        <w:rPr>
          <w:rFonts w:ascii="宋体" w:hAnsi="宋体" w:cs="宋体" w:eastAsia="宋体" w:hint="default"/>
          <w:w w:val="100"/>
          <w:sz w:val="21"/>
          <w:szCs w:val="21"/>
        </w:rPr>
        <w:t> </w:t>
      </w:r>
      <w:r>
        <w:rPr>
          <w:rFonts w:ascii="宋体" w:hAnsi="宋体" w:cs="宋体" w:eastAsia="宋体" w:hint="default"/>
          <w:spacing w:val="-2"/>
          <w:sz w:val="21"/>
          <w:szCs w:val="21"/>
        </w:rPr>
        <w:t>有关规定进行处理。符合设定受益计划的，按照上述关于设定受益计划的有关规定进行处理，但相关职</w:t>
      </w:r>
    </w:p>
    <w:p>
      <w:pPr>
        <w:spacing w:after="0" w:line="314" w:lineRule="auto"/>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sz w:val="21"/>
          <w:szCs w:val="21"/>
        </w:rPr>
        <w:t>工薪酬成本中</w:t>
      </w:r>
      <w:r>
        <w:rPr>
          <w:rFonts w:ascii="Arial" w:hAnsi="Arial" w:cs="Arial" w:eastAsia="Arial" w:hint="default"/>
          <w:sz w:val="21"/>
          <w:szCs w:val="21"/>
        </w:rPr>
        <w:t>“</w:t>
      </w:r>
      <w:r>
        <w:rPr>
          <w:rFonts w:ascii="宋体" w:hAnsi="宋体" w:cs="宋体" w:eastAsia="宋体" w:hint="default"/>
          <w:sz w:val="21"/>
          <w:szCs w:val="21"/>
        </w:rPr>
        <w:t>重新计量设定受益计划净负债或净资产所产生的变动</w:t>
      </w:r>
      <w:r>
        <w:rPr>
          <w:rFonts w:ascii="Arial" w:hAnsi="Arial" w:cs="Arial" w:eastAsia="Arial" w:hint="default"/>
          <w:sz w:val="21"/>
          <w:szCs w:val="21"/>
        </w:rPr>
        <w:t>”</w:t>
      </w:r>
      <w:r>
        <w:rPr>
          <w:rFonts w:ascii="宋体" w:hAnsi="宋体" w:cs="宋体" w:eastAsia="宋体" w:hint="default"/>
          <w:sz w:val="21"/>
          <w:szCs w:val="21"/>
        </w:rPr>
        <w:t>部分计入当期损益或相关资产成本。</w:t>
      </w:r>
    </w:p>
    <w:p>
      <w:pPr>
        <w:spacing w:line="240" w:lineRule="auto" w:before="13"/>
        <w:rPr>
          <w:rFonts w:ascii="宋体" w:hAnsi="宋体" w:cs="宋体" w:eastAsia="宋体" w:hint="default"/>
          <w:sz w:val="18"/>
          <w:szCs w:val="18"/>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21</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如果与或有事项相关的义务同时符合以下条件，本集团将其确认为预计负债：</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）该义务是本集团承担的现时义务；</w:t>
      </w:r>
    </w:p>
    <w:p>
      <w:pPr>
        <w:spacing w:line="240" w:lineRule="auto" w:before="4"/>
        <w:rPr>
          <w:rFonts w:ascii="宋体" w:hAnsi="宋体" w:cs="宋体" w:eastAsia="宋体" w:hint="default"/>
          <w:sz w:val="17"/>
          <w:szCs w:val="17"/>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）该义务的履行很可能导致经济利益流出本集团；</w:t>
      </w:r>
    </w:p>
    <w:p>
      <w:pPr>
        <w:spacing w:line="500" w:lineRule="atLeast" w:before="16"/>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）该义务的金额能够可靠地计量。</w:t>
      </w:r>
      <w:r>
        <w:rPr>
          <w:rFonts w:ascii="宋体" w:hAnsi="宋体" w:cs="宋体" w:eastAsia="宋体" w:hint="default"/>
          <w:w w:val="100"/>
          <w:sz w:val="21"/>
          <w:szCs w:val="21"/>
        </w:rPr>
        <w:t> </w:t>
      </w:r>
      <w:r>
        <w:rPr>
          <w:rFonts w:ascii="宋体" w:hAnsi="宋体" w:cs="宋体" w:eastAsia="宋体" w:hint="default"/>
          <w:spacing w:val="-2"/>
          <w:sz w:val="21"/>
          <w:szCs w:val="21"/>
        </w:rPr>
        <w:t>预计负债按照履行相关现时义务所需支出的最佳估计数进行初始计量，并综合考虑与或有事项有关</w:t>
      </w:r>
    </w:p>
    <w:p>
      <w:pPr>
        <w:spacing w:line="314" w:lineRule="auto" w:before="85"/>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的风险、不确定性和货币时间价值等因素。货币时间价值影响重大的，通过对相关未来现金流出进行折</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现后确定最佳估计数。本集团于资产负债表日对预计负债的账面价值进行复核，并对账面价值进行调整</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以反映当前最佳估计数。</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如果清偿已确认预计负债所需支出全部或部分预期由第三方或其他方补偿，则补偿金额只能在基本</w:t>
      </w:r>
      <w:r>
        <w:rPr>
          <w:rFonts w:ascii="宋体" w:hAnsi="宋体" w:cs="宋体" w:eastAsia="宋体" w:hint="default"/>
          <w:w w:val="100"/>
          <w:sz w:val="21"/>
          <w:szCs w:val="21"/>
        </w:rPr>
        <w:t> </w:t>
      </w:r>
      <w:r>
        <w:rPr>
          <w:rFonts w:ascii="宋体" w:hAnsi="宋体" w:cs="宋体" w:eastAsia="宋体" w:hint="default"/>
          <w:sz w:val="21"/>
          <w:szCs w:val="21"/>
        </w:rPr>
        <w:t>确定能收到时，作为资产单独确认。确认的补偿金额不超过所确认负债的账面价值。</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22</w:t>
      </w:r>
      <w:r>
        <w:rPr>
          <w:rFonts w:ascii="Microsoft JhengHei" w:hAnsi="Microsoft JhengHei" w:cs="Microsoft JhengHei" w:eastAsia="Microsoft JhengHei" w:hint="default"/>
          <w:b/>
          <w:bCs/>
          <w:sz w:val="21"/>
          <w:szCs w:val="21"/>
        </w:rPr>
        <w:t>、股份支付</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line="482" w:lineRule="auto" w:before="0"/>
        <w:ind w:left="578" w:right="1614"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）股份支付的种类</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本集团股份支付分为以权益结算的股份支付和以现金结算的股份支付。</w:t>
      </w:r>
    </w:p>
    <w:p>
      <w:pPr>
        <w:spacing w:before="51"/>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）权益工具公允价值的确定方法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09"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本集团对于授予的存在活跃市场的期权等权益工具，按照活跃市场中的报价确定其公允价值。对于</w:t>
      </w:r>
      <w:r>
        <w:rPr>
          <w:rFonts w:ascii="宋体" w:hAnsi="宋体" w:cs="宋体" w:eastAsia="宋体" w:hint="default"/>
          <w:w w:val="100"/>
          <w:sz w:val="21"/>
          <w:szCs w:val="21"/>
        </w:rPr>
        <w:t> </w:t>
      </w:r>
      <w:r>
        <w:rPr>
          <w:rFonts w:ascii="宋体" w:hAnsi="宋体" w:cs="宋体" w:eastAsia="宋体" w:hint="default"/>
          <w:spacing w:val="-2"/>
          <w:sz w:val="21"/>
          <w:szCs w:val="21"/>
        </w:rPr>
        <w:t>授予的不存在活跃市场的期权等权益工具，采用期权定价模型等确定其公允价值。选用的期权定价模型</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考虑以下因素：</w:t>
      </w:r>
      <w:r>
        <w:rPr>
          <w:rFonts w:ascii="Arial" w:hAnsi="Arial" w:cs="Arial" w:eastAsia="Arial" w:hint="default"/>
          <w:spacing w:val="-2"/>
          <w:sz w:val="21"/>
          <w:szCs w:val="21"/>
        </w:rPr>
        <w:t>A</w:t>
      </w:r>
      <w:r>
        <w:rPr>
          <w:rFonts w:ascii="宋体" w:hAnsi="宋体" w:cs="宋体" w:eastAsia="宋体" w:hint="default"/>
          <w:spacing w:val="-2"/>
          <w:sz w:val="21"/>
          <w:szCs w:val="21"/>
        </w:rPr>
        <w:t>、期权的行权价格；</w:t>
      </w:r>
      <w:r>
        <w:rPr>
          <w:rFonts w:ascii="Arial" w:hAnsi="Arial" w:cs="Arial" w:eastAsia="Arial" w:hint="default"/>
          <w:spacing w:val="-2"/>
          <w:sz w:val="21"/>
          <w:szCs w:val="21"/>
        </w:rPr>
        <w:t>B</w:t>
      </w:r>
      <w:r>
        <w:rPr>
          <w:rFonts w:ascii="宋体" w:hAnsi="宋体" w:cs="宋体" w:eastAsia="宋体" w:hint="default"/>
          <w:spacing w:val="-2"/>
          <w:sz w:val="21"/>
          <w:szCs w:val="21"/>
        </w:rPr>
        <w:t>、期权的有效期；</w:t>
      </w:r>
      <w:r>
        <w:rPr>
          <w:rFonts w:ascii="Arial" w:hAnsi="Arial" w:cs="Arial" w:eastAsia="Arial" w:hint="default"/>
          <w:spacing w:val="-2"/>
          <w:sz w:val="21"/>
          <w:szCs w:val="21"/>
        </w:rPr>
        <w:t>C</w:t>
      </w:r>
      <w:r>
        <w:rPr>
          <w:rFonts w:ascii="宋体" w:hAnsi="宋体" w:cs="宋体" w:eastAsia="宋体" w:hint="default"/>
          <w:spacing w:val="-2"/>
          <w:sz w:val="21"/>
          <w:szCs w:val="21"/>
        </w:rPr>
        <w:t>、标的股份的现行价格；</w:t>
      </w:r>
      <w:r>
        <w:rPr>
          <w:rFonts w:ascii="Arial" w:hAnsi="Arial" w:cs="Arial" w:eastAsia="Arial" w:hint="default"/>
          <w:spacing w:val="-2"/>
          <w:sz w:val="21"/>
          <w:szCs w:val="21"/>
        </w:rPr>
        <w:t>D</w:t>
      </w:r>
      <w:r>
        <w:rPr>
          <w:rFonts w:ascii="宋体" w:hAnsi="宋体" w:cs="宋体" w:eastAsia="宋体" w:hint="default"/>
          <w:spacing w:val="-2"/>
          <w:sz w:val="21"/>
          <w:szCs w:val="21"/>
        </w:rPr>
        <w:t>、股价预计波动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率；</w:t>
      </w:r>
      <w:r>
        <w:rPr>
          <w:rFonts w:ascii="Arial" w:hAnsi="Arial" w:cs="Arial" w:eastAsia="Arial" w:hint="default"/>
          <w:sz w:val="21"/>
          <w:szCs w:val="21"/>
        </w:rPr>
        <w:t>E</w:t>
      </w:r>
      <w:r>
        <w:rPr>
          <w:rFonts w:ascii="宋体" w:hAnsi="宋体" w:cs="宋体" w:eastAsia="宋体" w:hint="default"/>
          <w:sz w:val="21"/>
          <w:szCs w:val="21"/>
        </w:rPr>
        <w:t>、股份的预计股利；</w:t>
      </w:r>
      <w:r>
        <w:rPr>
          <w:rFonts w:ascii="Arial" w:hAnsi="Arial" w:cs="Arial" w:eastAsia="Arial" w:hint="default"/>
          <w:sz w:val="21"/>
          <w:szCs w:val="21"/>
        </w:rPr>
        <w:t>F</w:t>
      </w:r>
      <w:r>
        <w:rPr>
          <w:rFonts w:ascii="宋体" w:hAnsi="宋体" w:cs="宋体" w:eastAsia="宋体" w:hint="default"/>
          <w:sz w:val="21"/>
          <w:szCs w:val="21"/>
        </w:rPr>
        <w:t>、期权有效期内的无风险利率。</w:t>
      </w:r>
    </w:p>
    <w:p>
      <w:pPr>
        <w:spacing w:before="18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）确认可行权权益工具最佳估计的依据</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z w:val="21"/>
          <w:szCs w:val="21"/>
        </w:rPr>
        <w:t>等待期内每个资产负债表日，本集团根据最新取得的可行权职工人数变动等后续信息作出最佳估</w:t>
      </w:r>
      <w:r>
        <w:rPr>
          <w:rFonts w:ascii="宋体" w:hAnsi="宋体" w:cs="宋体" w:eastAsia="宋体" w:hint="default"/>
          <w:w w:val="100"/>
          <w:sz w:val="21"/>
          <w:szCs w:val="21"/>
        </w:rPr>
        <w:t> </w:t>
      </w:r>
      <w:r>
        <w:rPr>
          <w:rFonts w:ascii="宋体" w:hAnsi="宋体" w:cs="宋体" w:eastAsia="宋体" w:hint="default"/>
          <w:spacing w:val="-2"/>
          <w:sz w:val="21"/>
          <w:szCs w:val="21"/>
        </w:rPr>
        <w:t>计，修正预计可行权的权益工具数量。在可行权日，最终预计可行权权益工具的数量应当与实际可行权</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数量一致。</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）实施、修改、终止股份支付计划的相关会计处理</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以权益结算的股份支付，按授予职工权益工具的公允价值计量。授予后立即可行权的，在授予日按</w:t>
      </w:r>
      <w:r>
        <w:rPr>
          <w:rFonts w:ascii="宋体" w:hAnsi="宋体" w:cs="宋体" w:eastAsia="宋体" w:hint="default"/>
          <w:w w:val="100"/>
          <w:sz w:val="21"/>
          <w:szCs w:val="21"/>
        </w:rPr>
        <w:t> </w:t>
      </w:r>
      <w:r>
        <w:rPr>
          <w:rFonts w:ascii="宋体" w:hAnsi="宋体" w:cs="宋体" w:eastAsia="宋体" w:hint="default"/>
          <w:spacing w:val="-2"/>
          <w:sz w:val="21"/>
          <w:szCs w:val="21"/>
        </w:rPr>
        <w:t>照权益工具的公允价值计入相关成本或费用，相应增加资本公积。在完成等待期内的服务或达到规定业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绩条件才可行权的，在等待期内的每个资产负债表日，以对可行权权益工具数量的最佳估计为基础，按</w:t>
      </w:r>
    </w:p>
    <w:p>
      <w:pPr>
        <w:spacing w:after="0" w:line="314" w:lineRule="auto"/>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14" w:lineRule="auto"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照权益工具授予日的公允价值，将当期取得的服务计入相关成本或费用和资本公积。在可行权日之后不</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再对已确认的相关成本或费用和所有者权益总额进行调整。</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以现金结算的股份支付，按照本集团承担的以股份或其他权益工具为基础计算确定的负债的公允价</w:t>
      </w:r>
      <w:r>
        <w:rPr>
          <w:rFonts w:ascii="宋体" w:hAnsi="宋体" w:cs="宋体" w:eastAsia="宋体" w:hint="default"/>
          <w:w w:val="100"/>
          <w:sz w:val="21"/>
          <w:szCs w:val="21"/>
        </w:rPr>
        <w:t> </w:t>
      </w:r>
      <w:r>
        <w:rPr>
          <w:rFonts w:ascii="宋体" w:hAnsi="宋体" w:cs="宋体" w:eastAsia="宋体" w:hint="default"/>
          <w:spacing w:val="-2"/>
          <w:sz w:val="21"/>
          <w:szCs w:val="21"/>
        </w:rPr>
        <w:t>值计量。授予后立即可行权的，在授予日以本集团承担负债的公允价值计入相关成本或费用，相应增加</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负债。在完成等待期内的服务或达到规定业绩条件以后才可行权的以现金结算的股份支付，在等待期内</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的每个资产负债表日，以对可行权情况的最佳估计为基础，按照本集团承担负债的公允价值金额，将当</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期取得的服务计入成本或费用和相应的负债。在相关负债结算前的每个资产负债表日以及结算日，对负</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债的公允价值重新计量，其变动计入当期损益。</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本集团对股份支付计划进行修改时，若修改增加了所授予权益工具的公允价值，按照权益工具公允</w:t>
      </w:r>
      <w:r>
        <w:rPr>
          <w:rFonts w:ascii="宋体" w:hAnsi="宋体" w:cs="宋体" w:eastAsia="宋体" w:hint="default"/>
          <w:w w:val="100"/>
          <w:sz w:val="21"/>
          <w:szCs w:val="21"/>
        </w:rPr>
        <w:t> </w:t>
      </w:r>
      <w:r>
        <w:rPr>
          <w:rFonts w:ascii="宋体" w:hAnsi="宋体" w:cs="宋体" w:eastAsia="宋体" w:hint="default"/>
          <w:spacing w:val="-2"/>
          <w:sz w:val="21"/>
          <w:szCs w:val="21"/>
        </w:rPr>
        <w:t>价值的增加相应地确认取得服务的增加；若修改增加了所授予权益工具的数量，则将增加的权益工具的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公允价值相应地确认为取得服务的增加。权益工具公允价值的增加是指修改前后的权益工具在修改日的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公允价值之间的差额。若修改减少了股份支付公允价值总额或采用了其他不利于职工的方式修改股份支</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付计划的条款和条件，则仍继续对取得的服务进行会计处理，视同该变更从未发生，除非本集团取消了</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部分或全部已授予的权益工具。</w:t>
      </w:r>
    </w:p>
    <w:p>
      <w:pPr>
        <w:spacing w:line="314"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在等待期内，如果取消了授予的权益工具（因未满足可行权条件的非市场条件而被取消的除外），</w:t>
      </w:r>
      <w:r>
        <w:rPr>
          <w:rFonts w:ascii="宋体" w:hAnsi="宋体" w:cs="宋体" w:eastAsia="宋体" w:hint="default"/>
          <w:w w:val="100"/>
          <w:sz w:val="21"/>
          <w:szCs w:val="21"/>
        </w:rPr>
        <w:t> </w:t>
      </w:r>
      <w:r>
        <w:rPr>
          <w:rFonts w:ascii="宋体" w:hAnsi="宋体" w:cs="宋体" w:eastAsia="宋体" w:hint="default"/>
          <w:sz w:val="21"/>
          <w:szCs w:val="21"/>
        </w:rPr>
        <w:t>本集团对取消所授予的权益性工具作为加速行权处理，将剩余等待期内应确认的金额立即计入当期损</w:t>
      </w:r>
      <w:r>
        <w:rPr>
          <w:rFonts w:ascii="宋体" w:hAnsi="宋体" w:cs="宋体" w:eastAsia="宋体" w:hint="default"/>
          <w:w w:val="100"/>
          <w:sz w:val="21"/>
          <w:szCs w:val="21"/>
        </w:rPr>
        <w:t> </w:t>
      </w:r>
      <w:r>
        <w:rPr>
          <w:rFonts w:ascii="宋体" w:hAnsi="宋体" w:cs="宋体" w:eastAsia="宋体" w:hint="default"/>
          <w:spacing w:val="-2"/>
          <w:sz w:val="21"/>
          <w:szCs w:val="21"/>
        </w:rPr>
        <w:t>益，同时确认资本公积。职工或其他方能够选择满足非可行权条件但在等待期内未满足的，本集团将其</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作为授予权益工具的取消处理。</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）限制性股票</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1"/>
          <w:szCs w:val="21"/>
        </w:rPr>
      </w:pPr>
    </w:p>
    <w:p>
      <w:pPr>
        <w:spacing w:line="314" w:lineRule="auto" w:before="0"/>
        <w:ind w:left="152" w:right="329" w:firstLine="425"/>
        <w:jc w:val="both"/>
        <w:rPr>
          <w:rFonts w:ascii="宋体" w:hAnsi="宋体" w:cs="宋体" w:eastAsia="宋体" w:hint="default"/>
          <w:sz w:val="21"/>
          <w:szCs w:val="21"/>
        </w:rPr>
      </w:pPr>
      <w:r>
        <w:rPr>
          <w:rFonts w:ascii="宋体" w:hAnsi="宋体" w:cs="宋体" w:eastAsia="宋体" w:hint="default"/>
          <w:spacing w:val="-2"/>
          <w:sz w:val="21"/>
          <w:szCs w:val="21"/>
        </w:rPr>
        <w:t>股权激励计划中，本公司授予被激励对象限制性股票，被激励对象先认购股票，如果后续未达到股</w:t>
      </w:r>
      <w:r>
        <w:rPr>
          <w:rFonts w:ascii="宋体" w:hAnsi="宋体" w:cs="宋体" w:eastAsia="宋体" w:hint="default"/>
          <w:w w:val="100"/>
          <w:sz w:val="21"/>
          <w:szCs w:val="21"/>
        </w:rPr>
        <w:t> </w:t>
      </w:r>
      <w:r>
        <w:rPr>
          <w:rFonts w:ascii="宋体" w:hAnsi="宋体" w:cs="宋体" w:eastAsia="宋体" w:hint="default"/>
          <w:spacing w:val="-2"/>
          <w:sz w:val="21"/>
          <w:szCs w:val="21"/>
        </w:rPr>
        <w:t>权激励计划规定的解锁条件，则本公司按照事先约定的价格回购股票。向职工发行的限制性股票按有关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规定履行了注册登记等增资手续的，在授予日，本公司根据收到的职工缴纳的认股款确认股本和资本公</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积（股本溢价）；同时就回购义务确认库存股和其他应付款。</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23</w:t>
      </w: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）一般原则</w:t>
      </w:r>
      <w:r>
        <w:rPr>
          <w:rFonts w:ascii="Microsoft JhengHei" w:hAnsi="Microsoft JhengHei" w:cs="Microsoft JhengHei" w:eastAsia="Microsoft JhengHei" w:hint="default"/>
          <w:sz w:val="21"/>
          <w:szCs w:val="21"/>
        </w:rPr>
      </w:r>
    </w:p>
    <w:p>
      <w:pPr>
        <w:spacing w:line="510" w:lineRule="atLeast" w:before="135"/>
        <w:ind w:left="578" w:right="0" w:firstLine="0"/>
        <w:jc w:val="left"/>
        <w:rPr>
          <w:rFonts w:ascii="宋体" w:hAnsi="宋体" w:cs="宋体" w:eastAsia="宋体" w:hint="default"/>
          <w:sz w:val="21"/>
          <w:szCs w:val="21"/>
        </w:rPr>
      </w:pPr>
      <w:r>
        <w:rPr>
          <w:rFonts w:ascii="宋体" w:hAnsi="宋体" w:cs="宋体" w:eastAsia="宋体" w:hint="default"/>
          <w:sz w:val="21"/>
          <w:szCs w:val="21"/>
        </w:rPr>
        <w:t>①销售商品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在已将商品所有权上的主要风险和报酬转移给购货方，既没有保留通常与所有权相联系的继续管理</w:t>
      </w:r>
    </w:p>
    <w:p>
      <w:pPr>
        <w:spacing w:line="314" w:lineRule="auto" w:before="8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权，也没有对已售商品实施有效控制，收入的金额能够可靠地计量，相关的经济利益很可能流入企业，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相关的已发生或将发生的成本能够可靠地计量时，确认商品销售收入的实现。</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②提供劳务</w:t>
      </w:r>
    </w:p>
    <w:p>
      <w:pPr>
        <w:spacing w:line="240" w:lineRule="auto" w:before="9"/>
        <w:rPr>
          <w:rFonts w:ascii="宋体" w:hAnsi="宋体" w:cs="宋体" w:eastAsia="宋体" w:hint="default"/>
          <w:sz w:val="15"/>
          <w:szCs w:val="15"/>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对在提供劳务交易的结果能够可靠估计的情况下，本集团于资产负债表日按完工百分比法确认收</w:t>
      </w:r>
    </w:p>
    <w:p>
      <w:pPr>
        <w:spacing w:before="85"/>
        <w:ind w:left="152" w:right="0" w:firstLine="0"/>
        <w:jc w:val="left"/>
        <w:rPr>
          <w:rFonts w:ascii="宋体" w:hAnsi="宋体" w:cs="宋体" w:eastAsia="宋体" w:hint="default"/>
          <w:sz w:val="21"/>
          <w:szCs w:val="21"/>
        </w:rPr>
      </w:pPr>
      <w:r>
        <w:rPr>
          <w:rFonts w:ascii="宋体" w:hAnsi="宋体" w:cs="宋体" w:eastAsia="宋体" w:hint="default"/>
          <w:sz w:val="21"/>
          <w:szCs w:val="21"/>
        </w:rPr>
        <w:t>入。</w:t>
      </w:r>
    </w:p>
    <w:p>
      <w:pPr>
        <w:spacing w:after="0"/>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劳务交易的完工进度按已完工作的测量占应提供劳务总量的比例确定。</w:t>
      </w:r>
    </w:p>
    <w:p>
      <w:pPr>
        <w:spacing w:line="240" w:lineRule="auto" w:before="6"/>
        <w:rPr>
          <w:rFonts w:ascii="宋体" w:hAnsi="宋体" w:cs="宋体" w:eastAsia="宋体" w:hint="default"/>
          <w:sz w:val="18"/>
          <w:szCs w:val="18"/>
        </w:rPr>
      </w:pPr>
    </w:p>
    <w:p>
      <w:pPr>
        <w:spacing w:line="297" w:lineRule="auto" w:before="0"/>
        <w:ind w:left="152" w:right="242" w:firstLine="425"/>
        <w:jc w:val="both"/>
        <w:rPr>
          <w:rFonts w:ascii="宋体" w:hAnsi="宋体" w:cs="宋体" w:eastAsia="宋体" w:hint="default"/>
          <w:sz w:val="21"/>
          <w:szCs w:val="21"/>
        </w:rPr>
      </w:pPr>
      <w:r>
        <w:rPr>
          <w:rFonts w:ascii="宋体" w:hAnsi="宋体" w:cs="宋体" w:eastAsia="宋体" w:hint="default"/>
          <w:spacing w:val="-2"/>
          <w:sz w:val="21"/>
          <w:szCs w:val="21"/>
        </w:rPr>
        <w:t>提供劳务交易的结果能够可靠估计是指同时满足：</w:t>
      </w:r>
      <w:r>
        <w:rPr>
          <w:rFonts w:ascii="Arial" w:hAnsi="Arial" w:cs="Arial" w:eastAsia="Arial" w:hint="default"/>
          <w:spacing w:val="-2"/>
          <w:sz w:val="21"/>
          <w:szCs w:val="21"/>
        </w:rPr>
        <w:t>A</w:t>
      </w:r>
      <w:r>
        <w:rPr>
          <w:rFonts w:ascii="宋体" w:hAnsi="宋体" w:cs="宋体" w:eastAsia="宋体" w:hint="default"/>
          <w:spacing w:val="-2"/>
          <w:sz w:val="21"/>
          <w:szCs w:val="21"/>
        </w:rPr>
        <w:t>、收入的金额能够可靠地计量；</w:t>
      </w:r>
      <w:r>
        <w:rPr>
          <w:rFonts w:ascii="Arial" w:hAnsi="Arial" w:cs="Arial" w:eastAsia="Arial" w:hint="default"/>
          <w:spacing w:val="-2"/>
          <w:sz w:val="21"/>
          <w:szCs w:val="21"/>
        </w:rPr>
        <w:t>B</w:t>
      </w:r>
      <w:r>
        <w:rPr>
          <w:rFonts w:ascii="宋体" w:hAnsi="宋体" w:cs="宋体" w:eastAsia="宋体" w:hint="default"/>
          <w:spacing w:val="-2"/>
          <w:sz w:val="21"/>
          <w:szCs w:val="21"/>
        </w:rPr>
        <w:t>、相关的经济</w:t>
      </w:r>
      <w:r>
        <w:rPr>
          <w:rFonts w:ascii="宋体" w:hAnsi="宋体" w:cs="宋体" w:eastAsia="宋体" w:hint="default"/>
          <w:w w:val="100"/>
          <w:sz w:val="21"/>
          <w:szCs w:val="21"/>
        </w:rPr>
        <w:t> </w:t>
      </w:r>
      <w:r>
        <w:rPr>
          <w:rFonts w:ascii="宋体" w:hAnsi="宋体" w:cs="宋体" w:eastAsia="宋体" w:hint="default"/>
          <w:spacing w:val="-2"/>
          <w:sz w:val="21"/>
          <w:szCs w:val="21"/>
        </w:rPr>
        <w:t>利益很可能流入企业；</w:t>
      </w:r>
      <w:r>
        <w:rPr>
          <w:rFonts w:ascii="Arial" w:hAnsi="Arial" w:cs="Arial" w:eastAsia="Arial" w:hint="default"/>
          <w:spacing w:val="-2"/>
          <w:sz w:val="21"/>
          <w:szCs w:val="21"/>
        </w:rPr>
        <w:t>C</w:t>
      </w:r>
      <w:r>
        <w:rPr>
          <w:rFonts w:ascii="宋体" w:hAnsi="宋体" w:cs="宋体" w:eastAsia="宋体" w:hint="default"/>
          <w:spacing w:val="-2"/>
          <w:sz w:val="21"/>
          <w:szCs w:val="21"/>
        </w:rPr>
        <w:t>、交易的完工程度能够可靠地确定；</w:t>
      </w:r>
      <w:r>
        <w:rPr>
          <w:rFonts w:ascii="Arial" w:hAnsi="Arial" w:cs="Arial" w:eastAsia="Arial" w:hint="default"/>
          <w:spacing w:val="-2"/>
          <w:sz w:val="21"/>
          <w:szCs w:val="21"/>
        </w:rPr>
        <w:t>D</w:t>
      </w:r>
      <w:r>
        <w:rPr>
          <w:rFonts w:ascii="宋体" w:hAnsi="宋体" w:cs="宋体" w:eastAsia="宋体" w:hint="default"/>
          <w:spacing w:val="-2"/>
          <w:sz w:val="21"/>
          <w:szCs w:val="21"/>
        </w:rPr>
        <w:t>、交易中已发生和将发生的成本能够可靠</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地计量。</w:t>
      </w:r>
    </w:p>
    <w:p>
      <w:pPr>
        <w:spacing w:line="240" w:lineRule="auto" w:before="8"/>
        <w:rPr>
          <w:rFonts w:ascii="宋体" w:hAnsi="宋体" w:cs="宋体" w:eastAsia="宋体" w:hint="default"/>
          <w:sz w:val="14"/>
          <w:szCs w:val="14"/>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如果提供劳务交易的结果不能够可靠估计，则按已经发生并预计能够得到补偿的劳务成本金额确认</w:t>
      </w:r>
      <w:r>
        <w:rPr>
          <w:rFonts w:ascii="宋体" w:hAnsi="宋体" w:cs="宋体" w:eastAsia="宋体" w:hint="default"/>
          <w:w w:val="100"/>
          <w:sz w:val="21"/>
          <w:szCs w:val="21"/>
        </w:rPr>
        <w:t> </w:t>
      </w:r>
      <w:r>
        <w:rPr>
          <w:rFonts w:ascii="宋体" w:hAnsi="宋体" w:cs="宋体" w:eastAsia="宋体" w:hint="default"/>
          <w:spacing w:val="-2"/>
          <w:sz w:val="21"/>
          <w:szCs w:val="21"/>
        </w:rPr>
        <w:t>提供的劳务收入，并将已发生的劳务成本作为当期费用。已经发生的劳务成本如预计不能得到补偿的，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则不确认收入。</w:t>
      </w:r>
    </w:p>
    <w:p>
      <w:pPr>
        <w:spacing w:line="451" w:lineRule="auto"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③让渡资产使用权</w:t>
      </w:r>
      <w:r>
        <w:rPr>
          <w:rFonts w:ascii="宋体" w:hAnsi="宋体" w:cs="宋体" w:eastAsia="宋体" w:hint="default"/>
          <w:w w:val="100"/>
          <w:sz w:val="21"/>
          <w:szCs w:val="21"/>
        </w:rPr>
        <w:t> </w:t>
      </w:r>
      <w:r>
        <w:rPr>
          <w:rFonts w:ascii="宋体" w:hAnsi="宋体" w:cs="宋体" w:eastAsia="宋体" w:hint="default"/>
          <w:spacing w:val="-2"/>
          <w:sz w:val="21"/>
          <w:szCs w:val="21"/>
        </w:rPr>
        <w:t>与资产使用权让渡相关的经济利益能够流入及收入的金额能够可靠地计量时，本集团确认收入。</w:t>
      </w:r>
    </w:p>
    <w:p>
      <w:pPr>
        <w:spacing w:before="79"/>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）收入确认的具体方法</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本公司的主营业务为电子政务系统的产品开发与服务，主要面向政府、法院、检察院、食药监等领</w:t>
      </w:r>
      <w:r>
        <w:rPr>
          <w:rFonts w:ascii="宋体" w:hAnsi="宋体" w:cs="宋体" w:eastAsia="宋体" w:hint="default"/>
          <w:w w:val="100"/>
          <w:sz w:val="21"/>
          <w:szCs w:val="21"/>
        </w:rPr>
        <w:t> </w:t>
      </w:r>
      <w:r>
        <w:rPr>
          <w:rFonts w:ascii="宋体" w:hAnsi="宋体" w:cs="宋体" w:eastAsia="宋体" w:hint="default"/>
          <w:sz w:val="21"/>
          <w:szCs w:val="21"/>
        </w:rPr>
        <w:t>域的客户提供应用软件、系统建设服务和运行维护服务。收入确认的具体方法如下：</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宋体" w:hAnsi="宋体" w:cs="宋体" w:eastAsia="宋体" w:hint="default"/>
          <w:spacing w:val="-2"/>
          <w:sz w:val="21"/>
          <w:szCs w:val="21"/>
        </w:rPr>
        <w:t>应用软件指公司针对客户在电子政务中的业务应用需求而提供的软件产品及应用软件定制开发。由</w:t>
      </w:r>
    </w:p>
    <w:p>
      <w:pPr>
        <w:spacing w:line="314" w:lineRule="auto" w:before="11"/>
        <w:ind w:left="152" w:right="333" w:firstLine="0"/>
        <w:jc w:val="both"/>
        <w:rPr>
          <w:rFonts w:ascii="宋体" w:hAnsi="宋体" w:cs="宋体" w:eastAsia="宋体" w:hint="default"/>
          <w:sz w:val="21"/>
          <w:szCs w:val="21"/>
        </w:rPr>
      </w:pPr>
      <w:r>
        <w:rPr>
          <w:rFonts w:ascii="宋体" w:hAnsi="宋体" w:cs="宋体" w:eastAsia="宋体" w:hint="default"/>
          <w:spacing w:val="-2"/>
          <w:sz w:val="21"/>
          <w:szCs w:val="21"/>
        </w:rPr>
        <w:t>于软件产品销售与软件定制开发的收入能够区分且能够单独计量，因此公司分别按照销售商品的收入确</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认原则和提供劳务的收入确认原则对软件产品与软件开发确认收入。</w:t>
      </w:r>
    </w:p>
    <w:p>
      <w:pPr>
        <w:spacing w:line="314" w:lineRule="auto" w:before="176"/>
        <w:ind w:left="152" w:right="0" w:firstLine="425"/>
        <w:jc w:val="left"/>
        <w:rPr>
          <w:rFonts w:ascii="宋体" w:hAnsi="宋体" w:cs="宋体" w:eastAsia="宋体" w:hint="default"/>
          <w:sz w:val="21"/>
          <w:szCs w:val="21"/>
        </w:rPr>
      </w:pPr>
      <w:r>
        <w:rPr>
          <w:rFonts w:ascii="宋体" w:hAnsi="宋体" w:cs="宋体" w:eastAsia="宋体" w:hint="default"/>
          <w:sz w:val="21"/>
          <w:szCs w:val="21"/>
        </w:rPr>
        <w:t>在遵循收入确认基本原则的基础上，软件产品销售在取得客户确认的《软件安装报告》时确认收</w:t>
      </w:r>
      <w:r>
        <w:rPr>
          <w:rFonts w:ascii="宋体" w:hAnsi="宋体" w:cs="宋体" w:eastAsia="宋体" w:hint="default"/>
          <w:w w:val="100"/>
          <w:sz w:val="21"/>
          <w:szCs w:val="21"/>
        </w:rPr>
        <w:t> </w:t>
      </w:r>
      <w:r>
        <w:rPr>
          <w:rFonts w:ascii="宋体" w:hAnsi="宋体" w:cs="宋体" w:eastAsia="宋体" w:hint="default"/>
          <w:spacing w:val="-2"/>
          <w:sz w:val="21"/>
          <w:szCs w:val="21"/>
        </w:rPr>
        <w:t>入。软件开发采取对已完工作进行测量的方法，以资产负债表日的完工进度确认收入。公司在资产负债</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表日编制《软件开发进度报告》，对完工进度进行测量，按照软件开发收入总额乘以完工进度扣除以前</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会计期间累计已确认软件开发收入后的金额，确认当期软件开发收入。</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系统建设服务</w:t>
      </w:r>
      <w:r>
        <w:rPr>
          <w:rFonts w:ascii="宋体" w:hAnsi="宋体" w:cs="宋体" w:eastAsia="宋体" w:hint="default"/>
          <w:w w:val="100"/>
          <w:sz w:val="21"/>
          <w:szCs w:val="21"/>
        </w:rPr>
        <w:t> </w:t>
      </w:r>
      <w:r>
        <w:rPr>
          <w:rFonts w:ascii="宋体" w:hAnsi="宋体" w:cs="宋体" w:eastAsia="宋体" w:hint="default"/>
          <w:spacing w:val="-2"/>
          <w:sz w:val="21"/>
          <w:szCs w:val="21"/>
        </w:rPr>
        <w:t>系统建设服务指公司针对电子政务客户在信息化基础环境建设、网络平台建设、系统平台建设、安</w:t>
      </w:r>
    </w:p>
    <w:p>
      <w:pPr>
        <w:spacing w:line="314" w:lineRule="auto" w:before="11"/>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全体系建设和管理等方面的需求，为客户提供的信息化基础环境建设服务。信息化基础环境建设服务按</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照提供劳务的收入确认原则确认收入。服务与设备的收入不能够区分或不能单独计量的，与设备共同按</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照销售商品的收入确认原则确认收入。</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在遵循收入确认基本原则的基础上，信息化基础环境建设服务在服务已提供，并取得客户确认的</w:t>
      </w:r>
    </w:p>
    <w:p>
      <w:pPr>
        <w:spacing w:line="314" w:lineRule="auto" w:before="85"/>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《验收报告》时确认收入；设备的收入在取得客户确认的《货物接收单》（不需安装调试的）或《验收</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报告》（需要安装调试的）时确认收入。</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运行维护服务</w:t>
      </w:r>
      <w:r>
        <w:rPr>
          <w:rFonts w:ascii="宋体" w:hAnsi="宋体" w:cs="宋体" w:eastAsia="宋体" w:hint="default"/>
          <w:w w:val="100"/>
          <w:sz w:val="21"/>
          <w:szCs w:val="21"/>
        </w:rPr>
        <w:t> </w:t>
      </w:r>
      <w:r>
        <w:rPr>
          <w:rFonts w:ascii="宋体" w:hAnsi="宋体" w:cs="宋体" w:eastAsia="宋体" w:hint="default"/>
          <w:spacing w:val="-2"/>
          <w:sz w:val="21"/>
          <w:szCs w:val="21"/>
        </w:rPr>
        <w:t>运行维护服务指，除应用软件和系统建设服务之外，公司针对电子政务客户的专业服务需求，围绕</w:t>
      </w:r>
    </w:p>
    <w:p>
      <w:pPr>
        <w:spacing w:line="314" w:lineRule="auto" w:before="11"/>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信息化应用的生命周期，为客户提供的涵盖应用软件及系统运行平台的信息化系统运维管理、信息化应</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用推广、信息化规划咨询等服务。</w:t>
      </w:r>
    </w:p>
    <w:p>
      <w:pPr>
        <w:spacing w:after="0" w:line="314" w:lineRule="auto"/>
        <w:jc w:val="both"/>
        <w:rPr>
          <w:rFonts w:ascii="宋体" w:hAnsi="宋体" w:cs="宋体" w:eastAsia="宋体" w:hint="default"/>
          <w:sz w:val="21"/>
          <w:szCs w:val="21"/>
        </w:rPr>
        <w:sectPr>
          <w:footerReference w:type="default" r:id="rId36"/>
          <w:pgSz w:w="11910" w:h="16840"/>
          <w:pgMar w:footer="980" w:header="877" w:top="1100" w:bottom="1160" w:left="980" w:right="980"/>
          <w:pgNumType w:start="146"/>
        </w:sectPr>
      </w:pPr>
    </w:p>
    <w:p>
      <w:pPr>
        <w:spacing w:line="240" w:lineRule="auto" w:before="1"/>
        <w:rPr>
          <w:rFonts w:ascii="宋体" w:hAnsi="宋体" w:cs="宋体" w:eastAsia="宋体" w:hint="default"/>
          <w:sz w:val="25"/>
          <w:szCs w:val="25"/>
        </w:rPr>
      </w:pPr>
    </w:p>
    <w:p>
      <w:pPr>
        <w:spacing w:line="314" w:lineRule="auto" w:before="3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在遵循收入确认基本原则的基础上，对于单次提供的服务，在服务已经提供，收到价款或取得收款</w:t>
      </w:r>
      <w:r>
        <w:rPr>
          <w:rFonts w:ascii="宋体" w:hAnsi="宋体" w:cs="宋体" w:eastAsia="宋体" w:hint="default"/>
          <w:w w:val="100"/>
          <w:sz w:val="21"/>
          <w:szCs w:val="21"/>
        </w:rPr>
        <w:t> </w:t>
      </w:r>
      <w:r>
        <w:rPr>
          <w:rFonts w:ascii="宋体" w:hAnsi="宋体" w:cs="宋体" w:eastAsia="宋体" w:hint="default"/>
          <w:sz w:val="21"/>
          <w:szCs w:val="21"/>
        </w:rPr>
        <w:t>的依据后确认收入；对于在一定期间内持续提供的服务，在服务期内分期确认收入。</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24</w:t>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spacing w:line="510" w:lineRule="atLeast" w:before="135"/>
        <w:ind w:left="578" w:right="0" w:firstLine="0"/>
        <w:jc w:val="left"/>
        <w:rPr>
          <w:rFonts w:ascii="宋体" w:hAnsi="宋体" w:cs="宋体" w:eastAsia="宋体" w:hint="default"/>
          <w:sz w:val="21"/>
          <w:szCs w:val="21"/>
        </w:rPr>
      </w:pPr>
      <w:r>
        <w:rPr>
          <w:rFonts w:ascii="宋体" w:hAnsi="宋体" w:cs="宋体" w:eastAsia="宋体" w:hint="default"/>
          <w:sz w:val="21"/>
          <w:szCs w:val="21"/>
        </w:rPr>
        <w:t>政府补助在满足政府补助所附条件并能够收到时确认。</w:t>
      </w:r>
      <w:r>
        <w:rPr>
          <w:rFonts w:ascii="宋体" w:hAnsi="宋体" w:cs="宋体" w:eastAsia="宋体" w:hint="default"/>
          <w:w w:val="100"/>
          <w:sz w:val="21"/>
          <w:szCs w:val="21"/>
        </w:rPr>
        <w:t> </w:t>
      </w:r>
      <w:r>
        <w:rPr>
          <w:rFonts w:ascii="宋体" w:hAnsi="宋体" w:cs="宋体" w:eastAsia="宋体" w:hint="default"/>
          <w:spacing w:val="-2"/>
          <w:sz w:val="21"/>
          <w:szCs w:val="21"/>
        </w:rPr>
        <w:t>对于货币性资产的政府补助，按照收到或应收的金额计量。对于非货币性资产的政府补助，按照公</w:t>
      </w:r>
    </w:p>
    <w:p>
      <w:pPr>
        <w:spacing w:before="85"/>
        <w:ind w:left="152" w:right="0" w:firstLine="0"/>
        <w:jc w:val="left"/>
        <w:rPr>
          <w:rFonts w:ascii="宋体" w:hAnsi="宋体" w:cs="宋体" w:eastAsia="宋体" w:hint="default"/>
          <w:sz w:val="21"/>
          <w:szCs w:val="21"/>
        </w:rPr>
      </w:pPr>
      <w:r>
        <w:rPr>
          <w:rFonts w:ascii="宋体" w:hAnsi="宋体" w:cs="宋体" w:eastAsia="宋体" w:hint="default"/>
          <w:sz w:val="21"/>
          <w:szCs w:val="21"/>
        </w:rPr>
        <w:t>允价值计量；公允价值不能够可靠取得的，按照名义金额</w:t>
      </w:r>
      <w:r>
        <w:rPr>
          <w:rFonts w:ascii="Arial" w:hAnsi="Arial" w:cs="Arial" w:eastAsia="Arial" w:hint="default"/>
          <w:sz w:val="21"/>
          <w:szCs w:val="21"/>
        </w:rPr>
        <w:t>1</w:t>
      </w:r>
      <w:r>
        <w:rPr>
          <w:rFonts w:ascii="宋体" w:hAnsi="宋体" w:cs="宋体" w:eastAsia="宋体" w:hint="default"/>
          <w:sz w:val="21"/>
          <w:szCs w:val="21"/>
        </w:rPr>
        <w:t>元计量。</w:t>
      </w:r>
    </w:p>
    <w:p>
      <w:pPr>
        <w:spacing w:line="668" w:lineRule="exact" w:before="26"/>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）与资产相关的政府补助判断依据及会计处理方法</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2"/>
          <w:sz w:val="21"/>
          <w:szCs w:val="21"/>
        </w:rPr>
        <w:t>与资产相关的政府补助，是指本集团取得的、用于购建或以其他方式形成长期资产的政府补助；除</w:t>
      </w:r>
    </w:p>
    <w:p>
      <w:pPr>
        <w:spacing w:line="257"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此之外，作为与收益相关的政府补助。</w:t>
      </w:r>
    </w:p>
    <w:p>
      <w:pPr>
        <w:spacing w:line="240" w:lineRule="auto" w:before="6"/>
        <w:rPr>
          <w:rFonts w:ascii="宋体" w:hAnsi="宋体" w:cs="宋体" w:eastAsia="宋体" w:hint="default"/>
          <w:sz w:val="18"/>
          <w:szCs w:val="18"/>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对于政府文件未明确规定补助对象的，能够形成长期资产的，与资产价值相对应的政府补助部分作</w:t>
      </w:r>
      <w:r>
        <w:rPr>
          <w:rFonts w:ascii="宋体" w:hAnsi="宋体" w:cs="宋体" w:eastAsia="宋体" w:hint="default"/>
          <w:w w:val="100"/>
          <w:sz w:val="21"/>
          <w:szCs w:val="21"/>
        </w:rPr>
        <w:t> </w:t>
      </w:r>
      <w:r>
        <w:rPr>
          <w:rFonts w:ascii="宋体" w:hAnsi="宋体" w:cs="宋体" w:eastAsia="宋体" w:hint="default"/>
          <w:spacing w:val="-2"/>
          <w:sz w:val="21"/>
          <w:szCs w:val="21"/>
        </w:rPr>
        <w:t>为与资产相关的政府补助，其余部分作为与收益相关的政府补助；难以区分的，将政府补助整体作为与</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收益相关的政府补助。</w:t>
      </w:r>
    </w:p>
    <w:p>
      <w:pPr>
        <w:spacing w:line="240" w:lineRule="auto" w:before="9"/>
        <w:rPr>
          <w:rFonts w:ascii="宋体" w:hAnsi="宋体" w:cs="宋体" w:eastAsia="宋体" w:hint="default"/>
          <w:sz w:val="10"/>
          <w:szCs w:val="10"/>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与资产相关的政府补助，确认为递延收益在相关资产使用期限内按照合理、系统的方法分期计入损</w:t>
      </w:r>
    </w:p>
    <w:p>
      <w:pPr>
        <w:spacing w:before="85"/>
        <w:ind w:left="152" w:right="0"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240" w:lineRule="auto" w:before="6"/>
        <w:rPr>
          <w:rFonts w:ascii="宋体" w:hAnsi="宋体" w:cs="宋体" w:eastAsia="宋体" w:hint="default"/>
          <w:sz w:val="22"/>
          <w:szCs w:val="22"/>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）与收益相关的政府补助判断依据及会计处理方法</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与收益相关的政府补助，用于补偿已发生的相关成本费用或损失的，计入当期损益；用于补偿以后</w:t>
      </w:r>
      <w:r>
        <w:rPr>
          <w:rFonts w:ascii="宋体" w:hAnsi="宋体" w:cs="宋体" w:eastAsia="宋体" w:hint="default"/>
          <w:w w:val="100"/>
          <w:sz w:val="21"/>
          <w:szCs w:val="21"/>
        </w:rPr>
        <w:t> </w:t>
      </w:r>
      <w:r>
        <w:rPr>
          <w:rFonts w:ascii="宋体" w:hAnsi="宋体" w:cs="宋体" w:eastAsia="宋体" w:hint="default"/>
          <w:spacing w:val="-2"/>
          <w:sz w:val="21"/>
          <w:szCs w:val="21"/>
        </w:rPr>
        <w:t>期间的相关成本费用或损失的，则计入递延收益，于相关成本费用或损失确认期间计入当期损益成本。</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按照名义金额计量的政府补助，直接计入当期损益。本集团对相同或类似的政府补助业务，采用一致的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方法处理。</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与日常活动相关的政府补助，按照经济业务实质，计入其他收益。与日常活动无关的政府补助，计</w:t>
      </w:r>
      <w:r>
        <w:rPr>
          <w:rFonts w:ascii="宋体" w:hAnsi="宋体" w:cs="宋体" w:eastAsia="宋体" w:hint="default"/>
          <w:w w:val="100"/>
          <w:sz w:val="21"/>
          <w:szCs w:val="21"/>
        </w:rPr>
        <w:t> </w:t>
      </w:r>
      <w:r>
        <w:rPr>
          <w:rFonts w:ascii="宋体" w:hAnsi="宋体" w:cs="宋体" w:eastAsia="宋体" w:hint="default"/>
          <w:sz w:val="21"/>
          <w:szCs w:val="21"/>
        </w:rPr>
        <w:t>入营业外收支。</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已确认的政府补助需要返还时，初始确认时冲减相关资产账面价值的，调整资产账面价值；存在相</w:t>
      </w:r>
      <w:r>
        <w:rPr>
          <w:rFonts w:ascii="宋体" w:hAnsi="宋体" w:cs="宋体" w:eastAsia="宋体" w:hint="default"/>
          <w:w w:val="100"/>
          <w:sz w:val="21"/>
          <w:szCs w:val="21"/>
        </w:rPr>
        <w:t> </w:t>
      </w:r>
      <w:r>
        <w:rPr>
          <w:rFonts w:ascii="宋体" w:hAnsi="宋体" w:cs="宋体" w:eastAsia="宋体" w:hint="default"/>
          <w:spacing w:val="-2"/>
          <w:sz w:val="21"/>
          <w:szCs w:val="21"/>
        </w:rPr>
        <w:t>关递延收益余额的，冲减相关递延收益账面余额，超出部分计入当期损益；属于其他情况的，直接计入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当期损益。</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25</w:t>
      </w:r>
      <w:r>
        <w:rPr>
          <w:rFonts w:ascii="Microsoft JhengHei" w:hAnsi="Microsoft JhengHei" w:cs="Microsoft JhengHei" w:eastAsia="Microsoft JhengHei" w:hint="default"/>
          <w:b/>
          <w:bCs/>
          <w:sz w:val="21"/>
          <w:szCs w:val="21"/>
        </w:rPr>
        <w:t>、递延所得税资产</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所得税包括当期所得税和递延所得税。除由于企业合并产生的调整商誉，或与直接计入所有者权益</w:t>
      </w:r>
      <w:r>
        <w:rPr>
          <w:rFonts w:ascii="宋体" w:hAnsi="宋体" w:cs="宋体" w:eastAsia="宋体" w:hint="default"/>
          <w:w w:val="100"/>
          <w:sz w:val="21"/>
          <w:szCs w:val="21"/>
        </w:rPr>
        <w:t> </w:t>
      </w:r>
      <w:r>
        <w:rPr>
          <w:rFonts w:ascii="宋体" w:hAnsi="宋体" w:cs="宋体" w:eastAsia="宋体" w:hint="default"/>
          <w:sz w:val="21"/>
          <w:szCs w:val="21"/>
        </w:rPr>
        <w:t>的交易或者事项相关的递延所得税计入所有者权益外，均作为所得税费用计入当期损益。</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本集团根据资产、负债于资产负债表日的账面价值与计税基础之间的暂时性差异，采用资产负债表</w:t>
      </w:r>
      <w:r>
        <w:rPr>
          <w:rFonts w:ascii="宋体" w:hAnsi="宋体" w:cs="宋体" w:eastAsia="宋体" w:hint="default"/>
          <w:w w:val="100"/>
          <w:sz w:val="21"/>
          <w:szCs w:val="21"/>
        </w:rPr>
        <w:t> </w:t>
      </w:r>
      <w:r>
        <w:rPr>
          <w:rFonts w:ascii="宋体" w:hAnsi="宋体" w:cs="宋体" w:eastAsia="宋体" w:hint="default"/>
          <w:sz w:val="21"/>
          <w:szCs w:val="21"/>
        </w:rPr>
        <w:t>债务法确认递延所得税。</w:t>
      </w:r>
    </w:p>
    <w:p>
      <w:pPr>
        <w:spacing w:after="0" w:line="314" w:lineRule="auto"/>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14" w:lineRule="auto" w:before="3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各项应纳税暂时性差异均确认相关的递延所得税负债，除非该应纳税暂时性差异是在以下交易中产</w:t>
      </w:r>
      <w:r>
        <w:rPr>
          <w:rFonts w:ascii="宋体" w:hAnsi="宋体" w:cs="宋体" w:eastAsia="宋体" w:hint="default"/>
          <w:w w:val="100"/>
          <w:sz w:val="21"/>
          <w:szCs w:val="21"/>
        </w:rPr>
        <w:t> </w:t>
      </w:r>
      <w:r>
        <w:rPr>
          <w:rFonts w:ascii="宋体" w:hAnsi="宋体" w:cs="宋体" w:eastAsia="宋体" w:hint="default"/>
          <w:sz w:val="21"/>
          <w:szCs w:val="21"/>
        </w:rPr>
        <w:t>生的：</w:t>
      </w:r>
    </w:p>
    <w:p>
      <w:pPr>
        <w:spacing w:line="297"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）商誉的初始确认，或者具有以下特征的交易中产生的资产或负债的初始确认：该交易不是企业</w:t>
      </w:r>
      <w:r>
        <w:rPr>
          <w:rFonts w:ascii="宋体" w:hAnsi="宋体" w:cs="宋体" w:eastAsia="宋体" w:hint="default"/>
          <w:w w:val="100"/>
          <w:sz w:val="21"/>
          <w:szCs w:val="21"/>
        </w:rPr>
        <w:t> </w:t>
      </w:r>
      <w:r>
        <w:rPr>
          <w:rFonts w:ascii="宋体" w:hAnsi="宋体" w:cs="宋体" w:eastAsia="宋体" w:hint="default"/>
          <w:sz w:val="21"/>
          <w:szCs w:val="21"/>
        </w:rPr>
        <w:t>合并，并且交易发生时既不影响会计利润也不影响应纳税所得额；</w:t>
      </w:r>
    </w:p>
    <w:p>
      <w:pPr>
        <w:spacing w:line="240" w:lineRule="auto" w:before="8"/>
        <w:rPr>
          <w:rFonts w:ascii="宋体" w:hAnsi="宋体" w:cs="宋体" w:eastAsia="宋体" w:hint="default"/>
          <w:sz w:val="14"/>
          <w:szCs w:val="14"/>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）对于与子公司、合营企业及联营企业投资相关的应纳税暂时性差异，该暂时性差异转回的时间</w:t>
      </w:r>
      <w:r>
        <w:rPr>
          <w:rFonts w:ascii="宋体" w:hAnsi="宋体" w:cs="宋体" w:eastAsia="宋体" w:hint="default"/>
          <w:w w:val="100"/>
          <w:sz w:val="21"/>
          <w:szCs w:val="21"/>
        </w:rPr>
        <w:t> </w:t>
      </w:r>
      <w:r>
        <w:rPr>
          <w:rFonts w:ascii="宋体" w:hAnsi="宋体" w:cs="宋体" w:eastAsia="宋体" w:hint="default"/>
          <w:sz w:val="21"/>
          <w:szCs w:val="21"/>
        </w:rPr>
        <w:t>能够控制并且该暂时性差异在可预见的未来很可能不会转回。</w:t>
      </w:r>
    </w:p>
    <w:p>
      <w:pPr>
        <w:spacing w:line="240" w:lineRule="auto" w:before="8"/>
        <w:rPr>
          <w:rFonts w:ascii="宋体" w:hAnsi="宋体" w:cs="宋体" w:eastAsia="宋体" w:hint="default"/>
          <w:sz w:val="14"/>
          <w:szCs w:val="14"/>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对于可抵扣暂时性差异、能够结转以后年度的可抵扣亏损和税款抵减，本集团以很可能取得用来抵</w:t>
      </w:r>
      <w:r>
        <w:rPr>
          <w:rFonts w:ascii="宋体" w:hAnsi="宋体" w:cs="宋体" w:eastAsia="宋体" w:hint="default"/>
          <w:w w:val="100"/>
          <w:sz w:val="21"/>
          <w:szCs w:val="21"/>
        </w:rPr>
        <w:t> </w:t>
      </w:r>
      <w:r>
        <w:rPr>
          <w:rFonts w:ascii="宋体" w:hAnsi="宋体" w:cs="宋体" w:eastAsia="宋体" w:hint="default"/>
          <w:spacing w:val="-2"/>
          <w:sz w:val="21"/>
          <w:szCs w:val="21"/>
        </w:rPr>
        <w:t>扣可抵扣暂时性差异、可抵扣亏损和税款抵减的未来应纳税所得额为限，确认由此产生的递延所得税资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产，除非该可抵扣暂时性差异是在以下交易中产生的：</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）该交易不是企业合并，并且交易发生时既不影响会计利润也不影响应纳税所得额；</w:t>
      </w:r>
    </w:p>
    <w:p>
      <w:pPr>
        <w:spacing w:line="240" w:lineRule="auto" w:before="4"/>
        <w:rPr>
          <w:rFonts w:ascii="宋体" w:hAnsi="宋体" w:cs="宋体" w:eastAsia="宋体" w:hint="default"/>
          <w:sz w:val="17"/>
          <w:szCs w:val="17"/>
        </w:rPr>
      </w:pPr>
    </w:p>
    <w:p>
      <w:pPr>
        <w:spacing w:line="30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）对于与子公司、合营企业及联营企业投资相关的可抵扣暂时性差异，同时满足下列条件的，确</w:t>
      </w:r>
      <w:r>
        <w:rPr>
          <w:rFonts w:ascii="宋体" w:hAnsi="宋体" w:cs="宋体" w:eastAsia="宋体" w:hint="default"/>
          <w:w w:val="100"/>
          <w:sz w:val="21"/>
          <w:szCs w:val="21"/>
        </w:rPr>
        <w:t> </w:t>
      </w:r>
      <w:r>
        <w:rPr>
          <w:rFonts w:ascii="宋体" w:hAnsi="宋体" w:cs="宋体" w:eastAsia="宋体" w:hint="default"/>
          <w:sz w:val="21"/>
          <w:szCs w:val="21"/>
        </w:rPr>
        <w:t>认相应的递延所得税资产：暂时性差异在可预见的未来很可能转回，且未来很可能获得用来抵扣可抵扣</w:t>
      </w:r>
      <w:r>
        <w:rPr>
          <w:rFonts w:ascii="宋体" w:hAnsi="宋体" w:cs="宋体" w:eastAsia="宋体" w:hint="default"/>
          <w:w w:val="100"/>
          <w:sz w:val="21"/>
          <w:szCs w:val="21"/>
        </w:rPr>
        <w:t> </w:t>
      </w:r>
      <w:r>
        <w:rPr>
          <w:rFonts w:ascii="宋体" w:hAnsi="宋体" w:cs="宋体" w:eastAsia="宋体" w:hint="default"/>
          <w:sz w:val="21"/>
          <w:szCs w:val="21"/>
        </w:rPr>
        <w:t>暂时性差异的应纳税所得额。</w:t>
      </w:r>
    </w:p>
    <w:p>
      <w:pPr>
        <w:spacing w:line="240" w:lineRule="auto" w:before="12"/>
        <w:rPr>
          <w:rFonts w:ascii="宋体" w:hAnsi="宋体" w:cs="宋体" w:eastAsia="宋体" w:hint="default"/>
          <w:sz w:val="13"/>
          <w:szCs w:val="13"/>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于资产负债表日，本集团对递延所得税资产和递延所得税负债，按照预期收回该资产或清偿该负债</w:t>
      </w:r>
      <w:r>
        <w:rPr>
          <w:rFonts w:ascii="宋体" w:hAnsi="宋体" w:cs="宋体" w:eastAsia="宋体" w:hint="default"/>
          <w:w w:val="100"/>
          <w:sz w:val="21"/>
          <w:szCs w:val="21"/>
        </w:rPr>
        <w:t> </w:t>
      </w:r>
      <w:r>
        <w:rPr>
          <w:rFonts w:ascii="宋体" w:hAnsi="宋体" w:cs="宋体" w:eastAsia="宋体" w:hint="default"/>
          <w:sz w:val="21"/>
          <w:szCs w:val="21"/>
        </w:rPr>
        <w:t>期间的适用税率计量，并反映资产负债表日预期收回资产或清偿负债方式的所得税影响。</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于资产负债表日，本集团对递延所得税资产的账面价值进行复核。如果未来期间很可能无法获得足</w:t>
      </w:r>
      <w:r>
        <w:rPr>
          <w:rFonts w:ascii="宋体" w:hAnsi="宋体" w:cs="宋体" w:eastAsia="宋体" w:hint="default"/>
          <w:w w:val="100"/>
          <w:sz w:val="21"/>
          <w:szCs w:val="21"/>
        </w:rPr>
        <w:t> </w:t>
      </w:r>
      <w:r>
        <w:rPr>
          <w:rFonts w:ascii="宋体" w:hAnsi="宋体" w:cs="宋体" w:eastAsia="宋体" w:hint="default"/>
          <w:spacing w:val="-2"/>
          <w:sz w:val="21"/>
          <w:szCs w:val="21"/>
        </w:rPr>
        <w:t>够的应纳税所得额用以抵扣递延所得税资产的利益，减记递延所得税资产的账面价值。在很可能获得足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够的应纳税所得额时，减记的金额予以转回。</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26</w:t>
      </w:r>
      <w:r>
        <w:rPr>
          <w:rFonts w:ascii="Microsoft JhengHei" w:hAnsi="Microsoft JhengHei" w:cs="Microsoft JhengHei" w:eastAsia="Microsoft JhengHei" w:hint="default"/>
          <w:b/>
          <w:bCs/>
          <w:sz w:val="21"/>
          <w:szCs w:val="21"/>
        </w:rPr>
        <w:t>、租赁</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本集团将实质上转移了与资产所有权有关的全部风险和报酬的租赁确认为融资租赁，除融资租赁之</w:t>
      </w:r>
      <w:r>
        <w:rPr>
          <w:rFonts w:ascii="宋体" w:hAnsi="宋体" w:cs="宋体" w:eastAsia="宋体" w:hint="default"/>
          <w:w w:val="100"/>
          <w:sz w:val="21"/>
          <w:szCs w:val="21"/>
        </w:rPr>
        <w:t> </w:t>
      </w:r>
      <w:r>
        <w:rPr>
          <w:rFonts w:ascii="宋体" w:hAnsi="宋体" w:cs="宋体" w:eastAsia="宋体" w:hint="default"/>
          <w:sz w:val="21"/>
          <w:szCs w:val="21"/>
        </w:rPr>
        <w:t>外的其他租赁确认为经营租赁。</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）经营租赁的会计处理方法</w:t>
      </w:r>
      <w:r>
        <w:rPr>
          <w:rFonts w:ascii="Microsoft JhengHei" w:hAnsi="Microsoft JhengHei" w:cs="Microsoft JhengHei" w:eastAsia="Microsoft JhengHei" w:hint="default"/>
          <w:sz w:val="21"/>
          <w:szCs w:val="21"/>
        </w:rPr>
      </w:r>
    </w:p>
    <w:p>
      <w:pPr>
        <w:spacing w:line="510" w:lineRule="atLeast" w:before="133"/>
        <w:ind w:left="578" w:right="0" w:firstLine="0"/>
        <w:jc w:val="left"/>
        <w:rPr>
          <w:rFonts w:ascii="宋体" w:hAnsi="宋体" w:cs="宋体" w:eastAsia="宋体" w:hint="default"/>
          <w:sz w:val="21"/>
          <w:szCs w:val="21"/>
        </w:rPr>
      </w:pPr>
      <w:r>
        <w:rPr>
          <w:rFonts w:ascii="宋体" w:hAnsi="宋体" w:cs="宋体" w:eastAsia="宋体" w:hint="default"/>
          <w:sz w:val="21"/>
          <w:szCs w:val="21"/>
        </w:rPr>
        <w:t>①本公司作为出租人</w:t>
      </w:r>
      <w:r>
        <w:rPr>
          <w:rFonts w:ascii="宋体" w:hAnsi="宋体" w:cs="宋体" w:eastAsia="宋体" w:hint="default"/>
          <w:w w:val="100"/>
          <w:sz w:val="21"/>
          <w:szCs w:val="21"/>
        </w:rPr>
        <w:t> </w:t>
      </w:r>
      <w:r>
        <w:rPr>
          <w:rFonts w:ascii="宋体" w:hAnsi="宋体" w:cs="宋体" w:eastAsia="宋体" w:hint="default"/>
          <w:spacing w:val="-2"/>
          <w:sz w:val="21"/>
          <w:szCs w:val="21"/>
        </w:rPr>
        <w:t>经营租赁中的租金，本集团在租赁期内各个期间按照直线法确认当期损益。发生的初始直接费用，</w:t>
      </w:r>
    </w:p>
    <w:p>
      <w:pPr>
        <w:spacing w:before="85"/>
        <w:ind w:left="152" w:right="0" w:firstLine="0"/>
        <w:jc w:val="left"/>
        <w:rPr>
          <w:rFonts w:ascii="宋体" w:hAnsi="宋体" w:cs="宋体" w:eastAsia="宋体" w:hint="default"/>
          <w:sz w:val="21"/>
          <w:szCs w:val="21"/>
        </w:rPr>
      </w:pPr>
      <w:r>
        <w:rPr>
          <w:rFonts w:ascii="宋体" w:hAnsi="宋体" w:cs="宋体" w:eastAsia="宋体" w:hint="default"/>
          <w:sz w:val="21"/>
          <w:szCs w:val="21"/>
        </w:rPr>
        <w:t>计入当期损益。</w:t>
      </w:r>
    </w:p>
    <w:p>
      <w:pPr>
        <w:spacing w:line="510" w:lineRule="atLeast" w:before="6"/>
        <w:ind w:left="578" w:right="0" w:firstLine="0"/>
        <w:jc w:val="left"/>
        <w:rPr>
          <w:rFonts w:ascii="宋体" w:hAnsi="宋体" w:cs="宋体" w:eastAsia="宋体" w:hint="default"/>
          <w:sz w:val="21"/>
          <w:szCs w:val="21"/>
        </w:rPr>
      </w:pPr>
      <w:r>
        <w:rPr>
          <w:rFonts w:ascii="宋体" w:hAnsi="宋体" w:cs="宋体" w:eastAsia="宋体" w:hint="default"/>
          <w:sz w:val="21"/>
          <w:szCs w:val="21"/>
        </w:rPr>
        <w:t>②本公司作为承租人</w:t>
      </w:r>
      <w:r>
        <w:rPr>
          <w:rFonts w:ascii="宋体" w:hAnsi="宋体" w:cs="宋体" w:eastAsia="宋体" w:hint="default"/>
          <w:w w:val="100"/>
          <w:sz w:val="21"/>
          <w:szCs w:val="21"/>
        </w:rPr>
        <w:t> </w:t>
      </w:r>
      <w:r>
        <w:rPr>
          <w:rFonts w:ascii="宋体" w:hAnsi="宋体" w:cs="宋体" w:eastAsia="宋体" w:hint="default"/>
          <w:spacing w:val="-2"/>
          <w:sz w:val="21"/>
          <w:szCs w:val="21"/>
        </w:rPr>
        <w:t>经营租赁中的租金，本集团在租赁期内各个期间按照直线法计入相关资产成本或当期损益；发生的</w:t>
      </w:r>
    </w:p>
    <w:p>
      <w:pPr>
        <w:spacing w:before="85"/>
        <w:ind w:left="152" w:right="0" w:firstLine="0"/>
        <w:jc w:val="left"/>
        <w:rPr>
          <w:rFonts w:ascii="宋体" w:hAnsi="宋体" w:cs="宋体" w:eastAsia="宋体" w:hint="default"/>
          <w:sz w:val="21"/>
          <w:szCs w:val="21"/>
        </w:rPr>
      </w:pPr>
      <w:r>
        <w:rPr>
          <w:rFonts w:ascii="宋体" w:hAnsi="宋体" w:cs="宋体" w:eastAsia="宋体" w:hint="default"/>
          <w:sz w:val="21"/>
          <w:szCs w:val="21"/>
        </w:rPr>
        <w:t>初始直接费用，计入当期损益。</w:t>
      </w:r>
    </w:p>
    <w:p>
      <w:pPr>
        <w:spacing w:after="0"/>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）融资租赁的会计处理方法</w:t>
      </w:r>
      <w:r>
        <w:rPr>
          <w:rFonts w:ascii="Microsoft JhengHei" w:hAnsi="Microsoft JhengHei" w:cs="Microsoft JhengHei" w:eastAsia="Microsoft JhengHei" w:hint="default"/>
          <w:sz w:val="21"/>
          <w:szCs w:val="21"/>
        </w:rPr>
      </w:r>
    </w:p>
    <w:p>
      <w:pPr>
        <w:spacing w:line="510" w:lineRule="atLeast" w:before="136"/>
        <w:ind w:left="578" w:right="0" w:firstLine="0"/>
        <w:jc w:val="left"/>
        <w:rPr>
          <w:rFonts w:ascii="宋体" w:hAnsi="宋体" w:cs="宋体" w:eastAsia="宋体" w:hint="default"/>
          <w:sz w:val="21"/>
          <w:szCs w:val="21"/>
        </w:rPr>
      </w:pPr>
      <w:r>
        <w:rPr>
          <w:rFonts w:ascii="宋体" w:hAnsi="宋体" w:cs="宋体" w:eastAsia="宋体" w:hint="default"/>
          <w:sz w:val="21"/>
          <w:szCs w:val="21"/>
        </w:rPr>
        <w:t>①本公司作为出租人</w:t>
      </w:r>
      <w:r>
        <w:rPr>
          <w:rFonts w:ascii="宋体" w:hAnsi="宋体" w:cs="宋体" w:eastAsia="宋体" w:hint="default"/>
          <w:w w:val="100"/>
          <w:sz w:val="21"/>
          <w:szCs w:val="21"/>
        </w:rPr>
        <w:t> </w:t>
      </w:r>
      <w:r>
        <w:rPr>
          <w:rFonts w:ascii="宋体" w:hAnsi="宋体" w:cs="宋体" w:eastAsia="宋体" w:hint="default"/>
          <w:spacing w:val="-2"/>
          <w:sz w:val="21"/>
          <w:szCs w:val="21"/>
        </w:rPr>
        <w:t>融资租赁中，在租赁期开始日本集团按最低租赁收款额与初始直接费用之和作为应收融资租赁款的</w:t>
      </w:r>
    </w:p>
    <w:p>
      <w:pPr>
        <w:spacing w:line="314" w:lineRule="auto" w:before="85"/>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入账价值，同时记录未担保余值；将最低租赁收款额、初始直接费用及未担保余值之和与其现值之和的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差额确认为未实现融资收益。未实现融资收益在租赁期内各个期间采用实际利率法计算确认当期的融资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收入。</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②本公司作为承租人</w:t>
      </w:r>
      <w:r>
        <w:rPr>
          <w:rFonts w:ascii="宋体" w:hAnsi="宋体" w:cs="宋体" w:eastAsia="宋体" w:hint="default"/>
          <w:w w:val="100"/>
          <w:sz w:val="21"/>
          <w:szCs w:val="21"/>
        </w:rPr>
        <w:t> </w:t>
      </w:r>
      <w:r>
        <w:rPr>
          <w:rFonts w:ascii="宋体" w:hAnsi="宋体" w:cs="宋体" w:eastAsia="宋体" w:hint="default"/>
          <w:spacing w:val="-2"/>
          <w:sz w:val="21"/>
          <w:szCs w:val="21"/>
        </w:rPr>
        <w:t>融资租赁中，在租赁期开始日本集团将租赁资产公允价值与最低租赁付款额现值两者中较低者作为</w:t>
      </w:r>
    </w:p>
    <w:p>
      <w:pPr>
        <w:spacing w:line="314" w:lineRule="auto" w:before="11"/>
        <w:ind w:left="152" w:right="333" w:firstLine="0"/>
        <w:jc w:val="both"/>
        <w:rPr>
          <w:rFonts w:ascii="宋体" w:hAnsi="宋体" w:cs="宋体" w:eastAsia="宋体" w:hint="default"/>
          <w:sz w:val="21"/>
          <w:szCs w:val="21"/>
        </w:rPr>
      </w:pPr>
      <w:r>
        <w:rPr>
          <w:rFonts w:ascii="宋体" w:hAnsi="宋体" w:cs="宋体" w:eastAsia="宋体" w:hint="default"/>
          <w:spacing w:val="-2"/>
          <w:sz w:val="21"/>
          <w:szCs w:val="21"/>
        </w:rPr>
        <w:t>租入资产的入账价值，将最低租赁付款额作为长期应付款的入账价值，其差额作为未确认融资费用。初</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始直接费用计入租入资产价值。未确认融资费用在租赁期内各个期间采用实际利率法计算确认当期的融</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资费用。本集团采用与自有固定资产相一致的折旧政策计提租赁资产折旧。</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27</w:t>
      </w:r>
      <w:r>
        <w:rPr>
          <w:rFonts w:ascii="Microsoft JhengHei" w:hAnsi="Microsoft JhengHei" w:cs="Microsoft JhengHei" w:eastAsia="Microsoft JhengHei" w:hint="default"/>
          <w:b/>
          <w:bCs/>
          <w:sz w:val="21"/>
          <w:szCs w:val="21"/>
        </w:rPr>
        <w:t>、其他重要的会计政策和会计估计</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本公司根据历史经验和其它因素，包括对未来事项的合理预期，对所采用的重要会计估计和关键假</w:t>
      </w:r>
      <w:r>
        <w:rPr>
          <w:rFonts w:ascii="宋体" w:hAnsi="宋体" w:cs="宋体" w:eastAsia="宋体" w:hint="default"/>
          <w:w w:val="100"/>
          <w:sz w:val="21"/>
          <w:szCs w:val="21"/>
        </w:rPr>
        <w:t> </w:t>
      </w:r>
      <w:r>
        <w:rPr>
          <w:rFonts w:ascii="宋体" w:hAnsi="宋体" w:cs="宋体" w:eastAsia="宋体" w:hint="default"/>
          <w:sz w:val="21"/>
          <w:szCs w:val="21"/>
        </w:rPr>
        <w:t>设进行持续的评价。</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很可能导致下一会计年度资产和负债的账面价值出现重大调整风险的重要会计估计和关键假设列示</w:t>
      </w:r>
      <w:r>
        <w:rPr>
          <w:rFonts w:ascii="宋体" w:hAnsi="宋体" w:cs="宋体" w:eastAsia="宋体" w:hint="default"/>
          <w:w w:val="100"/>
          <w:sz w:val="21"/>
          <w:szCs w:val="21"/>
        </w:rPr>
        <w:t> </w:t>
      </w:r>
      <w:r>
        <w:rPr>
          <w:rFonts w:ascii="宋体" w:hAnsi="宋体" w:cs="宋体" w:eastAsia="宋体" w:hint="default"/>
          <w:sz w:val="21"/>
          <w:szCs w:val="21"/>
        </w:rPr>
        <w:t>如下：</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商誉减值</w:t>
      </w:r>
      <w:r>
        <w:rPr>
          <w:rFonts w:ascii="宋体" w:hAnsi="宋体" w:cs="宋体" w:eastAsia="宋体" w:hint="default"/>
          <w:w w:val="100"/>
          <w:sz w:val="21"/>
          <w:szCs w:val="21"/>
        </w:rPr>
        <w:t> </w:t>
      </w:r>
      <w:r>
        <w:rPr>
          <w:rFonts w:ascii="宋体" w:hAnsi="宋体" w:cs="宋体" w:eastAsia="宋体" w:hint="default"/>
          <w:spacing w:val="-2"/>
          <w:sz w:val="21"/>
          <w:szCs w:val="21"/>
        </w:rPr>
        <w:t>本公司至少每年评估商誉是否发生减值。这要求对分配了商誉的资产组的使用价值进行估计。估计</w:t>
      </w:r>
    </w:p>
    <w:p>
      <w:pPr>
        <w:spacing w:line="314" w:lineRule="auto" w:before="11"/>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使用价值时，本集团需要估计未来来自资产组的现金流量，同时选择恰当的折现率计算未来现金流量的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现值。）</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w w:val="100"/>
          <w:sz w:val="21"/>
          <w:szCs w:val="21"/>
        </w:rPr>
        <w:t> </w:t>
      </w:r>
      <w:r>
        <w:rPr>
          <w:rFonts w:ascii="宋体" w:hAnsi="宋体" w:cs="宋体" w:eastAsia="宋体" w:hint="default"/>
          <w:spacing w:val="-2"/>
          <w:sz w:val="21"/>
          <w:szCs w:val="21"/>
        </w:rPr>
        <w:t>确定资本化的金额时，管理层必须做出有关资产的预期未来现金的产生、应采用的折现率以及预计</w:t>
      </w:r>
    </w:p>
    <w:p>
      <w:pPr>
        <w:spacing w:line="451" w:lineRule="auto" w:before="11"/>
        <w:ind w:left="578" w:right="7885" w:hanging="426"/>
        <w:jc w:val="left"/>
        <w:rPr>
          <w:rFonts w:ascii="宋体" w:hAnsi="宋体" w:cs="宋体" w:eastAsia="宋体" w:hint="default"/>
          <w:sz w:val="21"/>
          <w:szCs w:val="21"/>
        </w:rPr>
      </w:pPr>
      <w:r>
        <w:rPr>
          <w:rFonts w:ascii="宋体" w:hAnsi="宋体" w:cs="宋体" w:eastAsia="宋体" w:hint="default"/>
          <w:sz w:val="21"/>
          <w:szCs w:val="21"/>
        </w:rPr>
        <w:t>受益期间的假设。</w:t>
      </w:r>
      <w:r>
        <w:rPr>
          <w:rFonts w:ascii="宋体" w:hAnsi="宋体" w:cs="宋体" w:eastAsia="宋体" w:hint="default"/>
          <w:w w:val="100"/>
          <w:sz w:val="21"/>
          <w:szCs w:val="21"/>
        </w:rPr>
        <w:t> </w:t>
      </w:r>
      <w:r>
        <w:rPr>
          <w:rFonts w:ascii="宋体" w:hAnsi="宋体" w:cs="宋体" w:eastAsia="宋体" w:hint="default"/>
          <w:spacing w:val="-1"/>
          <w:sz w:val="21"/>
          <w:szCs w:val="21"/>
        </w:rPr>
        <w:t>递延所得税资产</w:t>
      </w:r>
    </w:p>
    <w:p>
      <w:pPr>
        <w:spacing w:line="314" w:lineRule="auto" w:before="5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在很有可能有足够的应纳税利润来抵扣亏损的限度内，应就所有未利用的税务亏损确认递延所得税</w:t>
      </w:r>
      <w:r>
        <w:rPr>
          <w:rFonts w:ascii="宋体" w:hAnsi="宋体" w:cs="宋体" w:eastAsia="宋体" w:hint="default"/>
          <w:w w:val="100"/>
          <w:sz w:val="21"/>
          <w:szCs w:val="21"/>
        </w:rPr>
        <w:t> </w:t>
      </w:r>
      <w:r>
        <w:rPr>
          <w:rFonts w:ascii="宋体" w:hAnsi="宋体" w:cs="宋体" w:eastAsia="宋体" w:hint="default"/>
          <w:spacing w:val="-2"/>
          <w:sz w:val="21"/>
          <w:szCs w:val="21"/>
        </w:rPr>
        <w:t>资产。这需要管理层运用大量的判断来估计未来应纳税利润发生的时间和金额，结合纳税筹划策略，以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决定应确认的递延所得税资产的金额。</w:t>
      </w:r>
    </w:p>
    <w:p>
      <w:pPr>
        <w:spacing w:line="516" w:lineRule="exact" w:before="8"/>
        <w:ind w:left="578" w:right="0" w:firstLine="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w w:val="100"/>
          <w:sz w:val="21"/>
          <w:szCs w:val="21"/>
        </w:rPr>
        <w:t> </w:t>
      </w:r>
      <w:r>
        <w:rPr>
          <w:rFonts w:ascii="宋体" w:hAnsi="宋体" w:cs="宋体" w:eastAsia="宋体" w:hint="default"/>
          <w:spacing w:val="-2"/>
          <w:sz w:val="21"/>
          <w:szCs w:val="21"/>
        </w:rPr>
        <w:t>本公司对外销的与收入高度相关的软件对应的无形资产摊销依据需要估计未来该项无形资产的销售</w:t>
      </w:r>
    </w:p>
    <w:p>
      <w:pPr>
        <w:spacing w:before="11"/>
        <w:ind w:left="152" w:right="0" w:firstLine="0"/>
        <w:jc w:val="both"/>
        <w:rPr>
          <w:rFonts w:ascii="宋体" w:hAnsi="宋体" w:cs="宋体" w:eastAsia="宋体" w:hint="default"/>
          <w:sz w:val="21"/>
          <w:szCs w:val="21"/>
        </w:rPr>
      </w:pPr>
      <w:r>
        <w:rPr>
          <w:rFonts w:ascii="宋体" w:hAnsi="宋体" w:cs="宋体" w:eastAsia="宋体" w:hint="default"/>
          <w:sz w:val="21"/>
          <w:szCs w:val="21"/>
        </w:rPr>
        <w:t>金额。</w:t>
      </w:r>
    </w:p>
    <w:p>
      <w:pPr>
        <w:spacing w:after="0"/>
        <w:jc w:val="both"/>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28</w:t>
      </w:r>
      <w:r>
        <w:rPr>
          <w:rFonts w:ascii="Microsoft JhengHei" w:hAnsi="Microsoft JhengHei" w:cs="Microsoft JhengHei" w:eastAsia="Microsoft JhengHei" w:hint="default"/>
          <w:b/>
          <w:bCs/>
          <w:sz w:val="21"/>
          <w:szCs w:val="21"/>
        </w:rPr>
        <w:t>、重要会计政策和会计估计变更</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）重要会计政策变更</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4537"/>
        <w:gridCol w:w="2693"/>
        <w:gridCol w:w="2341"/>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49"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4"/>
                <w:sz w:val="18"/>
                <w:szCs w:val="18"/>
              </w:rPr>
              <w:t> </w:t>
            </w:r>
            <w:r>
              <w:rPr>
                <w:rFonts w:ascii="Arial" w:hAnsi="Arial" w:cs="Arial" w:eastAsia="Arial" w:hint="default"/>
                <w:w w:val="99"/>
                <w:sz w:val="18"/>
                <w:szCs w:val="18"/>
              </w:rPr>
              <w:t>16</w:t>
            </w:r>
            <w:r>
              <w:rPr>
                <w:rFonts w:ascii="Arial" w:hAnsi="Arial" w:cs="Arial" w:eastAsia="Arial" w:hint="default"/>
                <w:spacing w:val="-4"/>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Arial" w:hAnsi="Arial" w:cs="Arial" w:eastAsia="Arial" w:hint="default"/>
                <w:spacing w:val="-3"/>
                <w:sz w:val="18"/>
                <w:szCs w:val="18"/>
              </w:rPr>
              <w:t>-</w:t>
            </w:r>
            <w:r>
              <w:rPr>
                <w:rFonts w:ascii="宋体" w:hAnsi="宋体" w:cs="宋体" w:eastAsia="宋体" w:hint="default"/>
                <w:sz w:val="18"/>
                <w:szCs w:val="18"/>
              </w:rPr>
              <w:t>政府补助</w:t>
            </w:r>
            <w:r>
              <w:rPr>
                <w:rFonts w:ascii="宋体" w:hAnsi="宋体" w:cs="宋体" w:eastAsia="宋体" w:hint="default"/>
                <w:spacing w:val="-92"/>
                <w:sz w:val="18"/>
                <w:szCs w:val="18"/>
              </w:rPr>
              <w:t>》</w:t>
            </w:r>
            <w:r>
              <w:rPr>
                <w:rFonts w:ascii="宋体" w:hAnsi="宋体" w:cs="宋体" w:eastAsia="宋体" w:hint="default"/>
                <w:sz w:val="18"/>
                <w:szCs w:val="18"/>
              </w:rPr>
              <w:t>（财会</w:t>
            </w:r>
          </w:p>
          <w:p>
            <w:pPr>
              <w:pStyle w:val="TableParagraph"/>
              <w:spacing w:line="307" w:lineRule="auto" w:before="61"/>
              <w:ind w:left="24" w:right="5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2017</w:t>
            </w:r>
            <w:r>
              <w:rPr>
                <w:rFonts w:ascii="宋体" w:hAnsi="宋体" w:cs="宋体" w:eastAsia="宋体" w:hint="default"/>
                <w:sz w:val="18"/>
                <w:szCs w:val="18"/>
              </w:rPr>
              <w:t>〕</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号）修订的规定，自</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日起， 与企业日常活动相关的政府补助计入</w:t>
            </w:r>
            <w:r>
              <w:rPr>
                <w:rFonts w:ascii="Arial" w:hAnsi="Arial" w:cs="Arial" w:eastAsia="Arial" w:hint="default"/>
                <w:sz w:val="18"/>
                <w:szCs w:val="18"/>
              </w:rPr>
              <w:t>"</w:t>
            </w:r>
            <w:r>
              <w:rPr>
                <w:rFonts w:ascii="宋体" w:hAnsi="宋体" w:cs="宋体" w:eastAsia="宋体" w:hint="default"/>
                <w:sz w:val="18"/>
                <w:szCs w:val="18"/>
              </w:rPr>
              <w:t>其他收益</w:t>
            </w:r>
            <w:r>
              <w:rPr>
                <w:rFonts w:ascii="Arial" w:hAnsi="Arial" w:cs="Arial" w:eastAsia="Arial" w:hint="default"/>
                <w:sz w:val="18"/>
                <w:szCs w:val="18"/>
              </w:rPr>
              <w:t>"</w:t>
            </w:r>
            <w:r>
              <w:rPr>
                <w:rFonts w:ascii="宋体" w:hAnsi="宋体" w:cs="宋体" w:eastAsia="宋体" w:hint="default"/>
                <w:sz w:val="18"/>
                <w:szCs w:val="18"/>
              </w:rPr>
              <w:t>或冲减相 关成本费用，与企业日常活动无关的政府补助计入营业 外收支。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4" w:right="46"/>
              <w:jc w:val="both"/>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14</w:t>
            </w:r>
            <w:r>
              <w:rPr>
                <w:rFonts w:ascii="Arial" w:hAnsi="Arial" w:cs="Arial" w:eastAsia="Arial" w:hint="default"/>
                <w:spacing w:val="-5"/>
                <w:sz w:val="18"/>
                <w:szCs w:val="18"/>
              </w:rPr>
              <w:t> </w:t>
            </w:r>
            <w:r>
              <w:rPr>
                <w:rFonts w:ascii="宋体" w:hAnsi="宋体" w:cs="宋体" w:eastAsia="宋体" w:hint="default"/>
                <w:sz w:val="18"/>
                <w:szCs w:val="18"/>
              </w:rPr>
              <w:t>日，公司召开第 六届董事会第二十次会议、第六 届监事会第十六次会议审议通过 </w:t>
            </w:r>
            <w:r>
              <w:rPr>
                <w:rFonts w:ascii="宋体" w:hAnsi="宋体" w:cs="宋体" w:eastAsia="宋体" w:hint="default"/>
                <w:spacing w:val="-6"/>
                <w:sz w:val="18"/>
                <w:szCs w:val="18"/>
              </w:rPr>
              <w:t>了《关于会计政策变更的议案》。</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营业外收入减少</w:t>
            </w:r>
          </w:p>
          <w:p>
            <w:pPr>
              <w:pStyle w:val="TableParagraph"/>
              <w:spacing w:line="240" w:lineRule="auto" w:before="74"/>
              <w:ind w:left="24" w:right="0"/>
              <w:jc w:val="left"/>
              <w:rPr>
                <w:rFonts w:ascii="宋体" w:hAnsi="宋体" w:cs="宋体" w:eastAsia="宋体" w:hint="default"/>
                <w:sz w:val="18"/>
                <w:szCs w:val="18"/>
              </w:rPr>
            </w:pPr>
            <w:r>
              <w:rPr>
                <w:rFonts w:ascii="Arial" w:hAnsi="Arial" w:cs="Arial" w:eastAsia="Arial" w:hint="default"/>
                <w:sz w:val="18"/>
                <w:szCs w:val="18"/>
              </w:rPr>
              <w:t>94,315,221.33</w:t>
            </w:r>
            <w:r>
              <w:rPr>
                <w:rFonts w:ascii="Arial" w:hAnsi="Arial" w:cs="Arial" w:eastAsia="Arial" w:hint="default"/>
                <w:spacing w:val="-10"/>
                <w:sz w:val="18"/>
                <w:szCs w:val="18"/>
              </w:rPr>
              <w:t> </w:t>
            </w:r>
            <w:r>
              <w:rPr>
                <w:rFonts w:ascii="宋体" w:hAnsi="宋体" w:cs="宋体" w:eastAsia="宋体" w:hint="default"/>
                <w:sz w:val="18"/>
                <w:szCs w:val="18"/>
              </w:rPr>
              <w:t>元，其他收益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Arial" w:hAnsi="Arial" w:cs="Arial" w:eastAsia="Arial" w:hint="default"/>
                <w:sz w:val="18"/>
                <w:szCs w:val="18"/>
              </w:rPr>
              <w:t>94,315,221.33</w:t>
            </w:r>
            <w:r>
              <w:rPr>
                <w:rFonts w:ascii="Arial" w:hAnsi="Arial" w:cs="Arial" w:eastAsia="Arial" w:hint="default"/>
                <w:spacing w:val="-7"/>
                <w:sz w:val="18"/>
                <w:szCs w:val="18"/>
              </w:rPr>
              <w:t> </w:t>
            </w:r>
            <w:r>
              <w:rPr>
                <w:rFonts w:ascii="宋体" w:hAnsi="宋体" w:cs="宋体" w:eastAsia="宋体" w:hint="default"/>
                <w:sz w:val="18"/>
                <w:szCs w:val="18"/>
              </w:rPr>
              <w:t>元。</w:t>
            </w:r>
          </w:p>
        </w:tc>
      </w:tr>
      <w:tr>
        <w:trPr>
          <w:trHeight w:val="2900"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pacing w:val="-4"/>
                <w:sz w:val="18"/>
                <w:szCs w:val="18"/>
              </w:rPr>
              <w:t>根据《关于修订印发一般企业财务报表格式的通知》（财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w w:val="99"/>
                <w:sz w:val="18"/>
                <w:szCs w:val="18"/>
              </w:rPr>
              <w:t>会〔</w:t>
            </w:r>
            <w:r>
              <w:rPr>
                <w:rFonts w:ascii="Arial" w:hAnsi="Arial" w:cs="Arial" w:eastAsia="Arial" w:hint="default"/>
                <w:spacing w:val="-1"/>
                <w:w w:val="99"/>
                <w:sz w:val="18"/>
                <w:szCs w:val="18"/>
              </w:rPr>
              <w:t>2017</w:t>
            </w:r>
            <w:r>
              <w:rPr>
                <w:rFonts w:ascii="宋体" w:hAnsi="宋体" w:cs="宋体" w:eastAsia="宋体" w:hint="default"/>
                <w:spacing w:val="-1"/>
                <w:w w:val="99"/>
                <w:sz w:val="18"/>
                <w:szCs w:val="18"/>
              </w:rPr>
              <w:t>〕</w:t>
            </w:r>
            <w:r>
              <w:rPr>
                <w:rFonts w:ascii="Arial" w:hAnsi="Arial" w:cs="Arial" w:eastAsia="Arial" w:hint="default"/>
                <w:spacing w:val="-1"/>
                <w:w w:val="99"/>
                <w:sz w:val="18"/>
                <w:szCs w:val="18"/>
              </w:rPr>
              <w:t>30</w:t>
            </w:r>
            <w:r>
              <w:rPr>
                <w:rFonts w:ascii="Arial" w:hAnsi="Arial" w:cs="Arial" w:eastAsia="Arial" w:hint="default"/>
                <w:w w:val="99"/>
                <w:sz w:val="18"/>
                <w:szCs w:val="18"/>
              </w:rPr>
              <w:t> </w:t>
            </w:r>
            <w:r>
              <w:rPr>
                <w:rFonts w:ascii="宋体" w:hAnsi="宋体" w:cs="宋体" w:eastAsia="宋体" w:hint="default"/>
                <w:spacing w:val="-5"/>
                <w:sz w:val="18"/>
                <w:szCs w:val="18"/>
              </w:rPr>
              <w:t>号），在利润表中新增</w:t>
            </w:r>
            <w:r>
              <w:rPr>
                <w:rFonts w:ascii="Arial" w:hAnsi="Arial" w:cs="Arial" w:eastAsia="Arial" w:hint="default"/>
                <w:spacing w:val="-5"/>
                <w:sz w:val="18"/>
                <w:szCs w:val="18"/>
              </w:rPr>
              <w:t>“</w:t>
            </w:r>
            <w:r>
              <w:rPr>
                <w:rFonts w:ascii="宋体" w:hAnsi="宋体" w:cs="宋体" w:eastAsia="宋体" w:hint="default"/>
                <w:spacing w:val="-5"/>
                <w:sz w:val="18"/>
                <w:szCs w:val="18"/>
              </w:rPr>
              <w:t>资产处置收益</w:t>
            </w:r>
            <w:r>
              <w:rPr>
                <w:rFonts w:ascii="Arial" w:hAnsi="Arial" w:cs="Arial" w:eastAsia="Arial" w:hint="default"/>
                <w:spacing w:val="-5"/>
                <w:sz w:val="18"/>
                <w:szCs w:val="18"/>
              </w:rPr>
              <w:t>”</w:t>
            </w:r>
            <w:r>
              <w:rPr>
                <w:rFonts w:ascii="宋体" w:hAnsi="宋体" w:cs="宋体" w:eastAsia="宋体" w:hint="default"/>
                <w:spacing w:val="-5"/>
                <w:sz w:val="18"/>
                <w:szCs w:val="18"/>
              </w:rPr>
              <w:t>行项</w:t>
            </w:r>
            <w:r>
              <w:rPr>
                <w:rFonts w:ascii="宋体" w:hAnsi="宋体" w:cs="宋体" w:eastAsia="宋体" w:hint="default"/>
                <w:spacing w:val="-80"/>
                <w:sz w:val="18"/>
                <w:szCs w:val="18"/>
              </w:rPr>
              <w:t> </w:t>
            </w:r>
            <w:r>
              <w:rPr>
                <w:rFonts w:ascii="宋体" w:hAnsi="宋体" w:cs="宋体" w:eastAsia="宋体" w:hint="default"/>
                <w:sz w:val="18"/>
                <w:szCs w:val="18"/>
              </w:rPr>
              <w:t>目，反映企业出售划分为持有待售的非流动资产（金融 工具、长期股权投资和投资性房地产除外）或处置组时 确认的处置利得或损失，处置未划分为持有待售的固定 资产、在建工程、生产性生物资产及无形资产而产生的 处置利得或损失，以及债务重组中因处置非流动资产产 生的利得或损失和非货币性资产交换产生的利得或损 失。</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4" w:right="31"/>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日，公司召开第六 届董事会第二十七次会议、第六 届监事会第二十二次会议</w:t>
            </w:r>
            <w:r>
              <w:rPr>
                <w:rFonts w:ascii="宋体" w:hAnsi="宋体" w:cs="宋体" w:eastAsia="宋体" w:hint="default"/>
                <w:spacing w:val="1"/>
                <w:sz w:val="18"/>
                <w:szCs w:val="18"/>
              </w:rPr>
              <w:t> </w:t>
            </w:r>
            <w:r>
              <w:rPr>
                <w:rFonts w:ascii="宋体" w:hAnsi="宋体" w:cs="宋体" w:eastAsia="宋体" w:hint="default"/>
                <w:sz w:val="18"/>
                <w:szCs w:val="18"/>
              </w:rPr>
              <w:t>审议通</w:t>
            </w:r>
            <w:r>
              <w:rPr>
                <w:rFonts w:ascii="宋体" w:hAnsi="宋体" w:cs="宋体" w:eastAsia="宋体" w:hint="default"/>
                <w:sz w:val="18"/>
                <w:szCs w:val="18"/>
              </w:rPr>
              <w:t> 过了《关于会计政策变更的议 </w:t>
            </w:r>
            <w:r>
              <w:rPr>
                <w:rFonts w:ascii="宋体" w:hAnsi="宋体" w:cs="宋体" w:eastAsia="宋体" w:hint="default"/>
                <w:spacing w:val="-31"/>
                <w:sz w:val="18"/>
                <w:szCs w:val="18"/>
              </w:rPr>
              <w:t>案》。</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3"/>
              <w:ind w:left="24" w:right="197"/>
              <w:jc w:val="left"/>
              <w:rPr>
                <w:rFonts w:ascii="宋体" w:hAnsi="宋体" w:cs="宋体" w:eastAsia="宋体" w:hint="default"/>
                <w:sz w:val="18"/>
                <w:szCs w:val="18"/>
              </w:rPr>
            </w:pPr>
            <w:r>
              <w:rPr>
                <w:rFonts w:ascii="宋体" w:hAnsi="宋体" w:cs="宋体" w:eastAsia="宋体" w:hint="default"/>
                <w:sz w:val="18"/>
                <w:szCs w:val="18"/>
              </w:rPr>
              <w:t>营业外收入减少</w:t>
            </w:r>
            <w:r>
              <w:rPr>
                <w:rFonts w:ascii="宋体" w:hAnsi="宋体" w:cs="宋体" w:eastAsia="宋体" w:hint="default"/>
                <w:spacing w:val="-45"/>
                <w:sz w:val="18"/>
                <w:szCs w:val="18"/>
              </w:rPr>
              <w:t> </w:t>
            </w:r>
            <w:r>
              <w:rPr>
                <w:rFonts w:ascii="Arial" w:hAnsi="Arial" w:cs="Arial" w:eastAsia="Arial" w:hint="default"/>
                <w:sz w:val="18"/>
                <w:szCs w:val="18"/>
              </w:rPr>
              <w:t>8,215.96</w:t>
            </w:r>
            <w:r>
              <w:rPr>
                <w:rFonts w:ascii="Arial" w:hAnsi="Arial" w:cs="Arial" w:eastAsia="Arial" w:hint="default"/>
                <w:w w:val="99"/>
                <w:sz w:val="18"/>
                <w:szCs w:val="18"/>
              </w:rPr>
              <w:t> </w:t>
            </w:r>
            <w:r>
              <w:rPr>
                <w:rFonts w:ascii="宋体" w:hAnsi="宋体" w:cs="宋体" w:eastAsia="宋体" w:hint="default"/>
                <w:sz w:val="18"/>
                <w:szCs w:val="18"/>
              </w:rPr>
              <w:t>元，营业外支出减少 </w:t>
            </w:r>
            <w:r>
              <w:rPr>
                <w:rFonts w:ascii="Arial" w:hAnsi="Arial" w:cs="Arial" w:eastAsia="Arial" w:hint="default"/>
                <w:sz w:val="18"/>
                <w:szCs w:val="18"/>
              </w:rPr>
              <w:t>71,687.62</w:t>
            </w:r>
            <w:r>
              <w:rPr>
                <w:rFonts w:ascii="Arial" w:hAnsi="Arial" w:cs="Arial" w:eastAsia="Arial" w:hint="default"/>
                <w:spacing w:val="-7"/>
                <w:sz w:val="18"/>
                <w:szCs w:val="18"/>
              </w:rPr>
              <w:t> </w:t>
            </w:r>
            <w:r>
              <w:rPr>
                <w:rFonts w:ascii="宋体" w:hAnsi="宋体" w:cs="宋体" w:eastAsia="宋体" w:hint="default"/>
                <w:sz w:val="18"/>
                <w:szCs w:val="18"/>
              </w:rPr>
              <w:t>元，资产处置收 益增加</w:t>
            </w:r>
            <w:r>
              <w:rPr>
                <w:rFonts w:ascii="Arial" w:hAnsi="Arial" w:cs="Arial" w:eastAsia="Arial" w:hint="default"/>
                <w:sz w:val="18"/>
                <w:szCs w:val="18"/>
              </w:rPr>
              <w:t>-63,471.66</w:t>
            </w:r>
            <w:r>
              <w:rPr>
                <w:rFonts w:ascii="Arial" w:hAnsi="Arial" w:cs="Arial" w:eastAsia="Arial" w:hint="default"/>
                <w:spacing w:val="-8"/>
                <w:sz w:val="18"/>
                <w:szCs w:val="18"/>
              </w:rPr>
              <w:t> </w:t>
            </w:r>
            <w:r>
              <w:rPr>
                <w:rFonts w:ascii="宋体" w:hAnsi="宋体" w:cs="宋体" w:eastAsia="宋体" w:hint="default"/>
                <w:sz w:val="18"/>
                <w:szCs w:val="18"/>
              </w:rPr>
              <w:t>元。</w:t>
            </w:r>
          </w:p>
        </w:tc>
      </w:tr>
      <w:tr>
        <w:trPr>
          <w:trHeight w:val="1649"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Arial" w:hAnsi="Arial" w:cs="Arial" w:eastAsia="Arial" w:hint="default"/>
                <w:sz w:val="18"/>
                <w:szCs w:val="18"/>
              </w:rPr>
              <w:t>42</w:t>
            </w:r>
            <w:r>
              <w:rPr>
                <w:rFonts w:ascii="Arial" w:hAnsi="Arial" w:cs="Arial" w:eastAsia="Arial" w:hint="default"/>
                <w:spacing w:val="-6"/>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持有待售的非流动资</w:t>
            </w:r>
          </w:p>
          <w:p>
            <w:pPr>
              <w:pStyle w:val="TableParagraph"/>
              <w:spacing w:line="312" w:lineRule="auto" w:before="61"/>
              <w:ind w:left="24" w:right="181"/>
              <w:jc w:val="both"/>
              <w:rPr>
                <w:rFonts w:ascii="宋体" w:hAnsi="宋体" w:cs="宋体" w:eastAsia="宋体" w:hint="default"/>
                <w:sz w:val="18"/>
                <w:szCs w:val="18"/>
              </w:rPr>
            </w:pPr>
            <w:r>
              <w:rPr>
                <w:rFonts w:ascii="宋体" w:hAnsi="宋体" w:cs="宋体" w:eastAsia="宋体" w:hint="default"/>
                <w:spacing w:val="-7"/>
                <w:sz w:val="18"/>
                <w:szCs w:val="18"/>
              </w:rPr>
              <w:t>产、处置组和终止经营》，对于</w:t>
            </w:r>
            <w:r>
              <w:rPr>
                <w:rFonts w:ascii="宋体" w:hAnsi="宋体" w:cs="宋体" w:eastAsia="宋体" w:hint="default"/>
                <w:spacing w:val="-43"/>
                <w:sz w:val="18"/>
                <w:szCs w:val="18"/>
              </w:rPr>
              <w:t> </w:t>
            </w:r>
            <w:r>
              <w:rPr>
                <w:rFonts w:ascii="Arial" w:hAnsi="Arial" w:cs="Arial" w:eastAsia="Arial" w:hint="default"/>
                <w:spacing w:val="-1"/>
                <w:w w:val="99"/>
                <w:sz w:val="18"/>
                <w:szCs w:val="18"/>
              </w:rPr>
              <w:t>2017</w:t>
            </w:r>
            <w:r>
              <w:rPr>
                <w:rFonts w:ascii="Arial" w:hAnsi="Arial" w:cs="Arial" w:eastAsia="Arial" w:hint="default"/>
                <w:spacing w:val="-2"/>
                <w:w w:val="99"/>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w w:val="99"/>
                <w:sz w:val="18"/>
                <w:szCs w:val="18"/>
              </w:rPr>
              <w:t>5</w:t>
            </w:r>
            <w:r>
              <w:rPr>
                <w:rFonts w:ascii="Arial" w:hAnsi="Arial" w:cs="Arial" w:eastAsia="Arial" w:hint="default"/>
                <w:spacing w:val="-6"/>
                <w:w w:val="99"/>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w w:val="99"/>
                <w:sz w:val="18"/>
                <w:szCs w:val="18"/>
              </w:rPr>
              <w:t>28</w:t>
            </w:r>
            <w:r>
              <w:rPr>
                <w:rFonts w:ascii="Arial" w:hAnsi="Arial" w:cs="Arial" w:eastAsia="Arial" w:hint="default"/>
                <w:spacing w:val="-3"/>
                <w:w w:val="99"/>
                <w:sz w:val="18"/>
                <w:szCs w:val="18"/>
              </w:rPr>
              <w:t> </w:t>
            </w:r>
            <w:r>
              <w:rPr>
                <w:rFonts w:ascii="宋体" w:hAnsi="宋体" w:cs="宋体" w:eastAsia="宋体" w:hint="default"/>
                <w:sz w:val="18"/>
                <w:szCs w:val="18"/>
              </w:rPr>
              <w:t>日之后 持有待售的非流动资产或处置组的分类、计量和列报， 以及终止经营的列报等进行了规定，并采用未来适用法 进行处理。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1"/>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日，公司召开第六 届董事会第二十七次会议、第六 届监事会第二十二次会议</w:t>
            </w:r>
            <w:r>
              <w:rPr>
                <w:rFonts w:ascii="宋体" w:hAnsi="宋体" w:cs="宋体" w:eastAsia="宋体" w:hint="default"/>
                <w:spacing w:val="1"/>
                <w:sz w:val="18"/>
                <w:szCs w:val="18"/>
              </w:rPr>
              <w:t> </w:t>
            </w:r>
            <w:r>
              <w:rPr>
                <w:rFonts w:ascii="宋体" w:hAnsi="宋体" w:cs="宋体" w:eastAsia="宋体" w:hint="default"/>
                <w:sz w:val="18"/>
                <w:szCs w:val="18"/>
              </w:rPr>
              <w:t>审议通</w:t>
            </w:r>
            <w:r>
              <w:rPr>
                <w:rFonts w:ascii="宋体" w:hAnsi="宋体" w:cs="宋体" w:eastAsia="宋体" w:hint="default"/>
                <w:sz w:val="18"/>
                <w:szCs w:val="18"/>
              </w:rPr>
              <w:t> 过了《关于会计政策变更的议 </w:t>
            </w:r>
            <w:r>
              <w:rPr>
                <w:rFonts w:ascii="宋体" w:hAnsi="宋体" w:cs="宋体" w:eastAsia="宋体" w:hint="default"/>
                <w:spacing w:val="-31"/>
                <w:sz w:val="18"/>
                <w:szCs w:val="18"/>
              </w:rPr>
              <w:t>案》。</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持续经营净利润</w:t>
            </w:r>
          </w:p>
          <w:p>
            <w:pPr>
              <w:pStyle w:val="TableParagraph"/>
              <w:spacing w:line="240" w:lineRule="auto" w:before="74"/>
              <w:ind w:left="24" w:right="0"/>
              <w:jc w:val="left"/>
              <w:rPr>
                <w:rFonts w:ascii="宋体" w:hAnsi="宋体" w:cs="宋体" w:eastAsia="宋体" w:hint="default"/>
                <w:sz w:val="18"/>
                <w:szCs w:val="18"/>
              </w:rPr>
            </w:pPr>
            <w:r>
              <w:rPr>
                <w:rFonts w:ascii="Arial" w:hAnsi="Arial" w:cs="Arial" w:eastAsia="Arial" w:hint="default"/>
                <w:sz w:val="18"/>
                <w:szCs w:val="18"/>
              </w:rPr>
              <w:t>374,844,506.92</w:t>
            </w:r>
            <w:r>
              <w:rPr>
                <w:rFonts w:ascii="Arial" w:hAnsi="Arial" w:cs="Arial" w:eastAsia="Arial" w:hint="default"/>
                <w:spacing w:val="-9"/>
                <w:sz w:val="18"/>
                <w:szCs w:val="18"/>
              </w:rPr>
              <w:t> </w:t>
            </w:r>
            <w:r>
              <w:rPr>
                <w:rFonts w:ascii="宋体" w:hAnsi="宋体" w:cs="宋体" w:eastAsia="宋体" w:hint="default"/>
                <w:sz w:val="18"/>
                <w:szCs w:val="18"/>
              </w:rPr>
              <w:t>元，终止经</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营净利润</w:t>
            </w:r>
            <w:r>
              <w:rPr>
                <w:rFonts w:ascii="宋体" w:hAnsi="宋体" w:cs="宋体" w:eastAsia="宋体" w:hint="default"/>
                <w:spacing w:val="-47"/>
                <w:sz w:val="18"/>
                <w:szCs w:val="18"/>
              </w:rPr>
              <w:t> </w:t>
            </w:r>
            <w:r>
              <w:rPr>
                <w:rFonts w:ascii="Arial" w:hAnsi="Arial" w:cs="Arial" w:eastAsia="Arial" w:hint="default"/>
                <w:sz w:val="18"/>
                <w:szCs w:val="18"/>
              </w:rPr>
              <w:t>103.33</w:t>
            </w:r>
            <w:r>
              <w:rPr>
                <w:rFonts w:ascii="Arial" w:hAnsi="Arial" w:cs="Arial" w:eastAsia="Arial" w:hint="default"/>
                <w:spacing w:val="-5"/>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）重要会计估计变更</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2977"/>
        <w:gridCol w:w="3687"/>
        <w:gridCol w:w="1985"/>
        <w:gridCol w:w="919"/>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6"/>
              <w:jc w:val="right"/>
              <w:rPr>
                <w:rFonts w:ascii="宋体" w:hAnsi="宋体" w:cs="宋体" w:eastAsia="宋体" w:hint="default"/>
                <w:sz w:val="18"/>
                <w:szCs w:val="18"/>
              </w:rPr>
            </w:pPr>
            <w:r>
              <w:rPr>
                <w:rFonts w:ascii="宋体" w:hAnsi="宋体" w:cs="宋体" w:eastAsia="宋体" w:hint="default"/>
                <w:sz w:val="18"/>
                <w:szCs w:val="18"/>
              </w:rPr>
              <w:t>开始适用的时点</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027"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1"/>
              <w:jc w:val="both"/>
              <w:rPr>
                <w:rFonts w:ascii="宋体" w:hAnsi="宋体" w:cs="宋体" w:eastAsia="宋体" w:hint="default"/>
                <w:sz w:val="18"/>
                <w:szCs w:val="18"/>
              </w:rPr>
            </w:pPr>
            <w:r>
              <w:rPr>
                <w:rFonts w:ascii="宋体" w:hAnsi="宋体" w:cs="宋体" w:eastAsia="宋体" w:hint="default"/>
                <w:sz w:val="18"/>
                <w:szCs w:val="18"/>
              </w:rPr>
              <w:t>根据企业经营需要，本报告期对应收 账款、固定资产、无形资产会计估计 进行变更。</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5"/>
              <w:jc w:val="both"/>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r>
              <w:rPr>
                <w:rFonts w:ascii="Arial" w:hAnsi="Arial" w:cs="Arial" w:eastAsia="Arial" w:hint="default"/>
                <w:spacing w:val="-5"/>
                <w:sz w:val="18"/>
                <w:szCs w:val="18"/>
              </w:rPr>
              <w:t> </w:t>
            </w:r>
            <w:r>
              <w:rPr>
                <w:rFonts w:ascii="宋体" w:hAnsi="宋体" w:cs="宋体" w:eastAsia="宋体" w:hint="default"/>
                <w:sz w:val="18"/>
                <w:szCs w:val="18"/>
              </w:rPr>
              <w:t>日，公司召开第六届董事会 第二十六次会议审议通过</w:t>
            </w:r>
            <w:r>
              <w:rPr>
                <w:rFonts w:ascii="宋体" w:hAnsi="宋体" w:cs="宋体" w:eastAsia="宋体" w:hint="default"/>
                <w:spacing w:val="1"/>
                <w:sz w:val="18"/>
                <w:szCs w:val="18"/>
              </w:rPr>
              <w:t> </w:t>
            </w:r>
            <w:r>
              <w:rPr>
                <w:rFonts w:ascii="宋体" w:hAnsi="宋体" w:cs="宋体" w:eastAsia="宋体" w:hint="default"/>
                <w:sz w:val="18"/>
                <w:szCs w:val="18"/>
              </w:rPr>
              <w:t>《关于会计估计变</w:t>
            </w:r>
            <w:r>
              <w:rPr>
                <w:rFonts w:ascii="宋体" w:hAnsi="宋体" w:cs="宋体" w:eastAsia="宋体" w:hint="default"/>
                <w:sz w:val="18"/>
                <w:szCs w:val="18"/>
              </w:rPr>
              <w:t> 更的议案》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3"/>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六、税项</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、主要税种及税率</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93" w:type="dxa"/>
        <w:tblLayout w:type="fixed"/>
        <w:tblCellMar>
          <w:top w:w="0" w:type="dxa"/>
          <w:left w:w="0" w:type="dxa"/>
          <w:bottom w:w="0" w:type="dxa"/>
          <w:right w:w="0" w:type="dxa"/>
        </w:tblCellMar>
        <w:tblLook w:val="01E0"/>
      </w:tblPr>
      <w:tblGrid>
        <w:gridCol w:w="3167"/>
        <w:gridCol w:w="3202"/>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6%</w:t>
            </w:r>
            <w:r>
              <w:rPr>
                <w:rFonts w:ascii="宋体" w:hAnsi="宋体" w:cs="宋体" w:eastAsia="宋体" w:hint="default"/>
                <w:sz w:val="18"/>
                <w:szCs w:val="18"/>
              </w:rPr>
              <w:t>、</w:t>
            </w:r>
            <w:r>
              <w:rPr>
                <w:rFonts w:ascii="Arial" w:hAnsi="Arial" w:cs="Arial" w:eastAsia="Arial" w:hint="default"/>
                <w:sz w:val="18"/>
                <w:szCs w:val="18"/>
              </w:rPr>
              <w:t>11%</w:t>
            </w:r>
            <w:r>
              <w:rPr>
                <w:rFonts w:ascii="宋体" w:hAnsi="宋体" w:cs="宋体" w:eastAsia="宋体" w:hint="default"/>
                <w:sz w:val="18"/>
                <w:szCs w:val="18"/>
              </w:rPr>
              <w:t>、</w:t>
            </w:r>
            <w:r>
              <w:rPr>
                <w:rFonts w:ascii="Arial" w:hAnsi="Arial" w:cs="Arial" w:eastAsia="Arial" w:hint="default"/>
                <w:sz w:val="18"/>
                <w:szCs w:val="18"/>
              </w:rPr>
              <w:t>17%</w:t>
            </w:r>
          </w:p>
        </w:tc>
      </w:tr>
    </w:tbl>
    <w:p>
      <w:pPr>
        <w:spacing w:after="0" w:line="240" w:lineRule="auto"/>
        <w:jc w:val="lef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r>
              <w:rPr>
                <w:rFonts w:ascii="Arial"/>
                <w:sz w:val="18"/>
              </w:rPr>
              <w:t>25%</w:t>
            </w:r>
          </w:p>
        </w:tc>
      </w:tr>
    </w:tbl>
    <w:p>
      <w:pPr>
        <w:spacing w:line="240" w:lineRule="auto" w:before="6"/>
        <w:rPr>
          <w:rFonts w:ascii="Microsoft JhengHei" w:hAnsi="Microsoft JhengHei" w:cs="Microsoft JhengHei" w:eastAsia="Microsoft JhengHei" w:hint="default"/>
          <w:b/>
          <w:bCs/>
          <w:sz w:val="9"/>
          <w:szCs w:val="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存在不同企业所得税税率纳税主体的，披露情况说明：</w:t>
      </w:r>
    </w:p>
    <w:p>
      <w:pPr>
        <w:spacing w:line="240" w:lineRule="auto" w:before="2"/>
        <w:rPr>
          <w:rFonts w:ascii="宋体" w:hAnsi="宋体" w:cs="宋体" w:eastAsia="宋体" w:hint="default"/>
          <w:sz w:val="15"/>
          <w:szCs w:val="15"/>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10%</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Arial" w:hAnsi="Arial" w:cs="Arial" w:eastAsia="Arial" w:hint="default"/>
                <w:sz w:val="18"/>
                <w:szCs w:val="18"/>
              </w:rPr>
            </w:pPr>
            <w:r>
              <w:rPr>
                <w:rFonts w:ascii="Arial"/>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广州华宇信息技术有限公司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广州数字方舟信息技术股份有限公司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华宇金信（深圳）信息技术有限公司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合肥万户网络技术有限公司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上海万户网络技术有限公司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北京华宇元典信息服务有限公司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北京华宇科创投资有限公司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溯源云（北京）科技服务有限公司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广州优奕科信息科技有限公司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中科智慧水运科技创新（广州）有限公司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华宇（大连）信息服务有限公司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免征企业所得税</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、税收优惠</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）增值税</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309" w:lineRule="auto" w:before="0"/>
        <w:ind w:left="152" w:right="0" w:firstLine="425"/>
        <w:jc w:val="left"/>
        <w:rPr>
          <w:rFonts w:ascii="宋体" w:hAnsi="宋体" w:cs="宋体" w:eastAsia="宋体" w:hint="default"/>
          <w:sz w:val="21"/>
          <w:szCs w:val="21"/>
        </w:rPr>
      </w:pPr>
      <w:r>
        <w:rPr>
          <w:rFonts w:ascii="宋体" w:hAnsi="宋体" w:cs="宋体" w:eastAsia="宋体" w:hint="default"/>
          <w:sz w:val="21"/>
          <w:szCs w:val="21"/>
        </w:rPr>
        <w:t>①依据国务院下发的《国务院关于印发进一步鼓励软件产业和集成电路产业发展的若干政策的通</w:t>
      </w:r>
      <w:r>
        <w:rPr>
          <w:rFonts w:ascii="宋体" w:hAnsi="宋体" w:cs="宋体" w:eastAsia="宋体" w:hint="default"/>
          <w:w w:val="100"/>
          <w:sz w:val="21"/>
          <w:szCs w:val="21"/>
        </w:rPr>
        <w:t> </w:t>
      </w:r>
      <w:r>
        <w:rPr>
          <w:rFonts w:ascii="宋体" w:hAnsi="宋体" w:cs="宋体" w:eastAsia="宋体" w:hint="default"/>
          <w:spacing w:val="-2"/>
          <w:sz w:val="21"/>
          <w:szCs w:val="21"/>
        </w:rPr>
        <w:t>知》（国发</w:t>
      </w:r>
      <w:r>
        <w:rPr>
          <w:rFonts w:ascii="Arial" w:hAnsi="Arial" w:cs="Arial" w:eastAsia="Arial" w:hint="default"/>
          <w:spacing w:val="-2"/>
          <w:sz w:val="21"/>
          <w:szCs w:val="21"/>
        </w:rPr>
        <w:t>[2011]4</w:t>
      </w:r>
      <w:r>
        <w:rPr>
          <w:rFonts w:ascii="宋体" w:hAnsi="宋体" w:cs="宋体" w:eastAsia="宋体" w:hint="default"/>
          <w:spacing w:val="-2"/>
          <w:sz w:val="21"/>
          <w:szCs w:val="21"/>
        </w:rPr>
        <w:t>号）第（一）条及第（三十三）条的规定。</w:t>
      </w:r>
      <w:r>
        <w:rPr>
          <w:rFonts w:ascii="Arial" w:hAnsi="Arial" w:cs="Arial" w:eastAsia="Arial" w:hint="default"/>
          <w:spacing w:val="-2"/>
          <w:sz w:val="21"/>
          <w:szCs w:val="21"/>
        </w:rPr>
        <w:t>2011</w:t>
      </w:r>
      <w:r>
        <w:rPr>
          <w:rFonts w:ascii="宋体" w:hAnsi="宋体" w:cs="宋体" w:eastAsia="宋体" w:hint="default"/>
          <w:spacing w:val="-2"/>
          <w:sz w:val="21"/>
          <w:szCs w:val="21"/>
        </w:rPr>
        <w:t>年</w:t>
      </w:r>
      <w:r>
        <w:rPr>
          <w:rFonts w:ascii="Arial" w:hAnsi="Arial" w:cs="Arial" w:eastAsia="Arial" w:hint="default"/>
          <w:spacing w:val="-2"/>
          <w:sz w:val="21"/>
          <w:szCs w:val="21"/>
        </w:rPr>
        <w:t>1</w:t>
      </w:r>
      <w:r>
        <w:rPr>
          <w:rFonts w:ascii="宋体" w:hAnsi="宋体" w:cs="宋体" w:eastAsia="宋体" w:hint="default"/>
          <w:spacing w:val="-2"/>
          <w:sz w:val="21"/>
          <w:szCs w:val="21"/>
        </w:rPr>
        <w:t>月</w:t>
      </w:r>
      <w:r>
        <w:rPr>
          <w:rFonts w:ascii="Arial" w:hAnsi="Arial" w:cs="Arial" w:eastAsia="Arial" w:hint="default"/>
          <w:spacing w:val="-2"/>
          <w:sz w:val="21"/>
          <w:szCs w:val="21"/>
        </w:rPr>
        <w:t>1</w:t>
      </w:r>
      <w:r>
        <w:rPr>
          <w:rFonts w:ascii="宋体" w:hAnsi="宋体" w:cs="宋体" w:eastAsia="宋体" w:hint="default"/>
          <w:spacing w:val="-2"/>
          <w:sz w:val="21"/>
          <w:szCs w:val="21"/>
        </w:rPr>
        <w:t>日起公司及公司所属子公司北</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京亿信华辰软件有限责任公司、北京华宇信息技术有限公司、华宇（大连）信息服务有限公司、华宇金</w:t>
      </w:r>
      <w:r>
        <w:rPr>
          <w:rFonts w:ascii="宋体" w:hAnsi="宋体" w:cs="宋体" w:eastAsia="宋体" w:hint="default"/>
          <w:w w:val="100"/>
          <w:sz w:val="21"/>
          <w:szCs w:val="21"/>
        </w:rPr>
        <w:t> </w:t>
      </w:r>
      <w:r>
        <w:rPr>
          <w:rFonts w:ascii="宋体" w:hAnsi="宋体" w:cs="宋体" w:eastAsia="宋体" w:hint="default"/>
          <w:sz w:val="21"/>
          <w:szCs w:val="21"/>
        </w:rPr>
        <w:t>信（北京）软件有限公司、北京万户网络技术有限公司、上海浦东华宇信息技术有限公司、联奕科技有</w:t>
      </w:r>
      <w:r>
        <w:rPr>
          <w:rFonts w:ascii="宋体" w:hAnsi="宋体" w:cs="宋体" w:eastAsia="宋体" w:hint="default"/>
          <w:w w:val="100"/>
          <w:sz w:val="21"/>
          <w:szCs w:val="21"/>
        </w:rPr>
        <w:t> </w:t>
      </w:r>
      <w:r>
        <w:rPr>
          <w:rFonts w:ascii="宋体" w:hAnsi="宋体" w:cs="宋体" w:eastAsia="宋体" w:hint="default"/>
          <w:sz w:val="21"/>
          <w:szCs w:val="21"/>
        </w:rPr>
        <w:t>限公司，公司孙公司广州数字方舟信息技术股份有限公司、合肥万户网络技术有限公司、上海万户网络</w:t>
      </w:r>
      <w:r>
        <w:rPr>
          <w:rFonts w:ascii="宋体" w:hAnsi="宋体" w:cs="宋体" w:eastAsia="宋体" w:hint="default"/>
          <w:w w:val="100"/>
          <w:sz w:val="21"/>
          <w:szCs w:val="21"/>
        </w:rPr>
        <w:t> </w:t>
      </w:r>
      <w:r>
        <w:rPr>
          <w:rFonts w:ascii="宋体" w:hAnsi="宋体" w:cs="宋体" w:eastAsia="宋体" w:hint="default"/>
          <w:sz w:val="21"/>
          <w:szCs w:val="21"/>
        </w:rPr>
        <w:t>技术有限公司销售其自行开发生产的软件产品，按</w:t>
      </w:r>
      <w:r>
        <w:rPr>
          <w:rFonts w:ascii="Arial" w:hAnsi="Arial" w:cs="Arial" w:eastAsia="Arial" w:hint="default"/>
          <w:sz w:val="21"/>
          <w:szCs w:val="21"/>
        </w:rPr>
        <w:t>17%</w:t>
      </w:r>
      <w:r>
        <w:rPr>
          <w:rFonts w:ascii="宋体" w:hAnsi="宋体" w:cs="宋体" w:eastAsia="宋体" w:hint="default"/>
          <w:sz w:val="21"/>
          <w:szCs w:val="21"/>
        </w:rPr>
        <w:t>的法定税率征收增值税后，享受增值税实际税负</w:t>
      </w:r>
      <w:r>
        <w:rPr>
          <w:rFonts w:ascii="宋体" w:hAnsi="宋体" w:cs="宋体" w:eastAsia="宋体" w:hint="default"/>
          <w:w w:val="100"/>
          <w:sz w:val="21"/>
          <w:szCs w:val="21"/>
        </w:rPr>
        <w:t> </w:t>
      </w:r>
      <w:r>
        <w:rPr>
          <w:rFonts w:ascii="宋体" w:hAnsi="宋体" w:cs="宋体" w:eastAsia="宋体" w:hint="default"/>
          <w:sz w:val="21"/>
          <w:szCs w:val="21"/>
        </w:rPr>
        <w:t>超过</w:t>
      </w:r>
      <w:r>
        <w:rPr>
          <w:rFonts w:ascii="Arial" w:hAnsi="Arial" w:cs="Arial" w:eastAsia="Arial" w:hint="default"/>
          <w:sz w:val="21"/>
          <w:szCs w:val="21"/>
        </w:rPr>
        <w:t>3%</w:t>
      </w:r>
      <w:r>
        <w:rPr>
          <w:rFonts w:ascii="宋体" w:hAnsi="宋体" w:cs="宋体" w:eastAsia="宋体" w:hint="default"/>
          <w:sz w:val="21"/>
          <w:szCs w:val="21"/>
        </w:rPr>
        <w:t>的部分实行即征即退的优惠政策。</w:t>
      </w:r>
    </w:p>
    <w:p>
      <w:pPr>
        <w:spacing w:after="0" w:line="309"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②根据《财政部、国家税务总局关于软件产品增值税政策的通知》（财税</w:t>
      </w:r>
      <w:r>
        <w:rPr>
          <w:rFonts w:ascii="Arial" w:hAnsi="Arial" w:cs="Arial" w:eastAsia="Arial" w:hint="default"/>
          <w:sz w:val="21"/>
          <w:szCs w:val="21"/>
        </w:rPr>
        <w:t>[2011]100</w:t>
      </w:r>
      <w:r>
        <w:rPr>
          <w:rFonts w:ascii="宋体" w:hAnsi="宋体" w:cs="宋体" w:eastAsia="宋体" w:hint="default"/>
          <w:sz w:val="21"/>
          <w:szCs w:val="21"/>
        </w:rPr>
        <w:t>号）第一款第</w:t>
      </w:r>
    </w:p>
    <w:p>
      <w:pPr>
        <w:spacing w:line="314" w:lineRule="auto" w:before="70"/>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（三）条的规定，公司及所属子公司北京亿信华辰软件有限责任公司、广州华宇信息技术有限公司、北</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京华宇信息技术有限公司、华宇金信（北京）软件有限公司、上海浦东华宇信息技术有限公司、北京万</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户网络技术有限公司以及公司孙公司合肥万户网络技术有限公司的受托开发软件产品，著作权属于公司</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或属于与委托方共有的享受不征收增值税的优惠政策。</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）企业所得税</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①公司</w:t>
      </w:r>
      <w:r>
        <w:rPr>
          <w:rFonts w:ascii="Arial" w:hAnsi="Arial" w:cs="Arial" w:eastAsia="Arial" w:hint="default"/>
          <w:spacing w:val="-2"/>
          <w:sz w:val="21"/>
          <w:szCs w:val="21"/>
        </w:rPr>
        <w:t>2017</w:t>
      </w:r>
      <w:r>
        <w:rPr>
          <w:rFonts w:ascii="宋体" w:hAnsi="宋体" w:cs="宋体" w:eastAsia="宋体" w:hint="default"/>
          <w:spacing w:val="-2"/>
          <w:sz w:val="21"/>
          <w:szCs w:val="21"/>
        </w:rPr>
        <w:t>年再次被认定为高新技术企业，根据自</w:t>
      </w:r>
      <w:r>
        <w:rPr>
          <w:rFonts w:ascii="Arial" w:hAnsi="Arial" w:cs="Arial" w:eastAsia="Arial" w:hint="default"/>
          <w:spacing w:val="-2"/>
          <w:sz w:val="21"/>
          <w:szCs w:val="21"/>
        </w:rPr>
        <w:t>2008</w:t>
      </w:r>
      <w:r>
        <w:rPr>
          <w:rFonts w:ascii="宋体" w:hAnsi="宋体" w:cs="宋体" w:eastAsia="宋体" w:hint="default"/>
          <w:spacing w:val="-2"/>
          <w:sz w:val="21"/>
          <w:szCs w:val="21"/>
        </w:rPr>
        <w:t>年</w:t>
      </w:r>
      <w:r>
        <w:rPr>
          <w:rFonts w:ascii="Arial" w:hAnsi="Arial" w:cs="Arial" w:eastAsia="Arial" w:hint="default"/>
          <w:spacing w:val="-2"/>
          <w:sz w:val="21"/>
          <w:szCs w:val="21"/>
        </w:rPr>
        <w:t>1</w:t>
      </w:r>
      <w:r>
        <w:rPr>
          <w:rFonts w:ascii="宋体" w:hAnsi="宋体" w:cs="宋体" w:eastAsia="宋体" w:hint="default"/>
          <w:spacing w:val="-2"/>
          <w:sz w:val="21"/>
          <w:szCs w:val="21"/>
        </w:rPr>
        <w:t>月</w:t>
      </w:r>
      <w:r>
        <w:rPr>
          <w:rFonts w:ascii="Arial" w:hAnsi="Arial" w:cs="Arial" w:eastAsia="Arial" w:hint="default"/>
          <w:spacing w:val="-2"/>
          <w:sz w:val="21"/>
          <w:szCs w:val="21"/>
        </w:rPr>
        <w:t>1</w:t>
      </w:r>
      <w:r>
        <w:rPr>
          <w:rFonts w:ascii="宋体" w:hAnsi="宋体" w:cs="宋体" w:eastAsia="宋体" w:hint="default"/>
          <w:spacing w:val="-2"/>
          <w:sz w:val="21"/>
          <w:szCs w:val="21"/>
        </w:rPr>
        <w:t>日起施行的《中华人民共和国企业所</w:t>
      </w:r>
      <w:r>
        <w:rPr>
          <w:rFonts w:ascii="宋体" w:hAnsi="宋体" w:cs="宋体" w:eastAsia="宋体" w:hint="default"/>
          <w:w w:val="100"/>
          <w:sz w:val="21"/>
          <w:szCs w:val="21"/>
        </w:rPr>
        <w:t> </w:t>
      </w:r>
      <w:r>
        <w:rPr>
          <w:rFonts w:ascii="宋体" w:hAnsi="宋体" w:cs="宋体" w:eastAsia="宋体" w:hint="default"/>
          <w:sz w:val="21"/>
          <w:szCs w:val="21"/>
        </w:rPr>
        <w:t>得税法实施条例》及其实施细则规定，国家需要重点扶持的高新技术企业，减按</w:t>
      </w:r>
      <w:r>
        <w:rPr>
          <w:rFonts w:ascii="Arial" w:hAnsi="Arial" w:cs="Arial" w:eastAsia="Arial" w:hint="default"/>
          <w:sz w:val="21"/>
          <w:szCs w:val="21"/>
        </w:rPr>
        <w:t>15</w:t>
      </w:r>
      <w:r>
        <w:rPr>
          <w:rFonts w:ascii="宋体" w:hAnsi="宋体" w:cs="宋体" w:eastAsia="宋体" w:hint="default"/>
          <w:sz w:val="21"/>
          <w:szCs w:val="21"/>
        </w:rPr>
        <w:t>％的税率征收企业所</w:t>
      </w:r>
      <w:r>
        <w:rPr>
          <w:rFonts w:ascii="宋体" w:hAnsi="宋体" w:cs="宋体" w:eastAsia="宋体" w:hint="default"/>
          <w:w w:val="100"/>
          <w:sz w:val="21"/>
          <w:szCs w:val="21"/>
        </w:rPr>
        <w:t> </w:t>
      </w:r>
      <w:r>
        <w:rPr>
          <w:rFonts w:ascii="宋体" w:hAnsi="宋体" w:cs="宋体" w:eastAsia="宋体" w:hint="default"/>
          <w:sz w:val="21"/>
          <w:szCs w:val="21"/>
        </w:rPr>
        <w:t>得税。</w:t>
      </w:r>
    </w:p>
    <w:p>
      <w:pPr>
        <w:spacing w:line="240" w:lineRule="auto" w:before="8"/>
        <w:rPr>
          <w:rFonts w:ascii="宋体" w:hAnsi="宋体" w:cs="宋体" w:eastAsia="宋体" w:hint="default"/>
          <w:sz w:val="14"/>
          <w:szCs w:val="14"/>
        </w:rPr>
      </w:pPr>
    </w:p>
    <w:p>
      <w:pPr>
        <w:spacing w:line="302" w:lineRule="auto" w:before="0"/>
        <w:ind w:left="152" w:right="0" w:firstLine="425"/>
        <w:jc w:val="left"/>
        <w:rPr>
          <w:rFonts w:ascii="宋体" w:hAnsi="宋体" w:cs="宋体" w:eastAsia="宋体" w:hint="default"/>
          <w:sz w:val="21"/>
          <w:szCs w:val="21"/>
        </w:rPr>
      </w:pPr>
      <w:r>
        <w:rPr>
          <w:rFonts w:ascii="宋体" w:hAnsi="宋体" w:cs="宋体" w:eastAsia="宋体" w:hint="default"/>
          <w:sz w:val="21"/>
          <w:szCs w:val="21"/>
        </w:rPr>
        <w:t>②公司所属子公司北京华宇信息技术有限公司、北京亿信华辰软件有限责任公司、华宇金信（北</w:t>
      </w:r>
      <w:r>
        <w:rPr>
          <w:rFonts w:ascii="宋体" w:hAnsi="宋体" w:cs="宋体" w:eastAsia="宋体" w:hint="default"/>
          <w:w w:val="100"/>
          <w:sz w:val="21"/>
          <w:szCs w:val="21"/>
        </w:rPr>
        <w:t> </w:t>
      </w:r>
      <w:r>
        <w:rPr>
          <w:rFonts w:ascii="宋体" w:hAnsi="宋体" w:cs="宋体" w:eastAsia="宋体" w:hint="default"/>
          <w:spacing w:val="-2"/>
          <w:sz w:val="21"/>
          <w:szCs w:val="21"/>
        </w:rPr>
        <w:t>京）软件有限公司、上海浦东华宇信息技术有限公司、联奕科技有限公司，五家公司根据财税〔</w:t>
      </w:r>
      <w:r>
        <w:rPr>
          <w:rFonts w:ascii="Arial" w:hAnsi="Arial" w:cs="Arial" w:eastAsia="Arial" w:hint="default"/>
          <w:spacing w:val="-2"/>
          <w:sz w:val="21"/>
          <w:szCs w:val="21"/>
        </w:rPr>
        <w:t>2016</w:t>
      </w:r>
      <w:r>
        <w:rPr>
          <w:rFonts w:ascii="宋体" w:hAnsi="宋体" w:cs="宋体" w:eastAsia="宋体" w:hint="default"/>
          <w:spacing w:val="-2"/>
          <w:sz w:val="21"/>
          <w:szCs w:val="21"/>
        </w:rPr>
        <w:t>〕</w:t>
      </w:r>
      <w:r>
        <w:rPr>
          <w:rFonts w:ascii="宋体" w:hAnsi="宋体" w:cs="宋体" w:eastAsia="宋体" w:hint="default"/>
          <w:spacing w:val="-18"/>
          <w:sz w:val="21"/>
          <w:szCs w:val="21"/>
        </w:rPr>
        <w:t> </w:t>
      </w:r>
      <w:r>
        <w:rPr>
          <w:rFonts w:ascii="Arial" w:hAnsi="Arial" w:cs="Arial" w:eastAsia="Arial" w:hint="default"/>
          <w:spacing w:val="-2"/>
          <w:sz w:val="21"/>
          <w:szCs w:val="21"/>
        </w:rPr>
        <w:t>49</w:t>
      </w:r>
      <w:r>
        <w:rPr>
          <w:rFonts w:ascii="宋体" w:hAnsi="宋体" w:cs="宋体" w:eastAsia="宋体" w:hint="default"/>
          <w:spacing w:val="-2"/>
          <w:sz w:val="21"/>
          <w:szCs w:val="21"/>
        </w:rPr>
        <w:t>号《关于软件和集成电路产业企业所得税优惠政策有关问题的通知》，可享受国家规划布局内重点软</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件企业减按</w:t>
      </w:r>
      <w:r>
        <w:rPr>
          <w:rFonts w:ascii="Arial" w:hAnsi="Arial" w:cs="Arial" w:eastAsia="Arial" w:hint="default"/>
          <w:sz w:val="21"/>
          <w:szCs w:val="21"/>
        </w:rPr>
        <w:t>10%</w:t>
      </w:r>
      <w:r>
        <w:rPr>
          <w:rFonts w:ascii="宋体" w:hAnsi="宋体" w:cs="宋体" w:eastAsia="宋体" w:hint="default"/>
          <w:sz w:val="21"/>
          <w:szCs w:val="21"/>
        </w:rPr>
        <w:t>税率征收企业所得税的优惠税收政策。</w:t>
      </w:r>
    </w:p>
    <w:p>
      <w:pPr>
        <w:spacing w:line="297" w:lineRule="auto" w:before="165"/>
        <w:ind w:left="152" w:right="0" w:firstLine="425"/>
        <w:jc w:val="left"/>
        <w:rPr>
          <w:rFonts w:ascii="宋体" w:hAnsi="宋体" w:cs="宋体" w:eastAsia="宋体" w:hint="default"/>
          <w:sz w:val="21"/>
          <w:szCs w:val="21"/>
        </w:rPr>
      </w:pPr>
      <w:r>
        <w:rPr>
          <w:rFonts w:ascii="宋体" w:hAnsi="宋体" w:cs="宋体" w:eastAsia="宋体" w:hint="default"/>
          <w:sz w:val="21"/>
          <w:szCs w:val="21"/>
        </w:rPr>
        <w:t>③华宇（大连）信息服务有限公司</w:t>
      </w:r>
      <w:r>
        <w:rPr>
          <w:rFonts w:ascii="Arial" w:hAnsi="Arial" w:cs="Arial" w:eastAsia="Arial" w:hint="default"/>
          <w:sz w:val="21"/>
          <w:szCs w:val="21"/>
        </w:rPr>
        <w:t>2016</w:t>
      </w:r>
      <w:r>
        <w:rPr>
          <w:rFonts w:ascii="宋体" w:hAnsi="宋体" w:cs="宋体" w:eastAsia="宋体" w:hint="default"/>
          <w:sz w:val="21"/>
          <w:szCs w:val="21"/>
        </w:rPr>
        <w:t>年度被认定为符合条件的软件企业，根据《财政部、国家税</w:t>
      </w:r>
      <w:r>
        <w:rPr>
          <w:rFonts w:ascii="宋体" w:hAnsi="宋体" w:cs="宋体" w:eastAsia="宋体" w:hint="default"/>
          <w:w w:val="100"/>
          <w:sz w:val="21"/>
          <w:szCs w:val="21"/>
        </w:rPr>
        <w:t> </w:t>
      </w:r>
      <w:r>
        <w:rPr>
          <w:rFonts w:ascii="宋体" w:hAnsi="宋体" w:cs="宋体" w:eastAsia="宋体" w:hint="default"/>
          <w:spacing w:val="-2"/>
          <w:sz w:val="21"/>
          <w:szCs w:val="21"/>
        </w:rPr>
        <w:t>务总局关于进一步鼓励软件产业和集成电路产业发展企业所得税政策的通知》（财税</w:t>
      </w:r>
      <w:r>
        <w:rPr>
          <w:rFonts w:ascii="Arial" w:hAnsi="Arial" w:cs="Arial" w:eastAsia="Arial" w:hint="default"/>
          <w:spacing w:val="-2"/>
          <w:sz w:val="21"/>
          <w:szCs w:val="21"/>
        </w:rPr>
        <w:t>[2012]27</w:t>
      </w:r>
      <w:r>
        <w:rPr>
          <w:rFonts w:ascii="宋体" w:hAnsi="宋体" w:cs="宋体" w:eastAsia="宋体" w:hint="default"/>
          <w:spacing w:val="-2"/>
          <w:sz w:val="21"/>
          <w:szCs w:val="21"/>
        </w:rPr>
        <w:t>号），华宇</w:t>
      </w:r>
    </w:p>
    <w:p>
      <w:pPr>
        <w:spacing w:line="297" w:lineRule="auto" w:before="14"/>
        <w:ind w:left="152" w:right="309" w:firstLine="0"/>
        <w:jc w:val="both"/>
        <w:rPr>
          <w:rFonts w:ascii="宋体" w:hAnsi="宋体" w:cs="宋体" w:eastAsia="宋体" w:hint="default"/>
          <w:sz w:val="21"/>
          <w:szCs w:val="21"/>
        </w:rPr>
      </w:pPr>
      <w:r>
        <w:rPr>
          <w:rFonts w:ascii="宋体" w:hAnsi="宋体" w:cs="宋体" w:eastAsia="宋体" w:hint="default"/>
          <w:spacing w:val="-2"/>
          <w:sz w:val="21"/>
          <w:szCs w:val="21"/>
        </w:rPr>
        <w:t>（大连）信息服务有限公司</w:t>
      </w:r>
      <w:r>
        <w:rPr>
          <w:rFonts w:ascii="Arial" w:hAnsi="Arial" w:cs="Arial" w:eastAsia="Arial" w:hint="default"/>
          <w:spacing w:val="-2"/>
          <w:sz w:val="21"/>
          <w:szCs w:val="21"/>
        </w:rPr>
        <w:t>2016</w:t>
      </w:r>
      <w:r>
        <w:rPr>
          <w:rFonts w:ascii="宋体" w:hAnsi="宋体" w:cs="宋体" w:eastAsia="宋体" w:hint="default"/>
          <w:spacing w:val="-2"/>
          <w:sz w:val="21"/>
          <w:szCs w:val="21"/>
        </w:rPr>
        <w:t>年度、</w:t>
      </w:r>
      <w:r>
        <w:rPr>
          <w:rFonts w:ascii="Arial" w:hAnsi="Arial" w:cs="Arial" w:eastAsia="Arial" w:hint="default"/>
          <w:spacing w:val="-2"/>
          <w:sz w:val="21"/>
          <w:szCs w:val="21"/>
        </w:rPr>
        <w:t>2017</w:t>
      </w:r>
      <w:r>
        <w:rPr>
          <w:rFonts w:ascii="宋体" w:hAnsi="宋体" w:cs="宋体" w:eastAsia="宋体" w:hint="default"/>
          <w:spacing w:val="-2"/>
          <w:sz w:val="21"/>
          <w:szCs w:val="21"/>
        </w:rPr>
        <w:t>年度免征企业所得税，</w:t>
      </w:r>
      <w:r>
        <w:rPr>
          <w:rFonts w:ascii="Arial" w:hAnsi="Arial" w:cs="Arial" w:eastAsia="Arial" w:hint="default"/>
          <w:spacing w:val="-2"/>
          <w:sz w:val="21"/>
          <w:szCs w:val="21"/>
        </w:rPr>
        <w:t>2018</w:t>
      </w:r>
      <w:r>
        <w:rPr>
          <w:rFonts w:ascii="宋体" w:hAnsi="宋体" w:cs="宋体" w:eastAsia="宋体" w:hint="default"/>
          <w:spacing w:val="-2"/>
          <w:sz w:val="21"/>
          <w:szCs w:val="21"/>
        </w:rPr>
        <w:t>年度、</w:t>
      </w:r>
      <w:r>
        <w:rPr>
          <w:rFonts w:ascii="Arial" w:hAnsi="Arial" w:cs="Arial" w:eastAsia="Arial" w:hint="default"/>
          <w:spacing w:val="-2"/>
          <w:sz w:val="21"/>
          <w:szCs w:val="21"/>
        </w:rPr>
        <w:t>2019</w:t>
      </w:r>
      <w:r>
        <w:rPr>
          <w:rFonts w:ascii="宋体" w:hAnsi="宋体" w:cs="宋体" w:eastAsia="宋体" w:hint="default"/>
          <w:spacing w:val="-2"/>
          <w:sz w:val="21"/>
          <w:szCs w:val="21"/>
        </w:rPr>
        <w:t>年度、</w:t>
      </w:r>
      <w:r>
        <w:rPr>
          <w:rFonts w:ascii="Arial" w:hAnsi="Arial" w:cs="Arial" w:eastAsia="Arial" w:hint="default"/>
          <w:spacing w:val="-2"/>
          <w:sz w:val="21"/>
          <w:szCs w:val="21"/>
        </w:rPr>
        <w:t>2020</w:t>
      </w:r>
      <w:r>
        <w:rPr>
          <w:rFonts w:ascii="宋体" w:hAnsi="宋体" w:cs="宋体" w:eastAsia="宋体" w:hint="default"/>
          <w:spacing w:val="-2"/>
          <w:sz w:val="21"/>
          <w:szCs w:val="21"/>
        </w:rPr>
        <w:t>年度减</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半征收企业所得税。</w:t>
      </w:r>
    </w:p>
    <w:p>
      <w:pPr>
        <w:spacing w:line="240" w:lineRule="auto" w:before="8"/>
        <w:rPr>
          <w:rFonts w:ascii="宋体" w:hAnsi="宋体" w:cs="宋体" w:eastAsia="宋体" w:hint="default"/>
          <w:sz w:val="14"/>
          <w:szCs w:val="14"/>
        </w:rPr>
      </w:pPr>
    </w:p>
    <w:p>
      <w:pPr>
        <w:spacing w:line="302" w:lineRule="auto" w:before="0"/>
        <w:ind w:left="152" w:right="242" w:firstLine="425"/>
        <w:jc w:val="both"/>
        <w:rPr>
          <w:rFonts w:ascii="宋体" w:hAnsi="宋体" w:cs="宋体" w:eastAsia="宋体" w:hint="default"/>
          <w:sz w:val="21"/>
          <w:szCs w:val="21"/>
        </w:rPr>
      </w:pPr>
      <w:r>
        <w:rPr>
          <w:rFonts w:ascii="宋体" w:hAnsi="宋体" w:cs="宋体" w:eastAsia="宋体" w:hint="default"/>
          <w:sz w:val="21"/>
          <w:szCs w:val="21"/>
        </w:rPr>
        <w:t>④公司所属子公司广州华宇信息技术有限公司、所属孙公司广州数字方舟信息技术股份有限公司、</w:t>
      </w:r>
      <w:r>
        <w:rPr>
          <w:rFonts w:ascii="宋体" w:hAnsi="宋体" w:cs="宋体" w:eastAsia="宋体" w:hint="default"/>
          <w:w w:val="100"/>
          <w:sz w:val="21"/>
          <w:szCs w:val="21"/>
        </w:rPr>
        <w:t> </w:t>
      </w:r>
      <w:r>
        <w:rPr>
          <w:rFonts w:ascii="宋体" w:hAnsi="宋体" w:cs="宋体" w:eastAsia="宋体" w:hint="default"/>
          <w:spacing w:val="-2"/>
          <w:sz w:val="21"/>
          <w:szCs w:val="21"/>
        </w:rPr>
        <w:t>合肥万户网络技术有限公司</w:t>
      </w:r>
      <w:r>
        <w:rPr>
          <w:rFonts w:ascii="Arial" w:hAnsi="Arial" w:cs="Arial" w:eastAsia="Arial" w:hint="default"/>
          <w:spacing w:val="-2"/>
          <w:sz w:val="21"/>
          <w:szCs w:val="21"/>
        </w:rPr>
        <w:t>2015</w:t>
      </w:r>
      <w:r>
        <w:rPr>
          <w:rFonts w:ascii="宋体" w:hAnsi="宋体" w:cs="宋体" w:eastAsia="宋体" w:hint="default"/>
          <w:spacing w:val="-2"/>
          <w:sz w:val="21"/>
          <w:szCs w:val="21"/>
        </w:rPr>
        <w:t>年度再次被认定为高新技术企业；所属孙公司上海万户网络技术有限公</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2"/>
          <w:sz w:val="21"/>
          <w:szCs w:val="21"/>
        </w:rPr>
        <w:t>司</w:t>
      </w:r>
      <w:r>
        <w:rPr>
          <w:rFonts w:ascii="Arial" w:hAnsi="Arial" w:cs="Arial" w:eastAsia="Arial" w:hint="default"/>
          <w:spacing w:val="-2"/>
          <w:sz w:val="21"/>
          <w:szCs w:val="21"/>
        </w:rPr>
        <w:t>2016</w:t>
      </w:r>
      <w:r>
        <w:rPr>
          <w:rFonts w:ascii="宋体" w:hAnsi="宋体" w:cs="宋体" w:eastAsia="宋体" w:hint="default"/>
          <w:spacing w:val="-2"/>
          <w:sz w:val="21"/>
          <w:szCs w:val="21"/>
        </w:rPr>
        <w:t>年度首次被认定为高新技术企业；所属子公司北京万户网络技术有限公司</w:t>
      </w:r>
      <w:r>
        <w:rPr>
          <w:rFonts w:ascii="Arial" w:hAnsi="Arial" w:cs="Arial" w:eastAsia="Arial" w:hint="default"/>
          <w:spacing w:val="-2"/>
          <w:sz w:val="21"/>
          <w:szCs w:val="21"/>
        </w:rPr>
        <w:t>2016</w:t>
      </w:r>
      <w:r>
        <w:rPr>
          <w:rFonts w:ascii="宋体" w:hAnsi="宋体" w:cs="宋体" w:eastAsia="宋体" w:hint="default"/>
          <w:spacing w:val="-2"/>
          <w:sz w:val="21"/>
          <w:szCs w:val="21"/>
        </w:rPr>
        <w:t>年度再次被认定为</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2"/>
          <w:sz w:val="21"/>
          <w:szCs w:val="21"/>
        </w:rPr>
        <w:t>高新技术企业；所属孙公司华宇金信（深圳）信息技术有限公司</w:t>
      </w:r>
      <w:r>
        <w:rPr>
          <w:rFonts w:ascii="Arial" w:hAnsi="Arial" w:cs="Arial" w:eastAsia="Arial" w:hint="default"/>
          <w:spacing w:val="-2"/>
          <w:sz w:val="21"/>
          <w:szCs w:val="21"/>
        </w:rPr>
        <w:t>2017</w:t>
      </w:r>
      <w:r>
        <w:rPr>
          <w:rFonts w:ascii="宋体" w:hAnsi="宋体" w:cs="宋体" w:eastAsia="宋体" w:hint="default"/>
          <w:spacing w:val="-2"/>
          <w:sz w:val="21"/>
          <w:szCs w:val="21"/>
        </w:rPr>
        <w:t>年度首次被认定为高新技术企业。</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2"/>
          <w:sz w:val="21"/>
          <w:szCs w:val="21"/>
        </w:rPr>
        <w:t>根据自</w:t>
      </w:r>
      <w:r>
        <w:rPr>
          <w:rFonts w:ascii="Arial" w:hAnsi="Arial" w:cs="Arial" w:eastAsia="Arial" w:hint="default"/>
          <w:spacing w:val="-2"/>
          <w:sz w:val="21"/>
          <w:szCs w:val="21"/>
        </w:rPr>
        <w:t>2008</w:t>
      </w:r>
      <w:r>
        <w:rPr>
          <w:rFonts w:ascii="宋体" w:hAnsi="宋体" w:cs="宋体" w:eastAsia="宋体" w:hint="default"/>
          <w:spacing w:val="-2"/>
          <w:sz w:val="21"/>
          <w:szCs w:val="21"/>
        </w:rPr>
        <w:t>年</w:t>
      </w:r>
      <w:r>
        <w:rPr>
          <w:rFonts w:ascii="Arial" w:hAnsi="Arial" w:cs="Arial" w:eastAsia="Arial" w:hint="default"/>
          <w:spacing w:val="-2"/>
          <w:sz w:val="21"/>
          <w:szCs w:val="21"/>
        </w:rPr>
        <w:t>1</w:t>
      </w:r>
      <w:r>
        <w:rPr>
          <w:rFonts w:ascii="宋体" w:hAnsi="宋体" w:cs="宋体" w:eastAsia="宋体" w:hint="default"/>
          <w:spacing w:val="-2"/>
          <w:sz w:val="21"/>
          <w:szCs w:val="21"/>
        </w:rPr>
        <w:t>月</w:t>
      </w:r>
      <w:r>
        <w:rPr>
          <w:rFonts w:ascii="Arial" w:hAnsi="Arial" w:cs="Arial" w:eastAsia="Arial" w:hint="default"/>
          <w:spacing w:val="-2"/>
          <w:sz w:val="21"/>
          <w:szCs w:val="21"/>
        </w:rPr>
        <w:t>1</w:t>
      </w:r>
      <w:r>
        <w:rPr>
          <w:rFonts w:ascii="宋体" w:hAnsi="宋体" w:cs="宋体" w:eastAsia="宋体" w:hint="default"/>
          <w:spacing w:val="-2"/>
          <w:sz w:val="21"/>
          <w:szCs w:val="21"/>
        </w:rPr>
        <w:t>日起施行的《中华人民共和国企业所得税法实施条例》及其实施细则规定，国家需要</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重点扶持的高新技术企业，减按</w:t>
      </w:r>
      <w:r>
        <w:rPr>
          <w:rFonts w:ascii="Arial" w:hAnsi="Arial" w:cs="Arial" w:eastAsia="Arial" w:hint="default"/>
          <w:sz w:val="21"/>
          <w:szCs w:val="21"/>
        </w:rPr>
        <w:t>15</w:t>
      </w:r>
      <w:r>
        <w:rPr>
          <w:rFonts w:ascii="宋体" w:hAnsi="宋体" w:cs="宋体" w:eastAsia="宋体" w:hint="default"/>
          <w:sz w:val="21"/>
          <w:szCs w:val="21"/>
        </w:rPr>
        <w:t>％的税率征收企业所得税。</w:t>
      </w:r>
    </w:p>
    <w:p>
      <w:pPr>
        <w:pStyle w:val="Heading2"/>
        <w:spacing w:line="240" w:lineRule="auto" w:before="152"/>
        <w:ind w:right="0"/>
        <w:jc w:val="both"/>
        <w:rPr>
          <w:b w:val="0"/>
          <w:bCs w:val="0"/>
        </w:rPr>
      </w:pPr>
      <w:r>
        <w:rPr/>
        <w:t>七、合并财务报表项目注释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7"/>
        <w:gridCol w:w="3202"/>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244,474.99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197,068.17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1,267,504,021.90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778,638,347.09</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29,585,622.90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31,560,268.82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1,297,334,119.79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810,395,684.08</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after="0"/>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297" w:lineRule="auto" w:before="36"/>
        <w:ind w:left="152" w:right="0" w:firstLine="425"/>
        <w:jc w:val="left"/>
        <w:rPr>
          <w:rFonts w:ascii="宋体" w:hAnsi="宋体" w:cs="宋体" w:eastAsia="宋体" w:hint="default"/>
          <w:sz w:val="21"/>
          <w:szCs w:val="21"/>
        </w:rPr>
      </w:pPr>
      <w:r>
        <w:rPr>
          <w:rFonts w:ascii="宋体" w:hAnsi="宋体" w:cs="宋体" w:eastAsia="宋体" w:hint="default"/>
          <w:sz w:val="21"/>
          <w:szCs w:val="21"/>
        </w:rPr>
        <w:t>期末使用受限的款项包括其他货币资金中的信用证保证金</w:t>
      </w:r>
      <w:r>
        <w:rPr>
          <w:rFonts w:ascii="Arial" w:hAnsi="Arial" w:cs="Arial" w:eastAsia="Arial" w:hint="default"/>
          <w:sz w:val="21"/>
          <w:szCs w:val="21"/>
        </w:rPr>
        <w:t>3,158,107.05</w:t>
      </w:r>
      <w:r>
        <w:rPr>
          <w:rFonts w:ascii="宋体" w:hAnsi="宋体" w:cs="宋体" w:eastAsia="宋体" w:hint="default"/>
          <w:sz w:val="21"/>
          <w:szCs w:val="21"/>
        </w:rPr>
        <w:t>元，履约保证金</w:t>
      </w:r>
      <w:r>
        <w:rPr>
          <w:rFonts w:ascii="宋体" w:hAnsi="宋体" w:cs="宋体" w:eastAsia="宋体" w:hint="default"/>
          <w:w w:val="100"/>
          <w:sz w:val="21"/>
          <w:szCs w:val="21"/>
        </w:rPr>
        <w:t> </w:t>
      </w:r>
      <w:r>
        <w:rPr>
          <w:rFonts w:ascii="Arial" w:hAnsi="Arial" w:cs="Arial" w:eastAsia="Arial" w:hint="default"/>
          <w:spacing w:val="-2"/>
          <w:sz w:val="21"/>
          <w:szCs w:val="21"/>
        </w:rPr>
        <w:t>26,406,080.29</w:t>
      </w:r>
      <w:r>
        <w:rPr>
          <w:rFonts w:ascii="宋体" w:hAnsi="宋体" w:cs="宋体" w:eastAsia="宋体" w:hint="default"/>
          <w:spacing w:val="-2"/>
          <w:sz w:val="21"/>
          <w:szCs w:val="21"/>
        </w:rPr>
        <w:t>元。除上述保证金外，不存在抵押、质押或冻结、或存放在境外且资金汇回受到限制的款</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项。</w:t>
      </w:r>
    </w:p>
    <w:p>
      <w:pPr>
        <w:spacing w:line="240" w:lineRule="auto" w:before="3"/>
        <w:rPr>
          <w:rFonts w:ascii="宋体" w:hAnsi="宋体" w:cs="宋体" w:eastAsia="宋体" w:hint="default"/>
          <w:sz w:val="16"/>
          <w:szCs w:val="16"/>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、应收票据</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7"/>
        <w:gridCol w:w="3202"/>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570,364.60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1,031,000.00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990,000.00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1,621,000.00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1,560,364.60</w:t>
            </w:r>
          </w:p>
        </w:tc>
      </w:tr>
    </w:tbl>
    <w:p>
      <w:pPr>
        <w:spacing w:line="240" w:lineRule="auto" w:before="6"/>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6"/>
        <w:rPr>
          <w:rFonts w:ascii="宋体" w:hAnsi="宋体" w:cs="宋体" w:eastAsia="宋体" w:hint="default"/>
          <w:sz w:val="18"/>
          <w:szCs w:val="18"/>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不存在客观证据表明本集团应收票据发生减值，未计提应收票据减值准备。期末不存在已质押和已</w:t>
      </w:r>
      <w:r>
        <w:rPr>
          <w:rFonts w:ascii="宋体" w:hAnsi="宋体" w:cs="宋体" w:eastAsia="宋体" w:hint="default"/>
          <w:w w:val="100"/>
          <w:sz w:val="21"/>
          <w:szCs w:val="21"/>
        </w:rPr>
        <w:t> </w:t>
      </w:r>
      <w:r>
        <w:rPr>
          <w:rFonts w:ascii="宋体" w:hAnsi="宋体" w:cs="宋体" w:eastAsia="宋体" w:hint="default"/>
          <w:sz w:val="21"/>
          <w:szCs w:val="21"/>
        </w:rPr>
        <w:t>背书或贴现但尚未到期的应收票据。</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611"/>
        <w:gridCol w:w="775"/>
        <w:gridCol w:w="761"/>
        <w:gridCol w:w="763"/>
        <w:gridCol w:w="761"/>
        <w:gridCol w:w="790"/>
        <w:gridCol w:w="655"/>
        <w:gridCol w:w="761"/>
        <w:gridCol w:w="814"/>
        <w:gridCol w:w="932"/>
        <w:gridCol w:w="934"/>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 w:right="0"/>
              <w:jc w:val="left"/>
              <w:rPr>
                <w:rFonts w:ascii="Arial" w:hAnsi="Arial" w:cs="Arial" w:eastAsia="Arial" w:hint="default"/>
                <w:sz w:val="18"/>
                <w:szCs w:val="18"/>
              </w:rPr>
            </w:pPr>
            <w:r>
              <w:rPr>
                <w:rFonts w:ascii="Arial"/>
                <w:sz w:val="18"/>
              </w:rPr>
              <w:t>32,761,1</w:t>
            </w:r>
          </w:p>
          <w:p>
            <w:pPr>
              <w:pStyle w:val="TableParagraph"/>
              <w:spacing w:line="240" w:lineRule="auto" w:before="102"/>
              <w:ind w:left="280" w:right="0"/>
              <w:jc w:val="left"/>
              <w:rPr>
                <w:rFonts w:ascii="Arial" w:hAnsi="Arial" w:cs="Arial" w:eastAsia="Arial" w:hint="default"/>
                <w:sz w:val="18"/>
                <w:szCs w:val="18"/>
              </w:rPr>
            </w:pPr>
            <w:r>
              <w:rPr>
                <w:rFonts w:ascii="Arial"/>
                <w:sz w:val="18"/>
              </w:rPr>
              <w:t>03.77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4.69%</w:t>
            </w:r>
            <w:r>
              <w:rPr>
                <w:rFonts w:ascii="Arial"/>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819,027.</w:t>
            </w:r>
          </w:p>
          <w:p>
            <w:pPr>
              <w:pStyle w:val="TableParagraph"/>
              <w:spacing w:line="240" w:lineRule="auto" w:before="102"/>
              <w:ind w:right="19"/>
              <w:jc w:val="right"/>
              <w:rPr>
                <w:rFonts w:ascii="Arial" w:hAnsi="Arial" w:cs="Arial" w:eastAsia="Arial" w:hint="default"/>
                <w:sz w:val="18"/>
                <w:szCs w:val="18"/>
              </w:rPr>
            </w:pPr>
            <w:r>
              <w:rPr>
                <w:rFonts w:ascii="Arial"/>
                <w:w w:val="95"/>
                <w:sz w:val="18"/>
              </w:rPr>
              <w:t>60</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Arial" w:hAnsi="Arial" w:cs="Arial" w:eastAsia="Arial" w:hint="default"/>
                <w:sz w:val="18"/>
                <w:szCs w:val="18"/>
              </w:rPr>
            </w:pPr>
            <w:r>
              <w:rPr>
                <w:rFonts w:ascii="Arial"/>
                <w:w w:val="95"/>
                <w:sz w:val="18"/>
              </w:rPr>
              <w:t>2.50%</w:t>
            </w:r>
            <w:r>
              <w:rPr>
                <w:rFonts w:ascii="Arial"/>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 w:right="0"/>
              <w:jc w:val="left"/>
              <w:rPr>
                <w:rFonts w:ascii="Arial" w:hAnsi="Arial" w:cs="Arial" w:eastAsia="Arial" w:hint="default"/>
                <w:sz w:val="18"/>
                <w:szCs w:val="18"/>
              </w:rPr>
            </w:pPr>
            <w:r>
              <w:rPr>
                <w:rFonts w:ascii="Arial"/>
                <w:sz w:val="18"/>
              </w:rPr>
              <w:t>31,942,0</w:t>
            </w:r>
          </w:p>
          <w:p>
            <w:pPr>
              <w:pStyle w:val="TableParagraph"/>
              <w:spacing w:line="240" w:lineRule="auto" w:before="102"/>
              <w:ind w:left="307" w:right="0"/>
              <w:jc w:val="left"/>
              <w:rPr>
                <w:rFonts w:ascii="Arial" w:hAnsi="Arial" w:cs="Arial" w:eastAsia="Arial" w:hint="default"/>
                <w:sz w:val="18"/>
                <w:szCs w:val="18"/>
              </w:rPr>
            </w:pPr>
            <w:r>
              <w:rPr>
                <w:rFonts w:ascii="Arial"/>
                <w:sz w:val="18"/>
              </w:rPr>
              <w:t>76.17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42,001</w:t>
            </w:r>
          </w:p>
          <w:p>
            <w:pPr>
              <w:pStyle w:val="TableParagraph"/>
              <w:spacing w:line="240" w:lineRule="auto" w:before="102"/>
              <w:ind w:right="21"/>
              <w:jc w:val="right"/>
              <w:rPr>
                <w:rFonts w:ascii="Arial" w:hAnsi="Arial" w:cs="Arial" w:eastAsia="Arial" w:hint="default"/>
                <w:sz w:val="18"/>
                <w:szCs w:val="18"/>
              </w:rPr>
            </w:pPr>
            <w:r>
              <w:rPr>
                <w:rFonts w:ascii="Arial"/>
                <w:w w:val="95"/>
                <w:sz w:val="18"/>
              </w:rPr>
              <w:t>,782.7</w:t>
            </w:r>
          </w:p>
          <w:p>
            <w:pPr>
              <w:pStyle w:val="TableParagraph"/>
              <w:spacing w:line="240" w:lineRule="auto" w:before="105"/>
              <w:ind w:right="22"/>
              <w:jc w:val="right"/>
              <w:rPr>
                <w:rFonts w:ascii="Arial" w:hAnsi="Arial" w:cs="Arial" w:eastAsia="Arial" w:hint="default"/>
                <w:sz w:val="18"/>
                <w:szCs w:val="18"/>
              </w:rPr>
            </w:pPr>
            <w:r>
              <w:rPr>
                <w:rFonts w:ascii="Arial"/>
                <w:w w:val="99"/>
                <w:sz w:val="18"/>
              </w:rPr>
              <w:t>7</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8.71%</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1,050,04</w:t>
            </w:r>
          </w:p>
          <w:p>
            <w:pPr>
              <w:pStyle w:val="TableParagraph"/>
              <w:spacing w:line="240" w:lineRule="auto" w:before="102"/>
              <w:ind w:left="429" w:right="0"/>
              <w:jc w:val="left"/>
              <w:rPr>
                <w:rFonts w:ascii="Arial" w:hAnsi="Arial" w:cs="Arial" w:eastAsia="Arial" w:hint="default"/>
                <w:sz w:val="18"/>
                <w:szCs w:val="18"/>
              </w:rPr>
            </w:pPr>
            <w:r>
              <w:rPr>
                <w:rFonts w:ascii="Arial"/>
                <w:sz w:val="18"/>
              </w:rPr>
              <w:t>4.57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2.50%</w:t>
            </w:r>
            <w:r>
              <w:rPr>
                <w:rFonts w:ascii="Arial"/>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40,951,73</w:t>
            </w:r>
          </w:p>
          <w:p>
            <w:pPr>
              <w:pStyle w:val="TableParagraph"/>
              <w:spacing w:line="240" w:lineRule="auto" w:before="102"/>
              <w:ind w:left="549" w:right="0"/>
              <w:jc w:val="left"/>
              <w:rPr>
                <w:rFonts w:ascii="Arial" w:hAnsi="Arial" w:cs="Arial" w:eastAsia="Arial" w:hint="default"/>
                <w:sz w:val="18"/>
                <w:szCs w:val="18"/>
              </w:rPr>
            </w:pPr>
            <w:r>
              <w:rPr>
                <w:rFonts w:ascii="Arial"/>
                <w:sz w:val="18"/>
              </w:rPr>
              <w:t>8.20</w:t>
            </w:r>
          </w:p>
        </w:tc>
      </w:tr>
      <w:tr>
        <w:trPr>
          <w:trHeight w:val="1027"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 w:right="0"/>
              <w:jc w:val="center"/>
              <w:rPr>
                <w:rFonts w:ascii="Arial" w:hAnsi="Arial" w:cs="Arial" w:eastAsia="Arial" w:hint="default"/>
                <w:sz w:val="18"/>
                <w:szCs w:val="18"/>
              </w:rPr>
            </w:pPr>
            <w:r>
              <w:rPr>
                <w:rFonts w:ascii="Arial"/>
                <w:sz w:val="18"/>
              </w:rPr>
              <w:t>665,961,</w:t>
            </w:r>
          </w:p>
          <w:p>
            <w:pPr>
              <w:pStyle w:val="TableParagraph"/>
              <w:spacing w:line="240" w:lineRule="auto" w:before="105"/>
              <w:ind w:left="162" w:right="0"/>
              <w:jc w:val="center"/>
              <w:rPr>
                <w:rFonts w:ascii="Arial" w:hAnsi="Arial" w:cs="Arial" w:eastAsia="Arial" w:hint="default"/>
                <w:sz w:val="18"/>
                <w:szCs w:val="18"/>
              </w:rPr>
            </w:pPr>
            <w:r>
              <w:rPr>
                <w:rFonts w:ascii="Arial"/>
                <w:sz w:val="18"/>
              </w:rPr>
              <w:t>013.00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95.31%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55,695,1</w:t>
            </w:r>
          </w:p>
          <w:p>
            <w:pPr>
              <w:pStyle w:val="TableParagraph"/>
              <w:spacing w:line="240" w:lineRule="auto" w:before="105"/>
              <w:ind w:left="278" w:right="0"/>
              <w:jc w:val="left"/>
              <w:rPr>
                <w:rFonts w:ascii="Arial" w:hAnsi="Arial" w:cs="Arial" w:eastAsia="Arial" w:hint="default"/>
                <w:sz w:val="18"/>
                <w:szCs w:val="18"/>
              </w:rPr>
            </w:pPr>
            <w:r>
              <w:rPr>
                <w:rFonts w:ascii="Arial"/>
                <w:sz w:val="18"/>
              </w:rPr>
              <w:t>56.19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Arial" w:hAnsi="Arial" w:cs="Arial" w:eastAsia="Arial" w:hint="default"/>
                <w:sz w:val="18"/>
                <w:szCs w:val="18"/>
              </w:rPr>
            </w:pPr>
            <w:r>
              <w:rPr>
                <w:rFonts w:ascii="Arial"/>
                <w:w w:val="95"/>
                <w:sz w:val="18"/>
              </w:rPr>
              <w:t>8.36%</w:t>
            </w:r>
            <w:r>
              <w:rPr>
                <w:rFonts w:ascii="Arial"/>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center"/>
              <w:rPr>
                <w:rFonts w:ascii="Arial" w:hAnsi="Arial" w:cs="Arial" w:eastAsia="Arial" w:hint="default"/>
                <w:sz w:val="18"/>
                <w:szCs w:val="18"/>
              </w:rPr>
            </w:pPr>
            <w:r>
              <w:rPr>
                <w:rFonts w:ascii="Arial"/>
                <w:sz w:val="18"/>
              </w:rPr>
              <w:t>610,265,</w:t>
            </w:r>
          </w:p>
          <w:p>
            <w:pPr>
              <w:pStyle w:val="TableParagraph"/>
              <w:spacing w:line="240" w:lineRule="auto" w:before="105"/>
              <w:ind w:left="188" w:right="0"/>
              <w:jc w:val="center"/>
              <w:rPr>
                <w:rFonts w:ascii="Arial" w:hAnsi="Arial" w:cs="Arial" w:eastAsia="Arial" w:hint="default"/>
                <w:sz w:val="18"/>
                <w:szCs w:val="18"/>
              </w:rPr>
            </w:pPr>
            <w:r>
              <w:rPr>
                <w:rFonts w:ascii="Arial"/>
                <w:sz w:val="18"/>
              </w:rPr>
              <w:t>856.81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2" w:right="0"/>
              <w:jc w:val="left"/>
              <w:rPr>
                <w:rFonts w:ascii="Arial" w:hAnsi="Arial" w:cs="Arial" w:eastAsia="Arial" w:hint="default"/>
                <w:sz w:val="18"/>
                <w:szCs w:val="18"/>
              </w:rPr>
            </w:pPr>
            <w:r>
              <w:rPr>
                <w:rFonts w:ascii="Arial"/>
                <w:sz w:val="18"/>
              </w:rPr>
              <w:t>440,15</w:t>
            </w:r>
          </w:p>
          <w:p>
            <w:pPr>
              <w:pStyle w:val="TableParagraph"/>
              <w:spacing w:line="240" w:lineRule="auto" w:before="105"/>
              <w:ind w:left="120" w:right="0"/>
              <w:jc w:val="left"/>
              <w:rPr>
                <w:rFonts w:ascii="Arial" w:hAnsi="Arial" w:cs="Arial" w:eastAsia="Arial" w:hint="default"/>
                <w:sz w:val="18"/>
                <w:szCs w:val="18"/>
              </w:rPr>
            </w:pPr>
            <w:r>
              <w:rPr>
                <w:rFonts w:ascii="Arial"/>
                <w:sz w:val="18"/>
              </w:rPr>
              <w:t>0,239.</w:t>
            </w:r>
          </w:p>
          <w:p>
            <w:pPr>
              <w:pStyle w:val="TableParagraph"/>
              <w:spacing w:line="240" w:lineRule="auto" w:before="105"/>
              <w:ind w:left="422" w:right="0"/>
              <w:jc w:val="left"/>
              <w:rPr>
                <w:rFonts w:ascii="Arial" w:hAnsi="Arial" w:cs="Arial" w:eastAsia="Arial" w:hint="default"/>
                <w:sz w:val="18"/>
                <w:szCs w:val="18"/>
              </w:rPr>
            </w:pPr>
            <w:r>
              <w:rPr>
                <w:rFonts w:ascii="Arial"/>
                <w:sz w:val="18"/>
              </w:rPr>
              <w:t>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91.29%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39,788,5</w:t>
            </w:r>
          </w:p>
          <w:p>
            <w:pPr>
              <w:pStyle w:val="TableParagraph"/>
              <w:spacing w:line="240" w:lineRule="auto" w:before="105"/>
              <w:ind w:left="328" w:right="0"/>
              <w:jc w:val="left"/>
              <w:rPr>
                <w:rFonts w:ascii="Arial" w:hAnsi="Arial" w:cs="Arial" w:eastAsia="Arial" w:hint="default"/>
                <w:sz w:val="18"/>
                <w:szCs w:val="18"/>
              </w:rPr>
            </w:pPr>
            <w:r>
              <w:rPr>
                <w:rFonts w:ascii="Arial"/>
                <w:sz w:val="18"/>
              </w:rPr>
              <w:t>18.78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9.04%</w:t>
            </w:r>
            <w:r>
              <w:rPr>
                <w:rFonts w:ascii="Arial"/>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400,361,7</w:t>
            </w:r>
          </w:p>
          <w:p>
            <w:pPr>
              <w:pStyle w:val="TableParagraph"/>
              <w:spacing w:line="240" w:lineRule="auto" w:before="105"/>
              <w:ind w:left="448" w:right="0"/>
              <w:jc w:val="left"/>
              <w:rPr>
                <w:rFonts w:ascii="Arial" w:hAnsi="Arial" w:cs="Arial" w:eastAsia="Arial" w:hint="default"/>
                <w:sz w:val="18"/>
                <w:szCs w:val="18"/>
              </w:rPr>
            </w:pPr>
            <w:r>
              <w:rPr>
                <w:rFonts w:ascii="Arial"/>
                <w:sz w:val="18"/>
              </w:rPr>
              <w:t>20.61</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 w:right="0"/>
              <w:jc w:val="center"/>
              <w:rPr>
                <w:rFonts w:ascii="Arial" w:hAnsi="Arial" w:cs="Arial" w:eastAsia="Arial" w:hint="default"/>
                <w:sz w:val="18"/>
                <w:szCs w:val="18"/>
              </w:rPr>
            </w:pPr>
            <w:r>
              <w:rPr>
                <w:rFonts w:ascii="Arial"/>
                <w:sz w:val="18"/>
              </w:rPr>
              <w:t>698,722,</w:t>
            </w:r>
          </w:p>
          <w:p>
            <w:pPr>
              <w:pStyle w:val="TableParagraph"/>
              <w:spacing w:line="240" w:lineRule="auto" w:before="102"/>
              <w:ind w:left="178" w:right="0"/>
              <w:jc w:val="center"/>
              <w:rPr>
                <w:rFonts w:ascii="Arial" w:hAnsi="Arial" w:cs="Arial" w:eastAsia="Arial" w:hint="default"/>
                <w:sz w:val="18"/>
                <w:szCs w:val="18"/>
              </w:rPr>
            </w:pPr>
            <w:r>
              <w:rPr>
                <w:rFonts w:ascii="Arial"/>
                <w:spacing w:val="-3"/>
                <w:sz w:val="18"/>
              </w:rPr>
              <w:t>116.77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56,514,1</w:t>
            </w:r>
          </w:p>
          <w:p>
            <w:pPr>
              <w:pStyle w:val="TableParagraph"/>
              <w:spacing w:line="240" w:lineRule="auto" w:before="102"/>
              <w:ind w:left="278" w:right="0"/>
              <w:jc w:val="left"/>
              <w:rPr>
                <w:rFonts w:ascii="Arial" w:hAnsi="Arial" w:cs="Arial" w:eastAsia="Arial" w:hint="default"/>
                <w:sz w:val="18"/>
                <w:szCs w:val="18"/>
              </w:rPr>
            </w:pPr>
            <w:r>
              <w:rPr>
                <w:rFonts w:ascii="Arial"/>
                <w:sz w:val="18"/>
              </w:rPr>
              <w:t>83.79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0" w:right="0"/>
              <w:jc w:val="left"/>
              <w:rPr>
                <w:rFonts w:ascii="Arial" w:hAnsi="Arial" w:cs="Arial" w:eastAsia="Arial" w:hint="default"/>
                <w:sz w:val="18"/>
                <w:szCs w:val="18"/>
              </w:rPr>
            </w:pPr>
            <w:r>
              <w:rPr>
                <w:rFonts w:ascii="Arial"/>
                <w:sz w:val="18"/>
              </w:rPr>
              <w:t>8.09%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center"/>
              <w:rPr>
                <w:rFonts w:ascii="Arial" w:hAnsi="Arial" w:cs="Arial" w:eastAsia="Arial" w:hint="default"/>
                <w:sz w:val="18"/>
                <w:szCs w:val="18"/>
              </w:rPr>
            </w:pPr>
            <w:r>
              <w:rPr>
                <w:rFonts w:ascii="Arial"/>
                <w:sz w:val="18"/>
              </w:rPr>
              <w:t>642,207,</w:t>
            </w:r>
          </w:p>
          <w:p>
            <w:pPr>
              <w:pStyle w:val="TableParagraph"/>
              <w:spacing w:line="240" w:lineRule="auto" w:before="102"/>
              <w:ind w:left="188" w:right="0"/>
              <w:jc w:val="center"/>
              <w:rPr>
                <w:rFonts w:ascii="Arial" w:hAnsi="Arial" w:cs="Arial" w:eastAsia="Arial" w:hint="default"/>
                <w:sz w:val="18"/>
                <w:szCs w:val="18"/>
              </w:rPr>
            </w:pPr>
            <w:r>
              <w:rPr>
                <w:rFonts w:ascii="Arial"/>
                <w:sz w:val="18"/>
              </w:rPr>
              <w:t>932.98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0"/>
              <w:ind w:left="72" w:right="0"/>
              <w:jc w:val="left"/>
              <w:rPr>
                <w:rFonts w:ascii="Arial" w:hAnsi="Arial" w:cs="Arial" w:eastAsia="Arial" w:hint="default"/>
                <w:sz w:val="18"/>
                <w:szCs w:val="18"/>
              </w:rPr>
            </w:pPr>
            <w:r>
              <w:rPr>
                <w:rFonts w:ascii="Arial"/>
                <w:sz w:val="18"/>
              </w:rPr>
              <w:t>482,15</w:t>
            </w:r>
          </w:p>
          <w:p>
            <w:pPr>
              <w:pStyle w:val="TableParagraph"/>
              <w:spacing w:line="240" w:lineRule="auto" w:before="102"/>
              <w:ind w:left="120" w:right="0"/>
              <w:jc w:val="left"/>
              <w:rPr>
                <w:rFonts w:ascii="Arial" w:hAnsi="Arial" w:cs="Arial" w:eastAsia="Arial" w:hint="default"/>
                <w:sz w:val="18"/>
                <w:szCs w:val="18"/>
              </w:rPr>
            </w:pPr>
            <w:r>
              <w:rPr>
                <w:rFonts w:ascii="Arial"/>
                <w:sz w:val="18"/>
              </w:rPr>
              <w:t>2,022.</w:t>
            </w:r>
          </w:p>
          <w:p>
            <w:pPr>
              <w:pStyle w:val="TableParagraph"/>
              <w:spacing w:line="240" w:lineRule="auto" w:before="105"/>
              <w:ind w:left="422" w:right="0"/>
              <w:jc w:val="left"/>
              <w:rPr>
                <w:rFonts w:ascii="Arial" w:hAnsi="Arial" w:cs="Arial" w:eastAsia="Arial" w:hint="default"/>
                <w:sz w:val="18"/>
                <w:szCs w:val="18"/>
              </w:rPr>
            </w:pPr>
            <w:r>
              <w:rPr>
                <w:rFonts w:ascii="Arial"/>
                <w:sz w:val="18"/>
              </w:rPr>
              <w:t>16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40,838,5</w:t>
            </w:r>
          </w:p>
          <w:p>
            <w:pPr>
              <w:pStyle w:val="TableParagraph"/>
              <w:spacing w:line="240" w:lineRule="auto" w:before="102"/>
              <w:ind w:left="328" w:right="0"/>
              <w:jc w:val="left"/>
              <w:rPr>
                <w:rFonts w:ascii="Arial" w:hAnsi="Arial" w:cs="Arial" w:eastAsia="Arial" w:hint="default"/>
                <w:sz w:val="18"/>
                <w:szCs w:val="18"/>
              </w:rPr>
            </w:pPr>
            <w:r>
              <w:rPr>
                <w:rFonts w:ascii="Arial"/>
                <w:sz w:val="18"/>
              </w:rPr>
              <w:t>63.35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9" w:right="0"/>
              <w:jc w:val="left"/>
              <w:rPr>
                <w:rFonts w:ascii="Arial" w:hAnsi="Arial" w:cs="Arial" w:eastAsia="Arial" w:hint="default"/>
                <w:sz w:val="18"/>
                <w:szCs w:val="18"/>
              </w:rPr>
            </w:pPr>
            <w:r>
              <w:rPr>
                <w:rFonts w:ascii="Arial"/>
                <w:sz w:val="18"/>
              </w:rPr>
              <w:t>8.47%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441,313,4</w:t>
            </w:r>
          </w:p>
          <w:p>
            <w:pPr>
              <w:pStyle w:val="TableParagraph"/>
              <w:spacing w:line="240" w:lineRule="auto" w:before="102"/>
              <w:ind w:left="448" w:right="0"/>
              <w:jc w:val="left"/>
              <w:rPr>
                <w:rFonts w:ascii="Arial" w:hAnsi="Arial" w:cs="Arial" w:eastAsia="Arial" w:hint="default"/>
                <w:sz w:val="18"/>
                <w:szCs w:val="18"/>
              </w:rPr>
            </w:pPr>
            <w:r>
              <w:rPr>
                <w:rFonts w:ascii="Arial"/>
                <w:sz w:val="18"/>
              </w:rPr>
              <w:t>58.81</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10"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期末单项金额重大并单项计提坏账准备的应收账款：</w:t>
      </w:r>
    </w:p>
    <w:p>
      <w:pPr>
        <w:spacing w:line="240" w:lineRule="auto" w:before="6"/>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3"/>
        <w:rPr>
          <w:rFonts w:ascii="宋体" w:hAnsi="宋体" w:cs="宋体" w:eastAsia="宋体" w:hint="default"/>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7647"/>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488"/>
        <w:gridCol w:w="2341"/>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32,761,103.77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819,027.60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5" w:right="0"/>
              <w:jc w:val="left"/>
              <w:rPr>
                <w:rFonts w:ascii="Arial" w:hAnsi="Arial" w:cs="Arial" w:eastAsia="Arial" w:hint="default"/>
                <w:sz w:val="18"/>
                <w:szCs w:val="18"/>
              </w:rPr>
            </w:pPr>
            <w:r>
              <w:rPr>
                <w:rFonts w:ascii="Arial"/>
                <w:sz w:val="18"/>
              </w:rPr>
              <w:t>2.50%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信用期内</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32,761,103.77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819,027.60</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6"/>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3"/>
        <w:rPr>
          <w:rFonts w:ascii="宋体" w:hAnsi="宋体" w:cs="宋体" w:eastAsia="宋体" w:hint="default"/>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368"/>
        <w:gridCol w:w="2404"/>
        <w:gridCol w:w="2393"/>
        <w:gridCol w:w="2391"/>
      </w:tblGrid>
      <w:tr>
        <w:trPr>
          <w:trHeight w:val="206"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439,315,109.93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115,550,366.25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5,777,518.32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5.00%</w:t>
            </w:r>
            <w:r>
              <w:rPr>
                <w:rFonts w:ascii="Arial"/>
                <w:sz w:val="18"/>
              </w:rPr>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46,074,116.67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4,607,411.67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24,181,454.98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7,254,436.48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5,568,350.93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2,784,175.48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35,271,614.24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35,271,614.24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665,961,013.00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55,695,156.19</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组合中，采用余额百分比法计提坏账准备的应收账款：</w:t>
      </w:r>
    </w:p>
    <w:p>
      <w:pPr>
        <w:spacing w:line="240" w:lineRule="auto" w:before="6"/>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4"/>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18"/>
          <w:szCs w:val="18"/>
        </w:rPr>
      </w:pPr>
    </w:p>
    <w:p>
      <w:pPr>
        <w:spacing w:line="482" w:lineRule="auto" w:before="0"/>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1"/>
          <w:sz w:val="21"/>
          <w:szCs w:val="21"/>
        </w:rPr>
        <w:t>本期计提坏账准备金额</w:t>
      </w:r>
      <w:r>
        <w:rPr>
          <w:rFonts w:ascii="Arial" w:hAnsi="Arial" w:cs="Arial" w:eastAsia="Arial" w:hint="default"/>
          <w:spacing w:val="-1"/>
          <w:sz w:val="21"/>
          <w:szCs w:val="21"/>
        </w:rPr>
        <w:t>14,998,170.51</w:t>
      </w:r>
      <w:r>
        <w:rPr>
          <w:rFonts w:ascii="宋体" w:hAnsi="宋体" w:cs="宋体" w:eastAsia="宋体" w:hint="default"/>
          <w:spacing w:val="-1"/>
          <w:sz w:val="21"/>
          <w:szCs w:val="21"/>
        </w:rPr>
        <w:t>元；本期收回或转回坏账准备金额</w:t>
      </w:r>
      <w:r>
        <w:rPr>
          <w:rFonts w:ascii="Arial" w:hAnsi="Arial" w:cs="Arial" w:eastAsia="Arial" w:hint="default"/>
          <w:spacing w:val="-1"/>
          <w:sz w:val="21"/>
          <w:szCs w:val="21"/>
        </w:rPr>
        <w:t>231,016.97</w:t>
      </w:r>
      <w:r>
        <w:rPr>
          <w:rFonts w:ascii="宋体" w:hAnsi="宋体" w:cs="宋体" w:eastAsia="宋体" w:hint="default"/>
          <w:spacing w:val="-1"/>
          <w:sz w:val="21"/>
          <w:szCs w:val="21"/>
        </w:rPr>
        <w:t>元。</w:t>
      </w:r>
    </w:p>
    <w:p>
      <w:pPr>
        <w:spacing w:before="11"/>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）本期实际核销的应收账款情况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975,900.00</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应收账款核销说明：</w:t>
      </w:r>
    </w:p>
    <w:p>
      <w:pPr>
        <w:spacing w:line="240" w:lineRule="auto" w:before="6"/>
        <w:rPr>
          <w:rFonts w:ascii="宋体" w:hAnsi="宋体" w:cs="宋体" w:eastAsia="宋体" w:hint="default"/>
          <w:sz w:val="18"/>
          <w:szCs w:val="18"/>
        </w:rPr>
      </w:pPr>
    </w:p>
    <w:p>
      <w:pPr>
        <w:spacing w:line="297" w:lineRule="auto" w:before="0"/>
        <w:ind w:left="152" w:right="0" w:firstLine="425"/>
        <w:jc w:val="left"/>
        <w:rPr>
          <w:rFonts w:ascii="宋体" w:hAnsi="宋体" w:cs="宋体" w:eastAsia="宋体" w:hint="default"/>
          <w:sz w:val="21"/>
          <w:szCs w:val="21"/>
        </w:rPr>
      </w:pP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26</w:t>
      </w:r>
      <w:r>
        <w:rPr>
          <w:rFonts w:ascii="宋体" w:hAnsi="宋体" w:cs="宋体" w:eastAsia="宋体" w:hint="default"/>
          <w:spacing w:val="-2"/>
          <w:sz w:val="21"/>
          <w:szCs w:val="21"/>
        </w:rPr>
        <w:t>日，公司召开的第六届董事会第二十六次会议审议通过了《关于坏账核销的议案》，</w:t>
      </w:r>
      <w:r>
        <w:rPr>
          <w:rFonts w:ascii="宋体" w:hAnsi="宋体" w:cs="宋体" w:eastAsia="宋体" w:hint="default"/>
          <w:w w:val="100"/>
          <w:sz w:val="21"/>
          <w:szCs w:val="21"/>
        </w:rPr>
        <w:t> </w:t>
      </w:r>
      <w:r>
        <w:rPr>
          <w:rFonts w:ascii="宋体" w:hAnsi="宋体" w:cs="宋体" w:eastAsia="宋体" w:hint="default"/>
          <w:sz w:val="21"/>
          <w:szCs w:val="21"/>
        </w:rPr>
        <w:t>核销了</w:t>
      </w:r>
      <w:r>
        <w:rPr>
          <w:rFonts w:ascii="Arial" w:hAnsi="Arial" w:cs="Arial" w:eastAsia="Arial" w:hint="default"/>
          <w:sz w:val="21"/>
          <w:szCs w:val="21"/>
        </w:rPr>
        <w:t>16</w:t>
      </w:r>
      <w:r>
        <w:rPr>
          <w:rFonts w:ascii="宋体" w:hAnsi="宋体" w:cs="宋体" w:eastAsia="宋体" w:hint="default"/>
          <w:sz w:val="21"/>
          <w:szCs w:val="21"/>
        </w:rPr>
        <w:t>笔小额应收账款，合计</w:t>
      </w:r>
      <w:r>
        <w:rPr>
          <w:rFonts w:ascii="Arial" w:hAnsi="Arial" w:cs="Arial" w:eastAsia="Arial" w:hint="default"/>
          <w:sz w:val="21"/>
          <w:szCs w:val="21"/>
        </w:rPr>
        <w:t>975,900.00</w:t>
      </w:r>
      <w:r>
        <w:rPr>
          <w:rFonts w:ascii="宋体" w:hAnsi="宋体" w:cs="宋体" w:eastAsia="宋体" w:hint="default"/>
          <w:sz w:val="21"/>
          <w:szCs w:val="21"/>
        </w:rPr>
        <w:t>元。</w:t>
      </w:r>
    </w:p>
    <w:p>
      <w:pPr>
        <w:spacing w:before="192"/>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）按欠款方归集的期末余额前五名的应收账款情况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本期按欠款方归集的期末余额前五名应收账款汇总金额</w:t>
      </w:r>
      <w:r>
        <w:rPr>
          <w:rFonts w:ascii="Arial" w:hAnsi="Arial" w:cs="Arial" w:eastAsia="Arial" w:hint="default"/>
          <w:spacing w:val="-2"/>
          <w:sz w:val="21"/>
          <w:szCs w:val="21"/>
        </w:rPr>
        <w:t>96,251,535.96</w:t>
      </w:r>
      <w:r>
        <w:rPr>
          <w:rFonts w:ascii="宋体" w:hAnsi="宋体" w:cs="宋体" w:eastAsia="宋体" w:hint="default"/>
          <w:spacing w:val="-2"/>
          <w:sz w:val="21"/>
          <w:szCs w:val="21"/>
        </w:rPr>
        <w:t>元，占应收账款期末余额合计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Arial" w:hAnsi="Arial" w:cs="Arial" w:eastAsia="Arial" w:hint="default"/>
          <w:sz w:val="21"/>
          <w:szCs w:val="21"/>
        </w:rPr>
        <w:t>13.78%</w:t>
      </w:r>
      <w:r>
        <w:rPr>
          <w:rFonts w:ascii="宋体" w:hAnsi="宋体" w:cs="宋体" w:eastAsia="宋体" w:hint="default"/>
          <w:sz w:val="21"/>
          <w:szCs w:val="21"/>
        </w:rPr>
        <w:t>，相应计提的坏账准备期末余额汇总金额</w:t>
      </w:r>
      <w:r>
        <w:rPr>
          <w:rFonts w:ascii="Arial" w:hAnsi="Arial" w:cs="Arial" w:eastAsia="Arial" w:hint="default"/>
          <w:sz w:val="21"/>
          <w:szCs w:val="21"/>
        </w:rPr>
        <w:t>959,268.13</w:t>
      </w:r>
      <w:r>
        <w:rPr>
          <w:rFonts w:ascii="宋体" w:hAnsi="宋体" w:cs="宋体" w:eastAsia="宋体" w:hint="default"/>
          <w:sz w:val="21"/>
          <w:szCs w:val="21"/>
        </w:rPr>
        <w:t>元。</w:t>
      </w:r>
    </w:p>
    <w:p>
      <w:pPr>
        <w:spacing w:after="0" w:line="297"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）预付款项按账龄列示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88"/>
        <w:gridCol w:w="1927"/>
        <w:gridCol w:w="1916"/>
        <w:gridCol w:w="1913"/>
        <w:gridCol w:w="1916"/>
      </w:tblGrid>
      <w:tr>
        <w:trPr>
          <w:trHeight w:val="206" w:hRule="exact"/>
        </w:trPr>
        <w:tc>
          <w:tcPr>
            <w:tcW w:w="1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8"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25,715,880.98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41,868,635.90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99.17%</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2,377,098.48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8.40%</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115,643.50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0.27%</w:t>
            </w:r>
            <w:r>
              <w:rPr>
                <w:rFonts w:ascii="Arial"/>
                <w:sz w:val="18"/>
              </w:rPr>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75,289.20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0.27%</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73,101.60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0.17%</w:t>
            </w:r>
            <w:r>
              <w:rPr>
                <w:rFonts w:ascii="Arial"/>
                <w:sz w:val="18"/>
              </w:rPr>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120,200.00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w w:val="95"/>
                <w:sz w:val="18"/>
              </w:rPr>
              <w:t>0.42%</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164,288.36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0.39%</w:t>
            </w:r>
            <w:r>
              <w:rPr>
                <w:rFonts w:ascii="Arial"/>
                <w:sz w:val="18"/>
              </w:rPr>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5"/>
              <w:jc w:val="right"/>
              <w:rPr>
                <w:rFonts w:ascii="Arial" w:hAnsi="Arial" w:cs="Arial" w:eastAsia="Arial" w:hint="default"/>
                <w:sz w:val="18"/>
                <w:szCs w:val="18"/>
              </w:rPr>
            </w:pPr>
            <w:r>
              <w:rPr>
                <w:rFonts w:ascii="Arial"/>
                <w:spacing w:val="-1"/>
                <w:sz w:val="18"/>
              </w:rPr>
              <w:t>28,288,468.66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Arial" w:hAnsi="Arial" w:cs="Arial" w:eastAsia="Arial" w:hint="default"/>
                <w:sz w:val="18"/>
                <w:szCs w:val="18"/>
              </w:rPr>
            </w:pPr>
            <w:r>
              <w:rPr>
                <w:rFonts w:ascii="Arial"/>
                <w:spacing w:val="-1"/>
                <w:sz w:val="18"/>
              </w:rPr>
              <w:t>42,221,669.36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）按预付对象归集的期末余额前五名的预付款情况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本期按预付对象归集的期末余额前五名预付款项汇总金额</w:t>
      </w:r>
      <w:r>
        <w:rPr>
          <w:rFonts w:ascii="Arial" w:hAnsi="Arial" w:cs="Arial" w:eastAsia="Arial" w:hint="default"/>
          <w:spacing w:val="-2"/>
          <w:sz w:val="21"/>
          <w:szCs w:val="21"/>
        </w:rPr>
        <w:t>11,509,159.68</w:t>
      </w:r>
      <w:r>
        <w:rPr>
          <w:rFonts w:ascii="宋体" w:hAnsi="宋体" w:cs="宋体" w:eastAsia="宋体" w:hint="default"/>
          <w:spacing w:val="-2"/>
          <w:sz w:val="21"/>
          <w:szCs w:val="21"/>
        </w:rPr>
        <w:t>元，占预付款项期末余额合</w:t>
      </w:r>
      <w:r>
        <w:rPr>
          <w:rFonts w:ascii="宋体" w:hAnsi="宋体" w:cs="宋体" w:eastAsia="宋体" w:hint="default"/>
          <w:w w:val="100"/>
          <w:sz w:val="21"/>
          <w:szCs w:val="21"/>
        </w:rPr>
        <w:t> </w:t>
      </w:r>
      <w:r>
        <w:rPr>
          <w:rFonts w:ascii="宋体" w:hAnsi="宋体" w:cs="宋体" w:eastAsia="宋体" w:hint="default"/>
          <w:sz w:val="21"/>
          <w:szCs w:val="21"/>
        </w:rPr>
        <w:t>计数的比例</w:t>
      </w:r>
      <w:r>
        <w:rPr>
          <w:rFonts w:ascii="Arial" w:hAnsi="Arial" w:cs="Arial" w:eastAsia="Arial" w:hint="default"/>
          <w:sz w:val="21"/>
          <w:szCs w:val="21"/>
        </w:rPr>
        <w:t>40.68%</w:t>
      </w:r>
      <w:r>
        <w:rPr>
          <w:rFonts w:ascii="宋体" w:hAnsi="宋体" w:cs="宋体" w:eastAsia="宋体" w:hint="default"/>
          <w:sz w:val="21"/>
          <w:szCs w:val="21"/>
        </w:rPr>
        <w:t>。</w:t>
      </w:r>
    </w:p>
    <w:p>
      <w:pPr>
        <w:spacing w:before="192"/>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、应收利息</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958,108.00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890,600.00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958,108.00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890,600.00</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）其他应收款分类披露</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611"/>
        <w:gridCol w:w="775"/>
        <w:gridCol w:w="761"/>
        <w:gridCol w:w="763"/>
        <w:gridCol w:w="761"/>
        <w:gridCol w:w="790"/>
        <w:gridCol w:w="655"/>
        <w:gridCol w:w="761"/>
        <w:gridCol w:w="814"/>
        <w:gridCol w:w="932"/>
        <w:gridCol w:w="934"/>
      </w:tblGrid>
      <w:tr>
        <w:trPr>
          <w:trHeight w:val="396"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6"/>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 w:right="0"/>
              <w:jc w:val="center"/>
              <w:rPr>
                <w:rFonts w:ascii="Arial" w:hAnsi="Arial" w:cs="Arial" w:eastAsia="Arial" w:hint="default"/>
                <w:sz w:val="18"/>
                <w:szCs w:val="18"/>
              </w:rPr>
            </w:pPr>
            <w:r>
              <w:rPr>
                <w:rFonts w:ascii="Arial"/>
                <w:sz w:val="18"/>
              </w:rPr>
              <w:t>213,878,</w:t>
            </w:r>
          </w:p>
          <w:p>
            <w:pPr>
              <w:pStyle w:val="TableParagraph"/>
              <w:spacing w:line="240" w:lineRule="auto" w:before="105"/>
              <w:ind w:left="162" w:right="0"/>
              <w:jc w:val="center"/>
              <w:rPr>
                <w:rFonts w:ascii="Arial" w:hAnsi="Arial" w:cs="Arial" w:eastAsia="Arial" w:hint="default"/>
                <w:sz w:val="18"/>
                <w:szCs w:val="18"/>
              </w:rPr>
            </w:pPr>
            <w:r>
              <w:rPr>
                <w:rFonts w:ascii="Arial"/>
                <w:sz w:val="18"/>
              </w:rPr>
              <w:t>323.80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12,625,7</w:t>
            </w:r>
          </w:p>
          <w:p>
            <w:pPr>
              <w:pStyle w:val="TableParagraph"/>
              <w:spacing w:line="240" w:lineRule="auto" w:before="105"/>
              <w:ind w:left="278" w:right="0"/>
              <w:jc w:val="left"/>
              <w:rPr>
                <w:rFonts w:ascii="Arial" w:hAnsi="Arial" w:cs="Arial" w:eastAsia="Arial" w:hint="default"/>
                <w:sz w:val="18"/>
                <w:szCs w:val="18"/>
              </w:rPr>
            </w:pPr>
            <w:r>
              <w:rPr>
                <w:rFonts w:ascii="Arial"/>
                <w:sz w:val="18"/>
              </w:rPr>
              <w:t>98.24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0" w:right="0"/>
              <w:jc w:val="left"/>
              <w:rPr>
                <w:rFonts w:ascii="Arial" w:hAnsi="Arial" w:cs="Arial" w:eastAsia="Arial" w:hint="default"/>
                <w:sz w:val="18"/>
                <w:szCs w:val="18"/>
              </w:rPr>
            </w:pPr>
            <w:r>
              <w:rPr>
                <w:rFonts w:ascii="Arial"/>
                <w:sz w:val="18"/>
              </w:rPr>
              <w:t>5.90%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center"/>
              <w:rPr>
                <w:rFonts w:ascii="Arial" w:hAnsi="Arial" w:cs="Arial" w:eastAsia="Arial" w:hint="default"/>
                <w:sz w:val="18"/>
                <w:szCs w:val="18"/>
              </w:rPr>
            </w:pPr>
            <w:r>
              <w:rPr>
                <w:rFonts w:ascii="Arial"/>
                <w:sz w:val="18"/>
              </w:rPr>
              <w:t>201,252,</w:t>
            </w:r>
          </w:p>
          <w:p>
            <w:pPr>
              <w:pStyle w:val="TableParagraph"/>
              <w:spacing w:line="240" w:lineRule="auto" w:before="105"/>
              <w:ind w:left="188" w:right="0"/>
              <w:jc w:val="center"/>
              <w:rPr>
                <w:rFonts w:ascii="Arial" w:hAnsi="Arial" w:cs="Arial" w:eastAsia="Arial" w:hint="default"/>
                <w:sz w:val="18"/>
                <w:szCs w:val="18"/>
              </w:rPr>
            </w:pPr>
            <w:r>
              <w:rPr>
                <w:rFonts w:ascii="Arial"/>
                <w:sz w:val="18"/>
              </w:rPr>
              <w:t>525.56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2" w:right="0"/>
              <w:jc w:val="left"/>
              <w:rPr>
                <w:rFonts w:ascii="Arial" w:hAnsi="Arial" w:cs="Arial" w:eastAsia="Arial" w:hint="default"/>
                <w:sz w:val="18"/>
                <w:szCs w:val="18"/>
              </w:rPr>
            </w:pPr>
            <w:r>
              <w:rPr>
                <w:rFonts w:ascii="Arial"/>
                <w:sz w:val="18"/>
              </w:rPr>
              <w:t>174,47</w:t>
            </w:r>
          </w:p>
          <w:p>
            <w:pPr>
              <w:pStyle w:val="TableParagraph"/>
              <w:spacing w:line="240" w:lineRule="auto" w:before="105"/>
              <w:ind w:left="120" w:right="0"/>
              <w:jc w:val="left"/>
              <w:rPr>
                <w:rFonts w:ascii="Arial" w:hAnsi="Arial" w:cs="Arial" w:eastAsia="Arial" w:hint="default"/>
                <w:sz w:val="18"/>
                <w:szCs w:val="18"/>
              </w:rPr>
            </w:pPr>
            <w:r>
              <w:rPr>
                <w:rFonts w:ascii="Arial"/>
                <w:sz w:val="18"/>
              </w:rPr>
              <w:t>9,759.</w:t>
            </w:r>
          </w:p>
          <w:p>
            <w:pPr>
              <w:pStyle w:val="TableParagraph"/>
              <w:spacing w:line="240" w:lineRule="auto" w:before="105"/>
              <w:ind w:left="422" w:right="0"/>
              <w:jc w:val="left"/>
              <w:rPr>
                <w:rFonts w:ascii="Arial" w:hAnsi="Arial" w:cs="Arial" w:eastAsia="Arial" w:hint="default"/>
                <w:sz w:val="18"/>
                <w:szCs w:val="18"/>
              </w:rPr>
            </w:pPr>
            <w:r>
              <w:rPr>
                <w:rFonts w:ascii="Arial"/>
                <w:sz w:val="18"/>
              </w:rPr>
              <w:t>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8,418,73</w:t>
            </w:r>
          </w:p>
          <w:p>
            <w:pPr>
              <w:pStyle w:val="TableParagraph"/>
              <w:spacing w:line="240" w:lineRule="auto" w:before="105"/>
              <w:ind w:left="429" w:right="0"/>
              <w:jc w:val="left"/>
              <w:rPr>
                <w:rFonts w:ascii="Arial" w:hAnsi="Arial" w:cs="Arial" w:eastAsia="Arial" w:hint="default"/>
                <w:sz w:val="18"/>
                <w:szCs w:val="18"/>
              </w:rPr>
            </w:pPr>
            <w:r>
              <w:rPr>
                <w:rFonts w:ascii="Arial"/>
                <w:sz w:val="18"/>
              </w:rPr>
              <w:t>2.65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9" w:right="0"/>
              <w:jc w:val="left"/>
              <w:rPr>
                <w:rFonts w:ascii="Arial" w:hAnsi="Arial" w:cs="Arial" w:eastAsia="Arial" w:hint="default"/>
                <w:sz w:val="18"/>
                <w:szCs w:val="18"/>
              </w:rPr>
            </w:pPr>
            <w:r>
              <w:rPr>
                <w:rFonts w:ascii="Arial"/>
                <w:sz w:val="18"/>
              </w:rPr>
              <w:t>4.83%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166,061,0</w:t>
            </w:r>
          </w:p>
          <w:p>
            <w:pPr>
              <w:pStyle w:val="TableParagraph"/>
              <w:spacing w:line="240" w:lineRule="auto" w:before="105"/>
              <w:ind w:left="448" w:right="0"/>
              <w:jc w:val="left"/>
              <w:rPr>
                <w:rFonts w:ascii="Arial" w:hAnsi="Arial" w:cs="Arial" w:eastAsia="Arial" w:hint="default"/>
                <w:sz w:val="18"/>
                <w:szCs w:val="18"/>
              </w:rPr>
            </w:pPr>
            <w:r>
              <w:rPr>
                <w:rFonts w:ascii="Arial"/>
                <w:sz w:val="18"/>
              </w:rPr>
              <w:t>26.50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0" w:space="0" w:color="D2D2D2"/>
              <w:right w:val="single" w:sz="4" w:space="0" w:color="000000"/>
            </w:tcBorders>
          </w:tcPr>
          <w:p>
            <w:pPr>
              <w:pStyle w:val="TableParagraph"/>
              <w:spacing w:line="240" w:lineRule="auto" w:before="90"/>
              <w:ind w:left="15" w:right="0"/>
              <w:jc w:val="center"/>
              <w:rPr>
                <w:rFonts w:ascii="Arial" w:hAnsi="Arial" w:cs="Arial" w:eastAsia="Arial" w:hint="default"/>
                <w:sz w:val="18"/>
                <w:szCs w:val="18"/>
              </w:rPr>
            </w:pPr>
            <w:r>
              <w:rPr>
                <w:rFonts w:ascii="Arial"/>
                <w:sz w:val="18"/>
              </w:rPr>
              <w:t>213,878,</w:t>
            </w:r>
          </w:p>
          <w:p>
            <w:pPr>
              <w:pStyle w:val="TableParagraph"/>
              <w:spacing w:line="240" w:lineRule="auto" w:before="102"/>
              <w:ind w:left="166" w:right="0"/>
              <w:jc w:val="center"/>
              <w:rPr>
                <w:rFonts w:ascii="Arial" w:hAnsi="Arial" w:cs="Arial" w:eastAsia="Arial" w:hint="default"/>
                <w:sz w:val="18"/>
                <w:szCs w:val="18"/>
              </w:rPr>
            </w:pPr>
            <w:r>
              <w:rPr>
                <w:rFonts w:ascii="Arial"/>
                <w:sz w:val="18"/>
              </w:rPr>
              <w:t>323.80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0"/>
              <w:ind w:left="28" w:right="0"/>
              <w:jc w:val="left"/>
              <w:rPr>
                <w:rFonts w:ascii="Arial" w:hAnsi="Arial" w:cs="Arial" w:eastAsia="Arial" w:hint="default"/>
                <w:sz w:val="18"/>
                <w:szCs w:val="18"/>
              </w:rPr>
            </w:pPr>
            <w:r>
              <w:rPr>
                <w:rFonts w:ascii="Arial"/>
                <w:sz w:val="18"/>
              </w:rPr>
              <w:t>12,625,7</w:t>
            </w:r>
          </w:p>
          <w:p>
            <w:pPr>
              <w:pStyle w:val="TableParagraph"/>
              <w:spacing w:line="240" w:lineRule="auto" w:before="102"/>
              <w:ind w:left="278" w:right="0"/>
              <w:jc w:val="left"/>
              <w:rPr>
                <w:rFonts w:ascii="Arial" w:hAnsi="Arial" w:cs="Arial" w:eastAsia="Arial" w:hint="default"/>
                <w:sz w:val="18"/>
                <w:szCs w:val="18"/>
              </w:rPr>
            </w:pPr>
            <w:r>
              <w:rPr>
                <w:rFonts w:ascii="Arial"/>
                <w:sz w:val="18"/>
              </w:rPr>
              <w:t>98.24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0" w:right="0"/>
              <w:jc w:val="left"/>
              <w:rPr>
                <w:rFonts w:ascii="Arial" w:hAnsi="Arial" w:cs="Arial" w:eastAsia="Arial" w:hint="default"/>
                <w:sz w:val="18"/>
                <w:szCs w:val="18"/>
              </w:rPr>
            </w:pPr>
            <w:r>
              <w:rPr>
                <w:rFonts w:ascii="Arial"/>
                <w:sz w:val="18"/>
              </w:rPr>
              <w:t>5.90%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0"/>
              <w:ind w:left="36" w:right="0"/>
              <w:jc w:val="center"/>
              <w:rPr>
                <w:rFonts w:ascii="Arial" w:hAnsi="Arial" w:cs="Arial" w:eastAsia="Arial" w:hint="default"/>
                <w:sz w:val="18"/>
                <w:szCs w:val="18"/>
              </w:rPr>
            </w:pPr>
            <w:r>
              <w:rPr>
                <w:rFonts w:ascii="Arial"/>
                <w:sz w:val="18"/>
              </w:rPr>
              <w:t>201,252,</w:t>
            </w:r>
          </w:p>
          <w:p>
            <w:pPr>
              <w:pStyle w:val="TableParagraph"/>
              <w:spacing w:line="240" w:lineRule="auto" w:before="102"/>
              <w:ind w:left="188" w:right="0"/>
              <w:jc w:val="center"/>
              <w:rPr>
                <w:rFonts w:ascii="Arial" w:hAnsi="Arial" w:cs="Arial" w:eastAsia="Arial" w:hint="default"/>
                <w:sz w:val="18"/>
                <w:szCs w:val="18"/>
              </w:rPr>
            </w:pPr>
            <w:r>
              <w:rPr>
                <w:rFonts w:ascii="Arial"/>
                <w:sz w:val="18"/>
              </w:rPr>
              <w:t>525.56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109"/>
              <w:ind w:left="72" w:right="0"/>
              <w:jc w:val="left"/>
              <w:rPr>
                <w:rFonts w:ascii="Arial" w:hAnsi="Arial" w:cs="Arial" w:eastAsia="Arial" w:hint="default"/>
                <w:sz w:val="18"/>
                <w:szCs w:val="18"/>
              </w:rPr>
            </w:pPr>
            <w:r>
              <w:rPr>
                <w:rFonts w:ascii="Arial"/>
                <w:sz w:val="18"/>
              </w:rPr>
              <w:t>174,47</w:t>
            </w:r>
          </w:p>
          <w:p>
            <w:pPr>
              <w:pStyle w:val="TableParagraph"/>
              <w:spacing w:line="240" w:lineRule="auto" w:before="105"/>
              <w:ind w:left="120" w:right="0"/>
              <w:jc w:val="left"/>
              <w:rPr>
                <w:rFonts w:ascii="Arial" w:hAnsi="Arial" w:cs="Arial" w:eastAsia="Arial" w:hint="default"/>
                <w:sz w:val="18"/>
                <w:szCs w:val="18"/>
              </w:rPr>
            </w:pPr>
            <w:r>
              <w:rPr>
                <w:rFonts w:ascii="Arial"/>
                <w:sz w:val="18"/>
              </w:rPr>
              <w:t>9,759.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0"/>
              <w:ind w:left="79" w:right="0"/>
              <w:jc w:val="left"/>
              <w:rPr>
                <w:rFonts w:ascii="Arial" w:hAnsi="Arial" w:cs="Arial" w:eastAsia="Arial" w:hint="default"/>
                <w:sz w:val="18"/>
                <w:szCs w:val="18"/>
              </w:rPr>
            </w:pPr>
            <w:r>
              <w:rPr>
                <w:rFonts w:ascii="Arial"/>
                <w:sz w:val="18"/>
              </w:rPr>
              <w:t>8,418,73</w:t>
            </w:r>
          </w:p>
          <w:p>
            <w:pPr>
              <w:pStyle w:val="TableParagraph"/>
              <w:spacing w:line="240" w:lineRule="auto" w:before="102"/>
              <w:ind w:left="429" w:right="0"/>
              <w:jc w:val="left"/>
              <w:rPr>
                <w:rFonts w:ascii="Arial" w:hAnsi="Arial" w:cs="Arial" w:eastAsia="Arial" w:hint="default"/>
                <w:sz w:val="18"/>
                <w:szCs w:val="18"/>
              </w:rPr>
            </w:pPr>
            <w:r>
              <w:rPr>
                <w:rFonts w:ascii="Arial"/>
                <w:sz w:val="18"/>
              </w:rPr>
              <w:t>2.65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89" w:right="0"/>
              <w:jc w:val="left"/>
              <w:rPr>
                <w:rFonts w:ascii="Arial" w:hAnsi="Arial" w:cs="Arial" w:eastAsia="Arial" w:hint="default"/>
                <w:sz w:val="18"/>
                <w:szCs w:val="18"/>
              </w:rPr>
            </w:pPr>
            <w:r>
              <w:rPr>
                <w:rFonts w:ascii="Arial"/>
                <w:sz w:val="18"/>
              </w:rPr>
              <w:t>4.83%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0"/>
              <w:ind w:left="98" w:right="0"/>
              <w:jc w:val="left"/>
              <w:rPr>
                <w:rFonts w:ascii="Arial" w:hAnsi="Arial" w:cs="Arial" w:eastAsia="Arial" w:hint="default"/>
                <w:sz w:val="18"/>
                <w:szCs w:val="18"/>
              </w:rPr>
            </w:pPr>
            <w:r>
              <w:rPr>
                <w:rFonts w:ascii="Arial"/>
                <w:sz w:val="18"/>
              </w:rPr>
              <w:t>166,061,0</w:t>
            </w:r>
          </w:p>
          <w:p>
            <w:pPr>
              <w:pStyle w:val="TableParagraph"/>
              <w:spacing w:line="240" w:lineRule="auto" w:before="102"/>
              <w:ind w:left="448" w:right="0"/>
              <w:jc w:val="left"/>
              <w:rPr>
                <w:rFonts w:ascii="Arial" w:hAnsi="Arial" w:cs="Arial" w:eastAsia="Arial" w:hint="default"/>
                <w:sz w:val="18"/>
                <w:szCs w:val="18"/>
              </w:rPr>
            </w:pPr>
            <w:r>
              <w:rPr>
                <w:rFonts w:ascii="Arial"/>
                <w:sz w:val="18"/>
              </w:rPr>
              <w:t>26.50</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10"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2"/>
        <w:gridCol w:w="934"/>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2" w:right="0"/>
              <w:jc w:val="left"/>
              <w:rPr>
                <w:rFonts w:ascii="Arial" w:hAnsi="Arial" w:cs="Arial" w:eastAsia="Arial" w:hint="default"/>
                <w:sz w:val="18"/>
                <w:szCs w:val="18"/>
              </w:rPr>
            </w:pPr>
            <w:r>
              <w:rPr>
                <w:rFonts w:ascii="Arial"/>
                <w:sz w:val="18"/>
              </w:rPr>
              <w:t>15</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期末单项金额重大并单项计提坏账准备的其他应收款：</w:t>
      </w:r>
    </w:p>
    <w:p>
      <w:pPr>
        <w:spacing w:line="240" w:lineRule="auto" w:before="6"/>
        <w:rPr>
          <w:rFonts w:ascii="宋体" w:hAnsi="宋体" w:cs="宋体" w:eastAsia="宋体" w:hint="default"/>
          <w:sz w:val="18"/>
          <w:szCs w:val="18"/>
        </w:rPr>
      </w:pPr>
    </w:p>
    <w:p>
      <w:pPr>
        <w:spacing w:line="427" w:lineRule="auto" w:before="0"/>
        <w:ind w:left="152" w:right="4494"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4"/>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宋体" w:hAnsi="宋体" w:cs="宋体" w:eastAsia="宋体" w:hint="default"/>
          <w:sz w:val="21"/>
          <w:szCs w:val="21"/>
        </w:rPr>
        <w:t>不适用</w:t>
      </w:r>
      <w:r>
        <w:rPr>
          <w:rFonts w:ascii="宋体" w:hAnsi="宋体" w:cs="宋体" w:eastAsia="宋体" w:hint="default"/>
          <w:spacing w:val="-99"/>
          <w:sz w:val="21"/>
          <w:szCs w:val="21"/>
        </w:rPr>
        <w:t> </w:t>
      </w:r>
      <w:r>
        <w:rPr>
          <w:rFonts w:ascii="宋体" w:hAnsi="宋体" w:cs="宋体" w:eastAsia="宋体" w:hint="default"/>
          <w:spacing w:val="-2"/>
          <w:sz w:val="21"/>
          <w:szCs w:val="21"/>
        </w:rPr>
        <w:t>组合中，按账龄分析法计提坏账准备的其他应收款：</w:t>
      </w:r>
    </w:p>
    <w:p>
      <w:pPr>
        <w:spacing w:before="77"/>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3"/>
        <w:rPr>
          <w:rFonts w:ascii="宋体" w:hAnsi="宋体" w:cs="宋体" w:eastAsia="宋体" w:hint="default"/>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368"/>
        <w:gridCol w:w="2404"/>
        <w:gridCol w:w="2393"/>
        <w:gridCol w:w="2391"/>
      </w:tblGrid>
      <w:tr>
        <w:trPr>
          <w:trHeight w:val="206"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103,199,616.80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51,734,807.15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2,586,740.36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17,256,597.01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1,725,659.70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4,801,464.40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1,440,439.32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2,365,041.03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1,182,520.52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5,690,438.34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5,690,438.34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185,047,964.73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12,625,798.24</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组合中，采用余额百分比法计提坏账准备的其他应收款：</w:t>
      </w:r>
    </w:p>
    <w:p>
      <w:pPr>
        <w:spacing w:line="240" w:lineRule="auto" w:before="6"/>
        <w:rPr>
          <w:rFonts w:ascii="宋体" w:hAnsi="宋体" w:cs="宋体" w:eastAsia="宋体" w:hint="default"/>
          <w:sz w:val="18"/>
          <w:szCs w:val="18"/>
        </w:rPr>
      </w:pPr>
    </w:p>
    <w:p>
      <w:pPr>
        <w:spacing w:line="427" w:lineRule="auto" w:before="0"/>
        <w:ind w:left="152" w:right="4494"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4"/>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宋体" w:hAnsi="宋体" w:cs="宋体" w:eastAsia="宋体" w:hint="default"/>
          <w:sz w:val="21"/>
          <w:szCs w:val="21"/>
        </w:rPr>
        <w:t>不适用</w:t>
      </w:r>
      <w:r>
        <w:rPr>
          <w:rFonts w:ascii="宋体" w:hAnsi="宋体" w:cs="宋体" w:eastAsia="宋体" w:hint="default"/>
          <w:spacing w:val="-99"/>
          <w:sz w:val="21"/>
          <w:szCs w:val="21"/>
        </w:rPr>
        <w:t> </w:t>
      </w:r>
      <w:r>
        <w:rPr>
          <w:rFonts w:ascii="宋体" w:hAnsi="宋体" w:cs="宋体" w:eastAsia="宋体" w:hint="default"/>
          <w:spacing w:val="-2"/>
          <w:sz w:val="21"/>
          <w:szCs w:val="21"/>
        </w:rPr>
        <w:t>组合中，采用其他方法计提坏账准备的其他应收款：</w:t>
      </w:r>
    </w:p>
    <w:p>
      <w:pPr>
        <w:spacing w:before="77"/>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14"/>
          <w:szCs w:val="14"/>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根据公司信用风险特征组合计提坏账准备的方法，备用金期末余额</w:t>
      </w:r>
      <w:r>
        <w:rPr>
          <w:rFonts w:ascii="Arial" w:hAnsi="Arial" w:cs="Arial" w:eastAsia="Arial" w:hint="default"/>
          <w:sz w:val="21"/>
          <w:szCs w:val="21"/>
        </w:rPr>
        <w:t>28,830,359.07</w:t>
      </w:r>
      <w:r>
        <w:rPr>
          <w:rFonts w:ascii="宋体" w:hAnsi="宋体" w:cs="宋体" w:eastAsia="宋体" w:hint="default"/>
          <w:sz w:val="21"/>
          <w:szCs w:val="21"/>
        </w:rPr>
        <w:t>元，不计提坏账准</w:t>
      </w:r>
    </w:p>
    <w:p>
      <w:pPr>
        <w:spacing w:before="70"/>
        <w:ind w:left="152" w:right="0" w:firstLine="0"/>
        <w:jc w:val="left"/>
        <w:rPr>
          <w:rFonts w:ascii="宋体" w:hAnsi="宋体" w:cs="宋体" w:eastAsia="宋体" w:hint="default"/>
          <w:sz w:val="21"/>
          <w:szCs w:val="21"/>
        </w:rPr>
      </w:pPr>
      <w:r>
        <w:rPr>
          <w:rFonts w:ascii="宋体" w:hAnsi="宋体" w:cs="宋体" w:eastAsia="宋体" w:hint="default"/>
          <w:sz w:val="21"/>
          <w:szCs w:val="21"/>
        </w:rPr>
        <w:t>备。</w:t>
      </w:r>
    </w:p>
    <w:p>
      <w:pPr>
        <w:spacing w:line="240" w:lineRule="auto" w:before="6"/>
        <w:rPr>
          <w:rFonts w:ascii="宋体" w:hAnsi="宋体" w:cs="宋体" w:eastAsia="宋体" w:hint="default"/>
          <w:sz w:val="22"/>
          <w:szCs w:val="22"/>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Arial" w:hAnsi="Arial" w:cs="Arial" w:eastAsia="Arial" w:hint="default"/>
          <w:sz w:val="21"/>
          <w:szCs w:val="21"/>
        </w:rPr>
        <w:t>3,742,959.14</w:t>
      </w:r>
      <w:r>
        <w:rPr>
          <w:rFonts w:ascii="宋体" w:hAnsi="宋体" w:cs="宋体" w:eastAsia="宋体" w:hint="default"/>
          <w:sz w:val="21"/>
          <w:szCs w:val="21"/>
        </w:rPr>
        <w:t>元；本期收回或转回坏账准备金额</w:t>
      </w:r>
      <w:r>
        <w:rPr>
          <w:rFonts w:ascii="Arial" w:hAnsi="Arial" w:cs="Arial" w:eastAsia="Arial" w:hint="default"/>
          <w:sz w:val="21"/>
          <w:szCs w:val="21"/>
        </w:rPr>
        <w:t>0.00</w:t>
      </w:r>
      <w:r>
        <w:rPr>
          <w:rFonts w:ascii="宋体" w:hAnsi="宋体" w:cs="宋体" w:eastAsia="宋体" w:hint="default"/>
          <w:sz w:val="21"/>
          <w:szCs w:val="21"/>
        </w:rPr>
        <w:t>元。</w:t>
      </w:r>
    </w:p>
    <w:p>
      <w:pPr>
        <w:spacing w:line="240" w:lineRule="auto" w:before="13"/>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）其他应收款按款项性质分类情况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136,218,321.89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98,012,024.25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26,981,511.56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27,212,599.24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28,830,359.07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34,872,226.52</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4,060,338.51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589,568.40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38,891.30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1,525,602.15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股权收购补偿款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12,748,901.47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6,267,738.59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213,878,323.80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174,479,759.15</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）按欠款方归集的期末余额前五名的其他应收款情况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410"/>
        <w:gridCol w:w="1133"/>
        <w:gridCol w:w="1560"/>
        <w:gridCol w:w="1702"/>
        <w:gridCol w:w="1561"/>
        <w:gridCol w:w="1202"/>
      </w:tblGrid>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7" w:right="53"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71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青海省高级人民法院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6" w:right="0"/>
              <w:jc w:val="left"/>
              <w:rPr>
                <w:rFonts w:ascii="Arial" w:hAnsi="Arial" w:cs="Arial" w:eastAsia="Arial" w:hint="default"/>
                <w:sz w:val="18"/>
                <w:szCs w:val="18"/>
              </w:rPr>
            </w:pPr>
            <w:r>
              <w:rPr>
                <w:rFonts w:ascii="Arial"/>
                <w:sz w:val="18"/>
              </w:rPr>
              <w:t>12,595,239.00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Arial" w:hAnsi="Arial" w:cs="Arial" w:eastAsia="Arial"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r>
              <w:rPr>
                <w:rFonts w:ascii="Arial" w:hAnsi="Arial" w:cs="Arial" w:eastAsia="Arial" w:hint="default"/>
                <w:sz w:val="18"/>
                <w:szCs w:val="18"/>
              </w:rPr>
              <w:t>/2</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w w:val="95"/>
                <w:sz w:val="18"/>
              </w:rPr>
              <w:t>5.89%</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512,420.60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云南省司法厅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91" w:right="0"/>
              <w:jc w:val="left"/>
              <w:rPr>
                <w:rFonts w:ascii="Arial" w:hAnsi="Arial" w:cs="Arial" w:eastAsia="Arial" w:hint="default"/>
                <w:sz w:val="18"/>
                <w:szCs w:val="18"/>
              </w:rPr>
            </w:pPr>
            <w:r>
              <w:rPr>
                <w:rFonts w:ascii="Arial"/>
                <w:sz w:val="18"/>
              </w:rPr>
              <w:t>11,855,500.00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5.54%</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288,800.00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上海市第二中级人民法院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Arial" w:hAnsi="Arial" w:cs="Arial" w:eastAsia="Arial" w:hint="default"/>
                <w:sz w:val="18"/>
                <w:szCs w:val="18"/>
              </w:rPr>
            </w:pPr>
            <w:r>
              <w:rPr>
                <w:rFonts w:ascii="Arial"/>
                <w:sz w:val="18"/>
              </w:rPr>
              <w:t>5,597,131.00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w w:val="95"/>
                <w:sz w:val="18"/>
              </w:rPr>
              <w:t>2.62%</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内蒙古自治区高级人民法院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77" w:right="0"/>
              <w:jc w:val="left"/>
              <w:rPr>
                <w:rFonts w:ascii="Arial" w:hAnsi="Arial" w:cs="Arial" w:eastAsia="Arial" w:hint="default"/>
                <w:sz w:val="18"/>
                <w:szCs w:val="18"/>
              </w:rPr>
            </w:pPr>
            <w:r>
              <w:rPr>
                <w:rFonts w:ascii="Arial"/>
                <w:sz w:val="18"/>
              </w:rPr>
              <w:t>5,327,700.00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2.49%</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266,385.00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北京市工商行政管理局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Arial" w:hAnsi="Arial" w:cs="Arial" w:eastAsia="Arial" w:hint="default"/>
                <w:sz w:val="18"/>
                <w:szCs w:val="18"/>
              </w:rPr>
            </w:pPr>
            <w:r>
              <w:rPr>
                <w:rFonts w:ascii="Arial"/>
                <w:sz w:val="18"/>
              </w:rPr>
              <w:t>5,293,800.00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w w:val="95"/>
                <w:sz w:val="18"/>
              </w:rPr>
              <w:t>2.48%</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92,430.00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560"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0"/>
              <w:ind w:left="369" w:right="0"/>
              <w:jc w:val="left"/>
              <w:rPr>
                <w:rFonts w:ascii="Arial" w:hAnsi="Arial" w:cs="Arial" w:eastAsia="Arial" w:hint="default"/>
                <w:sz w:val="18"/>
                <w:szCs w:val="18"/>
              </w:rPr>
            </w:pPr>
            <w:r>
              <w:rPr>
                <w:rFonts w:ascii="Arial"/>
                <w:sz w:val="18"/>
              </w:rPr>
              <w:t>40,669,370.00</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1,160,035.60</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）涉及政府补助的应收款项</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552"/>
        <w:gridCol w:w="1702"/>
        <w:gridCol w:w="1558"/>
        <w:gridCol w:w="1135"/>
        <w:gridCol w:w="2624"/>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大连市甘井子区国家税务局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846,792.90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已全部收回</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上海市浦东新区税务局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1,274,385.40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已全部收回</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广州市天河区国家税务局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1,939,160.21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7"/>
                <w:sz w:val="18"/>
                <w:szCs w:val="18"/>
              </w:rPr>
              <w:t> </w:t>
            </w: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年二季度收回</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15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4,060,338.51</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70"/>
        <w:gridCol w:w="1607"/>
        <w:gridCol w:w="994"/>
        <w:gridCol w:w="1500"/>
        <w:gridCol w:w="1618"/>
        <w:gridCol w:w="850"/>
        <w:gridCol w:w="1635"/>
      </w:tblGrid>
      <w:tr>
        <w:trPr>
          <w:trHeight w:val="206" w:hRule="exact"/>
        </w:trPr>
        <w:tc>
          <w:tcPr>
            <w:tcW w:w="1370"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1"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70" w:type="dxa"/>
            <w:vMerge/>
            <w:tcBorders>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500" w:type="dxa"/>
            <w:vMerge/>
            <w:tcBorders>
              <w:left w:val="single" w:sz="4" w:space="0" w:color="000000"/>
              <w:bottom w:val="single" w:sz="4" w:space="0" w:color="000000"/>
              <w:right w:val="single" w:sz="4" w:space="0" w:color="000000"/>
            </w:tcBorders>
            <w:shd w:val="clear" w:color="auto" w:fill="D2D2D2"/>
          </w:tcPr>
          <w:p>
            <w:pPr/>
          </w:p>
        </w:tc>
        <w:tc>
          <w:tcPr>
            <w:tcW w:w="16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63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192,116.83</w:t>
            </w:r>
          </w:p>
        </w:tc>
        <w:tc>
          <w:tcPr>
            <w:tcW w:w="99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192,116.83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140,754.76</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140,754.76</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112,430,430.79</w:t>
            </w:r>
          </w:p>
        </w:tc>
        <w:tc>
          <w:tcPr>
            <w:tcW w:w="99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112,430,430.79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68,255,182.62</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68,255,182.62</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29,857,387.29</w:t>
            </w:r>
          </w:p>
        </w:tc>
        <w:tc>
          <w:tcPr>
            <w:tcW w:w="99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29,857,387.29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54,788,637.01</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54,788,637.01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373,531,347.44</w:t>
            </w:r>
          </w:p>
        </w:tc>
        <w:tc>
          <w:tcPr>
            <w:tcW w:w="99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373,531,347.44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311,704,693.65</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311,704,693.65</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68"/>
        <w:gridCol w:w="1609"/>
        <w:gridCol w:w="994"/>
        <w:gridCol w:w="1500"/>
        <w:gridCol w:w="1618"/>
        <w:gridCol w:w="850"/>
        <w:gridCol w:w="1635"/>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8" w:right="0"/>
              <w:jc w:val="left"/>
              <w:rPr>
                <w:rFonts w:ascii="Arial" w:hAnsi="Arial" w:cs="Arial" w:eastAsia="Arial" w:hint="default"/>
                <w:sz w:val="18"/>
                <w:szCs w:val="18"/>
              </w:rPr>
            </w:pPr>
            <w:r>
              <w:rPr>
                <w:rFonts w:ascii="Arial"/>
                <w:sz w:val="18"/>
              </w:rPr>
              <w:t>516,011,282.35</w:t>
            </w:r>
          </w:p>
        </w:tc>
        <w:tc>
          <w:tcPr>
            <w:tcW w:w="99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0" w:right="0"/>
              <w:jc w:val="left"/>
              <w:rPr>
                <w:rFonts w:ascii="Arial" w:hAnsi="Arial" w:cs="Arial" w:eastAsia="Arial" w:hint="default"/>
                <w:sz w:val="18"/>
                <w:szCs w:val="18"/>
              </w:rPr>
            </w:pPr>
            <w:r>
              <w:rPr>
                <w:rFonts w:ascii="Arial"/>
                <w:sz w:val="18"/>
              </w:rPr>
              <w:t>516,011,282.35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5" w:right="0"/>
              <w:jc w:val="left"/>
              <w:rPr>
                <w:rFonts w:ascii="Arial" w:hAnsi="Arial" w:cs="Arial" w:eastAsia="Arial" w:hint="default"/>
                <w:sz w:val="18"/>
                <w:szCs w:val="18"/>
              </w:rPr>
            </w:pPr>
            <w:r>
              <w:rPr>
                <w:rFonts w:ascii="Arial"/>
                <w:sz w:val="18"/>
              </w:rPr>
              <w:t>434,889,268.04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0" w:right="0"/>
              <w:jc w:val="left"/>
              <w:rPr>
                <w:rFonts w:ascii="Arial" w:hAnsi="Arial" w:cs="Arial" w:eastAsia="Arial" w:hint="default"/>
                <w:sz w:val="18"/>
                <w:szCs w:val="18"/>
              </w:rPr>
            </w:pPr>
            <w:r>
              <w:rPr>
                <w:rFonts w:ascii="Arial"/>
                <w:sz w:val="18"/>
              </w:rPr>
              <w:t>434,889,268.04</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、其他流动资产</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进项税额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2,295,370.86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684,738.44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预付租赁费及物业费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2,208,896.10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1,330,555.24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2,295,370.86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4,224,189.78</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9</w:t>
      </w:r>
      <w:r>
        <w:rPr>
          <w:rFonts w:ascii="Microsoft JhengHei" w:hAnsi="Microsoft JhengHei" w:cs="Microsoft JhengHei" w:eastAsia="Microsoft JhengHei" w:hint="default"/>
          <w:b/>
          <w:bCs/>
          <w:sz w:val="21"/>
          <w:szCs w:val="21"/>
        </w:rPr>
        <w:t>、可供出售金融资产</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）可供出售金融资产情况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988"/>
        <w:gridCol w:w="1544"/>
        <w:gridCol w:w="1135"/>
        <w:gridCol w:w="1560"/>
        <w:gridCol w:w="1133"/>
        <w:gridCol w:w="1136"/>
        <w:gridCol w:w="1063"/>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3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239" w:type="dxa"/>
            <w:gridSpan w:val="3"/>
            <w:vMerge/>
            <w:tcBorders>
              <w:left w:val="single" w:sz="4" w:space="0" w:color="000000"/>
              <w:bottom w:val="single" w:sz="4" w:space="0" w:color="000000"/>
              <w:right w:val="single" w:sz="4" w:space="0" w:color="000000"/>
            </w:tcBorders>
            <w:shd w:val="clear" w:color="auto" w:fill="D2D2D2"/>
          </w:tcPr>
          <w:p>
            <w:pPr/>
          </w:p>
        </w:tc>
        <w:tc>
          <w:tcPr>
            <w:tcW w:w="333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5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4"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5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）期末按成本计量的可供出售金融资产</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835"/>
        <w:gridCol w:w="566"/>
        <w:gridCol w:w="1277"/>
        <w:gridCol w:w="425"/>
        <w:gridCol w:w="1277"/>
        <w:gridCol w:w="425"/>
        <w:gridCol w:w="425"/>
        <w:gridCol w:w="425"/>
        <w:gridCol w:w="425"/>
        <w:gridCol w:w="852"/>
        <w:gridCol w:w="631"/>
      </w:tblGrid>
      <w:tr>
        <w:trPr>
          <w:trHeight w:val="403"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35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2" w:right="5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3"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52" w:type="dxa"/>
            <w:vMerge/>
            <w:tcBorders>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中国司法大数据研究院有限公司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9" w:right="0"/>
              <w:jc w:val="left"/>
              <w:rPr>
                <w:rFonts w:ascii="Arial" w:hAnsi="Arial" w:cs="Arial" w:eastAsia="Arial" w:hint="default"/>
                <w:sz w:val="18"/>
                <w:szCs w:val="18"/>
              </w:rPr>
            </w:pPr>
            <w:r>
              <w:rPr>
                <w:rFonts w:ascii="Arial"/>
                <w:sz w:val="18"/>
              </w:rPr>
              <w:t>5.00%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北京华宇科创产业投资中心（有限 合伙）</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62" w:right="0"/>
              <w:jc w:val="left"/>
              <w:rPr>
                <w:rFonts w:ascii="Arial" w:hAnsi="Arial" w:cs="Arial" w:eastAsia="Arial" w:hint="default"/>
                <w:sz w:val="18"/>
                <w:szCs w:val="18"/>
              </w:rPr>
            </w:pPr>
            <w:r>
              <w:rPr>
                <w:rFonts w:ascii="Arial"/>
                <w:sz w:val="18"/>
              </w:rPr>
              <w:t>--</w:t>
            </w:r>
          </w:p>
        </w:tc>
        <w:tc>
          <w:tcPr>
            <w:tcW w:w="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6"/>
        <w:rPr>
          <w:rFonts w:ascii="宋体" w:hAnsi="宋体" w:cs="宋体" w:eastAsia="宋体" w:hint="default"/>
          <w:sz w:val="18"/>
          <w:szCs w:val="18"/>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①中国司法大数据研究院有限公司（原名：天平司法大数据有限公司）属非公众公司，公允价值无</w:t>
      </w:r>
      <w:r>
        <w:rPr>
          <w:rFonts w:ascii="宋体" w:hAnsi="宋体" w:cs="宋体" w:eastAsia="宋体" w:hint="default"/>
          <w:w w:val="100"/>
          <w:sz w:val="21"/>
          <w:szCs w:val="21"/>
        </w:rPr>
        <w:t> </w:t>
      </w:r>
      <w:r>
        <w:rPr>
          <w:rFonts w:ascii="宋体" w:hAnsi="宋体" w:cs="宋体" w:eastAsia="宋体" w:hint="default"/>
          <w:sz w:val="21"/>
          <w:szCs w:val="21"/>
        </w:rPr>
        <w:t>法可靠计量；公司无处置其股权的意图。</w:t>
      </w:r>
    </w:p>
    <w:p>
      <w:pPr>
        <w:spacing w:line="314"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②北京华宇科创产业投资中心（有限合伙）属于合伙企业，本公司属于有限合伙人，不参与公司经</w:t>
      </w:r>
      <w:r>
        <w:rPr>
          <w:rFonts w:ascii="宋体" w:hAnsi="宋体" w:cs="宋体" w:eastAsia="宋体" w:hint="default"/>
          <w:w w:val="100"/>
          <w:sz w:val="21"/>
          <w:szCs w:val="21"/>
        </w:rPr>
        <w:t> </w:t>
      </w:r>
      <w:r>
        <w:rPr>
          <w:rFonts w:ascii="宋体" w:hAnsi="宋体" w:cs="宋体" w:eastAsia="宋体" w:hint="default"/>
          <w:spacing w:val="-2"/>
          <w:sz w:val="21"/>
          <w:szCs w:val="21"/>
        </w:rPr>
        <w:t>营，故作为可供出售金融资产核算；同时其属非公众公司，公允价值无法可靠计量；公司无处置其股权</w:t>
      </w:r>
    </w:p>
    <w:p>
      <w:pPr>
        <w:spacing w:after="0" w:line="314"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的意图。实际利润分配比例按合伙协议确定。</w:t>
      </w:r>
    </w:p>
    <w:p>
      <w:pPr>
        <w:spacing w:line="240" w:lineRule="auto" w:before="2"/>
        <w:rPr>
          <w:rFonts w:ascii="宋体" w:hAnsi="宋体" w:cs="宋体" w:eastAsia="宋体" w:hint="default"/>
          <w:sz w:val="20"/>
          <w:szCs w:val="20"/>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10</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75"/>
        <w:gridCol w:w="1277"/>
        <w:gridCol w:w="425"/>
        <w:gridCol w:w="425"/>
        <w:gridCol w:w="994"/>
        <w:gridCol w:w="708"/>
        <w:gridCol w:w="1136"/>
        <w:gridCol w:w="850"/>
        <w:gridCol w:w="425"/>
        <w:gridCol w:w="286"/>
        <w:gridCol w:w="1275"/>
        <w:gridCol w:w="499"/>
      </w:tblGrid>
      <w:tr>
        <w:trPr>
          <w:trHeight w:val="403" w:hRule="exact"/>
        </w:trPr>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4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4" w:right="6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5"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3" w:right="111" w:hanging="361"/>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8"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275"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深圳市捷视飞 通科技股份有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37,149,103.35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 w:right="0"/>
              <w:jc w:val="center"/>
              <w:rPr>
                <w:rFonts w:ascii="Arial" w:hAnsi="Arial" w:cs="Arial" w:eastAsia="Arial" w:hint="default"/>
                <w:sz w:val="18"/>
                <w:szCs w:val="18"/>
              </w:rPr>
            </w:pPr>
            <w:r>
              <w:rPr>
                <w:rFonts w:ascii="Arial"/>
                <w:sz w:val="18"/>
              </w:rPr>
              <w:t>877,182.63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center"/>
              <w:rPr>
                <w:rFonts w:ascii="Arial" w:hAnsi="Arial" w:cs="Arial" w:eastAsia="Arial" w:hint="default"/>
                <w:sz w:val="18"/>
                <w:szCs w:val="18"/>
              </w:rPr>
            </w:pPr>
            <w:r>
              <w:rPr>
                <w:rFonts w:ascii="Arial"/>
                <w:sz w:val="18"/>
              </w:rPr>
              <w:t>6,127,300.63</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44,153,586.61</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37,149,103.35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center"/>
              <w:rPr>
                <w:rFonts w:ascii="Arial" w:hAnsi="Arial" w:cs="Arial" w:eastAsia="Arial" w:hint="default"/>
                <w:sz w:val="18"/>
                <w:szCs w:val="18"/>
              </w:rPr>
            </w:pPr>
            <w:r>
              <w:rPr>
                <w:rFonts w:ascii="Arial"/>
                <w:sz w:val="18"/>
              </w:rPr>
              <w:t>877,182.63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 w:right="0"/>
              <w:jc w:val="center"/>
              <w:rPr>
                <w:rFonts w:ascii="Arial" w:hAnsi="Arial" w:cs="Arial" w:eastAsia="Arial" w:hint="default"/>
                <w:sz w:val="18"/>
                <w:szCs w:val="18"/>
              </w:rPr>
            </w:pPr>
            <w:r>
              <w:rPr>
                <w:rFonts w:ascii="Arial"/>
                <w:sz w:val="18"/>
              </w:rPr>
              <w:t>6,127,300.63</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44,153,586.61</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37,149,103.35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center"/>
              <w:rPr>
                <w:rFonts w:ascii="Arial" w:hAnsi="Arial" w:cs="Arial" w:eastAsia="Arial" w:hint="default"/>
                <w:sz w:val="18"/>
                <w:szCs w:val="18"/>
              </w:rPr>
            </w:pPr>
            <w:r>
              <w:rPr>
                <w:rFonts w:ascii="Arial"/>
                <w:sz w:val="18"/>
              </w:rPr>
              <w:t>877,182.63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 w:right="0"/>
              <w:jc w:val="center"/>
              <w:rPr>
                <w:rFonts w:ascii="Arial" w:hAnsi="Arial" w:cs="Arial" w:eastAsia="Arial" w:hint="default"/>
                <w:sz w:val="18"/>
                <w:szCs w:val="18"/>
              </w:rPr>
            </w:pPr>
            <w:r>
              <w:rPr>
                <w:rFonts w:ascii="Arial"/>
                <w:sz w:val="18"/>
              </w:rPr>
              <w:t>6,127,300.63</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44,153,586.61</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6"/>
        <w:rPr>
          <w:rFonts w:ascii="宋体" w:hAnsi="宋体" w:cs="宋体" w:eastAsia="宋体" w:hint="default"/>
          <w:sz w:val="18"/>
          <w:szCs w:val="18"/>
        </w:rPr>
      </w:pPr>
    </w:p>
    <w:p>
      <w:pPr>
        <w:spacing w:line="30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公司拥有捷视飞通</w:t>
      </w:r>
      <w:r>
        <w:rPr>
          <w:rFonts w:ascii="Arial" w:hAnsi="Arial" w:cs="Arial" w:eastAsia="Arial" w:hint="default"/>
          <w:spacing w:val="-2"/>
          <w:sz w:val="21"/>
          <w:szCs w:val="21"/>
        </w:rPr>
        <w:t>14.3535%</w:t>
      </w:r>
      <w:r>
        <w:rPr>
          <w:rFonts w:ascii="宋体" w:hAnsi="宋体" w:cs="宋体" w:eastAsia="宋体" w:hint="default"/>
          <w:spacing w:val="-2"/>
          <w:sz w:val="21"/>
          <w:szCs w:val="21"/>
        </w:rPr>
        <w:t>的表决权资本，为捷视飞通第二大股东，并在捷视飞通公司的董事会派</w:t>
      </w:r>
      <w:r>
        <w:rPr>
          <w:rFonts w:ascii="宋体" w:hAnsi="宋体" w:cs="宋体" w:eastAsia="宋体" w:hint="default"/>
          <w:w w:val="100"/>
          <w:sz w:val="21"/>
          <w:szCs w:val="21"/>
        </w:rPr>
        <w:t> </w:t>
      </w:r>
      <w:r>
        <w:rPr>
          <w:rFonts w:ascii="宋体" w:hAnsi="宋体" w:cs="宋体" w:eastAsia="宋体" w:hint="default"/>
          <w:sz w:val="21"/>
          <w:szCs w:val="21"/>
        </w:rPr>
        <w:t>驻董事，可以参与捷视飞通公司的政策制定过程，从而能够对被投资单位施加重大影响。本年其他权益</w:t>
      </w:r>
      <w:r>
        <w:rPr>
          <w:rFonts w:ascii="宋体" w:hAnsi="宋体" w:cs="宋体" w:eastAsia="宋体" w:hint="default"/>
          <w:w w:val="100"/>
          <w:sz w:val="21"/>
          <w:szCs w:val="21"/>
        </w:rPr>
        <w:t> </w:t>
      </w:r>
      <w:r>
        <w:rPr>
          <w:rFonts w:ascii="宋体" w:hAnsi="宋体" w:cs="宋体" w:eastAsia="宋体" w:hint="default"/>
          <w:sz w:val="21"/>
          <w:szCs w:val="21"/>
        </w:rPr>
        <w:t>变动为捷视飞通公司新增股东投资溢价导致公司所持股份对应的权益变化所致。</w:t>
      </w:r>
    </w:p>
    <w:p>
      <w:pPr>
        <w:spacing w:line="240" w:lineRule="auto" w:before="8"/>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11</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）固定资产情况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6"/>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175,675,544.37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57,529,064.19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15,906,948.29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15,055,702.44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264,167,259.29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
              <w:jc w:val="righ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36,856,484.97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18,169,108.77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2,402,828.74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18,506,949.53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75,935,372.01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580,405.52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17,860,834.29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1,016,042.74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2,512,877.00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21,970,159.55</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4" w:right="19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36,276,079.45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308,274.48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1,386,786.00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15,994,072.53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53,965,212.46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
              <w:jc w:val="righ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2,408,396.95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521,272.88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4,115,873.34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7,045,543.17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2,408,396.95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521,272.88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2"/>
                <w:sz w:val="18"/>
              </w:rPr>
              <w:t>4,115,873.34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7,045,543.17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212,532,029.34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73,289,776.01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17,788,504.15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29,446,778.63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333,057,088.13</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6"/>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10,272,284.48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20,191,910.90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7,241,497.02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6,839,851.94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44,545,544.34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
              <w:jc w:val="righ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7,530,981.80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11,971,758.42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2,971,396.19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13,219,589.11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35,693,725.52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4,173,777.26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11,821,724.68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2,155,314.59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3,380,652.00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21,531,468.53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49"/>
              <w:ind w:left="24" w:right="19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3,357,204.54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150,033.74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816,081.60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2"/>
                <w:sz w:val="18"/>
              </w:rPr>
              <w:t>9,838,937.11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14,162,256.99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6"/>
              <w:jc w:val="righ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2,215,984.14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433,447.26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3,916,652.54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6,566,083.94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2,215,984.14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433,447.26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3,916,652.54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6,566,083.94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17,803,266.28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29,947,685.18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9,779,445.95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16,142,788.51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73,673,185.92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
              <w:jc w:val="righ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194,728,763.06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43,342,090.83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8,009,058.20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13,303,990.12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259,383,902.21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6"/>
              <w:jc w:val="right"/>
              <w:rPr>
                <w:rFonts w:ascii="宋体" w:hAnsi="宋体" w:cs="宋体" w:eastAsia="宋体" w:hint="default"/>
                <w:sz w:val="18"/>
                <w:szCs w:val="18"/>
              </w:rPr>
            </w:pPr>
            <w:r>
              <w:rPr>
                <w:rFonts w:ascii="Arial" w:hAnsi="Arial" w:cs="Arial" w:eastAsia="Arial" w:hint="default"/>
                <w:spacing w:val="-1"/>
                <w:sz w:val="18"/>
                <w:szCs w:val="18"/>
              </w:rPr>
              <w:t>2.</w:t>
            </w:r>
            <w:r>
              <w:rPr>
                <w:rFonts w:ascii="宋体" w:hAnsi="宋体" w:cs="宋体" w:eastAsia="宋体" w:hint="default"/>
                <w:spacing w:val="-1"/>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165,403,259.89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37,337,153.29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8,665,451.27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8,215,850.50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219,621,714.95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52" w:right="140" w:firstLine="360"/>
        <w:jc w:val="left"/>
        <w:rPr>
          <w:rFonts w:ascii="宋体" w:hAnsi="宋体" w:cs="宋体" w:eastAsia="宋体" w:hint="default"/>
          <w:sz w:val="18"/>
          <w:szCs w:val="18"/>
        </w:rPr>
      </w:pPr>
      <w:r>
        <w:rPr>
          <w:rFonts w:ascii="宋体" w:hAnsi="宋体" w:cs="宋体" w:eastAsia="宋体" w:hint="default"/>
          <w:sz w:val="18"/>
          <w:szCs w:val="18"/>
        </w:rPr>
        <w:t>期末存在借款抵押的房屋及建筑物净额为 </w:t>
      </w:r>
      <w:r>
        <w:rPr>
          <w:rFonts w:ascii="Times New Roman" w:hAnsi="Times New Roman" w:cs="Times New Roman" w:eastAsia="Times New Roman" w:hint="default"/>
          <w:sz w:val="18"/>
          <w:szCs w:val="18"/>
        </w:rPr>
        <w:t>32,340,707.26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元；无暂时闲置的固定资产情况；无通过融资租赁租入的固定 资产情况和通过经营租赁租出的固定资产。</w:t>
      </w:r>
    </w:p>
    <w:p>
      <w:pPr>
        <w:spacing w:line="240" w:lineRule="auto" w:before="8"/>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）未办妥产权证书的固定资产情况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22" w:right="0"/>
              <w:jc w:val="left"/>
              <w:rPr>
                <w:rFonts w:ascii="Arial" w:hAnsi="Arial" w:cs="Arial" w:eastAsia="Arial" w:hint="default"/>
                <w:sz w:val="18"/>
                <w:szCs w:val="18"/>
              </w:rPr>
            </w:pPr>
            <w:r>
              <w:rPr>
                <w:rFonts w:ascii="Arial"/>
                <w:sz w:val="18"/>
              </w:rPr>
              <w:t>114,770,620.85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12</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办公场所装修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932,397.50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932,397.50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932,397.50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932,397.50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13</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）无形资产情况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410"/>
        <w:gridCol w:w="1420"/>
        <w:gridCol w:w="1274"/>
        <w:gridCol w:w="1288"/>
        <w:gridCol w:w="1558"/>
        <w:gridCol w:w="1605"/>
      </w:tblGrid>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88"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58"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软件</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410"/>
        <w:gridCol w:w="1419"/>
        <w:gridCol w:w="1274"/>
        <w:gridCol w:w="1277"/>
        <w:gridCol w:w="1558"/>
        <w:gridCol w:w="1628"/>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14,880,800.00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6,800,000.00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352,586,505.94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374,267,305.94</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79,477,199.52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85,477,199.52</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2,400,717.77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2,400,717.77</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）内部研发</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33,879,528.43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33,879,528.43</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3</w:t>
            </w:r>
            <w:r>
              <w:rPr>
                <w:rFonts w:ascii="宋体" w:hAnsi="宋体" w:cs="宋体" w:eastAsia="宋体" w:hint="default"/>
                <w:w w:val="95"/>
                <w:sz w:val="18"/>
                <w:szCs w:val="18"/>
              </w:rPr>
              <w:t>）企业合并增加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43,196,953.32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43,196,953.32</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4</w:t>
            </w:r>
            <w:r>
              <w:rPr>
                <w:rFonts w:ascii="宋体" w:hAnsi="宋体" w:cs="宋体" w:eastAsia="宋体" w:hint="default"/>
                <w:sz w:val="18"/>
                <w:szCs w:val="18"/>
              </w:rPr>
              <w:t>）其他增加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6,000,000.00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1,755,611.76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1,755,611.76</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1,755,611.76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1,755,611.76</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14,880,800.00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6,800,000.00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6,000,000.00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430,308,093.70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457,988,893.70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1,140,861.18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706,493.44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165,190,915.69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167,038,270.31</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297,615.96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529,870.08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87,255,794.03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88,383,280.07</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297,615.96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529,870.08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80,799,635.22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81,927,121.26</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2</w:t>
            </w:r>
            <w:r>
              <w:rPr>
                <w:rFonts w:ascii="宋体" w:hAnsi="宋体" w:cs="宋体" w:eastAsia="宋体" w:hint="default"/>
                <w:w w:val="95"/>
                <w:sz w:val="18"/>
                <w:szCs w:val="18"/>
              </w:rPr>
              <w:t>）企业合并增加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6,456,158.81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6,456,158.81</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1,755,611.76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1,755,611.76</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1,755,611.76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1,755,611.76</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1,438,477.14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1,236,363.52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250,691,097.96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253,665,938.62</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13,442,322.86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5,563,636.48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5,700,000.00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179,616,995.74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204,322,955.08</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期初账面价值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13,739,938.82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6,093,506.56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187,395,590.25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207,229,035.63</w:t>
            </w:r>
          </w:p>
        </w:tc>
      </w:tr>
    </w:tbl>
    <w:p>
      <w:pPr>
        <w:spacing w:line="240" w:lineRule="auto" w:before="5"/>
        <w:rPr>
          <w:rFonts w:ascii="宋体" w:hAnsi="宋体" w:cs="宋体" w:eastAsia="宋体" w:hint="default"/>
          <w:sz w:val="12"/>
          <w:szCs w:val="12"/>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本期末通过公司内部研发形成的无形资产占无形资产余额的比例</w:t>
      </w:r>
      <w:r>
        <w:rPr>
          <w:rFonts w:ascii="Arial" w:hAnsi="Arial" w:cs="Arial" w:eastAsia="Arial" w:hint="default"/>
          <w:sz w:val="21"/>
          <w:szCs w:val="21"/>
        </w:rPr>
        <w:t>77.12%</w:t>
      </w:r>
      <w:r>
        <w:rPr>
          <w:rFonts w:ascii="宋体" w:hAnsi="宋体" w:cs="宋体" w:eastAsia="宋体" w:hint="default"/>
          <w:sz w:val="21"/>
          <w:szCs w:val="21"/>
        </w:rPr>
        <w:t>。</w:t>
      </w:r>
    </w:p>
    <w:p>
      <w:pPr>
        <w:spacing w:line="240" w:lineRule="auto" w:before="13"/>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14</w:t>
      </w:r>
      <w:r>
        <w:rPr>
          <w:rFonts w:ascii="Microsoft JhengHei" w:hAnsi="Microsoft JhengHei" w:cs="Microsoft JhengHei" w:eastAsia="Microsoft JhengHei" w:hint="default"/>
          <w:b/>
          <w:bCs/>
          <w:sz w:val="21"/>
          <w:szCs w:val="21"/>
        </w:rPr>
        <w:t>、开发支出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08"/>
        <w:gridCol w:w="1288"/>
        <w:gridCol w:w="1416"/>
        <w:gridCol w:w="427"/>
        <w:gridCol w:w="1274"/>
        <w:gridCol w:w="711"/>
        <w:gridCol w:w="1416"/>
      </w:tblGrid>
      <w:tr>
        <w:trPr>
          <w:trHeight w:val="402" w:hRule="exact"/>
        </w:trPr>
        <w:tc>
          <w:tcPr>
            <w:tcW w:w="31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3108"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42" w:right="89" w:hanging="449"/>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80"/>
              <w:jc w:val="left"/>
              <w:rPr>
                <w:rFonts w:ascii="宋体" w:hAnsi="宋体" w:cs="宋体" w:eastAsia="宋体" w:hint="default"/>
                <w:sz w:val="18"/>
                <w:szCs w:val="18"/>
              </w:rPr>
            </w:pPr>
            <w:r>
              <w:rPr>
                <w:rFonts w:ascii="宋体" w:hAnsi="宋体" w:cs="宋体" w:eastAsia="宋体" w:hint="default"/>
                <w:sz w:val="18"/>
                <w:szCs w:val="18"/>
              </w:rPr>
              <w:t>转入当 期损益</w:t>
            </w: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1.scrumBI</w:t>
            </w:r>
            <w:r>
              <w:rPr>
                <w:rFonts w:ascii="Arial" w:hAnsi="Arial" w:cs="Arial" w:eastAsia="Arial" w:hint="default"/>
                <w:spacing w:val="-6"/>
                <w:sz w:val="18"/>
                <w:szCs w:val="18"/>
              </w:rPr>
              <w:t> </w:t>
            </w:r>
            <w:r>
              <w:rPr>
                <w:rFonts w:ascii="宋体" w:hAnsi="宋体" w:cs="宋体" w:eastAsia="宋体" w:hint="default"/>
                <w:sz w:val="18"/>
                <w:szCs w:val="18"/>
              </w:rPr>
              <w:t>敏捷商务智能平台</w:t>
            </w:r>
          </w:p>
        </w:tc>
        <w:tc>
          <w:tcPr>
            <w:tcW w:w="1288"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6,839,425.93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4,100,244.20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10,939,670.13</w:t>
            </w:r>
          </w:p>
        </w:tc>
      </w:tr>
      <w:tr>
        <w:trPr>
          <w:trHeight w:val="713"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49"/>
              <w:ind w:left="24" w:right="4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食品安全信息互认体系建设与多指标</w:t>
            </w:r>
            <w:r>
              <w:rPr>
                <w:rFonts w:ascii="宋体" w:hAnsi="宋体" w:cs="宋体" w:eastAsia="宋体" w:hint="default"/>
                <w:w w:val="100"/>
                <w:sz w:val="18"/>
                <w:szCs w:val="18"/>
              </w:rPr>
              <w:t> </w:t>
            </w:r>
            <w:r>
              <w:rPr>
                <w:rFonts w:ascii="宋体" w:hAnsi="宋体" w:cs="宋体" w:eastAsia="宋体" w:hint="default"/>
                <w:sz w:val="18"/>
                <w:szCs w:val="18"/>
              </w:rPr>
              <w:t>同步分析检测技术研究</w:t>
            </w:r>
          </w:p>
        </w:tc>
        <w:tc>
          <w:tcPr>
            <w:tcW w:w="1288"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5,329,526.59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333,333.01</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5,662,859.60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互联网食品违法行为搜索及识别系统</w:t>
            </w:r>
          </w:p>
        </w:tc>
        <w:tc>
          <w:tcPr>
            <w:tcW w:w="1288"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8,285,034.35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332,831.50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8,617,865.85</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万户协同办公平台项目</w:t>
            </w:r>
          </w:p>
        </w:tc>
        <w:tc>
          <w:tcPr>
            <w:tcW w:w="1288"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5,221,770.16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4,969,126.60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3,491,978.44</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6,698,918.32</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08"/>
        <w:gridCol w:w="1288"/>
        <w:gridCol w:w="1416"/>
        <w:gridCol w:w="427"/>
        <w:gridCol w:w="1274"/>
        <w:gridCol w:w="711"/>
        <w:gridCol w:w="1416"/>
      </w:tblGrid>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5.EsenFace</w:t>
            </w:r>
            <w:r>
              <w:rPr>
                <w:rFonts w:ascii="Arial" w:hAnsi="Arial" w:cs="Arial" w:eastAsia="Arial" w:hint="default"/>
                <w:spacing w:val="-7"/>
                <w:sz w:val="18"/>
                <w:szCs w:val="18"/>
              </w:rPr>
              <w:t> </w:t>
            </w:r>
            <w:r>
              <w:rPr>
                <w:rFonts w:ascii="宋体" w:hAnsi="宋体" w:cs="宋体" w:eastAsia="宋体" w:hint="default"/>
                <w:sz w:val="18"/>
                <w:szCs w:val="18"/>
              </w:rPr>
              <w:t>公共研发平台</w:t>
            </w:r>
          </w:p>
        </w:tc>
        <w:tc>
          <w:tcPr>
            <w:tcW w:w="1288"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2,145,792.14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872,333.50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3,018,125.64</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6.BI@Report</w:t>
            </w:r>
            <w:r>
              <w:rPr>
                <w:rFonts w:ascii="Arial" w:hAnsi="Arial" w:cs="Arial" w:eastAsia="Arial" w:hint="default"/>
                <w:spacing w:val="-10"/>
                <w:sz w:val="18"/>
                <w:szCs w:val="18"/>
              </w:rPr>
              <w:t> </w:t>
            </w:r>
            <w:r>
              <w:rPr>
                <w:rFonts w:ascii="宋体" w:hAnsi="宋体" w:cs="宋体" w:eastAsia="宋体" w:hint="default"/>
                <w:sz w:val="18"/>
                <w:szCs w:val="18"/>
              </w:rPr>
              <w:t>数据分析展示平台软件</w:t>
            </w:r>
          </w:p>
        </w:tc>
        <w:tc>
          <w:tcPr>
            <w:tcW w:w="1288"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3,243,706.37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2,994,392.63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6,238,099.00</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司法政务平台</w:t>
            </w:r>
          </w:p>
        </w:tc>
        <w:tc>
          <w:tcPr>
            <w:tcW w:w="1288"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32,162,558.57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25,896,054.37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58,058,612.94</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智云研发及产业化项目</w:t>
            </w:r>
          </w:p>
        </w:tc>
        <w:tc>
          <w:tcPr>
            <w:tcW w:w="1288"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21,955,510.16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21,692,844.35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43,648,354.51</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9.</w:t>
            </w:r>
            <w:r>
              <w:rPr>
                <w:rFonts w:ascii="宋体" w:hAnsi="宋体" w:cs="宋体" w:eastAsia="宋体" w:hint="default"/>
                <w:sz w:val="18"/>
                <w:szCs w:val="18"/>
              </w:rPr>
              <w:t>司法业务应用平台</w:t>
            </w:r>
          </w:p>
        </w:tc>
        <w:tc>
          <w:tcPr>
            <w:tcW w:w="1288"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12,848,502.52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3,258,322.02</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16,106,824.54</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10.ABI</w:t>
            </w:r>
            <w:r>
              <w:rPr>
                <w:rFonts w:ascii="Arial" w:hAnsi="Arial" w:cs="Arial" w:eastAsia="Arial" w:hint="default"/>
                <w:spacing w:val="-3"/>
                <w:sz w:val="18"/>
                <w:szCs w:val="18"/>
              </w:rPr>
              <w:t> </w:t>
            </w:r>
            <w:r>
              <w:rPr>
                <w:rFonts w:ascii="宋体" w:hAnsi="宋体" w:cs="宋体" w:eastAsia="宋体" w:hint="default"/>
                <w:sz w:val="18"/>
                <w:szCs w:val="18"/>
              </w:rPr>
              <w:t>一站式数据分析平台</w:t>
            </w:r>
          </w:p>
        </w:tc>
        <w:tc>
          <w:tcPr>
            <w:tcW w:w="1288" w:type="dxa"/>
            <w:tcBorders>
              <w:top w:val="single" w:sz="4" w:space="0" w:color="000000"/>
              <w:left w:val="single" w:sz="10" w:space="0" w:color="E0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632,880.76</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632,880.76</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11.</w:t>
            </w:r>
            <w:r>
              <w:rPr>
                <w:rFonts w:ascii="宋体" w:hAnsi="宋体" w:cs="宋体" w:eastAsia="宋体" w:hint="default"/>
                <w:sz w:val="18"/>
                <w:szCs w:val="18"/>
              </w:rPr>
              <w:t>第三代智能审判系统</w:t>
            </w:r>
          </w:p>
        </w:tc>
        <w:tc>
          <w:tcPr>
            <w:tcW w:w="1288" w:type="dxa"/>
            <w:tcBorders>
              <w:top w:val="single" w:sz="4" w:space="0" w:color="000000"/>
              <w:left w:val="single" w:sz="10" w:space="0" w:color="E0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22,216,601.04</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22,216,601.04</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市场监管相关行业大数据分析平台</w:t>
            </w:r>
          </w:p>
        </w:tc>
        <w:tc>
          <w:tcPr>
            <w:tcW w:w="1288" w:type="dxa"/>
            <w:tcBorders>
              <w:top w:val="single" w:sz="4" w:space="0" w:color="000000"/>
              <w:left w:val="single" w:sz="10" w:space="0" w:color="E0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5,066,427.85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5,066,427.85</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13.</w:t>
            </w:r>
            <w:r>
              <w:rPr>
                <w:rFonts w:ascii="宋体" w:hAnsi="宋体" w:cs="宋体" w:eastAsia="宋体" w:hint="default"/>
                <w:sz w:val="18"/>
                <w:szCs w:val="18"/>
              </w:rPr>
              <w:t>市场综合监管一体化平台</w:t>
            </w:r>
          </w:p>
        </w:tc>
        <w:tc>
          <w:tcPr>
            <w:tcW w:w="1288" w:type="dxa"/>
            <w:tcBorders>
              <w:top w:val="single" w:sz="4" w:space="0" w:color="000000"/>
              <w:left w:val="single" w:sz="10" w:space="0" w:color="E0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16,284,572.35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16,284,572.35</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14.</w:t>
            </w:r>
            <w:r>
              <w:rPr>
                <w:rFonts w:ascii="宋体" w:hAnsi="宋体" w:cs="宋体" w:eastAsia="宋体" w:hint="default"/>
                <w:sz w:val="18"/>
                <w:szCs w:val="18"/>
              </w:rPr>
              <w:t>法律智能平台</w:t>
            </w:r>
          </w:p>
        </w:tc>
        <w:tc>
          <w:tcPr>
            <w:tcW w:w="1288" w:type="dxa"/>
            <w:tcBorders>
              <w:top w:val="single" w:sz="4" w:space="0" w:color="000000"/>
              <w:left w:val="single" w:sz="10" w:space="0" w:color="E0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5,202,525.91</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5,202,525.91</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15.</w:t>
            </w:r>
            <w:r>
              <w:rPr>
                <w:rFonts w:ascii="宋体" w:hAnsi="宋体" w:cs="宋体" w:eastAsia="宋体" w:hint="default"/>
                <w:sz w:val="18"/>
                <w:szCs w:val="18"/>
              </w:rPr>
              <w:t>法律智能工具与办案系统</w:t>
            </w:r>
          </w:p>
        </w:tc>
        <w:tc>
          <w:tcPr>
            <w:tcW w:w="1288" w:type="dxa"/>
            <w:tcBorders>
              <w:top w:val="single" w:sz="4" w:space="0" w:color="000000"/>
              <w:left w:val="single" w:sz="10" w:space="0" w:color="E0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5,143,988.45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5,143,988.45</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98,031,826.79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118,996,478.54</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33,879,528.43</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183,148,776.90</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15</w:t>
      </w:r>
      <w:r>
        <w:rPr>
          <w:rFonts w:ascii="Microsoft JhengHei" w:hAnsi="Microsoft JhengHei" w:cs="Microsoft JhengHei" w:eastAsia="Microsoft JhengHei" w:hint="default"/>
          <w:b/>
          <w:bCs/>
          <w:sz w:val="21"/>
          <w:szCs w:val="21"/>
        </w:rPr>
        <w:t>、商誉</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）商誉账面原值</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08"/>
        <w:gridCol w:w="1712"/>
        <w:gridCol w:w="1844"/>
        <w:gridCol w:w="1135"/>
        <w:gridCol w:w="1841"/>
      </w:tblGrid>
      <w:tr>
        <w:trPr>
          <w:trHeight w:val="402" w:hRule="exact"/>
        </w:trPr>
        <w:tc>
          <w:tcPr>
            <w:tcW w:w="31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08" w:type="dxa"/>
            <w:vMerge/>
            <w:tcBorders>
              <w:left w:val="single" w:sz="4" w:space="0" w:color="000000"/>
              <w:bottom w:val="single" w:sz="4" w:space="0" w:color="000000"/>
              <w:right w:val="single" w:sz="4" w:space="0" w:color="000000"/>
            </w:tcBorders>
            <w:shd w:val="clear" w:color="auto" w:fill="D2D2D2"/>
          </w:tcPr>
          <w:p>
            <w:pPr/>
          </w:p>
        </w:tc>
        <w:tc>
          <w:tcPr>
            <w:tcW w:w="1712"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84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1712"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85,361,143.21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85,361,143.21</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1712"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276,527,261.46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276,527,261.46</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1712" w:type="dxa"/>
            <w:tcBorders>
              <w:top w:val="single" w:sz="4" w:space="0" w:color="000000"/>
              <w:left w:val="single" w:sz="10" w:space="0" w:color="E0FFFF"/>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1,299,177,651.14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1,299,177,651.14</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361,888,404.67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1,299,177,651.14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1,661,066,055.81</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）商誉减值准备</w:t>
      </w:r>
      <w:r>
        <w:rPr>
          <w:rFonts w:ascii="Microsoft JhengHei" w:hAnsi="Microsoft JhengHei" w:cs="Microsoft JhengHei" w:eastAsia="Microsoft JhengHei" w:hint="default"/>
          <w:sz w:val="21"/>
          <w:szCs w:val="21"/>
        </w:rPr>
      </w:r>
    </w:p>
    <w:p>
      <w:pPr>
        <w:spacing w:line="510" w:lineRule="atLeast" w:before="135"/>
        <w:ind w:left="578" w:right="0" w:hanging="426"/>
        <w:jc w:val="left"/>
        <w:rPr>
          <w:rFonts w:ascii="宋体" w:hAnsi="宋体" w:cs="宋体" w:eastAsia="宋体" w:hint="default"/>
          <w:sz w:val="21"/>
          <w:szCs w:val="21"/>
        </w:rPr>
      </w:pPr>
      <w:r>
        <w:rPr>
          <w:rFonts w:ascii="宋体" w:hAnsi="宋体" w:cs="宋体" w:eastAsia="宋体" w:hint="default"/>
          <w:sz w:val="21"/>
          <w:szCs w:val="21"/>
        </w:rPr>
        <w:t>说明商誉减值测试过程、参数及商誉减值损失的确认方法：</w:t>
      </w:r>
      <w:r>
        <w:rPr>
          <w:rFonts w:ascii="宋体" w:hAnsi="宋体" w:cs="宋体" w:eastAsia="宋体" w:hint="default"/>
          <w:w w:val="100"/>
          <w:sz w:val="21"/>
          <w:szCs w:val="21"/>
        </w:rPr>
        <w:t> </w:t>
      </w:r>
      <w:r>
        <w:rPr>
          <w:rFonts w:ascii="宋体" w:hAnsi="宋体" w:cs="宋体" w:eastAsia="宋体" w:hint="default"/>
          <w:spacing w:val="-2"/>
          <w:sz w:val="21"/>
          <w:szCs w:val="21"/>
        </w:rPr>
        <w:t>本公司采用预计未来现金流现值的方法计算资产组的可收回金额。本集团根据管理层批准的财务预</w:t>
      </w:r>
    </w:p>
    <w:p>
      <w:pPr>
        <w:spacing w:line="304" w:lineRule="auto" w:before="8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算预计未来</w:t>
      </w:r>
      <w:r>
        <w:rPr>
          <w:rFonts w:ascii="Arial" w:hAnsi="Arial" w:cs="Arial" w:eastAsia="Arial" w:hint="default"/>
          <w:spacing w:val="-2"/>
          <w:sz w:val="21"/>
          <w:szCs w:val="21"/>
        </w:rPr>
        <w:t>5</w:t>
      </w:r>
      <w:r>
        <w:rPr>
          <w:rFonts w:ascii="宋体" w:hAnsi="宋体" w:cs="宋体" w:eastAsia="宋体" w:hint="default"/>
          <w:spacing w:val="-2"/>
          <w:sz w:val="21"/>
          <w:szCs w:val="21"/>
        </w:rPr>
        <w:t>年内现金流量，其后年度采用的现金流量增长率预计为</w:t>
      </w:r>
      <w:r>
        <w:rPr>
          <w:rFonts w:ascii="Arial" w:hAnsi="Arial" w:cs="Arial" w:eastAsia="Arial" w:hint="default"/>
          <w:spacing w:val="-2"/>
          <w:sz w:val="21"/>
          <w:szCs w:val="21"/>
        </w:rPr>
        <w:t>0%</w:t>
      </w:r>
      <w:r>
        <w:rPr>
          <w:rFonts w:ascii="宋体" w:hAnsi="宋体" w:cs="宋体" w:eastAsia="宋体" w:hint="default"/>
          <w:spacing w:val="-2"/>
          <w:sz w:val="21"/>
          <w:szCs w:val="21"/>
        </w:rPr>
        <w:t>（上期：</w:t>
      </w:r>
      <w:r>
        <w:rPr>
          <w:rFonts w:ascii="Arial" w:hAnsi="Arial" w:cs="Arial" w:eastAsia="Arial" w:hint="default"/>
          <w:spacing w:val="-2"/>
          <w:sz w:val="21"/>
          <w:szCs w:val="21"/>
        </w:rPr>
        <w:t>0%</w:t>
      </w:r>
      <w:r>
        <w:rPr>
          <w:rFonts w:ascii="宋体" w:hAnsi="宋体" w:cs="宋体" w:eastAsia="宋体" w:hint="default"/>
          <w:spacing w:val="-2"/>
          <w:sz w:val="21"/>
          <w:szCs w:val="21"/>
        </w:rPr>
        <w:t>），不会超过资产组</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经营业务的长期平均增长率。管理层根据过往表现及其对市场发展的预期编制上述财务预算。计算未来</w:t>
      </w:r>
      <w:r>
        <w:rPr>
          <w:rFonts w:ascii="宋体" w:hAnsi="宋体" w:cs="宋体" w:eastAsia="宋体" w:hint="default"/>
          <w:w w:val="100"/>
          <w:sz w:val="21"/>
          <w:szCs w:val="21"/>
        </w:rPr>
        <w:t> </w:t>
      </w:r>
      <w:r>
        <w:rPr>
          <w:rFonts w:ascii="宋体" w:hAnsi="宋体" w:cs="宋体" w:eastAsia="宋体" w:hint="default"/>
          <w:spacing w:val="-2"/>
          <w:sz w:val="21"/>
          <w:szCs w:val="21"/>
        </w:rPr>
        <w:t>现金流现值所采用的税前折现率为</w:t>
      </w:r>
      <w:r>
        <w:rPr>
          <w:rFonts w:ascii="Arial" w:hAnsi="Arial" w:cs="Arial" w:eastAsia="Arial" w:hint="default"/>
          <w:spacing w:val="-2"/>
          <w:sz w:val="21"/>
          <w:szCs w:val="21"/>
        </w:rPr>
        <w:t>11.93%</w:t>
      </w:r>
      <w:r>
        <w:rPr>
          <w:rFonts w:ascii="宋体" w:hAnsi="宋体" w:cs="宋体" w:eastAsia="宋体" w:hint="default"/>
          <w:spacing w:val="-2"/>
          <w:sz w:val="21"/>
          <w:szCs w:val="21"/>
        </w:rPr>
        <w:t>（上期：</w:t>
      </w:r>
      <w:r>
        <w:rPr>
          <w:rFonts w:ascii="Arial" w:hAnsi="Arial" w:cs="Arial" w:eastAsia="Arial" w:hint="default"/>
          <w:spacing w:val="-2"/>
          <w:sz w:val="21"/>
          <w:szCs w:val="21"/>
        </w:rPr>
        <w:t>10.91%</w:t>
      </w:r>
      <w:r>
        <w:rPr>
          <w:rFonts w:ascii="宋体" w:hAnsi="宋体" w:cs="宋体" w:eastAsia="宋体" w:hint="default"/>
          <w:spacing w:val="-2"/>
          <w:sz w:val="21"/>
          <w:szCs w:val="21"/>
        </w:rPr>
        <w:t>），已反映了相对于有关分部的风险。根据减</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值测试的结果，本期期末商誉未发生减值（上期期末：无）。</w:t>
      </w:r>
    </w:p>
    <w:p>
      <w:pPr>
        <w:spacing w:line="240" w:lineRule="auto" w:before="10"/>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16</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19"/>
        <w:gridCol w:w="1277"/>
        <w:gridCol w:w="1275"/>
        <w:gridCol w:w="1277"/>
        <w:gridCol w:w="1277"/>
        <w:gridCol w:w="1344"/>
      </w:tblGrid>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公司及子公司装修费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5,866,291.46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8,065,954.87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4,107,852.25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9,824,394.08</w:t>
            </w:r>
          </w:p>
        </w:tc>
      </w:tr>
      <w:tr>
        <w:trPr>
          <w:trHeight w:val="40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华宇（大连）研发基地绿地工程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2,794,980.85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609,813.96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2,185,166.89</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8,661,272.31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8,065,954.87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4,717,666.21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12,009,560.97</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17</w:t>
      </w:r>
      <w:r>
        <w:rPr>
          <w:rFonts w:ascii="Microsoft JhengHei" w:hAnsi="Microsoft JhengHei" w:cs="Microsoft JhengHei" w:eastAsia="Microsoft JhengHei" w:hint="default"/>
          <w:b/>
          <w:bCs/>
          <w:sz w:val="21"/>
          <w:szCs w:val="21"/>
        </w:rPr>
        <w:t>、递延所得税资产</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）未经抵销的递延所得税资产</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77"/>
        <w:gridCol w:w="1702"/>
        <w:gridCol w:w="1560"/>
        <w:gridCol w:w="1699"/>
        <w:gridCol w:w="1633"/>
      </w:tblGrid>
      <w:tr>
        <w:trPr>
          <w:trHeight w:val="206" w:hRule="exact"/>
        </w:trPr>
        <w:tc>
          <w:tcPr>
            <w:tcW w:w="2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2" w:type="dxa"/>
            <w:gridSpan w:val="2"/>
            <w:vMerge/>
            <w:tcBorders>
              <w:left w:val="single" w:sz="4" w:space="0" w:color="000000"/>
              <w:bottom w:val="single" w:sz="4" w:space="0" w:color="000000"/>
              <w:right w:val="single" w:sz="4" w:space="0" w:color="000000"/>
            </w:tcBorders>
            <w:shd w:val="clear" w:color="auto" w:fill="D2D2D2"/>
          </w:tcPr>
          <w:p>
            <w:pPr/>
          </w:p>
        </w:tc>
        <w:tc>
          <w:tcPr>
            <w:tcW w:w="3332"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977"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2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699" w:type="dxa"/>
            <w:vMerge/>
            <w:tcBorders>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69,072,517.14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9,169,598.98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49,917,870.21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7,494,824.76</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50,535,061.63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5,105,433.46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59,423,926.48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8,913,589.00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35,854,612.69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7,828,497.49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38,513,290.34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6,166,123.99</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未行权股权激励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26,701,604.22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4,005,240.63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45,905,264.17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6,885,789.62</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113,812,769.65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14,006,508.43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76,846,281.03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11,526,942.15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13,388,250.00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1,943,537.50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11,623,250.00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1,743,487.50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309,364,815.33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42,058,816.49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282,229,882.23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42,730,757.02</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）未经抵销的递延所得税负债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6"/>
        <w:gridCol w:w="1712"/>
        <w:gridCol w:w="1560"/>
        <w:gridCol w:w="1699"/>
        <w:gridCol w:w="1633"/>
      </w:tblGrid>
      <w:tr>
        <w:trPr>
          <w:trHeight w:val="206" w:hRule="exact"/>
        </w:trPr>
        <w:tc>
          <w:tcPr>
            <w:tcW w:w="29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2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29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73" w:type="dxa"/>
            <w:gridSpan w:val="2"/>
            <w:vMerge/>
            <w:tcBorders>
              <w:left w:val="single" w:sz="4" w:space="0" w:color="000000"/>
              <w:bottom w:val="single" w:sz="4" w:space="0" w:color="000000"/>
              <w:right w:val="single" w:sz="4" w:space="0" w:color="000000"/>
            </w:tcBorders>
            <w:shd w:val="clear" w:color="auto" w:fill="D2D2D2"/>
          </w:tcPr>
          <w:p>
            <w:pPr/>
          </w:p>
        </w:tc>
        <w:tc>
          <w:tcPr>
            <w:tcW w:w="33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966" w:type="dxa"/>
            <w:vMerge/>
            <w:tcBorders>
              <w:left w:val="single" w:sz="4" w:space="0" w:color="000000"/>
              <w:bottom w:val="nil" w:sz="6" w:space="0" w:color="auto"/>
              <w:right w:val="single" w:sz="4" w:space="0" w:color="000000"/>
            </w:tcBorders>
            <w:shd w:val="clear" w:color="auto" w:fill="D2D2D2"/>
          </w:tcPr>
          <w:p>
            <w:pPr/>
          </w:p>
        </w:tc>
        <w:tc>
          <w:tcPr>
            <w:tcW w:w="17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29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2"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699" w:type="dxa"/>
            <w:vMerge/>
            <w:tcBorders>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43,965,966.04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4,603,808.86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5,859,105.00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1,017,356.92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43,965,966.04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4,603,808.86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5,859,105.00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1,017,356.92</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）以抵销后净额列示的递延所得税资产或负债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901"/>
        <w:gridCol w:w="1916"/>
        <w:gridCol w:w="1913"/>
        <w:gridCol w:w="1915"/>
        <w:gridCol w:w="1913"/>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42,058,816.49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42,730,757.02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4,603,808.86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1,017,356.92</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）未确认递延所得税资产明细</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22,036,378.85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20,811,473.07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67,464.89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22,103,843.74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20,811,473.07</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）未确认递延所得税资产的可抵扣亏损将于以下年度到期</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4,746,998.98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4,746,998.98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9,389,466.03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9,389,466.03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6,675,008.06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6,675,008.06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1,224,905.78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22,036,378.85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20,811,473.07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18</w:t>
      </w:r>
      <w:r>
        <w:rPr>
          <w:rFonts w:ascii="Microsoft JhengHei" w:hAnsi="Microsoft JhengHei" w:cs="Microsoft JhengHei" w:eastAsia="Microsoft JhengHei" w:hint="default"/>
          <w:b/>
          <w:bCs/>
          <w:sz w:val="21"/>
          <w:szCs w:val="21"/>
        </w:rPr>
        <w:t>、短期借款</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510,000.00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60,350,000.00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510,000.00</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短期借款分类的说明：</w:t>
      </w:r>
    </w:p>
    <w:p>
      <w:pPr>
        <w:spacing w:line="240" w:lineRule="auto" w:before="6"/>
        <w:rPr>
          <w:rFonts w:ascii="宋体" w:hAnsi="宋体" w:cs="宋体" w:eastAsia="宋体" w:hint="default"/>
          <w:sz w:val="18"/>
          <w:szCs w:val="18"/>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z w:val="21"/>
          <w:szCs w:val="21"/>
        </w:rPr>
        <w:t>抵押借款是由联奕科技股份有限公司以账面价值为</w:t>
      </w:r>
      <w:r>
        <w:rPr>
          <w:rFonts w:ascii="Arial" w:hAnsi="Arial" w:cs="Arial" w:eastAsia="Arial" w:hint="default"/>
          <w:sz w:val="21"/>
          <w:szCs w:val="21"/>
        </w:rPr>
        <w:t>32,340,707.26</w:t>
      </w:r>
      <w:r>
        <w:rPr>
          <w:rFonts w:ascii="宋体" w:hAnsi="宋体" w:cs="宋体" w:eastAsia="宋体" w:hint="default"/>
          <w:sz w:val="21"/>
          <w:szCs w:val="21"/>
        </w:rPr>
        <w:t>元的自有房产抵押，抵押借款金额</w:t>
      </w:r>
      <w:r>
        <w:rPr>
          <w:rFonts w:ascii="宋体" w:hAnsi="宋体" w:cs="宋体" w:eastAsia="宋体" w:hint="default"/>
          <w:w w:val="100"/>
          <w:sz w:val="21"/>
          <w:szCs w:val="21"/>
        </w:rPr>
        <w:t> </w:t>
      </w:r>
      <w:r>
        <w:rPr>
          <w:rFonts w:ascii="Arial" w:hAnsi="Arial" w:cs="Arial" w:eastAsia="Arial" w:hint="default"/>
          <w:spacing w:val="-2"/>
          <w:sz w:val="21"/>
          <w:szCs w:val="21"/>
        </w:rPr>
        <w:t>22,200,000.00</w:t>
      </w:r>
      <w:r>
        <w:rPr>
          <w:rFonts w:ascii="宋体" w:hAnsi="宋体" w:cs="宋体" w:eastAsia="宋体" w:hint="default"/>
          <w:spacing w:val="-2"/>
          <w:sz w:val="21"/>
          <w:szCs w:val="21"/>
        </w:rPr>
        <w:t>元；保证借款是由任刚、赵国艳提供合计</w:t>
      </w:r>
      <w:r>
        <w:rPr>
          <w:rFonts w:ascii="Arial" w:hAnsi="Arial" w:cs="Arial" w:eastAsia="Arial" w:hint="default"/>
          <w:spacing w:val="-2"/>
          <w:sz w:val="21"/>
          <w:szCs w:val="21"/>
        </w:rPr>
        <w:t>50,000,000.00</w:t>
      </w:r>
      <w:r>
        <w:rPr>
          <w:rFonts w:ascii="宋体" w:hAnsi="宋体" w:cs="宋体" w:eastAsia="宋体" w:hint="default"/>
          <w:spacing w:val="-2"/>
          <w:sz w:val="21"/>
          <w:szCs w:val="21"/>
        </w:rPr>
        <w:t>元最高额保证合同保证，保证借款</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金额</w:t>
      </w:r>
      <w:r>
        <w:rPr>
          <w:rFonts w:ascii="Arial" w:hAnsi="Arial" w:cs="Arial" w:eastAsia="Arial" w:hint="default"/>
          <w:sz w:val="21"/>
          <w:szCs w:val="21"/>
        </w:rPr>
        <w:t>20,000,000.00</w:t>
      </w:r>
      <w:r>
        <w:rPr>
          <w:rFonts w:ascii="宋体" w:hAnsi="宋体" w:cs="宋体" w:eastAsia="宋体" w:hint="default"/>
          <w:sz w:val="21"/>
          <w:szCs w:val="21"/>
        </w:rPr>
        <w:t>元。</w:t>
      </w:r>
    </w:p>
    <w:p>
      <w:pPr>
        <w:spacing w:before="192"/>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19</w:t>
      </w:r>
      <w:r>
        <w:rPr>
          <w:rFonts w:ascii="Microsoft JhengHei" w:hAnsi="Microsoft JhengHei" w:cs="Microsoft JhengHei" w:eastAsia="Microsoft JhengHei" w:hint="default"/>
          <w:b/>
          <w:bCs/>
          <w:sz w:val="21"/>
          <w:szCs w:val="21"/>
        </w:rPr>
        <w:t>、应付账款</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）应付账款列示</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7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290,109,858.29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180,456,167.64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5,633,032.39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9,900,026.41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295,742,890.68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190,356,194.05</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）账龄超过 </w:t>
      </w:r>
      <w:r>
        <w:rPr>
          <w:rFonts w:ascii="Arial" w:hAnsi="Arial" w:cs="Arial" w:eastAsia="Arial" w:hint="default"/>
          <w:b/>
          <w:bCs/>
          <w:sz w:val="21"/>
          <w:szCs w:val="21"/>
        </w:rPr>
        <w:t>1</w:t>
      </w:r>
      <w:r>
        <w:rPr>
          <w:rFonts w:ascii="Arial" w:hAnsi="Arial" w:cs="Arial" w:eastAsia="Arial" w:hint="default"/>
          <w:b/>
          <w:bCs/>
          <w:spacing w:val="6"/>
          <w:sz w:val="21"/>
          <w:szCs w:val="21"/>
        </w:rPr>
        <w:t> </w:t>
      </w:r>
      <w:r>
        <w:rPr>
          <w:rFonts w:ascii="Microsoft JhengHei" w:hAnsi="Microsoft JhengHei" w:cs="Microsoft JhengHei" w:eastAsia="Microsoft JhengHei" w:hint="default"/>
          <w:b/>
          <w:bCs/>
          <w:sz w:val="21"/>
          <w:szCs w:val="21"/>
        </w:rPr>
        <w:t>年的重要应付账款</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上海信息安全工程技术研究中心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4,496,940.00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4,496,940.00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20</w:t>
      </w:r>
      <w:r>
        <w:rPr>
          <w:rFonts w:ascii="Microsoft JhengHei" w:hAnsi="Microsoft JhengHei" w:cs="Microsoft JhengHei" w:eastAsia="Microsoft JhengHei" w:hint="default"/>
          <w:b/>
          <w:bCs/>
          <w:sz w:val="21"/>
          <w:szCs w:val="21"/>
        </w:rPr>
        <w:t>、预收款项</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）预收款项列示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519,829,345.82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538,687,056.89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519,829,345.82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538,687,056.89</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）账龄超过 </w:t>
      </w:r>
      <w:r>
        <w:rPr>
          <w:rFonts w:ascii="Arial" w:hAnsi="Arial" w:cs="Arial" w:eastAsia="Arial" w:hint="default"/>
          <w:b/>
          <w:bCs/>
          <w:sz w:val="21"/>
          <w:szCs w:val="21"/>
        </w:rPr>
        <w:t>1</w:t>
      </w:r>
      <w:r>
        <w:rPr>
          <w:rFonts w:ascii="Arial" w:hAnsi="Arial" w:cs="Arial" w:eastAsia="Arial" w:hint="default"/>
          <w:b/>
          <w:bCs/>
          <w:spacing w:val="6"/>
          <w:sz w:val="21"/>
          <w:szCs w:val="21"/>
        </w:rPr>
        <w:t> </w:t>
      </w:r>
      <w:r>
        <w:rPr>
          <w:rFonts w:ascii="Microsoft JhengHei" w:hAnsi="Microsoft JhengHei" w:cs="Microsoft JhengHei" w:eastAsia="Microsoft JhengHei" w:hint="default"/>
          <w:b/>
          <w:bCs/>
          <w:sz w:val="21"/>
          <w:szCs w:val="21"/>
        </w:rPr>
        <w:t>年的重要预收款项</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971"/>
        <w:gridCol w:w="2976"/>
        <w:gridCol w:w="2624"/>
      </w:tblGrid>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中共青海省委政法委员会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27,060,644.38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中央政法委</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17,237,764.06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广州市社会保险基金管理中心</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10,034,107.80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中共四川省委组织部党员干部信息管理中心</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9,774,484.84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中国移动通信集团青海有限公司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5,608,376.06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69,715,377.14</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21</w:t>
      </w:r>
      <w:r>
        <w:rPr>
          <w:rFonts w:ascii="Microsoft JhengHei" w:hAnsi="Microsoft JhengHei" w:cs="Microsoft JhengHei" w:eastAsia="Microsoft JhengHei" w:hint="default"/>
          <w:b/>
          <w:bCs/>
          <w:sz w:val="21"/>
          <w:szCs w:val="21"/>
        </w:rPr>
        <w:t>、应付职工薪酬</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）应付职工薪酬列示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813"/>
        <w:gridCol w:w="1712"/>
        <w:gridCol w:w="1702"/>
        <w:gridCol w:w="1699"/>
        <w:gridCol w:w="1633"/>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left="621" w:right="0"/>
              <w:jc w:val="left"/>
              <w:rPr>
                <w:rFonts w:ascii="Arial" w:hAnsi="Arial" w:cs="Arial" w:eastAsia="Arial" w:hint="default"/>
                <w:sz w:val="18"/>
                <w:szCs w:val="18"/>
              </w:rPr>
            </w:pPr>
            <w:r>
              <w:rPr>
                <w:rFonts w:ascii="Arial"/>
                <w:sz w:val="18"/>
              </w:rPr>
              <w:t>4,126,787.50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7" w:right="0"/>
              <w:jc w:val="left"/>
              <w:rPr>
                <w:rFonts w:ascii="Arial" w:hAnsi="Arial" w:cs="Arial" w:eastAsia="Arial" w:hint="default"/>
                <w:sz w:val="18"/>
                <w:szCs w:val="18"/>
              </w:rPr>
            </w:pPr>
            <w:r>
              <w:rPr>
                <w:rFonts w:ascii="Arial"/>
                <w:sz w:val="18"/>
              </w:rPr>
              <w:t>590,909,593.05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7" w:right="0"/>
              <w:jc w:val="left"/>
              <w:rPr>
                <w:rFonts w:ascii="Arial" w:hAnsi="Arial" w:cs="Arial" w:eastAsia="Arial" w:hint="default"/>
                <w:sz w:val="18"/>
                <w:szCs w:val="18"/>
              </w:rPr>
            </w:pPr>
            <w:r>
              <w:rPr>
                <w:rFonts w:ascii="Arial"/>
                <w:sz w:val="18"/>
              </w:rPr>
              <w:t>585,831,480.52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50" w:right="0"/>
              <w:jc w:val="left"/>
              <w:rPr>
                <w:rFonts w:ascii="Arial" w:hAnsi="Arial" w:cs="Arial" w:eastAsia="Arial" w:hint="default"/>
                <w:sz w:val="18"/>
                <w:szCs w:val="18"/>
              </w:rPr>
            </w:pPr>
            <w:r>
              <w:rPr>
                <w:rFonts w:ascii="Arial"/>
                <w:sz w:val="18"/>
              </w:rPr>
              <w:t>9,204,900.03</w:t>
            </w:r>
          </w:p>
        </w:tc>
      </w:tr>
    </w:tbl>
    <w:p>
      <w:pPr>
        <w:spacing w:after="0" w:line="240" w:lineRule="auto"/>
        <w:jc w:val="lef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835"/>
        <w:gridCol w:w="1702"/>
        <w:gridCol w:w="1702"/>
        <w:gridCol w:w="1699"/>
        <w:gridCol w:w="1633"/>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Arial" w:hAnsi="Arial" w:cs="Arial" w:eastAsia="Arial" w:hint="default"/>
                <w:sz w:val="18"/>
                <w:szCs w:val="18"/>
              </w:rPr>
              <w:t>-</w:t>
            </w:r>
            <w:r>
              <w:rPr>
                <w:rFonts w:ascii="宋体" w:hAnsi="宋体" w:cs="宋体" w:eastAsia="宋体" w:hint="default"/>
                <w:sz w:val="18"/>
                <w:szCs w:val="18"/>
              </w:rPr>
              <w:t>设定提存计划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2,238,592.52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50,054,775.07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49,238,543.73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3,054,823.86</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691,606.00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691,606.00</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6,365,380.02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641,655,974.12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635,761,630.25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12,259,723.89</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）短期薪酬列示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813"/>
        <w:gridCol w:w="1712"/>
        <w:gridCol w:w="1702"/>
        <w:gridCol w:w="1699"/>
        <w:gridCol w:w="1633"/>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、工资、奖金、津贴和补贴</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2,715,250.96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485,744,766.98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480,967,306.84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7,492,711.10</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、职工福利费</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2"/>
                <w:sz w:val="18"/>
              </w:rPr>
              <w:t>20,386.11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30,614,244.97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30,634,631.08</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、社会保险费</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1,255,803.01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28,502,562.86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28,120,777.41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1,637,588.46</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1,255,803.01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25,283,006.87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24,901,221.42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1,637,588.46</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12" w:type="dxa"/>
            <w:tcBorders>
              <w:top w:val="single" w:sz="4" w:space="0" w:color="000000"/>
              <w:left w:val="single" w:sz="9"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1,025,357.38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1,025,357.38</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12" w:type="dxa"/>
            <w:tcBorders>
              <w:top w:val="single" w:sz="4" w:space="0" w:color="000000"/>
              <w:left w:val="single" w:sz="9"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2,194,198.61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2,194,198.61</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、住房公积金</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75,706.80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34,912,579.18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34,988,285.98</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、工会经费和职工教育经费</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59,640.62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2"/>
                <w:sz w:val="18"/>
              </w:rPr>
              <w:t>11,135,439.06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11,120,479.21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74,600.47</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4,126,787.50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590,909,593.05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585,831,480.52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9,204,900.03</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）设定提存计划列示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823"/>
        <w:gridCol w:w="1702"/>
        <w:gridCol w:w="1702"/>
        <w:gridCol w:w="1699"/>
        <w:gridCol w:w="1633"/>
      </w:tblGrid>
      <w:tr>
        <w:trPr>
          <w:trHeight w:val="404"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、基本养老保险</w:t>
            </w:r>
          </w:p>
        </w:tc>
        <w:tc>
          <w:tcPr>
            <w:tcW w:w="17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3"/>
                <w:sz w:val="18"/>
              </w:rPr>
              <w:t>2,111,602.68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48,087,987.78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47,303,572.58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2,896,017.88</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、失业保险费</w:t>
            </w:r>
          </w:p>
        </w:tc>
        <w:tc>
          <w:tcPr>
            <w:tcW w:w="17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126,989.84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1,854,502.92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1,822,686.78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158,805.98</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112,284.37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112,284.37</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2,238,592.52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50,054,775.07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49,238,543.73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3,054,823.86</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本期新增企业合并导致的应付职工薪酬本期增加</w:t>
      </w:r>
      <w:r>
        <w:rPr>
          <w:rFonts w:ascii="Arial" w:hAnsi="Arial" w:cs="Arial" w:eastAsia="Arial" w:hint="default"/>
          <w:sz w:val="21"/>
          <w:szCs w:val="21"/>
        </w:rPr>
        <w:t>2,835,986.23</w:t>
      </w:r>
      <w:r>
        <w:rPr>
          <w:rFonts w:ascii="宋体" w:hAnsi="宋体" w:cs="宋体" w:eastAsia="宋体" w:hint="default"/>
          <w:sz w:val="21"/>
          <w:szCs w:val="21"/>
        </w:rPr>
        <w:t>元。</w:t>
      </w:r>
    </w:p>
    <w:p>
      <w:pPr>
        <w:spacing w:line="240" w:lineRule="auto" w:before="13"/>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22</w:t>
      </w:r>
      <w:r>
        <w:rPr>
          <w:rFonts w:ascii="Microsoft JhengHei" w:hAnsi="Microsoft JhengHei" w:cs="Microsoft JhengHei" w:eastAsia="Microsoft JhengHei" w:hint="default"/>
          <w:b/>
          <w:bCs/>
          <w:sz w:val="21"/>
          <w:szCs w:val="21"/>
        </w:rPr>
        <w:t>、应交税费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68,801,380.32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44,071,162.38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22,033,336.87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14,496,459.43</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1,866,204.58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1,804,125.99</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4,700,277.06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2,987,468.86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3,634,862.40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2,326,846.22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101,036,061.23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65,686,062.88</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23</w:t>
      </w:r>
      <w:r>
        <w:rPr>
          <w:rFonts w:ascii="Microsoft JhengHei" w:hAnsi="Microsoft JhengHei" w:cs="Microsoft JhengHei" w:eastAsia="Microsoft JhengHei" w:hint="default"/>
          <w:b/>
          <w:bCs/>
          <w:sz w:val="21"/>
          <w:szCs w:val="21"/>
        </w:rPr>
        <w:t>、应付利息</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191,250.00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60,211.25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251,461.25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24</w:t>
      </w: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）按款项性质列示其他应付款</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收购万户网络股权款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63,940,000.00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63,940,000.00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未解锁的限制性股票款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245,916,542.20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54,428,117.96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收购浦东华宇补充对价</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19,805,145.83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17,107,939.77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329,661,688.03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145,476,057.73</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）账龄超过 </w:t>
      </w:r>
      <w:r>
        <w:rPr>
          <w:rFonts w:ascii="Arial" w:hAnsi="Arial" w:cs="Arial" w:eastAsia="Arial" w:hint="default"/>
          <w:b/>
          <w:bCs/>
          <w:sz w:val="21"/>
          <w:szCs w:val="21"/>
        </w:rPr>
        <w:t>1</w:t>
      </w:r>
      <w:r>
        <w:rPr>
          <w:rFonts w:ascii="Arial" w:hAnsi="Arial" w:cs="Arial" w:eastAsia="Arial" w:hint="default"/>
          <w:b/>
          <w:bCs/>
          <w:spacing w:val="7"/>
          <w:sz w:val="21"/>
          <w:szCs w:val="21"/>
        </w:rPr>
        <w:t> </w:t>
      </w:r>
      <w:r>
        <w:rPr>
          <w:rFonts w:ascii="Microsoft JhengHei" w:hAnsi="Microsoft JhengHei" w:cs="Microsoft JhengHei" w:eastAsia="Microsoft JhengHei" w:hint="default"/>
          <w:b/>
          <w:bCs/>
          <w:sz w:val="21"/>
          <w:szCs w:val="21"/>
        </w:rPr>
        <w:t>年的重要其他应付款</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未解锁的限制性股票款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30,441,594.87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未达到解锁条件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收购万户网络股权款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63,940,000.00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94,381,594.87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25</w:t>
      </w:r>
      <w:r>
        <w:rPr>
          <w:rFonts w:ascii="Microsoft JhengHei" w:hAnsi="Microsoft JhengHei" w:cs="Microsoft JhengHei" w:eastAsia="Microsoft JhengHei" w:hint="default"/>
          <w:b/>
          <w:bCs/>
          <w:sz w:val="21"/>
          <w:szCs w:val="21"/>
        </w:rPr>
        <w:t>、长期应付款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）按款项性质列示长期应付款</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79"/>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79" w:type="dxa"/>
        <w:tblLayout w:type="fixed"/>
        <w:tblCellMar>
          <w:top w:w="0" w:type="dxa"/>
          <w:left w:w="0" w:type="dxa"/>
          <w:bottom w:w="0" w:type="dxa"/>
          <w:right w:w="0" w:type="dxa"/>
        </w:tblCellMar>
        <w:tblLook w:val="01E0"/>
      </w:tblPr>
      <w:tblGrid>
        <w:gridCol w:w="3191"/>
        <w:gridCol w:w="3192"/>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08" w:right="0"/>
              <w:jc w:val="left"/>
              <w:rPr>
                <w:rFonts w:ascii="Arial" w:hAnsi="Arial" w:cs="Arial" w:eastAsia="Arial" w:hint="default"/>
                <w:sz w:val="18"/>
                <w:szCs w:val="18"/>
              </w:rPr>
            </w:pPr>
            <w:r>
              <w:rPr>
                <w:rFonts w:ascii="Arial"/>
                <w:sz w:val="18"/>
              </w:rPr>
              <w:t>27,000,000.00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6"/>
        <w:rPr>
          <w:rFonts w:ascii="宋体" w:hAnsi="宋体" w:cs="宋体" w:eastAsia="宋体" w:hint="default"/>
          <w:sz w:val="18"/>
          <w:szCs w:val="18"/>
        </w:rPr>
      </w:pPr>
    </w:p>
    <w:p>
      <w:pPr>
        <w:spacing w:line="302" w:lineRule="auto" w:before="0"/>
        <w:ind w:left="152" w:right="0" w:firstLine="425"/>
        <w:jc w:val="left"/>
        <w:rPr>
          <w:rFonts w:ascii="宋体" w:hAnsi="宋体" w:cs="宋体" w:eastAsia="宋体" w:hint="default"/>
          <w:sz w:val="21"/>
          <w:szCs w:val="21"/>
        </w:rPr>
      </w:pPr>
      <w:r>
        <w:rPr>
          <w:rFonts w:ascii="Arial" w:hAnsi="Arial" w:cs="Arial" w:eastAsia="Arial" w:hint="default"/>
          <w:sz w:val="21"/>
          <w:szCs w:val="21"/>
        </w:rPr>
        <w:t>2016</w:t>
      </w:r>
      <w:r>
        <w:rPr>
          <w:rFonts w:ascii="宋体" w:hAnsi="宋体" w:cs="宋体" w:eastAsia="宋体" w:hint="default"/>
          <w:sz w:val="21"/>
          <w:szCs w:val="21"/>
        </w:rPr>
        <w:t>年，公司子公司联奕科技与广东粤财投资控股有限公司（以下简称粤财公司）签订《股权转让</w:t>
      </w:r>
      <w:r>
        <w:rPr>
          <w:rFonts w:ascii="宋体" w:hAnsi="宋体" w:cs="宋体" w:eastAsia="宋体" w:hint="default"/>
          <w:w w:val="100"/>
          <w:sz w:val="21"/>
          <w:szCs w:val="21"/>
        </w:rPr>
        <w:t> </w:t>
      </w:r>
      <w:r>
        <w:rPr>
          <w:rFonts w:ascii="宋体" w:hAnsi="宋体" w:cs="宋体" w:eastAsia="宋体" w:hint="default"/>
          <w:spacing w:val="-2"/>
          <w:sz w:val="21"/>
          <w:szCs w:val="21"/>
        </w:rPr>
        <w:t>合同》，粤财公司以</w:t>
      </w:r>
      <w:r>
        <w:rPr>
          <w:rFonts w:ascii="Arial" w:hAnsi="Arial" w:cs="Arial" w:eastAsia="Arial" w:hint="default"/>
          <w:spacing w:val="-2"/>
          <w:sz w:val="21"/>
          <w:szCs w:val="21"/>
        </w:rPr>
        <w:t>2,700.00</w:t>
      </w:r>
      <w:r>
        <w:rPr>
          <w:rFonts w:ascii="宋体" w:hAnsi="宋体" w:cs="宋体" w:eastAsia="宋体" w:hint="default"/>
          <w:spacing w:val="-2"/>
          <w:sz w:val="21"/>
          <w:szCs w:val="21"/>
        </w:rPr>
        <w:t>万元对广州优奕科信息科技有限公司进行增资，投资年化收益率为</w:t>
      </w:r>
      <w:r>
        <w:rPr>
          <w:rFonts w:ascii="Arial" w:hAnsi="Arial" w:cs="Arial" w:eastAsia="Arial" w:hint="default"/>
          <w:spacing w:val="-2"/>
          <w:sz w:val="21"/>
          <w:szCs w:val="21"/>
        </w:rPr>
        <w:t>2.50%</w:t>
      </w:r>
      <w:r>
        <w:rPr>
          <w:rFonts w:ascii="宋体" w:hAnsi="宋体" w:cs="宋体" w:eastAsia="宋体" w:hint="default"/>
          <w:spacing w:val="-2"/>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公司子公司联奕科技有限公司以此确认利息费用。投资完成后，公司持有广州优奕科信息科技有限公司</w:t>
      </w:r>
      <w:r>
        <w:rPr>
          <w:rFonts w:ascii="宋体" w:hAnsi="宋体" w:cs="宋体" w:eastAsia="宋体" w:hint="default"/>
          <w:w w:val="100"/>
          <w:sz w:val="21"/>
          <w:szCs w:val="21"/>
        </w:rPr>
        <w:t> </w:t>
      </w:r>
      <w:r>
        <w:rPr>
          <w:rFonts w:ascii="Arial" w:hAnsi="Arial" w:cs="Arial" w:eastAsia="Arial" w:hint="default"/>
          <w:spacing w:val="-2"/>
          <w:sz w:val="21"/>
          <w:szCs w:val="21"/>
        </w:rPr>
        <w:t>70.00%</w:t>
      </w:r>
      <w:r>
        <w:rPr>
          <w:rFonts w:ascii="宋体" w:hAnsi="宋体" w:cs="宋体" w:eastAsia="宋体" w:hint="default"/>
          <w:spacing w:val="-2"/>
          <w:sz w:val="21"/>
          <w:szCs w:val="21"/>
        </w:rPr>
        <w:t>股权，粤财公司持有</w:t>
      </w:r>
      <w:r>
        <w:rPr>
          <w:rFonts w:ascii="Arial" w:hAnsi="Arial" w:cs="Arial" w:eastAsia="Arial" w:hint="default"/>
          <w:spacing w:val="-2"/>
          <w:sz w:val="21"/>
          <w:szCs w:val="21"/>
        </w:rPr>
        <w:t>30.00%</w:t>
      </w:r>
      <w:r>
        <w:rPr>
          <w:rFonts w:ascii="宋体" w:hAnsi="宋体" w:cs="宋体" w:eastAsia="宋体" w:hint="default"/>
          <w:spacing w:val="-2"/>
          <w:sz w:val="21"/>
          <w:szCs w:val="21"/>
        </w:rPr>
        <w:t>股权。项目建设期届满后，联奕科技根据投资意向书规定收购粤财公</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司持有的广州优奕科信息科技有限公司股权。</w:t>
      </w:r>
    </w:p>
    <w:p>
      <w:pPr>
        <w:spacing w:line="240" w:lineRule="auto" w:before="1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26</w:t>
      </w:r>
      <w:r>
        <w:rPr>
          <w:rFonts w:ascii="Microsoft JhengHei" w:hAnsi="Microsoft JhengHei" w:cs="Microsoft JhengHei" w:eastAsia="Microsoft JhengHei" w:hint="default"/>
          <w:b/>
          <w:bCs/>
          <w:sz w:val="21"/>
          <w:szCs w:val="21"/>
        </w:rPr>
        <w:t>、递延收益</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571"/>
        <w:gridCol w:w="1607"/>
        <w:gridCol w:w="1594"/>
        <w:gridCol w:w="1594"/>
        <w:gridCol w:w="1594"/>
        <w:gridCol w:w="1597"/>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417" w:right="0"/>
              <w:jc w:val="left"/>
              <w:rPr>
                <w:rFonts w:ascii="Arial" w:hAnsi="Arial" w:cs="Arial" w:eastAsia="Arial" w:hint="default"/>
                <w:sz w:val="18"/>
                <w:szCs w:val="18"/>
              </w:rPr>
            </w:pPr>
            <w:r>
              <w:rPr>
                <w:rFonts w:ascii="Arial"/>
                <w:sz w:val="18"/>
              </w:rPr>
              <w:t>16,539,613.27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1,095,100.00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7,567,362.94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0" w:right="0"/>
              <w:jc w:val="left"/>
              <w:rPr>
                <w:rFonts w:ascii="Arial" w:hAnsi="Arial" w:cs="Arial" w:eastAsia="Arial" w:hint="default"/>
                <w:sz w:val="18"/>
                <w:szCs w:val="18"/>
              </w:rPr>
            </w:pPr>
            <w:r>
              <w:rPr>
                <w:rFonts w:ascii="Arial"/>
                <w:sz w:val="18"/>
              </w:rPr>
              <w:t>10,067,350.33</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left="417" w:right="0"/>
              <w:jc w:val="left"/>
              <w:rPr>
                <w:rFonts w:ascii="Arial" w:hAnsi="Arial" w:cs="Arial" w:eastAsia="Arial" w:hint="default"/>
                <w:sz w:val="18"/>
                <w:szCs w:val="18"/>
              </w:rPr>
            </w:pPr>
            <w:r>
              <w:rPr>
                <w:rFonts w:ascii="Arial"/>
                <w:sz w:val="18"/>
              </w:rPr>
              <w:t>16,539,613.27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1,095,100.00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7,567,362.94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0" w:right="0"/>
              <w:jc w:val="left"/>
              <w:rPr>
                <w:rFonts w:ascii="Arial" w:hAnsi="Arial" w:cs="Arial" w:eastAsia="Arial" w:hint="default"/>
                <w:sz w:val="18"/>
                <w:szCs w:val="18"/>
              </w:rPr>
            </w:pPr>
            <w:r>
              <w:rPr>
                <w:rFonts w:ascii="Arial"/>
                <w:sz w:val="18"/>
              </w:rPr>
              <w:t>10,067,350.33</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涉及政府补助的项目：</w:t>
      </w:r>
    </w:p>
    <w:p>
      <w:pPr>
        <w:spacing w:line="240" w:lineRule="auto" w:before="5"/>
        <w:rPr>
          <w:rFonts w:ascii="宋体" w:hAnsi="宋体" w:cs="宋体" w:eastAsia="宋体" w:hint="default"/>
          <w:sz w:val="12"/>
          <w:szCs w:val="1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844"/>
        <w:gridCol w:w="1275"/>
        <w:gridCol w:w="1135"/>
        <w:gridCol w:w="708"/>
        <w:gridCol w:w="1136"/>
        <w:gridCol w:w="708"/>
        <w:gridCol w:w="425"/>
        <w:gridCol w:w="1277"/>
        <w:gridCol w:w="1063"/>
      </w:tblGrid>
      <w:tr>
        <w:trPr>
          <w:trHeight w:val="1339"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本期计 入营业 外收入 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1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本期冲 减成本 费用金 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24"/>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5"/>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与收益相关</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基于私有云的商业智 能服务平台软件项目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244,400.00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244,400.00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促进产学研合作专项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基于私有云的政法应 用支撑与研发平台建 设项目中央补助资金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542,200.00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464,000.00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78,200.00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中关村科技园区海淀 园管委会研发中心研 发投入补贴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293,013.27</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152,706.17</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140,307.10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重大联合攻关项目研 发资助专项资金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京津翼主要食品的区 域一体化信息互认体 系建设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86,256.77</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1,913,743.23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互联网食品安全风险 监控预警体系研究</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华宇食品安全项目补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844"/>
        <w:gridCol w:w="1275"/>
        <w:gridCol w:w="1135"/>
        <w:gridCol w:w="708"/>
        <w:gridCol w:w="1136"/>
        <w:gridCol w:w="708"/>
        <w:gridCol w:w="425"/>
        <w:gridCol w:w="1277"/>
        <w:gridCol w:w="1063"/>
      </w:tblGrid>
      <w:tr>
        <w:trPr>
          <w:trHeight w:val="36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北斗卫星导航系统在 航标遥测遥控系统中 的产品开发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70,000.00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基于证据及案例大数 据的案件推理系统研 发与应用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5,000,000.00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5,000,000.00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多元智能化诉讼服务 技术研究</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2,140,000.00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 w:right="0"/>
              <w:jc w:val="left"/>
              <w:rPr>
                <w:rFonts w:ascii="Arial" w:hAnsi="Arial" w:cs="Arial" w:eastAsia="Arial" w:hint="default"/>
                <w:sz w:val="18"/>
                <w:szCs w:val="18"/>
              </w:rPr>
            </w:pPr>
            <w:r>
              <w:rPr>
                <w:rFonts w:ascii="Arial"/>
                <w:sz w:val="18"/>
              </w:rPr>
              <w:t>1,095,100.00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3,235,100.00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16,539,613.27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left"/>
              <w:rPr>
                <w:rFonts w:ascii="Arial" w:hAnsi="Arial" w:cs="Arial" w:eastAsia="Arial" w:hint="default"/>
                <w:sz w:val="18"/>
                <w:szCs w:val="18"/>
              </w:rPr>
            </w:pPr>
            <w:r>
              <w:rPr>
                <w:rFonts w:ascii="Arial"/>
                <w:sz w:val="18"/>
              </w:rPr>
              <w:t>1,095,100.00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7,567,362.94</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10,067,350.33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27</w:t>
      </w:r>
      <w:r>
        <w:rPr>
          <w:rFonts w:ascii="Microsoft JhengHei" w:hAnsi="Microsoft JhengHei" w:cs="Microsoft JhengHei" w:eastAsia="Microsoft JhengHei" w:hint="default"/>
          <w:b/>
          <w:bCs/>
          <w:sz w:val="21"/>
          <w:szCs w:val="21"/>
        </w:rPr>
        <w:t>、其他非流动负债</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收购万户网络投资款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63,940,000.00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63,940,000.00</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28</w:t>
      </w: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184"/>
        <w:gridCol w:w="1368"/>
        <w:gridCol w:w="1407"/>
        <w:gridCol w:w="708"/>
        <w:gridCol w:w="992"/>
        <w:gridCol w:w="1135"/>
        <w:gridCol w:w="1407"/>
        <w:gridCol w:w="1356"/>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86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49" w:type="dxa"/>
            <w:gridSpan w:val="5"/>
            <w:vMerge/>
            <w:tcBorders>
              <w:left w:val="single" w:sz="4" w:space="0" w:color="000000"/>
              <w:bottom w:val="single" w:sz="4" w:space="0" w:color="000000"/>
              <w:right w:val="single" w:sz="4" w:space="0" w:color="000000"/>
            </w:tcBorders>
            <w:shd w:val="clear" w:color="auto" w:fill="D2D2D2"/>
          </w:tcPr>
          <w:p>
            <w:pPr/>
          </w:p>
        </w:tc>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407" w:type="dxa"/>
            <w:vMerge/>
            <w:tcBorders>
              <w:left w:val="single" w:sz="4" w:space="0" w:color="000000"/>
              <w:bottom w:val="single" w:sz="4" w:space="0" w:color="000000"/>
              <w:right w:val="single" w:sz="4" w:space="0" w:color="000000"/>
            </w:tcBorders>
            <w:shd w:val="clear" w:color="auto" w:fill="D2D2D2"/>
          </w:tcPr>
          <w:p>
            <w:pPr/>
          </w:p>
        </w:tc>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62" w:right="0"/>
              <w:jc w:val="left"/>
              <w:rPr>
                <w:rFonts w:ascii="Arial" w:hAnsi="Arial" w:cs="Arial" w:eastAsia="Arial" w:hint="default"/>
                <w:sz w:val="18"/>
                <w:szCs w:val="18"/>
              </w:rPr>
            </w:pPr>
            <w:r>
              <w:rPr>
                <w:rFonts w:ascii="Arial"/>
                <w:sz w:val="18"/>
              </w:rPr>
              <w:t>644,482,388.00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4" w:right="0"/>
              <w:jc w:val="left"/>
              <w:rPr>
                <w:rFonts w:ascii="Arial" w:hAnsi="Arial" w:cs="Arial" w:eastAsia="Arial" w:hint="default"/>
                <w:sz w:val="18"/>
                <w:szCs w:val="18"/>
              </w:rPr>
            </w:pPr>
            <w:r>
              <w:rPr>
                <w:rFonts w:ascii="Arial"/>
                <w:sz w:val="18"/>
              </w:rPr>
              <w:t>116,325,995.00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1" w:right="0"/>
              <w:jc w:val="left"/>
              <w:rPr>
                <w:rFonts w:ascii="Arial" w:hAnsi="Arial" w:cs="Arial" w:eastAsia="Arial" w:hint="default"/>
                <w:sz w:val="18"/>
                <w:szCs w:val="18"/>
              </w:rPr>
            </w:pPr>
            <w:r>
              <w:rPr>
                <w:rFonts w:ascii="Arial"/>
                <w:sz w:val="18"/>
              </w:rPr>
              <w:t>-127,207.00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8" w:right="0"/>
              <w:jc w:val="left"/>
              <w:rPr>
                <w:rFonts w:ascii="Arial" w:hAnsi="Arial" w:cs="Arial" w:eastAsia="Arial" w:hint="default"/>
                <w:sz w:val="18"/>
                <w:szCs w:val="18"/>
              </w:rPr>
            </w:pPr>
            <w:r>
              <w:rPr>
                <w:rFonts w:ascii="Arial"/>
                <w:spacing w:val="-2"/>
                <w:sz w:val="18"/>
              </w:rPr>
              <w:t>116,198,788.00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6" w:right="0"/>
              <w:jc w:val="left"/>
              <w:rPr>
                <w:rFonts w:ascii="Arial" w:hAnsi="Arial" w:cs="Arial" w:eastAsia="Arial" w:hint="default"/>
                <w:sz w:val="18"/>
                <w:szCs w:val="18"/>
              </w:rPr>
            </w:pPr>
            <w:r>
              <w:rPr>
                <w:rFonts w:ascii="Arial"/>
                <w:sz w:val="18"/>
              </w:rPr>
              <w:t>760,681,176.00</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）股本变动情况见附注七、</w:t>
      </w:r>
      <w:r>
        <w:rPr>
          <w:rFonts w:ascii="Arial" w:hAnsi="Arial" w:cs="Arial" w:eastAsia="Arial" w:hint="default"/>
          <w:sz w:val="21"/>
          <w:szCs w:val="21"/>
        </w:rPr>
        <w:t>29</w:t>
      </w:r>
      <w:r>
        <w:rPr>
          <w:rFonts w:ascii="宋体" w:hAnsi="宋体" w:cs="宋体" w:eastAsia="宋体" w:hint="default"/>
          <w:sz w:val="21"/>
          <w:szCs w:val="21"/>
        </w:rPr>
        <w:t>资本公积。</w:t>
      </w:r>
    </w:p>
    <w:p>
      <w:pPr>
        <w:spacing w:line="240" w:lineRule="auto" w:before="4"/>
        <w:rPr>
          <w:rFonts w:ascii="宋体" w:hAnsi="宋体" w:cs="宋体" w:eastAsia="宋体" w:hint="default"/>
          <w:sz w:val="17"/>
          <w:szCs w:val="17"/>
        </w:rPr>
      </w:pPr>
    </w:p>
    <w:p>
      <w:pPr>
        <w:spacing w:line="297" w:lineRule="auto" w:before="0"/>
        <w:ind w:left="152" w:right="287" w:firstLine="425"/>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）公司</w:t>
      </w: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8</w:t>
      </w:r>
      <w:r>
        <w:rPr>
          <w:rFonts w:ascii="宋体" w:hAnsi="宋体" w:cs="宋体" w:eastAsia="宋体" w:hint="default"/>
          <w:spacing w:val="-2"/>
          <w:sz w:val="21"/>
          <w:szCs w:val="21"/>
        </w:rPr>
        <w:t>月</w:t>
      </w:r>
      <w:r>
        <w:rPr>
          <w:rFonts w:ascii="Arial" w:hAnsi="Arial" w:cs="Arial" w:eastAsia="Arial" w:hint="default"/>
          <w:spacing w:val="-2"/>
          <w:sz w:val="21"/>
          <w:szCs w:val="21"/>
        </w:rPr>
        <w:t>21</w:t>
      </w:r>
      <w:r>
        <w:rPr>
          <w:rFonts w:ascii="宋体" w:hAnsi="宋体" w:cs="宋体" w:eastAsia="宋体" w:hint="default"/>
          <w:spacing w:val="-2"/>
          <w:sz w:val="21"/>
          <w:szCs w:val="21"/>
        </w:rPr>
        <w:t>日，已取得作为本次发行股份对价的联奕科技有限公司</w:t>
      </w:r>
      <w:r>
        <w:rPr>
          <w:rFonts w:ascii="Arial" w:hAnsi="Arial" w:cs="Arial" w:eastAsia="Arial" w:hint="default"/>
          <w:spacing w:val="-2"/>
          <w:sz w:val="21"/>
          <w:szCs w:val="21"/>
        </w:rPr>
        <w:t>100%</w:t>
      </w:r>
      <w:r>
        <w:rPr>
          <w:rFonts w:ascii="宋体" w:hAnsi="宋体" w:cs="宋体" w:eastAsia="宋体" w:hint="default"/>
          <w:spacing w:val="-2"/>
          <w:sz w:val="21"/>
          <w:szCs w:val="21"/>
        </w:rPr>
        <w:t>股权，新增股</w:t>
      </w:r>
      <w:r>
        <w:rPr>
          <w:rFonts w:ascii="宋体" w:hAnsi="宋体" w:cs="宋体" w:eastAsia="宋体" w:hint="default"/>
          <w:w w:val="100"/>
          <w:sz w:val="21"/>
          <w:szCs w:val="21"/>
        </w:rPr>
        <w:t> </w:t>
      </w:r>
      <w:r>
        <w:rPr>
          <w:rFonts w:ascii="宋体" w:hAnsi="宋体" w:cs="宋体" w:eastAsia="宋体" w:hint="default"/>
          <w:spacing w:val="-2"/>
          <w:sz w:val="21"/>
          <w:szCs w:val="21"/>
        </w:rPr>
        <w:t>份</w:t>
      </w:r>
      <w:r>
        <w:rPr>
          <w:rFonts w:ascii="Arial" w:hAnsi="Arial" w:cs="Arial" w:eastAsia="Arial" w:hint="default"/>
          <w:spacing w:val="-2"/>
          <w:sz w:val="21"/>
          <w:szCs w:val="21"/>
        </w:rPr>
        <w:t>60,661,865</w:t>
      </w:r>
      <w:r>
        <w:rPr>
          <w:rFonts w:ascii="宋体" w:hAnsi="宋体" w:cs="宋体" w:eastAsia="宋体" w:hint="default"/>
          <w:spacing w:val="-2"/>
          <w:sz w:val="21"/>
          <w:szCs w:val="21"/>
        </w:rPr>
        <w:t>股，此事项已经中审华会计师事务所</w:t>
      </w:r>
      <w:r>
        <w:rPr>
          <w:rFonts w:ascii="Arial" w:hAnsi="Arial" w:cs="Arial" w:eastAsia="Arial" w:hint="default"/>
          <w:spacing w:val="-2"/>
          <w:sz w:val="21"/>
          <w:szCs w:val="21"/>
        </w:rPr>
        <w:t>(</w:t>
      </w:r>
      <w:r>
        <w:rPr>
          <w:rFonts w:ascii="宋体" w:hAnsi="宋体" w:cs="宋体" w:eastAsia="宋体" w:hint="default"/>
          <w:spacing w:val="-2"/>
          <w:sz w:val="21"/>
          <w:szCs w:val="21"/>
        </w:rPr>
        <w:t>特殊普通合伙</w:t>
      </w:r>
      <w:r>
        <w:rPr>
          <w:rFonts w:ascii="Arial" w:hAnsi="Arial" w:cs="Arial" w:eastAsia="Arial" w:hint="default"/>
          <w:spacing w:val="-2"/>
          <w:sz w:val="21"/>
          <w:szCs w:val="21"/>
        </w:rPr>
        <w:t>)</w:t>
      </w:r>
      <w:r>
        <w:rPr>
          <w:rFonts w:ascii="宋体" w:hAnsi="宋体" w:cs="宋体" w:eastAsia="宋体" w:hint="default"/>
          <w:spacing w:val="-2"/>
          <w:sz w:val="21"/>
          <w:szCs w:val="21"/>
        </w:rPr>
        <w:t>出具</w:t>
      </w:r>
      <w:r>
        <w:rPr>
          <w:rFonts w:ascii="Arial" w:hAnsi="Arial" w:cs="Arial" w:eastAsia="Arial" w:hint="default"/>
          <w:spacing w:val="-2"/>
          <w:sz w:val="21"/>
          <w:szCs w:val="21"/>
        </w:rPr>
        <w:t>CAC</w:t>
      </w:r>
      <w:r>
        <w:rPr>
          <w:rFonts w:ascii="宋体" w:hAnsi="宋体" w:cs="宋体" w:eastAsia="宋体" w:hint="default"/>
          <w:spacing w:val="-2"/>
          <w:sz w:val="21"/>
          <w:szCs w:val="21"/>
        </w:rPr>
        <w:t>验字【</w:t>
      </w:r>
      <w:r>
        <w:rPr>
          <w:rFonts w:ascii="Arial" w:hAnsi="Arial" w:cs="Arial" w:eastAsia="Arial" w:hint="default"/>
          <w:spacing w:val="-2"/>
          <w:sz w:val="21"/>
          <w:szCs w:val="21"/>
        </w:rPr>
        <w:t>2017</w:t>
      </w:r>
      <w:r>
        <w:rPr>
          <w:rFonts w:ascii="宋体" w:hAnsi="宋体" w:cs="宋体" w:eastAsia="宋体" w:hint="default"/>
          <w:spacing w:val="-2"/>
          <w:sz w:val="21"/>
          <w:szCs w:val="21"/>
        </w:rPr>
        <w:t>】</w:t>
      </w:r>
      <w:r>
        <w:rPr>
          <w:rFonts w:ascii="Arial" w:hAnsi="Arial" w:cs="Arial" w:eastAsia="Arial" w:hint="default"/>
          <w:spacing w:val="-2"/>
          <w:sz w:val="21"/>
          <w:szCs w:val="21"/>
        </w:rPr>
        <w:t>0036</w:t>
      </w:r>
      <w:r>
        <w:rPr>
          <w:rFonts w:ascii="宋体" w:hAnsi="宋体" w:cs="宋体" w:eastAsia="宋体" w:hint="default"/>
          <w:spacing w:val="-2"/>
          <w:sz w:val="21"/>
          <w:szCs w:val="21"/>
        </w:rPr>
        <w:t>号验资报</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告审验。</w:t>
      </w:r>
    </w:p>
    <w:p>
      <w:pPr>
        <w:spacing w:line="240" w:lineRule="auto" w:before="8"/>
        <w:rPr>
          <w:rFonts w:ascii="宋体" w:hAnsi="宋体" w:cs="宋体" w:eastAsia="宋体" w:hint="default"/>
          <w:sz w:val="14"/>
          <w:szCs w:val="14"/>
        </w:rPr>
      </w:pPr>
    </w:p>
    <w:p>
      <w:pPr>
        <w:spacing w:line="297" w:lineRule="auto" w:before="0"/>
        <w:ind w:left="152" w:right="148" w:firstLine="425"/>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）截止</w:t>
      </w:r>
      <w:r>
        <w:rPr>
          <w:rFonts w:ascii="Arial" w:hAnsi="Arial" w:cs="Arial" w:eastAsia="Arial" w:hint="default"/>
          <w:sz w:val="21"/>
          <w:szCs w:val="21"/>
        </w:rPr>
        <w:t>2017</w:t>
      </w:r>
      <w:r>
        <w:rPr>
          <w:rFonts w:ascii="宋体" w:hAnsi="宋体" w:cs="宋体" w:eastAsia="宋体" w:hint="default"/>
          <w:sz w:val="21"/>
          <w:szCs w:val="21"/>
        </w:rPr>
        <w:t>年</w:t>
      </w: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18</w:t>
      </w:r>
      <w:r>
        <w:rPr>
          <w:rFonts w:ascii="宋体" w:hAnsi="宋体" w:cs="宋体" w:eastAsia="宋体" w:hint="default"/>
          <w:sz w:val="21"/>
          <w:szCs w:val="21"/>
        </w:rPr>
        <w:t>日止，公司已收到上海国鑫投资发展有限公司、北京中关村并购母基金投资</w:t>
      </w:r>
      <w:r>
        <w:rPr>
          <w:rFonts w:ascii="宋体" w:hAnsi="宋体" w:cs="宋体" w:eastAsia="宋体" w:hint="default"/>
          <w:w w:val="100"/>
          <w:sz w:val="21"/>
          <w:szCs w:val="21"/>
        </w:rPr>
        <w:t> </w:t>
      </w:r>
      <w:r>
        <w:rPr>
          <w:rFonts w:ascii="宋体" w:hAnsi="宋体" w:cs="宋体" w:eastAsia="宋体" w:hint="default"/>
          <w:spacing w:val="-2"/>
          <w:sz w:val="21"/>
          <w:szCs w:val="21"/>
        </w:rPr>
        <w:t>中心（有限合伙）、全国社保基金五零四组合、嘉实基金超新星</w:t>
      </w:r>
      <w:r>
        <w:rPr>
          <w:rFonts w:ascii="Arial" w:hAnsi="Arial" w:cs="Arial" w:eastAsia="Arial" w:hint="default"/>
          <w:spacing w:val="-2"/>
          <w:sz w:val="21"/>
          <w:szCs w:val="21"/>
        </w:rPr>
        <w:t>1</w:t>
      </w:r>
      <w:r>
        <w:rPr>
          <w:rFonts w:ascii="宋体" w:hAnsi="宋体" w:cs="宋体" w:eastAsia="宋体" w:hint="default"/>
          <w:spacing w:val="-2"/>
          <w:sz w:val="21"/>
          <w:szCs w:val="21"/>
        </w:rPr>
        <w:t>号定增资产管理计划、嘉实基金</w:t>
      </w:r>
      <w:r>
        <w:rPr>
          <w:rFonts w:ascii="Arial" w:hAnsi="Arial" w:cs="Arial" w:eastAsia="Arial" w:hint="default"/>
          <w:spacing w:val="-2"/>
          <w:sz w:val="21"/>
          <w:szCs w:val="21"/>
        </w:rPr>
        <w:t>-</w:t>
      </w:r>
      <w:r>
        <w:rPr>
          <w:rFonts w:ascii="宋体" w:hAnsi="宋体" w:cs="宋体" w:eastAsia="宋体" w:hint="default"/>
          <w:spacing w:val="-2"/>
          <w:sz w:val="21"/>
          <w:szCs w:val="21"/>
        </w:rPr>
        <w:t>浦发银</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行</w:t>
      </w:r>
      <w:r>
        <w:rPr>
          <w:rFonts w:ascii="Arial" w:hAnsi="Arial" w:cs="Arial" w:eastAsia="Arial" w:hint="default"/>
          <w:sz w:val="21"/>
          <w:szCs w:val="21"/>
        </w:rPr>
        <w:t>-</w:t>
      </w:r>
      <w:r>
        <w:rPr>
          <w:rFonts w:ascii="宋体" w:hAnsi="宋体" w:cs="宋体" w:eastAsia="宋体" w:hint="default"/>
          <w:sz w:val="21"/>
          <w:szCs w:val="21"/>
        </w:rPr>
        <w:t>睿思</w:t>
      </w:r>
      <w:r>
        <w:rPr>
          <w:rFonts w:ascii="Arial" w:hAnsi="Arial" w:cs="Arial" w:eastAsia="Arial" w:hint="default"/>
          <w:sz w:val="21"/>
          <w:szCs w:val="21"/>
        </w:rPr>
        <w:t>5</w:t>
      </w:r>
      <w:r>
        <w:rPr>
          <w:rFonts w:ascii="宋体" w:hAnsi="宋体" w:cs="宋体" w:eastAsia="宋体" w:hint="default"/>
          <w:sz w:val="21"/>
          <w:szCs w:val="21"/>
        </w:rPr>
        <w:t>号资产管理计划、邵学缴纳的作为本次发行股份购买资产的募集配套资金</w:t>
      </w:r>
      <w:r>
        <w:rPr>
          <w:rFonts w:ascii="Arial" w:hAnsi="Arial" w:cs="Arial" w:eastAsia="Arial" w:hint="default"/>
          <w:sz w:val="21"/>
          <w:szCs w:val="21"/>
        </w:rPr>
        <w:t>48,000</w:t>
      </w:r>
      <w:r>
        <w:rPr>
          <w:rFonts w:ascii="宋体" w:hAnsi="宋体" w:cs="宋体" w:eastAsia="宋体" w:hint="default"/>
          <w:sz w:val="21"/>
          <w:szCs w:val="21"/>
        </w:rPr>
        <w:t>万元（扣除承</w:t>
      </w:r>
      <w:r>
        <w:rPr>
          <w:rFonts w:ascii="宋体" w:hAnsi="宋体" w:cs="宋体" w:eastAsia="宋体" w:hint="default"/>
          <w:w w:val="100"/>
          <w:sz w:val="21"/>
          <w:szCs w:val="21"/>
        </w:rPr>
        <w:t> </w:t>
      </w:r>
      <w:r>
        <w:rPr>
          <w:rFonts w:ascii="宋体" w:hAnsi="宋体" w:cs="宋体" w:eastAsia="宋体" w:hint="default"/>
          <w:sz w:val="21"/>
          <w:szCs w:val="21"/>
        </w:rPr>
        <w:t>销商国信证券股份有限公司承销费用</w:t>
      </w:r>
      <w:r>
        <w:rPr>
          <w:rFonts w:ascii="Arial" w:hAnsi="Arial" w:cs="Arial" w:eastAsia="Arial" w:hint="default"/>
          <w:sz w:val="21"/>
          <w:szCs w:val="21"/>
        </w:rPr>
        <w:t>1,000</w:t>
      </w:r>
      <w:r>
        <w:rPr>
          <w:rFonts w:ascii="宋体" w:hAnsi="宋体" w:cs="宋体" w:eastAsia="宋体" w:hint="default"/>
          <w:sz w:val="21"/>
          <w:szCs w:val="21"/>
        </w:rPr>
        <w:t>万元），认购公司股份</w:t>
      </w:r>
      <w:r>
        <w:rPr>
          <w:rFonts w:ascii="Arial" w:hAnsi="Arial" w:cs="Arial" w:eastAsia="Arial" w:hint="default"/>
          <w:sz w:val="21"/>
          <w:szCs w:val="21"/>
        </w:rPr>
        <w:t>31,091,370</w:t>
      </w:r>
      <w:r>
        <w:rPr>
          <w:rFonts w:ascii="宋体" w:hAnsi="宋体" w:cs="宋体" w:eastAsia="宋体" w:hint="default"/>
          <w:sz w:val="21"/>
          <w:szCs w:val="21"/>
        </w:rPr>
        <w:t>股，此事项已经中审华会计</w:t>
      </w:r>
      <w:r>
        <w:rPr>
          <w:rFonts w:ascii="宋体" w:hAnsi="宋体" w:cs="宋体" w:eastAsia="宋体" w:hint="default"/>
          <w:w w:val="100"/>
          <w:sz w:val="21"/>
          <w:szCs w:val="21"/>
        </w:rPr>
        <w:t> </w:t>
      </w:r>
      <w:r>
        <w:rPr>
          <w:rFonts w:ascii="宋体" w:hAnsi="宋体" w:cs="宋体" w:eastAsia="宋体" w:hint="default"/>
          <w:sz w:val="21"/>
          <w:szCs w:val="21"/>
        </w:rPr>
        <w:t>师事务所</w:t>
      </w:r>
      <w:r>
        <w:rPr>
          <w:rFonts w:ascii="Arial" w:hAnsi="Arial" w:cs="Arial" w:eastAsia="Arial" w:hint="default"/>
          <w:sz w:val="21"/>
          <w:szCs w:val="21"/>
        </w:rPr>
        <w:t>(</w:t>
      </w:r>
      <w:r>
        <w:rPr>
          <w:rFonts w:ascii="宋体" w:hAnsi="宋体" w:cs="宋体" w:eastAsia="宋体" w:hint="default"/>
          <w:sz w:val="21"/>
          <w:szCs w:val="21"/>
        </w:rPr>
        <w:t>特殊普通合伙</w:t>
      </w:r>
      <w:r>
        <w:rPr>
          <w:rFonts w:ascii="Arial" w:hAnsi="Arial" w:cs="Arial" w:eastAsia="Arial" w:hint="default"/>
          <w:sz w:val="21"/>
          <w:szCs w:val="21"/>
        </w:rPr>
        <w:t>)</w:t>
      </w:r>
      <w:r>
        <w:rPr>
          <w:rFonts w:ascii="宋体" w:hAnsi="宋体" w:cs="宋体" w:eastAsia="宋体" w:hint="default"/>
          <w:sz w:val="21"/>
          <w:szCs w:val="21"/>
        </w:rPr>
        <w:t>出具</w:t>
      </w:r>
      <w:r>
        <w:rPr>
          <w:rFonts w:ascii="Arial" w:hAnsi="Arial" w:cs="Arial" w:eastAsia="Arial" w:hint="default"/>
          <w:sz w:val="21"/>
          <w:szCs w:val="21"/>
        </w:rPr>
        <w:t>CAC</w:t>
      </w:r>
      <w:r>
        <w:rPr>
          <w:rFonts w:ascii="宋体" w:hAnsi="宋体" w:cs="宋体" w:eastAsia="宋体" w:hint="default"/>
          <w:sz w:val="21"/>
          <w:szCs w:val="21"/>
        </w:rPr>
        <w:t>验字【</w:t>
      </w:r>
      <w:r>
        <w:rPr>
          <w:rFonts w:ascii="Arial" w:hAnsi="Arial" w:cs="Arial" w:eastAsia="Arial" w:hint="default"/>
          <w:sz w:val="21"/>
          <w:szCs w:val="21"/>
        </w:rPr>
        <w:t>2017</w:t>
      </w:r>
      <w:r>
        <w:rPr>
          <w:rFonts w:ascii="宋体" w:hAnsi="宋体" w:cs="宋体" w:eastAsia="宋体" w:hint="default"/>
          <w:sz w:val="21"/>
          <w:szCs w:val="21"/>
        </w:rPr>
        <w:t>】</w:t>
      </w:r>
      <w:r>
        <w:rPr>
          <w:rFonts w:ascii="Arial" w:hAnsi="Arial" w:cs="Arial" w:eastAsia="Arial" w:hint="default"/>
          <w:sz w:val="21"/>
          <w:szCs w:val="21"/>
        </w:rPr>
        <w:t>0051</w:t>
      </w:r>
      <w:r>
        <w:rPr>
          <w:rFonts w:ascii="宋体" w:hAnsi="宋体" w:cs="宋体" w:eastAsia="宋体" w:hint="default"/>
          <w:sz w:val="21"/>
          <w:szCs w:val="21"/>
        </w:rPr>
        <w:t>号验资报告审验。</w:t>
      </w:r>
    </w:p>
    <w:p>
      <w:pPr>
        <w:spacing w:before="192"/>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29</w:t>
      </w: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226,302,296.84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1,634,169,178.08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727,721.32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1,859,743,753.60</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51,781,864.35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28,875,241.12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30,845,238.83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49,811,866.64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1,000,000.00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279,084,161.19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1,663,044,419.20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31,572,960.15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1,910,555,620.24</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其他说明，包括本期增减变动情况、变动原因说明：</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）股本溢价的变动说明：</w:t>
      </w:r>
    </w:p>
    <w:p>
      <w:pPr>
        <w:spacing w:line="240" w:lineRule="auto" w:before="4"/>
        <w:rPr>
          <w:rFonts w:ascii="宋体" w:hAnsi="宋体" w:cs="宋体" w:eastAsia="宋体" w:hint="default"/>
          <w:sz w:val="17"/>
          <w:szCs w:val="17"/>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①本公司及集团内公司股票期权激励对象本期行权相应增加股本</w:t>
      </w:r>
      <w:r>
        <w:rPr>
          <w:rFonts w:ascii="Arial" w:hAnsi="Arial" w:cs="Arial" w:eastAsia="Arial" w:hint="default"/>
          <w:sz w:val="21"/>
          <w:szCs w:val="21"/>
        </w:rPr>
        <w:t>2,985,860.00</w:t>
      </w:r>
      <w:r>
        <w:rPr>
          <w:rFonts w:ascii="宋体" w:hAnsi="宋体" w:cs="宋体" w:eastAsia="宋体" w:hint="default"/>
          <w:sz w:val="21"/>
          <w:szCs w:val="21"/>
        </w:rPr>
        <w:t>元，增加股本溢价</w:t>
      </w:r>
    </w:p>
    <w:p>
      <w:pPr>
        <w:spacing w:before="70"/>
        <w:ind w:left="152" w:right="0" w:firstLine="0"/>
        <w:jc w:val="left"/>
        <w:rPr>
          <w:rFonts w:ascii="宋体" w:hAnsi="宋体" w:cs="宋体" w:eastAsia="宋体" w:hint="default"/>
          <w:sz w:val="21"/>
          <w:szCs w:val="21"/>
        </w:rPr>
      </w:pPr>
      <w:r>
        <w:rPr>
          <w:rFonts w:ascii="Arial" w:hAnsi="Arial" w:cs="Arial" w:eastAsia="Arial" w:hint="default"/>
          <w:sz w:val="21"/>
          <w:szCs w:val="21"/>
        </w:rPr>
        <w:t>9,482,467.80</w:t>
      </w:r>
      <w:r>
        <w:rPr>
          <w:rFonts w:ascii="宋体" w:hAnsi="宋体" w:cs="宋体" w:eastAsia="宋体" w:hint="default"/>
          <w:sz w:val="21"/>
          <w:szCs w:val="21"/>
        </w:rPr>
        <w:t>元。行权款产生利息</w:t>
      </w:r>
      <w:r>
        <w:rPr>
          <w:rFonts w:ascii="Arial" w:hAnsi="Arial" w:cs="Arial" w:eastAsia="Arial" w:hint="default"/>
          <w:sz w:val="21"/>
          <w:szCs w:val="21"/>
        </w:rPr>
        <w:t>8,715.53</w:t>
      </w:r>
      <w:r>
        <w:rPr>
          <w:rFonts w:ascii="宋体" w:hAnsi="宋体" w:cs="宋体" w:eastAsia="宋体" w:hint="default"/>
          <w:sz w:val="21"/>
          <w:szCs w:val="21"/>
        </w:rPr>
        <w:t>元，增加股本溢价</w:t>
      </w:r>
      <w:r>
        <w:rPr>
          <w:rFonts w:ascii="Arial" w:hAnsi="Arial" w:cs="Arial" w:eastAsia="Arial" w:hint="default"/>
          <w:sz w:val="21"/>
          <w:szCs w:val="21"/>
        </w:rPr>
        <w:t>8,715.53</w:t>
      </w:r>
      <w:r>
        <w:rPr>
          <w:rFonts w:ascii="宋体" w:hAnsi="宋体" w:cs="宋体" w:eastAsia="宋体" w:hint="default"/>
          <w:sz w:val="21"/>
          <w:szCs w:val="21"/>
        </w:rPr>
        <w:t>元；</w:t>
      </w:r>
    </w:p>
    <w:p>
      <w:pPr>
        <w:spacing w:line="240" w:lineRule="auto" w:before="4"/>
        <w:rPr>
          <w:rFonts w:ascii="宋体" w:hAnsi="宋体" w:cs="宋体" w:eastAsia="宋体" w:hint="default"/>
          <w:sz w:val="17"/>
          <w:szCs w:val="17"/>
        </w:rPr>
      </w:pPr>
    </w:p>
    <w:p>
      <w:pPr>
        <w:spacing w:line="307" w:lineRule="auto" w:before="0"/>
        <w:ind w:left="152" w:right="0" w:firstLine="425"/>
        <w:jc w:val="left"/>
        <w:rPr>
          <w:rFonts w:ascii="宋体" w:hAnsi="宋体" w:cs="宋体" w:eastAsia="宋体" w:hint="default"/>
          <w:sz w:val="21"/>
          <w:szCs w:val="21"/>
        </w:rPr>
      </w:pPr>
      <w:r>
        <w:rPr>
          <w:rFonts w:ascii="宋体" w:hAnsi="宋体" w:cs="宋体" w:eastAsia="宋体" w:hint="default"/>
          <w:sz w:val="21"/>
          <w:szCs w:val="21"/>
        </w:rPr>
        <w:t>②本公司及集团内公司股票期权激励对象本期行权和限制性股票激励对象本期解锁对应的费用，从</w:t>
      </w:r>
      <w:r>
        <w:rPr>
          <w:rFonts w:ascii="宋体" w:hAnsi="宋体" w:cs="宋体" w:eastAsia="宋体" w:hint="default"/>
          <w:w w:val="100"/>
          <w:sz w:val="21"/>
          <w:szCs w:val="21"/>
        </w:rPr>
        <w:t> </w:t>
      </w:r>
      <w:r>
        <w:rPr>
          <w:rFonts w:ascii="宋体" w:hAnsi="宋体" w:cs="宋体" w:eastAsia="宋体" w:hint="default"/>
          <w:spacing w:val="-2"/>
          <w:sz w:val="21"/>
          <w:szCs w:val="21"/>
        </w:rPr>
        <w:t>其他资本公积转入股本溢价，增加股本溢价</w:t>
      </w:r>
      <w:r>
        <w:rPr>
          <w:rFonts w:ascii="Arial" w:hAnsi="Arial" w:cs="Arial" w:eastAsia="Arial" w:hint="default"/>
          <w:spacing w:val="-2"/>
          <w:sz w:val="21"/>
          <w:szCs w:val="21"/>
        </w:rPr>
        <w:t>6,291,789.88</w:t>
      </w:r>
      <w:r>
        <w:rPr>
          <w:rFonts w:ascii="宋体" w:hAnsi="宋体" w:cs="宋体" w:eastAsia="宋体" w:hint="default"/>
          <w:spacing w:val="-2"/>
          <w:sz w:val="21"/>
          <w:szCs w:val="21"/>
        </w:rPr>
        <w:t>元；按照实际税前可扣除所得税影响，从其他资</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本公积转入股本溢价，增加股本溢价</w:t>
      </w:r>
      <w:r>
        <w:rPr>
          <w:rFonts w:ascii="Arial" w:hAnsi="Arial" w:cs="Arial" w:eastAsia="Arial" w:hint="default"/>
          <w:sz w:val="21"/>
          <w:szCs w:val="21"/>
        </w:rPr>
        <w:t>21,369,741.67</w:t>
      </w:r>
      <w:r>
        <w:rPr>
          <w:rFonts w:ascii="宋体" w:hAnsi="宋体" w:cs="宋体" w:eastAsia="宋体" w:hint="default"/>
          <w:sz w:val="21"/>
          <w:szCs w:val="21"/>
        </w:rPr>
        <w:t>元；</w:t>
      </w:r>
    </w:p>
    <w:p>
      <w:pPr>
        <w:spacing w:before="160"/>
        <w:ind w:left="578" w:right="0" w:firstLine="0"/>
        <w:jc w:val="left"/>
        <w:rPr>
          <w:rFonts w:ascii="宋体" w:hAnsi="宋体" w:cs="宋体" w:eastAsia="宋体" w:hint="default"/>
          <w:sz w:val="21"/>
          <w:szCs w:val="21"/>
        </w:rPr>
      </w:pPr>
      <w:r>
        <w:rPr>
          <w:rFonts w:ascii="宋体" w:hAnsi="宋体" w:cs="宋体" w:eastAsia="宋体" w:hint="default"/>
          <w:sz w:val="21"/>
          <w:szCs w:val="21"/>
        </w:rPr>
        <w:t>③本公司发行第二次限制性股票相应增加股本</w:t>
      </w:r>
      <w:r>
        <w:rPr>
          <w:rFonts w:ascii="Arial" w:hAnsi="Arial" w:cs="Arial" w:eastAsia="Arial" w:hint="default"/>
          <w:sz w:val="21"/>
          <w:szCs w:val="21"/>
        </w:rPr>
        <w:t>21,586,900.00</w:t>
      </w:r>
      <w:r>
        <w:rPr>
          <w:rFonts w:ascii="宋体" w:hAnsi="宋体" w:cs="宋体" w:eastAsia="宋体" w:hint="default"/>
          <w:sz w:val="21"/>
          <w:szCs w:val="21"/>
        </w:rPr>
        <w:t>元，增加股本溢价</w:t>
      </w:r>
      <w:r>
        <w:rPr>
          <w:rFonts w:ascii="Arial" w:hAnsi="Arial" w:cs="Arial" w:eastAsia="Arial" w:hint="default"/>
          <w:sz w:val="21"/>
          <w:szCs w:val="21"/>
        </w:rPr>
        <w:t>194,929,707.00</w:t>
      </w:r>
      <w:r>
        <w:rPr>
          <w:rFonts w:ascii="宋体" w:hAnsi="宋体" w:cs="宋体" w:eastAsia="宋体" w:hint="default"/>
          <w:sz w:val="21"/>
          <w:szCs w:val="21"/>
        </w:rPr>
        <w:t>元；</w:t>
      </w:r>
    </w:p>
    <w:p>
      <w:pPr>
        <w:spacing w:line="240" w:lineRule="auto" w:before="4"/>
        <w:rPr>
          <w:rFonts w:ascii="宋体" w:hAnsi="宋体" w:cs="宋体" w:eastAsia="宋体" w:hint="default"/>
          <w:sz w:val="17"/>
          <w:szCs w:val="17"/>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④本公司并购联奕科技有限公司发行股份增加股本</w:t>
      </w:r>
      <w:r>
        <w:rPr>
          <w:rFonts w:ascii="Arial" w:hAnsi="Arial" w:cs="Arial" w:eastAsia="Arial" w:hint="default"/>
          <w:sz w:val="21"/>
          <w:szCs w:val="21"/>
        </w:rPr>
        <w:t>91,753,235.00</w:t>
      </w:r>
      <w:r>
        <w:rPr>
          <w:rFonts w:ascii="宋体" w:hAnsi="宋体" w:cs="宋体" w:eastAsia="宋体" w:hint="default"/>
          <w:sz w:val="21"/>
          <w:szCs w:val="21"/>
        </w:rPr>
        <w:t>元，增加股本溢价</w:t>
      </w:r>
    </w:p>
    <w:p>
      <w:pPr>
        <w:spacing w:before="70"/>
        <w:ind w:left="152" w:right="0" w:firstLine="0"/>
        <w:jc w:val="left"/>
        <w:rPr>
          <w:rFonts w:ascii="宋体" w:hAnsi="宋体" w:cs="宋体" w:eastAsia="宋体" w:hint="default"/>
          <w:sz w:val="21"/>
          <w:szCs w:val="21"/>
        </w:rPr>
      </w:pPr>
      <w:r>
        <w:rPr>
          <w:rFonts w:ascii="Arial" w:hAnsi="Arial" w:cs="Arial" w:eastAsia="Arial" w:hint="default"/>
          <w:sz w:val="21"/>
          <w:szCs w:val="21"/>
        </w:rPr>
        <w:t>1,402,086,756.20</w:t>
      </w:r>
      <w:r>
        <w:rPr>
          <w:rFonts w:ascii="宋体" w:hAnsi="宋体" w:cs="宋体" w:eastAsia="宋体" w:hint="default"/>
          <w:sz w:val="21"/>
          <w:szCs w:val="21"/>
        </w:rPr>
        <w:t>元；</w:t>
      </w:r>
    </w:p>
    <w:p>
      <w:pPr>
        <w:spacing w:line="240" w:lineRule="auto" w:before="4"/>
        <w:rPr>
          <w:rFonts w:ascii="宋体" w:hAnsi="宋体" w:cs="宋体" w:eastAsia="宋体" w:hint="default"/>
          <w:sz w:val="17"/>
          <w:szCs w:val="17"/>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⑤本公司及集团内公司限制性股票激励对象离职回购限制性股票相应减少股本</w:t>
      </w:r>
      <w:r>
        <w:rPr>
          <w:rFonts w:ascii="Arial" w:hAnsi="Arial" w:cs="Arial" w:eastAsia="Arial" w:hint="default"/>
          <w:spacing w:val="-2"/>
          <w:sz w:val="21"/>
          <w:szCs w:val="21"/>
        </w:rPr>
        <w:t>127,207.00</w:t>
      </w:r>
      <w:r>
        <w:rPr>
          <w:rFonts w:ascii="宋体" w:hAnsi="宋体" w:cs="宋体" w:eastAsia="宋体" w:hint="default"/>
          <w:spacing w:val="-2"/>
          <w:sz w:val="21"/>
          <w:szCs w:val="21"/>
        </w:rPr>
        <w:t>元，减少</w:t>
      </w:r>
      <w:r>
        <w:rPr>
          <w:rFonts w:ascii="宋体" w:hAnsi="宋体" w:cs="宋体" w:eastAsia="宋体" w:hint="default"/>
          <w:w w:val="100"/>
          <w:sz w:val="21"/>
          <w:szCs w:val="21"/>
        </w:rPr>
        <w:t> </w:t>
      </w:r>
      <w:r>
        <w:rPr>
          <w:rFonts w:ascii="宋体" w:hAnsi="宋体" w:cs="宋体" w:eastAsia="宋体" w:hint="default"/>
          <w:sz w:val="21"/>
          <w:szCs w:val="21"/>
        </w:rPr>
        <w:t>股本溢价</w:t>
      </w:r>
      <w:r>
        <w:rPr>
          <w:rFonts w:ascii="Arial" w:hAnsi="Arial" w:cs="Arial" w:eastAsia="Arial" w:hint="default"/>
          <w:sz w:val="21"/>
          <w:szCs w:val="21"/>
        </w:rPr>
        <w:t>509,699.16</w:t>
      </w:r>
      <w:r>
        <w:rPr>
          <w:rFonts w:ascii="宋体" w:hAnsi="宋体" w:cs="宋体" w:eastAsia="宋体" w:hint="default"/>
          <w:sz w:val="21"/>
          <w:szCs w:val="21"/>
        </w:rPr>
        <w:t>元；</w:t>
      </w:r>
    </w:p>
    <w:p>
      <w:pPr>
        <w:spacing w:before="170"/>
        <w:ind w:left="578" w:right="0" w:firstLine="0"/>
        <w:jc w:val="left"/>
        <w:rPr>
          <w:rFonts w:ascii="宋体" w:hAnsi="宋体" w:cs="宋体" w:eastAsia="宋体" w:hint="default"/>
          <w:sz w:val="21"/>
          <w:szCs w:val="21"/>
        </w:rPr>
      </w:pPr>
      <w:r>
        <w:rPr>
          <w:rFonts w:ascii="宋体" w:hAnsi="宋体" w:cs="宋体" w:eastAsia="宋体" w:hint="default"/>
          <w:sz w:val="21"/>
          <w:szCs w:val="21"/>
        </w:rPr>
        <w:t>⑥上述发行股份事项中，发生验资及登记费用等相关费用，减少股本溢价</w:t>
      </w:r>
      <w:r>
        <w:rPr>
          <w:rFonts w:ascii="Arial" w:hAnsi="Arial" w:cs="Arial" w:eastAsia="Arial" w:hint="default"/>
          <w:sz w:val="21"/>
          <w:szCs w:val="21"/>
        </w:rPr>
        <w:t>218,022.16</w:t>
      </w:r>
      <w:r>
        <w:rPr>
          <w:rFonts w:ascii="宋体" w:hAnsi="宋体" w:cs="宋体" w:eastAsia="宋体" w:hint="default"/>
          <w:sz w:val="21"/>
          <w:szCs w:val="21"/>
        </w:rPr>
        <w:t>元。</w:t>
      </w:r>
    </w:p>
    <w:p>
      <w:pPr>
        <w:spacing w:line="240" w:lineRule="auto" w:before="4"/>
        <w:rPr>
          <w:rFonts w:ascii="宋体" w:hAnsi="宋体" w:cs="宋体" w:eastAsia="宋体" w:hint="default"/>
          <w:sz w:val="17"/>
          <w:szCs w:val="17"/>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）其他资本公积的变动说明：</w:t>
      </w:r>
    </w:p>
    <w:p>
      <w:pPr>
        <w:spacing w:line="240" w:lineRule="auto" w:before="4"/>
        <w:rPr>
          <w:rFonts w:ascii="宋体" w:hAnsi="宋体" w:cs="宋体" w:eastAsia="宋体" w:hint="default"/>
          <w:sz w:val="17"/>
          <w:szCs w:val="17"/>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①本公司及集团内公司根据权益工具的公允价值和预计可行权数量（含限制性股票及期权），确认</w:t>
      </w:r>
      <w:r>
        <w:rPr>
          <w:rFonts w:ascii="宋体" w:hAnsi="宋体" w:cs="宋体" w:eastAsia="宋体" w:hint="default"/>
          <w:w w:val="100"/>
          <w:sz w:val="21"/>
          <w:szCs w:val="21"/>
        </w:rPr>
        <w:t> </w:t>
      </w:r>
      <w:r>
        <w:rPr>
          <w:rFonts w:ascii="宋体" w:hAnsi="宋体" w:cs="宋体" w:eastAsia="宋体" w:hint="default"/>
          <w:sz w:val="21"/>
          <w:szCs w:val="21"/>
        </w:rPr>
        <w:t>成本费用</w:t>
      </w:r>
      <w:r>
        <w:rPr>
          <w:rFonts w:ascii="Arial" w:hAnsi="Arial" w:cs="Arial" w:eastAsia="Arial" w:hint="default"/>
          <w:sz w:val="21"/>
          <w:szCs w:val="21"/>
        </w:rPr>
        <w:t>19,610,570.57</w:t>
      </w:r>
      <w:r>
        <w:rPr>
          <w:rFonts w:ascii="宋体" w:hAnsi="宋体" w:cs="宋体" w:eastAsia="宋体" w:hint="default"/>
          <w:sz w:val="21"/>
          <w:szCs w:val="21"/>
        </w:rPr>
        <w:t>元，扣除少数股东权益影响，增加其他资本公积</w:t>
      </w:r>
      <w:r>
        <w:rPr>
          <w:rFonts w:ascii="Arial" w:hAnsi="Arial" w:cs="Arial" w:eastAsia="Arial" w:hint="default"/>
          <w:sz w:val="21"/>
          <w:szCs w:val="21"/>
        </w:rPr>
        <w:t>18,967,271.68</w:t>
      </w:r>
      <w:r>
        <w:rPr>
          <w:rFonts w:ascii="宋体" w:hAnsi="宋体" w:cs="宋体" w:eastAsia="宋体" w:hint="default"/>
          <w:sz w:val="21"/>
          <w:szCs w:val="21"/>
        </w:rPr>
        <w:t>元；</w:t>
      </w:r>
    </w:p>
    <w:p>
      <w:pPr>
        <w:spacing w:line="314" w:lineRule="auto" w:before="153"/>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②本公司按照期权行权和限制性股票解锁实际税前抵扣金额超出相应费用部分对应的所得税金额，</w:t>
      </w:r>
      <w:r>
        <w:rPr>
          <w:rFonts w:ascii="宋体" w:hAnsi="宋体" w:cs="宋体" w:eastAsia="宋体" w:hint="default"/>
          <w:w w:val="100"/>
          <w:sz w:val="21"/>
          <w:szCs w:val="21"/>
        </w:rPr>
        <w:t> </w:t>
      </w:r>
      <w:r>
        <w:rPr>
          <w:rFonts w:ascii="宋体" w:hAnsi="宋体" w:cs="宋体" w:eastAsia="宋体" w:hint="default"/>
          <w:sz w:val="21"/>
          <w:szCs w:val="21"/>
        </w:rPr>
        <w:t>增加其他资本公积</w:t>
      </w:r>
      <w:r>
        <w:rPr>
          <w:rFonts w:ascii="Arial" w:hAnsi="Arial" w:cs="Arial" w:eastAsia="Arial" w:hint="default"/>
          <w:sz w:val="21"/>
          <w:szCs w:val="21"/>
        </w:rPr>
        <w:t>3,780,668.81</w:t>
      </w:r>
      <w:r>
        <w:rPr>
          <w:rFonts w:ascii="宋体" w:hAnsi="宋体" w:cs="宋体" w:eastAsia="宋体" w:hint="default"/>
          <w:sz w:val="21"/>
          <w:szCs w:val="21"/>
        </w:rPr>
        <w:t>元；</w:t>
      </w:r>
    </w:p>
    <w:p>
      <w:pPr>
        <w:spacing w:before="153"/>
        <w:ind w:left="578" w:right="0" w:firstLine="0"/>
        <w:jc w:val="left"/>
        <w:rPr>
          <w:rFonts w:ascii="宋体" w:hAnsi="宋体" w:cs="宋体" w:eastAsia="宋体" w:hint="default"/>
          <w:sz w:val="21"/>
          <w:szCs w:val="21"/>
        </w:rPr>
      </w:pPr>
      <w:r>
        <w:rPr>
          <w:rFonts w:ascii="宋体" w:hAnsi="宋体" w:cs="宋体" w:eastAsia="宋体" w:hint="default"/>
          <w:sz w:val="21"/>
          <w:szCs w:val="21"/>
        </w:rPr>
        <w:t>③本公司联营企业深圳市捷视飞通科技股份有限公司发生其他权益变动导致增加其他资本公积</w:t>
      </w:r>
    </w:p>
    <w:p>
      <w:pPr>
        <w:spacing w:before="85"/>
        <w:ind w:left="152" w:right="0" w:firstLine="0"/>
        <w:jc w:val="left"/>
        <w:rPr>
          <w:rFonts w:ascii="宋体" w:hAnsi="宋体" w:cs="宋体" w:eastAsia="宋体" w:hint="default"/>
          <w:sz w:val="21"/>
          <w:szCs w:val="21"/>
        </w:rPr>
      </w:pPr>
      <w:r>
        <w:rPr>
          <w:rFonts w:ascii="Arial" w:hAnsi="Arial" w:cs="Arial" w:eastAsia="Arial" w:hint="default"/>
          <w:sz w:val="21"/>
          <w:szCs w:val="21"/>
        </w:rPr>
        <w:t>6,127,300.63</w:t>
      </w:r>
      <w:r>
        <w:rPr>
          <w:rFonts w:ascii="宋体" w:hAnsi="宋体" w:cs="宋体" w:eastAsia="宋体" w:hint="default"/>
          <w:sz w:val="21"/>
          <w:szCs w:val="21"/>
        </w:rPr>
        <w:t>元；</w:t>
      </w:r>
    </w:p>
    <w:p>
      <w:pPr>
        <w:spacing w:line="240" w:lineRule="auto" w:before="4"/>
        <w:rPr>
          <w:rFonts w:ascii="宋体" w:hAnsi="宋体" w:cs="宋体" w:eastAsia="宋体" w:hint="default"/>
          <w:sz w:val="17"/>
          <w:szCs w:val="17"/>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④本公司按照预计未来期间税前可扣除的金额确认相关股票期权和限制性股票相关递延所得税，减</w:t>
      </w:r>
      <w:r>
        <w:rPr>
          <w:rFonts w:ascii="宋体" w:hAnsi="宋体" w:cs="宋体" w:eastAsia="宋体" w:hint="default"/>
          <w:w w:val="100"/>
          <w:sz w:val="21"/>
          <w:szCs w:val="21"/>
        </w:rPr>
        <w:t> </w:t>
      </w:r>
      <w:r>
        <w:rPr>
          <w:rFonts w:ascii="宋体" w:hAnsi="宋体" w:cs="宋体" w:eastAsia="宋体" w:hint="default"/>
          <w:sz w:val="21"/>
          <w:szCs w:val="21"/>
        </w:rPr>
        <w:t>少其他资本公积</w:t>
      </w:r>
      <w:r>
        <w:rPr>
          <w:rFonts w:ascii="Arial" w:hAnsi="Arial" w:cs="Arial" w:eastAsia="Arial" w:hint="default"/>
          <w:sz w:val="21"/>
          <w:szCs w:val="21"/>
        </w:rPr>
        <w:t>3,183,707.28</w:t>
      </w:r>
      <w:r>
        <w:rPr>
          <w:rFonts w:ascii="宋体" w:hAnsi="宋体" w:cs="宋体" w:eastAsia="宋体" w:hint="default"/>
          <w:sz w:val="21"/>
          <w:szCs w:val="21"/>
        </w:rPr>
        <w:t>元；</w:t>
      </w:r>
    </w:p>
    <w:p>
      <w:pPr>
        <w:spacing w:line="307" w:lineRule="auto" w:before="153"/>
        <w:ind w:left="152" w:right="0" w:firstLine="425"/>
        <w:jc w:val="left"/>
        <w:rPr>
          <w:rFonts w:ascii="宋体" w:hAnsi="宋体" w:cs="宋体" w:eastAsia="宋体" w:hint="default"/>
          <w:sz w:val="21"/>
          <w:szCs w:val="21"/>
        </w:rPr>
      </w:pPr>
      <w:r>
        <w:rPr>
          <w:rFonts w:ascii="宋体" w:hAnsi="宋体" w:cs="宋体" w:eastAsia="宋体" w:hint="default"/>
          <w:sz w:val="21"/>
          <w:szCs w:val="21"/>
        </w:rPr>
        <w:t>⑤本公司及集团内公司股票期权激励对象本期行权和限制性股票激励对象本期解锁对应的费用，从</w:t>
      </w:r>
      <w:r>
        <w:rPr>
          <w:rFonts w:ascii="宋体" w:hAnsi="宋体" w:cs="宋体" w:eastAsia="宋体" w:hint="default"/>
          <w:w w:val="100"/>
          <w:sz w:val="21"/>
          <w:szCs w:val="21"/>
        </w:rPr>
        <w:t> </w:t>
      </w:r>
      <w:r>
        <w:rPr>
          <w:rFonts w:ascii="宋体" w:hAnsi="宋体" w:cs="宋体" w:eastAsia="宋体" w:hint="default"/>
          <w:spacing w:val="-2"/>
          <w:sz w:val="21"/>
          <w:szCs w:val="21"/>
        </w:rPr>
        <w:t>其他资本公积转入股本溢价，减少其他资本公积</w:t>
      </w:r>
      <w:r>
        <w:rPr>
          <w:rFonts w:ascii="Arial" w:hAnsi="Arial" w:cs="Arial" w:eastAsia="Arial" w:hint="default"/>
          <w:spacing w:val="-2"/>
          <w:sz w:val="21"/>
          <w:szCs w:val="21"/>
        </w:rPr>
        <w:t>6,291,789.88</w:t>
      </w:r>
      <w:r>
        <w:rPr>
          <w:rFonts w:ascii="宋体" w:hAnsi="宋体" w:cs="宋体" w:eastAsia="宋体" w:hint="default"/>
          <w:spacing w:val="-2"/>
          <w:sz w:val="21"/>
          <w:szCs w:val="21"/>
        </w:rPr>
        <w:t>元；按照实际税前可扣除所得税影响，从其</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他资本公积转入股本溢价，减少其他资本公积</w:t>
      </w:r>
      <w:r>
        <w:rPr>
          <w:rFonts w:ascii="Arial" w:hAnsi="Arial" w:cs="Arial" w:eastAsia="Arial" w:hint="default"/>
          <w:sz w:val="21"/>
          <w:szCs w:val="21"/>
        </w:rPr>
        <w:t>21,369,741.67</w:t>
      </w:r>
      <w:r>
        <w:rPr>
          <w:rFonts w:ascii="宋体" w:hAnsi="宋体" w:cs="宋体" w:eastAsia="宋体" w:hint="default"/>
          <w:sz w:val="21"/>
          <w:szCs w:val="21"/>
        </w:rPr>
        <w:t>元。</w:t>
      </w:r>
    </w:p>
    <w:p>
      <w:pPr>
        <w:spacing w:after="0" w:line="307"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30</w:t>
      </w:r>
      <w:r>
        <w:rPr>
          <w:rFonts w:ascii="Microsoft JhengHei" w:hAnsi="Microsoft JhengHei" w:cs="Microsoft JhengHei" w:eastAsia="Microsoft JhengHei" w:hint="default"/>
          <w:b/>
          <w:bCs/>
          <w:sz w:val="21"/>
          <w:szCs w:val="21"/>
        </w:rPr>
        <w:t>、库存股</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54,428,117.96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31" w:right="0"/>
              <w:jc w:val="left"/>
              <w:rPr>
                <w:rFonts w:ascii="Arial" w:hAnsi="Arial" w:cs="Arial" w:eastAsia="Arial" w:hint="default"/>
                <w:sz w:val="18"/>
                <w:szCs w:val="18"/>
              </w:rPr>
            </w:pPr>
            <w:r>
              <w:rPr>
                <w:rFonts w:ascii="Arial"/>
                <w:sz w:val="18"/>
              </w:rPr>
              <w:t>216,516,607.00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25,021,991.74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31" w:right="0"/>
              <w:jc w:val="left"/>
              <w:rPr>
                <w:rFonts w:ascii="Arial" w:hAnsi="Arial" w:cs="Arial" w:eastAsia="Arial" w:hint="default"/>
                <w:sz w:val="18"/>
                <w:szCs w:val="18"/>
              </w:rPr>
            </w:pPr>
            <w:r>
              <w:rPr>
                <w:rFonts w:ascii="Arial"/>
                <w:sz w:val="18"/>
              </w:rPr>
              <w:t>245,922,733.22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54,428,117.96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31" w:right="0"/>
              <w:jc w:val="left"/>
              <w:rPr>
                <w:rFonts w:ascii="Arial" w:hAnsi="Arial" w:cs="Arial" w:eastAsia="Arial" w:hint="default"/>
                <w:sz w:val="18"/>
                <w:szCs w:val="18"/>
              </w:rPr>
            </w:pPr>
            <w:r>
              <w:rPr>
                <w:rFonts w:ascii="Arial"/>
                <w:sz w:val="18"/>
              </w:rPr>
              <w:t>216,516,607.00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25,021,991.74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31" w:right="0"/>
              <w:jc w:val="left"/>
              <w:rPr>
                <w:rFonts w:ascii="Arial" w:hAnsi="Arial" w:cs="Arial" w:eastAsia="Arial" w:hint="default"/>
                <w:sz w:val="18"/>
                <w:szCs w:val="18"/>
              </w:rPr>
            </w:pPr>
            <w:r>
              <w:rPr>
                <w:rFonts w:ascii="Arial"/>
                <w:sz w:val="18"/>
              </w:rPr>
              <w:t>245,922,733.22</w:t>
            </w:r>
          </w:p>
        </w:tc>
      </w:tr>
    </w:tbl>
    <w:p>
      <w:pPr>
        <w:spacing w:line="240" w:lineRule="auto" w:before="5"/>
        <w:rPr>
          <w:rFonts w:ascii="宋体" w:hAnsi="宋体" w:cs="宋体" w:eastAsia="宋体" w:hint="default"/>
          <w:sz w:val="12"/>
          <w:szCs w:val="12"/>
        </w:rPr>
      </w:pPr>
    </w:p>
    <w:p>
      <w:pPr>
        <w:spacing w:line="451" w:lineRule="auto" w:before="36"/>
        <w:ind w:left="578" w:right="0" w:hanging="426"/>
        <w:jc w:val="left"/>
        <w:rPr>
          <w:rFonts w:ascii="宋体" w:hAnsi="宋体" w:cs="宋体" w:eastAsia="宋体" w:hint="default"/>
          <w:sz w:val="21"/>
          <w:szCs w:val="21"/>
        </w:rPr>
      </w:pPr>
      <w:r>
        <w:rPr>
          <w:rFonts w:ascii="宋体" w:hAnsi="宋体" w:cs="宋体" w:eastAsia="宋体" w:hint="default"/>
          <w:sz w:val="21"/>
          <w:szCs w:val="21"/>
        </w:rPr>
        <w:t>其他说明，包括本期增减变动情况、变动原因说明：</w:t>
      </w:r>
      <w:r>
        <w:rPr>
          <w:rFonts w:ascii="宋体" w:hAnsi="宋体" w:cs="宋体" w:eastAsia="宋体" w:hint="default"/>
          <w:w w:val="100"/>
          <w:sz w:val="21"/>
          <w:szCs w:val="21"/>
        </w:rPr>
        <w:t> </w:t>
      </w:r>
      <w:r>
        <w:rPr>
          <w:rFonts w:ascii="宋体" w:hAnsi="宋体" w:cs="宋体" w:eastAsia="宋体" w:hint="default"/>
          <w:spacing w:val="-2"/>
          <w:sz w:val="21"/>
          <w:szCs w:val="21"/>
        </w:rPr>
        <w:t>本期减少金额为限制性股票解锁减少，本期增加为发行限制性股票增加。</w:t>
      </w:r>
    </w:p>
    <w:p>
      <w:pPr>
        <w:spacing w:before="78"/>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31</w:t>
      </w: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88"/>
        <w:gridCol w:w="1929"/>
        <w:gridCol w:w="1913"/>
        <w:gridCol w:w="1915"/>
        <w:gridCol w:w="1913"/>
      </w:tblGrid>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42,888,821.70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4,369,005.96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47,257,827.66</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42,888,821.70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4,369,005.96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47,257,827.66</w:t>
            </w:r>
          </w:p>
        </w:tc>
      </w:tr>
    </w:tbl>
    <w:p>
      <w:pPr>
        <w:spacing w:line="240" w:lineRule="auto" w:before="5"/>
        <w:rPr>
          <w:rFonts w:ascii="宋体" w:hAnsi="宋体" w:cs="宋体" w:eastAsia="宋体" w:hint="default"/>
          <w:sz w:val="12"/>
          <w:szCs w:val="12"/>
        </w:rPr>
      </w:pPr>
    </w:p>
    <w:p>
      <w:pPr>
        <w:spacing w:line="451" w:lineRule="auto" w:before="36"/>
        <w:ind w:left="578" w:right="4494" w:hanging="426"/>
        <w:jc w:val="left"/>
        <w:rPr>
          <w:rFonts w:ascii="宋体" w:hAnsi="宋体" w:cs="宋体" w:eastAsia="宋体" w:hint="default"/>
          <w:sz w:val="21"/>
          <w:szCs w:val="21"/>
        </w:rPr>
      </w:pPr>
      <w:r>
        <w:rPr>
          <w:rFonts w:ascii="宋体" w:hAnsi="宋体" w:cs="宋体" w:eastAsia="宋体" w:hint="default"/>
          <w:spacing w:val="-2"/>
          <w:sz w:val="21"/>
          <w:szCs w:val="21"/>
        </w:rPr>
        <w:t>盈余公积说明，包括本期增减变动情况、变动原因说明：</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根据公司章程，按税后利润</w:t>
      </w:r>
      <w:r>
        <w:rPr>
          <w:rFonts w:ascii="Arial" w:hAnsi="Arial" w:cs="Arial" w:eastAsia="Arial" w:hint="default"/>
          <w:sz w:val="21"/>
          <w:szCs w:val="21"/>
        </w:rPr>
        <w:t>10%</w:t>
      </w:r>
      <w:r>
        <w:rPr>
          <w:rFonts w:ascii="宋体" w:hAnsi="宋体" w:cs="宋体" w:eastAsia="宋体" w:hint="default"/>
          <w:sz w:val="21"/>
          <w:szCs w:val="21"/>
        </w:rPr>
        <w:t>计提盈余公积。</w:t>
      </w:r>
    </w:p>
    <w:p>
      <w:pPr>
        <w:spacing w:before="41"/>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32</w:t>
      </w: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886,077,370.45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650,964,558.68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886,077,370.45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650,964,558.68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381,166,148.13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271,694,183.15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4,369,005.96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4,524,969.96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32,211,641.38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32,056,401.42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1,230,662,871.24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886,077,370.45</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33</w:t>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99"/>
        <w:gridCol w:w="1918"/>
        <w:gridCol w:w="1913"/>
        <w:gridCol w:w="1915"/>
        <w:gridCol w:w="1913"/>
      </w:tblGrid>
      <w:tr>
        <w:trPr>
          <w:trHeight w:val="206" w:hRule="exact"/>
        </w:trPr>
        <w:tc>
          <w:tcPr>
            <w:tcW w:w="18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8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99" w:type="dxa"/>
            <w:vMerge/>
            <w:tcBorders>
              <w:left w:val="single" w:sz="4" w:space="0" w:color="000000"/>
              <w:bottom w:val="nil" w:sz="6" w:space="0" w:color="auto"/>
              <w:right w:val="single" w:sz="4" w:space="0" w:color="000000"/>
            </w:tcBorders>
            <w:shd w:val="clear" w:color="auto" w:fill="D2D2D2"/>
          </w:tcPr>
          <w:p>
            <w:pPr/>
          </w:p>
        </w:tc>
        <w:tc>
          <w:tcPr>
            <w:tcW w:w="1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8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2,338,145,133.75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1,389,187,715.80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1,820,108,218.46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1,102,662,715.91</w:t>
            </w:r>
          </w:p>
        </w:tc>
      </w:tr>
      <w:tr>
        <w:trPr>
          <w:trHeight w:val="403" w:hRule="exact"/>
        </w:trPr>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2,338,145,133.75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1,389,187,715.80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1,820,108,218.46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1,102,662,715.91</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34</w:t>
      </w:r>
      <w:r>
        <w:rPr>
          <w:rFonts w:ascii="Microsoft JhengHei" w:hAnsi="Microsoft JhengHei" w:cs="Microsoft JhengHei" w:eastAsia="Microsoft JhengHei" w:hint="default"/>
          <w:b/>
          <w:bCs/>
          <w:sz w:val="21"/>
          <w:szCs w:val="21"/>
        </w:rPr>
        <w:t>、税金及附加</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11,861,065.20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7,730,299.86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8,790,589.85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5,787,194.85</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1,770,808.40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854,388.79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71,897.52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51,251.04</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53,300.00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15,850.00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2,428,974.04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1,009,903.55</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31,909.26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419,983.24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25,008,544.27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15,868,871.33</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6"/>
        <w:rPr>
          <w:rFonts w:ascii="宋体" w:hAnsi="宋体" w:cs="宋体" w:eastAsia="宋体" w:hint="default"/>
          <w:sz w:val="18"/>
          <w:szCs w:val="18"/>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各项税金及附加的计缴标准详见附注六、税项。</w:t>
      </w:r>
    </w:p>
    <w:p>
      <w:pPr>
        <w:spacing w:line="240" w:lineRule="auto" w:before="1"/>
        <w:rPr>
          <w:rFonts w:ascii="宋体" w:hAnsi="宋体" w:cs="宋体" w:eastAsia="宋体" w:hint="default"/>
          <w:sz w:val="20"/>
          <w:szCs w:val="20"/>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35</w:t>
      </w:r>
      <w:r>
        <w:rPr>
          <w:rFonts w:ascii="Microsoft JhengHei" w:hAnsi="Microsoft JhengHei" w:cs="Microsoft JhengHei" w:eastAsia="Microsoft JhengHei" w:hint="default"/>
          <w:b/>
          <w:bCs/>
          <w:sz w:val="21"/>
          <w:szCs w:val="21"/>
        </w:rPr>
        <w:t>、销售费用</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47,277,388.86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32,686,222.39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3,277,028.99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2,218,678.44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760,920.04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507,510.97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29,500,964.53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30,965,753.35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12,534,537.51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15,185,139.10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23,433,960.49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19,019,319.73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3,338,505.29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3,272,838.81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10,397,050.86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7,992,936.37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130,520,356.57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3"/>
                <w:sz w:val="18"/>
              </w:rPr>
              <w:t>111,848,399.16</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36</w:t>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62,914,381.19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46,558,465.90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11,892,778.86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8,590,232.69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9,328,161.18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5,749,349.53</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19,326,412.38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19,152,121.26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23,862,870.31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17,562,196.15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23,278,777.23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12,870,868.54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14,082,904.88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14,697,449.00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211,777,920.28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154,957,341.44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日常维护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60,567,858.44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67,234,493.90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19,610,570.57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7,378,905.15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4,744,558.63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456,642,635.32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359,495,982.19</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37</w:t>
      </w:r>
      <w:r>
        <w:rPr>
          <w:rFonts w:ascii="Microsoft JhengHei" w:hAnsi="Microsoft JhengHei" w:cs="Microsoft JhengHei" w:eastAsia="Microsoft JhengHei" w:hint="default"/>
          <w:b/>
          <w:bCs/>
          <w:sz w:val="21"/>
          <w:szCs w:val="21"/>
        </w:rPr>
        <w:t>、财务费用</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1,375,707.61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78,915.29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9,499,440.75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4,972,281.00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474,608.10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178,392.75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-7,649,125.04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-4,714,972.96</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38</w:t>
      </w:r>
      <w:r>
        <w:rPr>
          <w:rFonts w:ascii="Microsoft JhengHei" w:hAnsi="Microsoft JhengHei" w:cs="Microsoft JhengHei" w:eastAsia="Microsoft JhengHei" w:hint="default"/>
          <w:b/>
          <w:bCs/>
          <w:sz w:val="21"/>
          <w:szCs w:val="21"/>
        </w:rPr>
        <w:t>、资产减值损失</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17,780,429.06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7,720,003.32</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17,780,429.06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7,720,003.32</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39</w:t>
      </w:r>
      <w:r>
        <w:rPr>
          <w:rFonts w:ascii="Microsoft JhengHei" w:hAnsi="Microsoft JhengHei" w:cs="Microsoft JhengHei" w:eastAsia="Microsoft JhengHei" w:hint="default"/>
          <w:b/>
          <w:bCs/>
          <w:sz w:val="21"/>
          <w:szCs w:val="21"/>
        </w:rPr>
        <w:t>、投资收益</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437"/>
        <w:gridCol w:w="3203"/>
        <w:gridCol w:w="2917"/>
      </w:tblGrid>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877,182.63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3,271,381.94</w:t>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468,837.53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1,346,020.16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3,271,381.94</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40</w:t>
      </w:r>
      <w:r>
        <w:rPr>
          <w:rFonts w:ascii="Microsoft JhengHei" w:hAnsi="Microsoft JhengHei" w:cs="Microsoft JhengHei" w:eastAsia="Microsoft JhengHei" w:hint="default"/>
          <w:b/>
          <w:bCs/>
          <w:sz w:val="21"/>
          <w:szCs w:val="21"/>
        </w:rPr>
        <w:t>、资产处置收益</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7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-63,471.66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-11,667.06</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41</w:t>
      </w:r>
      <w:r>
        <w:rPr>
          <w:rFonts w:ascii="Microsoft JhengHei" w:hAnsi="Microsoft JhengHei" w:cs="Microsoft JhengHei" w:eastAsia="Microsoft JhengHei" w:hint="default"/>
          <w:b/>
          <w:bCs/>
          <w:sz w:val="21"/>
          <w:szCs w:val="21"/>
        </w:rPr>
        <w:t>、其他收益</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78,499,256.03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15,815,965.30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42</w:t>
      </w:r>
      <w:r>
        <w:rPr>
          <w:rFonts w:ascii="Microsoft JhengHei" w:hAnsi="Microsoft JhengHei" w:cs="Microsoft JhengHei" w:eastAsia="Microsoft JhengHei" w:hint="default"/>
          <w:b/>
          <w:bCs/>
          <w:sz w:val="21"/>
          <w:szCs w:val="21"/>
        </w:rPr>
        <w:t>、营业外收入</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76,020,329.26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零星收入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196,906.40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196,906.40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6,887,447.63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196,906.40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82,907,776.89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196,906.40</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p>
      <w:pPr>
        <w:spacing w:line="240" w:lineRule="auto" w:before="5"/>
        <w:rPr>
          <w:rFonts w:ascii="宋体" w:hAnsi="宋体" w:cs="宋体" w:eastAsia="宋体" w:hint="default"/>
          <w:sz w:val="12"/>
          <w:szCs w:val="1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75"/>
        <w:gridCol w:w="1135"/>
        <w:gridCol w:w="425"/>
        <w:gridCol w:w="2410"/>
        <w:gridCol w:w="852"/>
        <w:gridCol w:w="425"/>
        <w:gridCol w:w="708"/>
        <w:gridCol w:w="1277"/>
        <w:gridCol w:w="1063"/>
      </w:tblGrid>
      <w:tr>
        <w:trPr>
          <w:trHeight w:val="1028"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9"/>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 w:right="60"/>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本期发 生金额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2"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与收益相关</w:t>
            </w:r>
          </w:p>
        </w:tc>
      </w:tr>
      <w:tr>
        <w:trPr>
          <w:trHeight w:val="102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59"/>
              <w:jc w:val="left"/>
              <w:rPr>
                <w:rFonts w:ascii="宋体" w:hAnsi="宋体" w:cs="宋体" w:eastAsia="宋体" w:hint="default"/>
                <w:sz w:val="18"/>
                <w:szCs w:val="18"/>
              </w:rPr>
            </w:pPr>
            <w:r>
              <w:rPr>
                <w:rFonts w:ascii="宋体" w:hAnsi="宋体" w:cs="宋体" w:eastAsia="宋体" w:hint="default"/>
                <w:sz w:val="18"/>
                <w:szCs w:val="18"/>
              </w:rPr>
              <w:t>增值税即征即 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7"/>
              <w:jc w:val="right"/>
              <w:rPr>
                <w:rFonts w:ascii="宋体" w:hAnsi="宋体" w:cs="宋体" w:eastAsia="宋体" w:hint="default"/>
                <w:sz w:val="18"/>
                <w:szCs w:val="18"/>
              </w:rPr>
            </w:pPr>
            <w:r>
              <w:rPr>
                <w:rFonts w:ascii="宋体" w:hAnsi="宋体" w:cs="宋体" w:eastAsia="宋体" w:hint="default"/>
                <w:sz w:val="18"/>
                <w:szCs w:val="18"/>
              </w:rPr>
              <w:t>主管国税局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both"/>
              <w:rPr>
                <w:rFonts w:ascii="宋体" w:hAnsi="宋体" w:cs="宋体" w:eastAsia="宋体" w:hint="default"/>
                <w:sz w:val="18"/>
                <w:szCs w:val="18"/>
              </w:rPr>
            </w:pPr>
            <w:r>
              <w:rPr>
                <w:rFonts w:ascii="宋体" w:hAnsi="宋体" w:cs="宋体" w:eastAsia="宋体" w:hint="default"/>
                <w:sz w:val="18"/>
                <w:szCs w:val="18"/>
              </w:rPr>
              <w:t>因从事国家鼓励和扶持特定行 业、产业而获得的补助（按国 家级政策规定依法取得）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65,247,604.49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基于私有云的 政法应用支撑 与研发平台及 其产业化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97"/>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35"/>
              <w:jc w:val="left"/>
              <w:rPr>
                <w:rFonts w:ascii="宋体" w:hAnsi="宋体" w:cs="宋体" w:eastAsia="宋体" w:hint="default"/>
                <w:sz w:val="18"/>
                <w:szCs w:val="18"/>
              </w:rPr>
            </w:pPr>
            <w:r>
              <w:rPr>
                <w:rFonts w:ascii="宋体" w:hAnsi="宋体" w:cs="宋体" w:eastAsia="宋体" w:hint="default"/>
                <w:sz w:val="18"/>
                <w:szCs w:val="18"/>
              </w:rPr>
              <w:t>因研究开发、技术更新及改造 等获得的补助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1"/>
                <w:sz w:val="18"/>
              </w:rPr>
              <w:t>849,200.00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创新企业、研 发投入补贴专 项资金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35"/>
              <w:jc w:val="left"/>
              <w:rPr>
                <w:rFonts w:ascii="宋体" w:hAnsi="宋体" w:cs="宋体" w:eastAsia="宋体" w:hint="default"/>
                <w:sz w:val="18"/>
                <w:szCs w:val="18"/>
              </w:rPr>
            </w:pPr>
            <w:r>
              <w:rPr>
                <w:rFonts w:ascii="宋体" w:hAnsi="宋体" w:cs="宋体" w:eastAsia="宋体" w:hint="default"/>
                <w:sz w:val="18"/>
                <w:szCs w:val="18"/>
              </w:rPr>
              <w:t>因研究开发、技术更新及改造 等获得的补助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1,104,542.84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中关村企业项 目补助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因符合地方政府招商引资等地 方性扶持政策而获得的补助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132,200.00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瞪羚企业银行 贷款贴息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因符合地方政府招商引资等地 方性扶持政策而获得的补助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广州市海珠区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7"/>
              <w:jc w:val="right"/>
              <w:rPr>
                <w:rFonts w:ascii="宋体" w:hAnsi="宋体" w:cs="宋体" w:eastAsia="宋体" w:hint="default"/>
                <w:sz w:val="18"/>
                <w:szCs w:val="18"/>
              </w:rPr>
            </w:pPr>
            <w:r>
              <w:rPr>
                <w:rFonts w:ascii="宋体" w:hAnsi="宋体" w:cs="宋体" w:eastAsia="宋体" w:hint="default"/>
                <w:sz w:val="18"/>
                <w:szCs w:val="18"/>
              </w:rPr>
              <w:t>广州市海珠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
              <w:jc w:val="center"/>
              <w:rPr>
                <w:rFonts w:ascii="宋体" w:hAnsi="宋体" w:cs="宋体" w:eastAsia="宋体" w:hint="default"/>
                <w:sz w:val="18"/>
                <w:szCs w:val="18"/>
              </w:rPr>
            </w:pPr>
            <w:r>
              <w:rPr>
                <w:rFonts w:ascii="宋体" w:hAnsi="宋体" w:cs="宋体" w:eastAsia="宋体" w:hint="default"/>
                <w:sz w:val="18"/>
                <w:szCs w:val="18"/>
              </w:rPr>
              <w:t>因符合地方政府招商引资等地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275"/>
        <w:gridCol w:w="1135"/>
        <w:gridCol w:w="425"/>
        <w:gridCol w:w="2410"/>
        <w:gridCol w:w="852"/>
        <w:gridCol w:w="425"/>
        <w:gridCol w:w="708"/>
        <w:gridCol w:w="1277"/>
        <w:gridCol w:w="1063"/>
      </w:tblGrid>
      <w:tr>
        <w:trPr>
          <w:trHeight w:val="6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高新企业补助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97"/>
              <w:jc w:val="left"/>
              <w:rPr>
                <w:rFonts w:ascii="宋体" w:hAnsi="宋体" w:cs="宋体" w:eastAsia="宋体" w:hint="default"/>
                <w:sz w:val="18"/>
                <w:szCs w:val="18"/>
              </w:rPr>
            </w:pPr>
            <w:r>
              <w:rPr>
                <w:rFonts w:ascii="宋体" w:hAnsi="宋体" w:cs="宋体" w:eastAsia="宋体" w:hint="default"/>
                <w:sz w:val="18"/>
                <w:szCs w:val="18"/>
              </w:rPr>
              <w:t>区经济贸易 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方性扶持政策而获得的补助</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7"/>
              <w:jc w:val="both"/>
              <w:rPr>
                <w:rFonts w:ascii="宋体" w:hAnsi="宋体" w:cs="宋体" w:eastAsia="宋体" w:hint="default"/>
                <w:sz w:val="18"/>
                <w:szCs w:val="18"/>
              </w:rPr>
            </w:pPr>
            <w:r>
              <w:rPr>
                <w:rFonts w:ascii="宋体" w:hAnsi="宋体" w:cs="宋体" w:eastAsia="宋体" w:hint="default"/>
                <w:sz w:val="18"/>
                <w:szCs w:val="18"/>
              </w:rPr>
              <w:t>主管社会保 险基金管理 中心</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35"/>
              <w:jc w:val="left"/>
              <w:rPr>
                <w:rFonts w:ascii="宋体" w:hAnsi="宋体" w:cs="宋体" w:eastAsia="宋体" w:hint="default"/>
                <w:sz w:val="18"/>
                <w:szCs w:val="18"/>
              </w:rPr>
            </w:pPr>
            <w:r>
              <w:rPr>
                <w:rFonts w:ascii="宋体" w:hAnsi="宋体" w:cs="宋体" w:eastAsia="宋体" w:hint="default"/>
                <w:sz w:val="18"/>
                <w:szCs w:val="18"/>
              </w:rPr>
              <w:t>因符合地方政府招商引资等地 方性扶持政策而获得的补助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340,072.19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新技术新产品 推广应用专项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奖励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35"/>
              <w:jc w:val="left"/>
              <w:rPr>
                <w:rFonts w:ascii="宋体" w:hAnsi="宋体" w:cs="宋体" w:eastAsia="宋体" w:hint="default"/>
                <w:sz w:val="18"/>
                <w:szCs w:val="18"/>
              </w:rPr>
            </w:pPr>
            <w:r>
              <w:rPr>
                <w:rFonts w:ascii="宋体" w:hAnsi="宋体" w:cs="宋体" w:eastAsia="宋体" w:hint="default"/>
                <w:sz w:val="18"/>
                <w:szCs w:val="18"/>
              </w:rPr>
              <w:t>因研究开发、技术更新及改造 等获得的补助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3,430,000.00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华宇食品安全 项目补贴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7"/>
              <w:jc w:val="left"/>
              <w:rPr>
                <w:rFonts w:ascii="宋体" w:hAnsi="宋体" w:cs="宋体" w:eastAsia="宋体" w:hint="default"/>
                <w:sz w:val="18"/>
                <w:szCs w:val="18"/>
              </w:rPr>
            </w:pPr>
            <w:r>
              <w:rPr>
                <w:rFonts w:ascii="宋体" w:hAnsi="宋体" w:cs="宋体" w:eastAsia="宋体" w:hint="default"/>
                <w:sz w:val="18"/>
                <w:szCs w:val="18"/>
              </w:rPr>
              <w:t>大连市科学 技术局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因研究开发、技术更新及改造 等获得的补助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张江园区规模 企业贡献度补 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97"/>
              <w:jc w:val="both"/>
              <w:rPr>
                <w:rFonts w:ascii="宋体" w:hAnsi="宋体" w:cs="宋体" w:eastAsia="宋体" w:hint="default"/>
                <w:sz w:val="18"/>
                <w:szCs w:val="18"/>
              </w:rPr>
            </w:pPr>
            <w:r>
              <w:rPr>
                <w:rFonts w:ascii="宋体" w:hAnsi="宋体" w:cs="宋体" w:eastAsia="宋体" w:hint="default"/>
                <w:sz w:val="18"/>
                <w:szCs w:val="18"/>
              </w:rPr>
              <w:t>张江高科技 园区管理委 员会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35"/>
              <w:jc w:val="left"/>
              <w:rPr>
                <w:rFonts w:ascii="宋体" w:hAnsi="宋体" w:cs="宋体" w:eastAsia="宋体" w:hint="default"/>
                <w:sz w:val="18"/>
                <w:szCs w:val="18"/>
              </w:rPr>
            </w:pPr>
            <w:r>
              <w:rPr>
                <w:rFonts w:ascii="宋体" w:hAnsi="宋体" w:cs="宋体" w:eastAsia="宋体" w:hint="default"/>
                <w:sz w:val="18"/>
                <w:szCs w:val="18"/>
              </w:rPr>
              <w:t>因符合地方政府招商引资等地 方性扶持政策而获得的补助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416,000.00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教育培训费补 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7"/>
              <w:jc w:val="left"/>
              <w:rPr>
                <w:rFonts w:ascii="宋体" w:hAnsi="宋体" w:cs="宋体" w:eastAsia="宋体" w:hint="default"/>
                <w:sz w:val="18"/>
                <w:szCs w:val="18"/>
              </w:rPr>
            </w:pPr>
            <w:r>
              <w:rPr>
                <w:rFonts w:ascii="宋体" w:hAnsi="宋体" w:cs="宋体" w:eastAsia="宋体" w:hint="default"/>
                <w:sz w:val="18"/>
                <w:szCs w:val="18"/>
              </w:rPr>
              <w:t>浦东新区财 政局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因符合地方政府招商引资等地 方性扶持政策而获得的补助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2"/>
                <w:sz w:val="18"/>
              </w:rPr>
              <w:t>110,105.86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高新技术企业 新认定奖励</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97"/>
              <w:jc w:val="left"/>
              <w:rPr>
                <w:rFonts w:ascii="宋体" w:hAnsi="宋体" w:cs="宋体" w:eastAsia="宋体" w:hint="default"/>
                <w:sz w:val="18"/>
                <w:szCs w:val="18"/>
              </w:rPr>
            </w:pPr>
            <w:r>
              <w:rPr>
                <w:rFonts w:ascii="宋体" w:hAnsi="宋体" w:cs="宋体" w:eastAsia="宋体" w:hint="default"/>
                <w:sz w:val="18"/>
                <w:szCs w:val="18"/>
              </w:rPr>
              <w:t>合肥主管科 技局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奖励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both"/>
              <w:rPr>
                <w:rFonts w:ascii="宋体" w:hAnsi="宋体" w:cs="宋体" w:eastAsia="宋体" w:hint="default"/>
                <w:sz w:val="18"/>
                <w:szCs w:val="18"/>
              </w:rPr>
            </w:pPr>
            <w:r>
              <w:rPr>
                <w:rFonts w:ascii="宋体" w:hAnsi="宋体" w:cs="宋体" w:eastAsia="宋体" w:hint="default"/>
                <w:sz w:val="18"/>
                <w:szCs w:val="18"/>
              </w:rPr>
              <w:t>因从事国家鼓励和扶持特定行 业、产业而获得的补助（按国 家级政策规定依法取得）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浦东新区科技 发展基金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7"/>
              <w:jc w:val="left"/>
              <w:rPr>
                <w:rFonts w:ascii="宋体" w:hAnsi="宋体" w:cs="宋体" w:eastAsia="宋体" w:hint="default"/>
                <w:sz w:val="18"/>
                <w:szCs w:val="18"/>
              </w:rPr>
            </w:pPr>
            <w:r>
              <w:rPr>
                <w:rFonts w:ascii="宋体" w:hAnsi="宋体" w:cs="宋体" w:eastAsia="宋体" w:hint="default"/>
                <w:sz w:val="18"/>
                <w:szCs w:val="18"/>
              </w:rPr>
              <w:t>上海市浦东 新区财政局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因符合地方政府招商引资等地 方性扶持政策而获得的补助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433,000.00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科技创新补贴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7"/>
              <w:jc w:val="left"/>
              <w:rPr>
                <w:rFonts w:ascii="宋体" w:hAnsi="宋体" w:cs="宋体" w:eastAsia="宋体" w:hint="default"/>
                <w:sz w:val="18"/>
                <w:szCs w:val="18"/>
              </w:rPr>
            </w:pPr>
            <w:r>
              <w:rPr>
                <w:rFonts w:ascii="宋体" w:hAnsi="宋体" w:cs="宋体" w:eastAsia="宋体" w:hint="default"/>
                <w:sz w:val="18"/>
                <w:szCs w:val="18"/>
              </w:rPr>
              <w:t>广州市主管 财政局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因研究开发、技术更新及改造 等获得的补助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2,353,603.88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Arial" w:hAnsi="Arial" w:cs="Arial" w:eastAsia="Arial" w:hint="default"/>
                <w:sz w:val="18"/>
                <w:szCs w:val="18"/>
              </w:rPr>
            </w:pPr>
            <w:r>
              <w:rPr>
                <w:rFonts w:ascii="Arial"/>
                <w:sz w:val="18"/>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76,020,329.26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43</w:t>
      </w:r>
      <w:r>
        <w:rPr>
          <w:rFonts w:ascii="Microsoft JhengHei" w:hAnsi="Microsoft JhengHei" w:cs="Microsoft JhengHei" w:eastAsia="Microsoft JhengHei" w:hint="default"/>
          <w:b/>
          <w:bCs/>
          <w:sz w:val="21"/>
          <w:szCs w:val="21"/>
        </w:rPr>
        <w:t>、营业外支出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08"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7,127,480.00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7,127,480.00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非流动资产报废、毁损损失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282,427.21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143,671.26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282,427.21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694,026.15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10,603,530.59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694,026.15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8,103,933.36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10,747,201.85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8,103,933.36</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44</w:t>
      </w:r>
      <w:r>
        <w:rPr>
          <w:rFonts w:ascii="Microsoft JhengHei" w:hAnsi="Microsoft JhengHei" w:cs="Microsoft JhengHei" w:eastAsia="Microsoft JhengHei" w:hint="default"/>
          <w:b/>
          <w:bCs/>
          <w:sz w:val="21"/>
          <w:szCs w:val="21"/>
        </w:rPr>
        <w:t>、所得税费用</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）所得税费用表</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79"/>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38,678,476.12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27,535,229.48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822,234.27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751,620.39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39,500,710.39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28,286,849.87</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）会计利润与所得税费用调整过程</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6499"/>
        <w:gridCol w:w="3057"/>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0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414,345,320.64</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Arial" w:hAnsi="Arial" w:cs="Arial" w:eastAsia="Arial" w:hint="default"/>
                <w:sz w:val="18"/>
                <w:szCs w:val="18"/>
              </w:rPr>
              <w:t>/</w:t>
            </w:r>
            <w:r>
              <w:rPr>
                <w:rFonts w:ascii="宋体" w:hAnsi="宋体" w:cs="宋体" w:eastAsia="宋体" w:hint="default"/>
                <w:sz w:val="18"/>
                <w:szCs w:val="18"/>
              </w:rPr>
              <w:t>适用税率计算的所得税费用</w:t>
            </w:r>
          </w:p>
        </w:tc>
        <w:tc>
          <w:tcPr>
            <w:tcW w:w="30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62,151,798.10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0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-17,487,906.09</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0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-3,864,406.86</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0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7,709,013.51</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0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306,226.45</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-131,577.39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-9,182,437.33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39,500,710.39</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45</w:t>
      </w:r>
      <w:r>
        <w:rPr>
          <w:rFonts w:ascii="Microsoft JhengHei" w:hAnsi="Microsoft JhengHei" w:cs="Microsoft JhengHei" w:eastAsia="Microsoft JhengHei" w:hint="default"/>
          <w:b/>
          <w:bCs/>
          <w:sz w:val="21"/>
          <w:szCs w:val="21"/>
        </w:rPr>
        <w:t>、现金流量表项目</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退回投标保证金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145,689,304.31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136,897,200.28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9,431,932.75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4,081,681.00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收回代垫款项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8,198,972.00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9,343,702.36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16,028,981.93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11,038,765.03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9,736,791.62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175,503,704.45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174,943,626.83</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）支付的其他与经营活动有关的现金</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363,641,735.23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327,002,113.49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161,435,452.54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157,334,795.14</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21,588,163.25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11,271,429.93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546,665,351.02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495,608,338.56</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）收到的其他与投资活动有关的现金</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捷视飞通业绩补偿款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）收到的其他与筹资活动有关的现金</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行权款利息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8,715.53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11,190.57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代收行权个税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29.91</w:t>
            </w:r>
            <w:r>
              <w:rPr>
                <w:rFonts w:ascii="Arial"/>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8,715.53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11,220.48</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）支付的其他与筹资活动有关的现金</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218,022.16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343,512.94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代付行权个税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29.91</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5,340,573.91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支付回购股票款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643,097.18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1,173,771.50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861,149.25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6,857,858.35</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46</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5507"/>
        <w:gridCol w:w="2136"/>
        <w:gridCol w:w="1913"/>
      </w:tblGrid>
      <w:tr>
        <w:trPr>
          <w:trHeight w:val="404"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4"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r>
        <w:trPr>
          <w:trHeight w:val="40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374,844,610.25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274,360,659.56</w:t>
            </w:r>
          </w:p>
        </w:tc>
      </w:tr>
      <w:tr>
        <w:trPr>
          <w:trHeight w:val="401"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17,780,429.06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7,720,003.32</w:t>
            </w:r>
          </w:p>
        </w:tc>
      </w:tr>
      <w:tr>
        <w:trPr>
          <w:trHeight w:val="40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19,122,653.65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13,436,989.69</w:t>
            </w:r>
          </w:p>
        </w:tc>
      </w:tr>
      <w:tr>
        <w:trPr>
          <w:trHeight w:val="401"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2"/>
                <w:sz w:val="18"/>
              </w:rPr>
              <w:t>81,911,040.79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80,422,310.51</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93" w:type="dxa"/>
        <w:tblLayout w:type="fixed"/>
        <w:tblCellMar>
          <w:top w:w="0" w:type="dxa"/>
          <w:left w:w="0" w:type="dxa"/>
          <w:bottom w:w="0" w:type="dxa"/>
          <w:right w:w="0" w:type="dxa"/>
        </w:tblCellMar>
        <w:tblLook w:val="01E0"/>
      </w:tblPr>
      <w:tblGrid>
        <w:gridCol w:w="5507"/>
        <w:gridCol w:w="2136"/>
        <w:gridCol w:w="1913"/>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4,717,666.21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5,878,220.56</w:t>
            </w:r>
          </w:p>
        </w:tc>
      </w:tr>
      <w:tr>
        <w:trPr>
          <w:trHeight w:val="714"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2" w:right="32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63,471.66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2"/>
                <w:sz w:val="18"/>
              </w:rPr>
              <w:t>11,667.06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282,427.21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143,671.26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1,375,707.61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78,915.29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-1,346,020.16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-3,271,381.94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1,503,749.40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1,049,383.39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-681,515.13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-297,763.00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-19,585,724.06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-27,667,628.08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-98,625,127.37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-131,938,789.30</w:t>
            </w:r>
          </w:p>
        </w:tc>
      </w:tr>
      <w:tr>
        <w:trPr>
          <w:trHeight w:val="40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85,161,171.48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7,913,452.98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24,998,762.74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9,381,098.39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491,523,303.34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237,220,809.69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4"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Arial" w:hAnsi="Arial" w:cs="Arial" w:eastAsia="Arial" w:hint="default"/>
                <w:sz w:val="18"/>
                <w:szCs w:val="18"/>
              </w:rPr>
            </w:pPr>
            <w:r>
              <w:rPr>
                <w:rFonts w:ascii="Arial"/>
                <w:sz w:val="18"/>
              </w:rPr>
              <w:t>--</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1,267,769,932.45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778,856,850.82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778,856,850.82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770,314,415.88</w:t>
            </w:r>
          </w:p>
        </w:tc>
      </w:tr>
      <w:tr>
        <w:trPr>
          <w:trHeight w:val="40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488,913,081.63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8,542,434.94</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）本期支付的取得子公司的现金净额</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476,160,000.00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476,160,000.00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38,872,971.98</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38,872,971.98</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73,940,000.00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63,940,000.00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511,227,028.02</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）本期收到的处置子公司的现金净额</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8"/>
        <w:gridCol w:w="4580"/>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北京华宇科创投资有限公司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2,535,880.43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北京华宇科创投资有限公司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2,535,880.43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1,464,119.57</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）现金和现金等价物的构成</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305"/>
        <w:gridCol w:w="3069"/>
        <w:gridCol w:w="3183"/>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1,267,769,932.45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778,856,850.82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244,474.99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197,068.17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1,267,504,021.90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778,638,347.09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21,435.56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21,435.56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1,267,769,932.45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778,856,850.82</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47</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305"/>
        <w:gridCol w:w="3069"/>
        <w:gridCol w:w="3183"/>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29,564,187.34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信用证保证金、履约保证金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32,340,707.26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0"/>
              <w:ind w:right="14"/>
              <w:jc w:val="right"/>
              <w:rPr>
                <w:rFonts w:ascii="Arial" w:hAnsi="Arial" w:cs="Arial" w:eastAsia="Arial" w:hint="default"/>
                <w:sz w:val="18"/>
                <w:szCs w:val="18"/>
              </w:rPr>
            </w:pPr>
            <w:r>
              <w:rPr>
                <w:rFonts w:ascii="Arial"/>
                <w:spacing w:val="-1"/>
                <w:sz w:val="18"/>
              </w:rPr>
              <w:t>61,904,894.60</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八、合并范围的变更</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）本期发生的非同一控制下企业合并</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708"/>
        <w:gridCol w:w="852"/>
        <w:gridCol w:w="850"/>
        <w:gridCol w:w="709"/>
        <w:gridCol w:w="994"/>
        <w:gridCol w:w="708"/>
        <w:gridCol w:w="2722"/>
        <w:gridCol w:w="1061"/>
        <w:gridCol w:w="1063"/>
      </w:tblGrid>
      <w:tr>
        <w:trPr>
          <w:trHeight w:val="102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被购买 方名称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60"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2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36" w:right="0"/>
              <w:jc w:val="left"/>
              <w:rPr>
                <w:rFonts w:ascii="宋体" w:hAnsi="宋体" w:cs="宋体" w:eastAsia="宋体" w:hint="default"/>
                <w:sz w:val="18"/>
                <w:szCs w:val="18"/>
              </w:rPr>
            </w:pPr>
            <w:r>
              <w:rPr>
                <w:rFonts w:ascii="宋体" w:hAnsi="宋体" w:cs="宋体" w:eastAsia="宋体" w:hint="default"/>
                <w:sz w:val="18"/>
                <w:szCs w:val="18"/>
              </w:rPr>
              <w:t>购买日的确定依据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4"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22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32"/>
              <w:jc w:val="both"/>
              <w:rPr>
                <w:rFonts w:ascii="宋体" w:hAnsi="宋体" w:cs="宋体" w:eastAsia="宋体" w:hint="default"/>
                <w:sz w:val="18"/>
                <w:szCs w:val="18"/>
              </w:rPr>
            </w:pPr>
            <w:r>
              <w:rPr>
                <w:rFonts w:ascii="宋体" w:hAnsi="宋体" w:cs="宋体" w:eastAsia="宋体" w:hint="default"/>
                <w:sz w:val="18"/>
                <w:szCs w:val="18"/>
              </w:rPr>
              <w:t>联奕科 技有限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7" w:right="0"/>
              <w:jc w:val="left"/>
              <w:rPr>
                <w:rFonts w:ascii="Arial" w:hAnsi="Arial" w:cs="Arial" w:eastAsia="Arial" w:hint="default"/>
                <w:sz w:val="18"/>
                <w:szCs w:val="18"/>
              </w:rPr>
            </w:pPr>
            <w:r>
              <w:rPr>
                <w:rFonts w:ascii="Arial"/>
                <w:sz w:val="18"/>
              </w:rPr>
              <w:t>1,488,00</w:t>
            </w:r>
          </w:p>
          <w:p>
            <w:pPr>
              <w:pStyle w:val="TableParagraph"/>
              <w:spacing w:line="240" w:lineRule="auto" w:before="102"/>
              <w:ind w:left="117" w:right="0"/>
              <w:jc w:val="left"/>
              <w:rPr>
                <w:rFonts w:ascii="Arial" w:hAnsi="Arial" w:cs="Arial" w:eastAsia="Arial" w:hint="default"/>
                <w:sz w:val="18"/>
                <w:szCs w:val="18"/>
              </w:rPr>
            </w:pPr>
            <w:r>
              <w:rPr>
                <w:rFonts w:ascii="Arial"/>
                <w:sz w:val="18"/>
              </w:rPr>
              <w:t>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59"/>
              <w:jc w:val="left"/>
              <w:rPr>
                <w:rFonts w:ascii="宋体" w:hAnsi="宋体" w:cs="宋体" w:eastAsia="宋体" w:hint="default"/>
                <w:sz w:val="18"/>
                <w:szCs w:val="18"/>
              </w:rPr>
            </w:pPr>
            <w:r>
              <w:rPr>
                <w:rFonts w:ascii="宋体" w:hAnsi="宋体" w:cs="宋体" w:eastAsia="宋体" w:hint="default"/>
                <w:sz w:val="18"/>
                <w:szCs w:val="18"/>
              </w:rPr>
              <w:t>现金对价和 发行股份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08</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6"/>
              <w:jc w:val="left"/>
              <w:rPr>
                <w:rFonts w:ascii="宋体" w:hAnsi="宋体" w:cs="宋体" w:eastAsia="宋体" w:hint="default"/>
                <w:sz w:val="18"/>
                <w:szCs w:val="18"/>
              </w:rPr>
            </w:pPr>
            <w:r>
              <w:rPr>
                <w:rFonts w:ascii="宋体" w:hAnsi="宋体" w:cs="宋体" w:eastAsia="宋体" w:hint="default"/>
                <w:sz w:val="18"/>
                <w:szCs w:val="18"/>
              </w:rPr>
              <w:t>收购相关协议已取得股东大会决 议通过，已取得证监会审议通 过，工商变更登记完成，资产交 割完成，购买方实际上已经控制 了被购买方的财务和经营政策， 享有相应的收益并承担相应的风 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216,393,349</w:t>
            </w:r>
          </w:p>
          <w:p>
            <w:pPr>
              <w:pStyle w:val="TableParagraph"/>
              <w:spacing w:line="240" w:lineRule="auto" w:before="102"/>
              <w:ind w:right="20"/>
              <w:jc w:val="right"/>
              <w:rPr>
                <w:rFonts w:ascii="Arial" w:hAnsi="Arial" w:cs="Arial" w:eastAsia="Arial" w:hint="default"/>
                <w:sz w:val="18"/>
                <w:szCs w:val="18"/>
              </w:rPr>
            </w:pPr>
            <w:r>
              <w:rPr>
                <w:rFonts w:ascii="Arial"/>
                <w:w w:val="95"/>
                <w:sz w:val="18"/>
              </w:rPr>
              <w:t>.20</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78,145,477.</w:t>
            </w:r>
          </w:p>
          <w:p>
            <w:pPr>
              <w:pStyle w:val="TableParagraph"/>
              <w:spacing w:line="240" w:lineRule="auto" w:before="102"/>
              <w:ind w:right="17"/>
              <w:jc w:val="right"/>
              <w:rPr>
                <w:rFonts w:ascii="Arial" w:hAnsi="Arial" w:cs="Arial" w:eastAsia="Arial" w:hint="default"/>
                <w:sz w:val="18"/>
                <w:szCs w:val="18"/>
              </w:rPr>
            </w:pPr>
            <w:r>
              <w:rPr>
                <w:rFonts w:ascii="Arial"/>
                <w:w w:val="95"/>
                <w:sz w:val="18"/>
              </w:rPr>
              <w:t>22</w:t>
            </w:r>
            <w:r>
              <w:rPr>
                <w:rFonts w:ascii="Arial"/>
                <w:sz w:val="18"/>
              </w:rPr>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）合并成本及商誉</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5670"/>
        <w:gridCol w:w="3898"/>
      </w:tblGrid>
      <w:tr>
        <w:trPr>
          <w:trHeight w:val="40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8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224"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现金</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476,160,000.00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发行的权益性证券的公允价值</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1,011,840,000.00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1,488,000,000.00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188,822,348.86</w:t>
            </w:r>
          </w:p>
        </w:tc>
      </w:tr>
      <w:tr>
        <w:trPr>
          <w:trHeight w:val="40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Arial" w:hAnsi="Arial" w:cs="Arial" w:eastAsia="Arial" w:hint="default"/>
                <w:sz w:val="18"/>
                <w:szCs w:val="18"/>
              </w:rPr>
              <w:t>/</w:t>
            </w:r>
            <w:r>
              <w:rPr>
                <w:rFonts w:ascii="宋体" w:hAnsi="宋体" w:cs="宋体" w:eastAsia="宋体" w:hint="default"/>
                <w:sz w:val="18"/>
                <w:szCs w:val="18"/>
              </w:rPr>
              <w:t>合并成本小于取得的可辨认净资产公允价值份额的金额</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1,299,177,651.14</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大额商誉形成的主要原因：</w:t>
      </w:r>
    </w:p>
    <w:p>
      <w:pPr>
        <w:spacing w:line="240" w:lineRule="auto" w:before="6"/>
        <w:rPr>
          <w:rFonts w:ascii="宋体" w:hAnsi="宋体" w:cs="宋体" w:eastAsia="宋体" w:hint="default"/>
          <w:sz w:val="18"/>
          <w:szCs w:val="18"/>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大额商誉是由于收购联奕科技支付对价</w:t>
      </w:r>
      <w:r>
        <w:rPr>
          <w:rFonts w:ascii="Arial" w:hAnsi="Arial" w:cs="Arial" w:eastAsia="Arial" w:hint="default"/>
          <w:spacing w:val="-2"/>
          <w:sz w:val="21"/>
          <w:szCs w:val="21"/>
        </w:rPr>
        <w:t>1,488,000,000.00</w:t>
      </w:r>
      <w:r>
        <w:rPr>
          <w:rFonts w:ascii="宋体" w:hAnsi="宋体" w:cs="宋体" w:eastAsia="宋体" w:hint="default"/>
          <w:spacing w:val="-2"/>
          <w:sz w:val="21"/>
          <w:szCs w:val="21"/>
        </w:rPr>
        <w:t>与取得的联奕科技购买日可辨认净资产公允</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Arial" w:hAnsi="Arial" w:cs="Arial" w:eastAsia="Arial" w:hint="default"/>
          <w:sz w:val="21"/>
          <w:szCs w:val="21"/>
        </w:rPr>
        <w:t>188,822,348.86</w:t>
      </w:r>
      <w:r>
        <w:rPr>
          <w:rFonts w:ascii="宋体" w:hAnsi="宋体" w:cs="宋体" w:eastAsia="宋体" w:hint="default"/>
          <w:sz w:val="21"/>
          <w:szCs w:val="21"/>
        </w:rPr>
        <w:t>的差异形成。</w:t>
      </w:r>
    </w:p>
    <w:p>
      <w:pPr>
        <w:spacing w:before="192"/>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）被购买方于购买日可辨认资产、负债</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1" w:type="dxa"/>
            <w:gridSpan w:val="2"/>
            <w:tcBorders>
              <w:top w:val="single" w:sz="4" w:space="0" w:color="000000"/>
              <w:left w:val="single" w:sz="12" w:space="0" w:color="D2D2D2"/>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联奕科技有限公司</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42,286,518.23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42,286,518.23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150,804,830.45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143,163,929.61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62,398,578.17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62,398,578.17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39,802,955.47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29,490,219.02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36,740,794.51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4,373,860.32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592,794.00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592,794.00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234,847.34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998,937.42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42,200,000.00</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6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70,571,002.24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70,571,002.24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4,267,967.07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188,822,348.86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143,533,834.53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188,822,348.86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143,533,834.53</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、处置子公司</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是否存在单次处置对子公司投资即丧失控制权的情形</w:t>
      </w:r>
    </w:p>
    <w:p>
      <w:pPr>
        <w:spacing w:line="240" w:lineRule="auto" w:before="6"/>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是 </w:t>
      </w:r>
      <w:r>
        <w:rPr>
          <w:rFonts w:ascii="Arial" w:hAnsi="Arial" w:cs="Arial" w:eastAsia="Arial" w:hint="default"/>
          <w:sz w:val="21"/>
          <w:szCs w:val="21"/>
        </w:rPr>
        <w:t>□</w:t>
      </w:r>
      <w:r>
        <w:rPr>
          <w:rFonts w:ascii="Arial" w:hAnsi="Arial" w:cs="Arial" w:eastAsia="Arial" w:hint="default"/>
          <w:spacing w:val="34"/>
          <w:sz w:val="21"/>
          <w:szCs w:val="21"/>
        </w:rPr>
        <w:t> </w:t>
      </w:r>
      <w:r>
        <w:rPr>
          <w:rFonts w:ascii="宋体" w:hAnsi="宋体" w:cs="宋体" w:eastAsia="宋体" w:hint="default"/>
          <w:sz w:val="21"/>
          <w:szCs w:val="21"/>
        </w:rPr>
        <w:t>否</w:t>
      </w:r>
    </w:p>
    <w:p>
      <w:pPr>
        <w:spacing w:line="240" w:lineRule="auto" w:before="4"/>
        <w:rPr>
          <w:rFonts w:ascii="宋体" w:hAnsi="宋体" w:cs="宋体" w:eastAsia="宋体" w:hint="default"/>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35"/>
        <w:gridCol w:w="737"/>
        <w:gridCol w:w="737"/>
        <w:gridCol w:w="735"/>
        <w:gridCol w:w="734"/>
        <w:gridCol w:w="859"/>
        <w:gridCol w:w="850"/>
        <w:gridCol w:w="497"/>
        <w:gridCol w:w="737"/>
        <w:gridCol w:w="737"/>
        <w:gridCol w:w="735"/>
        <w:gridCol w:w="737"/>
        <w:gridCol w:w="737"/>
      </w:tblGrid>
      <w:tr>
        <w:trPr>
          <w:trHeight w:val="289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5"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丧失控制 权时点的 确定依据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8"/>
              <w:jc w:val="center"/>
              <w:rPr>
                <w:rFonts w:ascii="宋体" w:hAnsi="宋体" w:cs="宋体" w:eastAsia="宋体" w:hint="default"/>
                <w:sz w:val="18"/>
                <w:szCs w:val="18"/>
              </w:rPr>
            </w:pPr>
            <w:r>
              <w:rPr>
                <w:rFonts w:ascii="宋体" w:hAnsi="宋体" w:cs="宋体" w:eastAsia="宋体" w:hint="default"/>
                <w:sz w:val="18"/>
                <w:szCs w:val="18"/>
              </w:rPr>
              <w:t>处置价款 与处置投 资对应的 合并财务 报表层面 享有该子 公司净资 产份额的 差额</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2"/>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212"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159"/>
              <w:jc w:val="both"/>
              <w:rPr>
                <w:rFonts w:ascii="宋体" w:hAnsi="宋体" w:cs="宋体" w:eastAsia="宋体" w:hint="default"/>
                <w:sz w:val="18"/>
                <w:szCs w:val="18"/>
              </w:rPr>
            </w:pPr>
            <w:r>
              <w:rPr>
                <w:rFonts w:ascii="宋体" w:hAnsi="宋体" w:cs="宋体" w:eastAsia="宋体" w:hint="default"/>
                <w:sz w:val="18"/>
                <w:szCs w:val="18"/>
              </w:rPr>
              <w:t>北京华 宇科创 投资有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4" w:right="0"/>
              <w:jc w:val="center"/>
              <w:rPr>
                <w:rFonts w:ascii="Arial" w:hAnsi="Arial" w:cs="Arial" w:eastAsia="Arial" w:hint="default"/>
                <w:sz w:val="18"/>
                <w:szCs w:val="18"/>
              </w:rPr>
            </w:pPr>
            <w:r>
              <w:rPr>
                <w:rFonts w:ascii="Arial"/>
                <w:sz w:val="18"/>
              </w:rPr>
              <w:t>4,000,0</w:t>
            </w:r>
          </w:p>
          <w:p>
            <w:pPr>
              <w:pStyle w:val="TableParagraph"/>
              <w:spacing w:line="240" w:lineRule="auto" w:before="102"/>
              <w:ind w:left="233" w:right="0"/>
              <w:jc w:val="center"/>
              <w:rPr>
                <w:rFonts w:ascii="Arial" w:hAnsi="Arial" w:cs="Arial" w:eastAsia="Arial" w:hint="default"/>
                <w:sz w:val="18"/>
                <w:szCs w:val="18"/>
              </w:rPr>
            </w:pPr>
            <w:r>
              <w:rPr>
                <w:rFonts w:ascii="Arial"/>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2"/>
              <w:jc w:val="right"/>
              <w:rPr>
                <w:rFonts w:ascii="Arial" w:hAnsi="Arial" w:cs="Arial" w:eastAsia="Arial" w:hint="default"/>
                <w:sz w:val="18"/>
                <w:szCs w:val="18"/>
              </w:rPr>
            </w:pPr>
            <w:r>
              <w:rPr>
                <w:rFonts w:ascii="Arial"/>
                <w:w w:val="99"/>
                <w:sz w:val="18"/>
              </w:rPr>
              <w:t>%</w:t>
            </w:r>
            <w:r>
              <w:rPr>
                <w:rFonts w:ascii="Arial"/>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3"/>
              <w:jc w:val="both"/>
              <w:rPr>
                <w:rFonts w:ascii="宋体" w:hAnsi="宋体" w:cs="宋体" w:eastAsia="宋体" w:hint="default"/>
                <w:sz w:val="18"/>
                <w:szCs w:val="18"/>
              </w:rPr>
            </w:pPr>
            <w:r>
              <w:rPr>
                <w:rFonts w:ascii="宋体" w:hAnsi="宋体" w:cs="宋体" w:eastAsia="宋体" w:hint="default"/>
                <w:sz w:val="18"/>
                <w:szCs w:val="18"/>
              </w:rPr>
              <w:t>处置资产 协议经股 东大会决 议通过， 全额收到 款项，办 理财产交 割，完成 工商变更 登记。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468,837.</w:t>
            </w:r>
          </w:p>
          <w:p>
            <w:pPr>
              <w:pStyle w:val="TableParagraph"/>
              <w:spacing w:line="240" w:lineRule="auto" w:before="102"/>
              <w:ind w:right="17"/>
              <w:jc w:val="right"/>
              <w:rPr>
                <w:rFonts w:ascii="Arial" w:hAnsi="Arial" w:cs="Arial" w:eastAsia="Arial" w:hint="default"/>
                <w:sz w:val="18"/>
                <w:szCs w:val="18"/>
              </w:rPr>
            </w:pPr>
            <w:r>
              <w:rPr>
                <w:rFonts w:ascii="Arial"/>
                <w:w w:val="95"/>
                <w:sz w:val="18"/>
              </w:rPr>
              <w:t>53</w:t>
            </w:r>
            <w:r>
              <w:rPr>
                <w:rFonts w:ascii="Arial"/>
                <w:sz w:val="18"/>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0" w:right="0"/>
              <w:jc w:val="center"/>
              <w:rPr>
                <w:rFonts w:ascii="Arial" w:hAnsi="Arial" w:cs="Arial" w:eastAsia="Arial" w:hint="default"/>
                <w:sz w:val="18"/>
                <w:szCs w:val="18"/>
              </w:rPr>
            </w:pPr>
            <w:r>
              <w:rPr>
                <w:rFonts w:ascii="Arial"/>
                <w:sz w:val="18"/>
              </w:rPr>
              <w:t>0.00</w:t>
            </w:r>
          </w:p>
          <w:p>
            <w:pPr>
              <w:pStyle w:val="TableParagraph"/>
              <w:spacing w:line="240" w:lineRule="auto" w:before="102"/>
              <w:ind w:left="277" w:right="0"/>
              <w:jc w:val="center"/>
              <w:rPr>
                <w:rFonts w:ascii="Arial" w:hAnsi="Arial" w:cs="Arial" w:eastAsia="Arial" w:hint="default"/>
                <w:sz w:val="18"/>
                <w:szCs w:val="18"/>
              </w:rPr>
            </w:pPr>
            <w:r>
              <w:rPr>
                <w:rFonts w:ascii="Arial"/>
                <w:w w:val="99"/>
                <w:sz w:val="18"/>
              </w:rPr>
              <w:t>%</w:t>
            </w:r>
            <w:r>
              <w:rPr>
                <w:rFonts w:ascii="Arial"/>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5" w:right="0"/>
              <w:jc w:val="center"/>
              <w:rPr>
                <w:rFonts w:ascii="Arial" w:hAnsi="Arial" w:cs="Arial" w:eastAsia="Arial" w:hint="default"/>
                <w:sz w:val="18"/>
                <w:szCs w:val="18"/>
              </w:rPr>
            </w:pPr>
            <w:r>
              <w:rPr>
                <w:rFonts w:ascii="Arial"/>
                <w:sz w:val="18"/>
              </w:rPr>
              <w:t>3,531,1</w:t>
            </w:r>
          </w:p>
          <w:p>
            <w:pPr>
              <w:pStyle w:val="TableParagraph"/>
              <w:spacing w:line="240" w:lineRule="auto" w:before="102"/>
              <w:ind w:left="233" w:right="0"/>
              <w:jc w:val="center"/>
              <w:rPr>
                <w:rFonts w:ascii="Arial" w:hAnsi="Arial" w:cs="Arial" w:eastAsia="Arial" w:hint="default"/>
                <w:sz w:val="18"/>
                <w:szCs w:val="18"/>
              </w:rPr>
            </w:pPr>
            <w:r>
              <w:rPr>
                <w:rFonts w:ascii="Arial"/>
                <w:sz w:val="18"/>
              </w:rPr>
              <w:t>62.47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0" w:right="0"/>
              <w:jc w:val="center"/>
              <w:rPr>
                <w:rFonts w:ascii="Arial" w:hAnsi="Arial" w:cs="Arial" w:eastAsia="Arial" w:hint="default"/>
                <w:sz w:val="18"/>
                <w:szCs w:val="18"/>
              </w:rPr>
            </w:pPr>
            <w:r>
              <w:rPr>
                <w:rFonts w:ascii="Arial"/>
                <w:sz w:val="18"/>
              </w:rPr>
              <w:t>3,531,1</w:t>
            </w:r>
          </w:p>
          <w:p>
            <w:pPr>
              <w:pStyle w:val="TableParagraph"/>
              <w:spacing w:line="240" w:lineRule="auto" w:before="102"/>
              <w:ind w:left="229" w:right="0"/>
              <w:jc w:val="center"/>
              <w:rPr>
                <w:rFonts w:ascii="Arial" w:hAnsi="Arial" w:cs="Arial" w:eastAsia="Arial" w:hint="default"/>
                <w:sz w:val="18"/>
                <w:szCs w:val="18"/>
              </w:rPr>
            </w:pPr>
            <w:r>
              <w:rPr>
                <w:rFonts w:ascii="Arial"/>
                <w:sz w:val="18"/>
              </w:rPr>
              <w:t>62.47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52" w:right="0"/>
              <w:jc w:val="left"/>
              <w:rPr>
                <w:rFonts w:ascii="Arial" w:hAnsi="Arial" w:cs="Arial" w:eastAsia="Arial" w:hint="default"/>
                <w:sz w:val="18"/>
                <w:szCs w:val="18"/>
              </w:rPr>
            </w:pPr>
            <w:r>
              <w:rPr>
                <w:rFonts w:ascii="Arial"/>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52" w:right="0"/>
              <w:jc w:val="left"/>
              <w:rPr>
                <w:rFonts w:ascii="Arial" w:hAnsi="Arial" w:cs="Arial" w:eastAsia="Arial" w:hint="default"/>
                <w:sz w:val="18"/>
                <w:szCs w:val="18"/>
              </w:rPr>
            </w:pPr>
            <w:r>
              <w:rPr>
                <w:rFonts w:ascii="Arial"/>
                <w:sz w:val="18"/>
              </w:rPr>
              <w:t>0.00</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是否存在通过多次交易分步处置对子公司投资且在本期丧失控制权的情形</w:t>
      </w:r>
    </w:p>
    <w:p>
      <w:pPr>
        <w:spacing w:line="240" w:lineRule="auto" w:before="6"/>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是 </w:t>
      </w:r>
      <w:r>
        <w:rPr>
          <w:rFonts w:ascii="Arial" w:hAnsi="Arial" w:cs="Arial" w:eastAsia="Arial" w:hint="default"/>
          <w:sz w:val="21"/>
          <w:szCs w:val="21"/>
        </w:rPr>
        <w:t>√</w:t>
      </w:r>
      <w:r>
        <w:rPr>
          <w:rFonts w:ascii="Arial" w:hAnsi="Arial" w:cs="Arial" w:eastAsia="Arial" w:hint="default"/>
          <w:spacing w:val="34"/>
          <w:sz w:val="21"/>
          <w:szCs w:val="21"/>
        </w:rPr>
        <w:t> </w:t>
      </w:r>
      <w:r>
        <w:rPr>
          <w:rFonts w:ascii="宋体" w:hAnsi="宋体" w:cs="宋体" w:eastAsia="宋体" w:hint="default"/>
          <w:sz w:val="21"/>
          <w:szCs w:val="21"/>
        </w:rPr>
        <w:t>否</w:t>
      </w:r>
    </w:p>
    <w:p>
      <w:pPr>
        <w:spacing w:line="670" w:lineRule="exact" w:before="25"/>
        <w:ind w:left="578" w:right="0" w:hanging="426"/>
        <w:jc w:val="left"/>
        <w:rPr>
          <w:rFonts w:ascii="宋体" w:hAnsi="宋体" w:cs="宋体" w:eastAsia="宋体"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、其他原因的合并范围变动</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本公司根据集团经营需要，新设子公司溯源云（北京）科技服务有限公司、孙公司中科智慧水运科</w:t>
      </w:r>
    </w:p>
    <w:p>
      <w:pPr>
        <w:spacing w:line="256"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技创新（广州）有限公司。</w:t>
      </w:r>
    </w:p>
    <w:p>
      <w:pPr>
        <w:spacing w:after="0" w:line="256" w:lineRule="exact"/>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九、在其他主体中的权益</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）企业集团的构成</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北京亿信华辰软 件有限责任公司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Arial"/>
                <w:spacing w:val="-1"/>
                <w:sz w:val="18"/>
              </w:rPr>
              <w:t>80.00%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广州华宇信息技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广州市海珠区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广州市海珠区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北京华宇信息技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华宇（大连）信 息服务有限公司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大连市甘井子区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大连市甘井子区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华宇金信（北 京）软件有限公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北京华宇信码技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2"/>
              <w:jc w:val="left"/>
              <w:rPr>
                <w:rFonts w:ascii="宋体" w:hAnsi="宋体" w:cs="宋体" w:eastAsia="宋体" w:hint="default"/>
                <w:sz w:val="18"/>
                <w:szCs w:val="18"/>
              </w:rPr>
            </w:pPr>
            <w:r>
              <w:rPr>
                <w:rFonts w:ascii="宋体" w:hAnsi="宋体" w:cs="宋体" w:eastAsia="宋体" w:hint="default"/>
                <w:sz w:val="18"/>
                <w:szCs w:val="18"/>
              </w:rPr>
              <w:t>技术开发与咨 询、服务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Arial"/>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上海浦东华宇信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北京万户网络技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北京华宇元典信 息服务有限公司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52"/>
              <w:jc w:val="left"/>
              <w:rPr>
                <w:rFonts w:ascii="宋体" w:hAnsi="宋体" w:cs="宋体" w:eastAsia="宋体" w:hint="default"/>
                <w:sz w:val="18"/>
                <w:szCs w:val="18"/>
              </w:rPr>
            </w:pPr>
            <w:r>
              <w:rPr>
                <w:rFonts w:ascii="宋体" w:hAnsi="宋体" w:cs="宋体" w:eastAsia="宋体" w:hint="default"/>
                <w:sz w:val="18"/>
                <w:szCs w:val="18"/>
              </w:rPr>
              <w:t>软件开发与销 售、技术咨询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Arial"/>
                <w:spacing w:val="-1"/>
                <w:sz w:val="18"/>
              </w:rPr>
              <w:t>37.50%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溯源云（北京） 科技服务有限公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252"/>
              <w:jc w:val="left"/>
              <w:rPr>
                <w:rFonts w:ascii="宋体" w:hAnsi="宋体" w:cs="宋体" w:eastAsia="宋体" w:hint="default"/>
                <w:sz w:val="18"/>
                <w:szCs w:val="18"/>
              </w:rPr>
            </w:pPr>
            <w:r>
              <w:rPr>
                <w:rFonts w:ascii="宋体" w:hAnsi="宋体" w:cs="宋体" w:eastAsia="宋体" w:hint="default"/>
                <w:sz w:val="18"/>
                <w:szCs w:val="18"/>
              </w:rPr>
              <w:t>技术开发与咨 询、服务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Arial" w:hAnsi="Arial" w:cs="Arial" w:eastAsia="Arial" w:hint="default"/>
                <w:sz w:val="18"/>
                <w:szCs w:val="18"/>
              </w:rPr>
            </w:pPr>
            <w:r>
              <w:rPr>
                <w:rFonts w:ascii="Arial"/>
                <w:spacing w:val="-1"/>
                <w:sz w:val="18"/>
              </w:rPr>
              <w:t>45.00%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联奕科技有限公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广州市天河区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广州市天河区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52"/>
              <w:jc w:val="left"/>
              <w:rPr>
                <w:rFonts w:ascii="宋体" w:hAnsi="宋体" w:cs="宋体" w:eastAsia="宋体" w:hint="default"/>
                <w:sz w:val="18"/>
                <w:szCs w:val="18"/>
              </w:rPr>
            </w:pPr>
            <w:r>
              <w:rPr>
                <w:rFonts w:ascii="宋体" w:hAnsi="宋体" w:cs="宋体" w:eastAsia="宋体" w:hint="default"/>
                <w:sz w:val="18"/>
                <w:szCs w:val="18"/>
              </w:rPr>
              <w:t>软件开发与销 售、技术咨询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6"/>
        <w:rPr>
          <w:rFonts w:ascii="Microsoft JhengHei" w:hAnsi="Microsoft JhengHei" w:cs="Microsoft JhengHei" w:eastAsia="Microsoft JhengHei" w:hint="default"/>
          <w:b/>
          <w:bCs/>
          <w:sz w:val="9"/>
          <w:szCs w:val="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持有半数或以下表决权但仍控制被投资单位、以及持有半数以上表决权但不控制被投资单位的依据：</w:t>
      </w:r>
    </w:p>
    <w:p>
      <w:pPr>
        <w:spacing w:line="240" w:lineRule="auto" w:before="6"/>
        <w:rPr>
          <w:rFonts w:ascii="宋体" w:hAnsi="宋体" w:cs="宋体" w:eastAsia="宋体" w:hint="default"/>
          <w:sz w:val="18"/>
          <w:szCs w:val="18"/>
        </w:rPr>
      </w:pPr>
    </w:p>
    <w:p>
      <w:pPr>
        <w:spacing w:line="309"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①本公司对北京华宇元典信息服务有限公司持股</w:t>
      </w:r>
      <w:r>
        <w:rPr>
          <w:rFonts w:ascii="Arial" w:hAnsi="Arial" w:cs="Arial" w:eastAsia="Arial" w:hint="default"/>
          <w:spacing w:val="-2"/>
          <w:sz w:val="21"/>
          <w:szCs w:val="21"/>
        </w:rPr>
        <w:t>37.50%</w:t>
      </w:r>
      <w:r>
        <w:rPr>
          <w:rFonts w:ascii="宋体" w:hAnsi="宋体" w:cs="宋体" w:eastAsia="宋体" w:hint="default"/>
          <w:spacing w:val="-2"/>
          <w:sz w:val="21"/>
          <w:szCs w:val="21"/>
        </w:rPr>
        <w:t>，未超过公司半数表决权，但本公司为北京</w:t>
      </w:r>
      <w:r>
        <w:rPr>
          <w:rFonts w:ascii="宋体" w:hAnsi="宋体" w:cs="宋体" w:eastAsia="宋体" w:hint="default"/>
          <w:w w:val="100"/>
          <w:sz w:val="21"/>
          <w:szCs w:val="21"/>
        </w:rPr>
        <w:t> </w:t>
      </w:r>
      <w:r>
        <w:rPr>
          <w:rFonts w:ascii="宋体" w:hAnsi="宋体" w:cs="宋体" w:eastAsia="宋体" w:hint="default"/>
          <w:sz w:val="21"/>
          <w:szCs w:val="21"/>
        </w:rPr>
        <w:t>华宇元典信息服务有限公司第一大股东，且北京华宇元典信息服务有限公司的董事会成员过半数由本公</w:t>
      </w:r>
      <w:r>
        <w:rPr>
          <w:rFonts w:ascii="宋体" w:hAnsi="宋体" w:cs="宋体" w:eastAsia="宋体" w:hint="default"/>
          <w:w w:val="100"/>
          <w:sz w:val="21"/>
          <w:szCs w:val="21"/>
        </w:rPr>
        <w:t> </w:t>
      </w:r>
      <w:r>
        <w:rPr>
          <w:rFonts w:ascii="宋体" w:hAnsi="宋体" w:cs="宋体" w:eastAsia="宋体" w:hint="default"/>
          <w:sz w:val="21"/>
          <w:szCs w:val="21"/>
        </w:rPr>
        <w:t>司及子公司高管担任，能够实质性控制北京华宇元典信息服务有限公司，故将北京华宇元典信息服务有</w:t>
      </w:r>
      <w:r>
        <w:rPr>
          <w:rFonts w:ascii="宋体" w:hAnsi="宋体" w:cs="宋体" w:eastAsia="宋体" w:hint="default"/>
          <w:w w:val="100"/>
          <w:sz w:val="21"/>
          <w:szCs w:val="21"/>
        </w:rPr>
        <w:t> </w:t>
      </w:r>
      <w:r>
        <w:rPr>
          <w:rFonts w:ascii="宋体" w:hAnsi="宋体" w:cs="宋体" w:eastAsia="宋体" w:hint="default"/>
          <w:sz w:val="21"/>
          <w:szCs w:val="21"/>
        </w:rPr>
        <w:t>限公司纳入合并范围。</w:t>
      </w:r>
    </w:p>
    <w:p>
      <w:pPr>
        <w:spacing w:line="240" w:lineRule="auto" w:before="10"/>
        <w:rPr>
          <w:rFonts w:ascii="宋体" w:hAnsi="宋体" w:cs="宋体" w:eastAsia="宋体" w:hint="default"/>
          <w:sz w:val="13"/>
          <w:szCs w:val="13"/>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②本公司对溯源云（北京）科技服务有限公司持股</w:t>
      </w:r>
      <w:r>
        <w:rPr>
          <w:rFonts w:ascii="Arial" w:hAnsi="Arial" w:cs="Arial" w:eastAsia="Arial" w:hint="default"/>
          <w:sz w:val="21"/>
          <w:szCs w:val="21"/>
        </w:rPr>
        <w:t>45.00%</w:t>
      </w:r>
      <w:r>
        <w:rPr>
          <w:rFonts w:ascii="宋体" w:hAnsi="宋体" w:cs="宋体" w:eastAsia="宋体" w:hint="default"/>
          <w:sz w:val="21"/>
          <w:szCs w:val="21"/>
        </w:rPr>
        <w:t>，未超过公司半数表决权，但本公司为溯</w:t>
      </w:r>
    </w:p>
    <w:p>
      <w:pPr>
        <w:spacing w:after="0"/>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14" w:lineRule="auto" w:before="36"/>
        <w:ind w:left="152" w:right="334" w:firstLine="0"/>
        <w:jc w:val="both"/>
        <w:rPr>
          <w:rFonts w:ascii="宋体" w:hAnsi="宋体" w:cs="宋体" w:eastAsia="宋体" w:hint="default"/>
          <w:sz w:val="21"/>
          <w:szCs w:val="21"/>
        </w:rPr>
      </w:pPr>
      <w:r>
        <w:rPr>
          <w:rFonts w:ascii="宋体" w:hAnsi="宋体" w:cs="宋体" w:eastAsia="宋体" w:hint="default"/>
          <w:spacing w:val="-2"/>
          <w:sz w:val="21"/>
          <w:szCs w:val="21"/>
        </w:rPr>
        <w:t>源云（北京）科技服务有限公司第一大股东，且溯源云（北京）科技服务有限公司的董事会成员过半数</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由本公司及子公司高管担任，能够实质性控制溯源云（北京）科技服务有限公司，故将北京溯源云（北</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京）科技服务有限公司纳入合并范围。</w:t>
      </w:r>
    </w:p>
    <w:p>
      <w:pPr>
        <w:spacing w:line="240" w:lineRule="auto" w:before="2"/>
        <w:rPr>
          <w:rFonts w:ascii="宋体" w:hAnsi="宋体" w:cs="宋体" w:eastAsia="宋体" w:hint="default"/>
          <w:sz w:val="15"/>
          <w:szCs w:val="15"/>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）重要的非全资子公司</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263"/>
        <w:gridCol w:w="1274"/>
        <w:gridCol w:w="1702"/>
        <w:gridCol w:w="1699"/>
        <w:gridCol w:w="1633"/>
      </w:tblGrid>
      <w:tr>
        <w:trPr>
          <w:trHeight w:val="766"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453" w:right="89"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76" w:right="34"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396" w:right="3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631" w:right="89" w:hanging="540"/>
              <w:jc w:val="left"/>
              <w:rPr>
                <w:rFonts w:ascii="宋体" w:hAnsi="宋体" w:cs="宋体" w:eastAsia="宋体" w:hint="default"/>
                <w:sz w:val="18"/>
                <w:szCs w:val="18"/>
              </w:rPr>
            </w:pPr>
            <w:r>
              <w:rPr>
                <w:rFonts w:ascii="宋体" w:hAnsi="宋体" w:cs="宋体" w:eastAsia="宋体" w:hint="default"/>
                <w:sz w:val="18"/>
                <w:szCs w:val="18"/>
              </w:rPr>
              <w:t>期末少数股东权益 余额</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3,300,076.49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16" w:right="0"/>
              <w:jc w:val="left"/>
              <w:rPr>
                <w:rFonts w:ascii="Arial" w:hAnsi="Arial" w:cs="Arial" w:eastAsia="Arial" w:hint="default"/>
                <w:sz w:val="18"/>
                <w:szCs w:val="18"/>
              </w:rPr>
            </w:pPr>
            <w:r>
              <w:rPr>
                <w:rFonts w:ascii="Arial"/>
                <w:sz w:val="18"/>
              </w:rPr>
              <w:t>1,500,000.00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20,440,767.41</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溯源云（北京）科技服务有限公司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-1,656,958.23</w:t>
            </w:r>
          </w:p>
        </w:tc>
        <w:tc>
          <w:tcPr>
            <w:tcW w:w="169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7,093,041.77</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北京华宇元典信息服务有限公司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62.50%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-6,612,012.12</w:t>
            </w:r>
          </w:p>
        </w:tc>
        <w:tc>
          <w:tcPr>
            <w:tcW w:w="169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12,411,073.66</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）重要非全资子公司的主要财务信息</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35"/>
        <w:gridCol w:w="737"/>
        <w:gridCol w:w="737"/>
        <w:gridCol w:w="735"/>
        <w:gridCol w:w="737"/>
        <w:gridCol w:w="734"/>
        <w:gridCol w:w="737"/>
        <w:gridCol w:w="735"/>
        <w:gridCol w:w="734"/>
        <w:gridCol w:w="734"/>
        <w:gridCol w:w="737"/>
        <w:gridCol w:w="737"/>
        <w:gridCol w:w="737"/>
      </w:tblGrid>
      <w:tr>
        <w:trPr>
          <w:trHeight w:val="402" w:hRule="exact"/>
        </w:trPr>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5"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5"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5"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1"/>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北京亿 信华辰 软件有 限责任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5" w:right="0"/>
              <w:jc w:val="left"/>
              <w:rPr>
                <w:rFonts w:ascii="Arial" w:hAnsi="Arial" w:cs="Arial" w:eastAsia="Arial" w:hint="default"/>
                <w:sz w:val="18"/>
                <w:szCs w:val="18"/>
              </w:rPr>
            </w:pPr>
            <w:r>
              <w:rPr>
                <w:rFonts w:ascii="Arial"/>
                <w:sz w:val="18"/>
              </w:rPr>
              <w:t>81,562,</w:t>
            </w:r>
          </w:p>
          <w:p>
            <w:pPr>
              <w:pStyle w:val="TableParagraph"/>
              <w:spacing w:line="240" w:lineRule="auto" w:before="102"/>
              <w:ind w:left="155" w:right="0"/>
              <w:jc w:val="left"/>
              <w:rPr>
                <w:rFonts w:ascii="Arial" w:hAnsi="Arial" w:cs="Arial" w:eastAsia="Arial" w:hint="default"/>
                <w:sz w:val="18"/>
                <w:szCs w:val="18"/>
              </w:rPr>
            </w:pPr>
            <w:r>
              <w:rPr>
                <w:rFonts w:ascii="Arial"/>
                <w:sz w:val="18"/>
              </w:rPr>
              <w:t>989.13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Arial" w:hAnsi="Arial" w:cs="Arial" w:eastAsia="Arial" w:hint="default"/>
                <w:sz w:val="18"/>
                <w:szCs w:val="18"/>
              </w:rPr>
            </w:pPr>
            <w:r>
              <w:rPr>
                <w:rFonts w:ascii="Arial"/>
                <w:sz w:val="18"/>
              </w:rPr>
              <w:t>37,585,</w:t>
            </w:r>
          </w:p>
          <w:p>
            <w:pPr>
              <w:pStyle w:val="TableParagraph"/>
              <w:spacing w:line="240" w:lineRule="auto" w:before="102"/>
              <w:ind w:left="153" w:right="0"/>
              <w:jc w:val="left"/>
              <w:rPr>
                <w:rFonts w:ascii="Arial" w:hAnsi="Arial" w:cs="Arial" w:eastAsia="Arial" w:hint="default"/>
                <w:sz w:val="18"/>
                <w:szCs w:val="18"/>
              </w:rPr>
            </w:pPr>
            <w:r>
              <w:rPr>
                <w:rFonts w:ascii="Arial"/>
                <w:sz w:val="18"/>
              </w:rPr>
              <w:t>387.91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4" w:right="0"/>
              <w:jc w:val="left"/>
              <w:rPr>
                <w:rFonts w:ascii="Arial" w:hAnsi="Arial" w:cs="Arial" w:eastAsia="Arial" w:hint="default"/>
                <w:sz w:val="18"/>
                <w:szCs w:val="18"/>
              </w:rPr>
            </w:pPr>
            <w:r>
              <w:rPr>
                <w:rFonts w:ascii="Arial"/>
                <w:sz w:val="18"/>
              </w:rPr>
              <w:t>119,148</w:t>
            </w:r>
          </w:p>
          <w:p>
            <w:pPr>
              <w:pStyle w:val="TableParagraph"/>
              <w:spacing w:line="240" w:lineRule="auto" w:before="102"/>
              <w:ind w:left="103" w:right="0"/>
              <w:jc w:val="left"/>
              <w:rPr>
                <w:rFonts w:ascii="Arial" w:hAnsi="Arial" w:cs="Arial" w:eastAsia="Arial" w:hint="default"/>
                <w:sz w:val="18"/>
                <w:szCs w:val="18"/>
              </w:rPr>
            </w:pPr>
            <w:r>
              <w:rPr>
                <w:rFonts w:ascii="Arial"/>
                <w:sz w:val="18"/>
              </w:rPr>
              <w:t>,377.04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5" w:right="0"/>
              <w:jc w:val="left"/>
              <w:rPr>
                <w:rFonts w:ascii="Arial" w:hAnsi="Arial" w:cs="Arial" w:eastAsia="Arial" w:hint="default"/>
                <w:sz w:val="18"/>
                <w:szCs w:val="18"/>
              </w:rPr>
            </w:pPr>
            <w:r>
              <w:rPr>
                <w:rFonts w:ascii="Arial"/>
                <w:sz w:val="18"/>
              </w:rPr>
              <w:t>16,944,</w:t>
            </w:r>
          </w:p>
          <w:p>
            <w:pPr>
              <w:pStyle w:val="TableParagraph"/>
              <w:spacing w:line="240" w:lineRule="auto" w:before="102"/>
              <w:ind w:left="155" w:right="0"/>
              <w:jc w:val="left"/>
              <w:rPr>
                <w:rFonts w:ascii="Arial" w:hAnsi="Arial" w:cs="Arial" w:eastAsia="Arial" w:hint="default"/>
                <w:sz w:val="18"/>
                <w:szCs w:val="18"/>
              </w:rPr>
            </w:pPr>
            <w:r>
              <w:rPr>
                <w:rFonts w:ascii="Arial"/>
                <w:sz w:val="18"/>
              </w:rPr>
              <w:t>540.01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Arial" w:hAnsi="Arial" w:cs="Arial" w:eastAsia="Arial" w:hint="default"/>
                <w:sz w:val="18"/>
                <w:szCs w:val="18"/>
              </w:rPr>
            </w:pPr>
            <w:r>
              <w:rPr>
                <w:rFonts w:ascii="Arial"/>
                <w:sz w:val="18"/>
              </w:rPr>
              <w:t>16,944,</w:t>
            </w:r>
          </w:p>
          <w:p>
            <w:pPr>
              <w:pStyle w:val="TableParagraph"/>
              <w:spacing w:line="240" w:lineRule="auto" w:before="102"/>
              <w:ind w:left="153" w:right="0"/>
              <w:jc w:val="left"/>
              <w:rPr>
                <w:rFonts w:ascii="Arial" w:hAnsi="Arial" w:cs="Arial" w:eastAsia="Arial" w:hint="default"/>
                <w:sz w:val="18"/>
                <w:szCs w:val="18"/>
              </w:rPr>
            </w:pPr>
            <w:r>
              <w:rPr>
                <w:rFonts w:ascii="Arial"/>
                <w:sz w:val="18"/>
              </w:rPr>
              <w:t>540.01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Arial" w:hAnsi="Arial" w:cs="Arial" w:eastAsia="Arial" w:hint="default"/>
                <w:sz w:val="18"/>
                <w:szCs w:val="18"/>
              </w:rPr>
            </w:pPr>
            <w:r>
              <w:rPr>
                <w:rFonts w:ascii="Arial"/>
                <w:sz w:val="18"/>
              </w:rPr>
              <w:t>77,413,</w:t>
            </w:r>
          </w:p>
          <w:p>
            <w:pPr>
              <w:pStyle w:val="TableParagraph"/>
              <w:spacing w:line="240" w:lineRule="auto" w:before="102"/>
              <w:ind w:left="153" w:right="0"/>
              <w:jc w:val="left"/>
              <w:rPr>
                <w:rFonts w:ascii="Arial" w:hAnsi="Arial" w:cs="Arial" w:eastAsia="Arial" w:hint="default"/>
                <w:sz w:val="18"/>
                <w:szCs w:val="18"/>
              </w:rPr>
            </w:pPr>
            <w:r>
              <w:rPr>
                <w:rFonts w:ascii="Arial"/>
                <w:sz w:val="18"/>
              </w:rPr>
              <w:t>976.13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 w:right="0"/>
              <w:jc w:val="left"/>
              <w:rPr>
                <w:rFonts w:ascii="Arial" w:hAnsi="Arial" w:cs="Arial" w:eastAsia="Arial" w:hint="default"/>
                <w:sz w:val="18"/>
                <w:szCs w:val="18"/>
              </w:rPr>
            </w:pPr>
            <w:r>
              <w:rPr>
                <w:rFonts w:ascii="Arial"/>
                <w:spacing w:val="-4"/>
                <w:sz w:val="18"/>
              </w:rPr>
              <w:t>34,111,7</w:t>
            </w:r>
          </w:p>
          <w:p>
            <w:pPr>
              <w:pStyle w:val="TableParagraph"/>
              <w:spacing w:line="240" w:lineRule="auto" w:before="102"/>
              <w:ind w:left="251" w:right="0"/>
              <w:jc w:val="left"/>
              <w:rPr>
                <w:rFonts w:ascii="Arial" w:hAnsi="Arial" w:cs="Arial" w:eastAsia="Arial" w:hint="default"/>
                <w:sz w:val="18"/>
                <w:szCs w:val="18"/>
              </w:rPr>
            </w:pPr>
            <w:r>
              <w:rPr>
                <w:rFonts w:ascii="Arial"/>
                <w:sz w:val="18"/>
              </w:rPr>
              <w:t>39.66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 w:right="0"/>
              <w:jc w:val="center"/>
              <w:rPr>
                <w:rFonts w:ascii="Arial" w:hAnsi="Arial" w:cs="Arial" w:eastAsia="Arial" w:hint="default"/>
                <w:sz w:val="18"/>
                <w:szCs w:val="18"/>
              </w:rPr>
            </w:pPr>
            <w:r>
              <w:rPr>
                <w:rFonts w:ascii="Arial"/>
                <w:spacing w:val="-4"/>
                <w:sz w:val="18"/>
              </w:rPr>
              <w:t>111,525,</w:t>
            </w:r>
          </w:p>
          <w:p>
            <w:pPr>
              <w:pStyle w:val="TableParagraph"/>
              <w:spacing w:line="240" w:lineRule="auto" w:before="102"/>
              <w:ind w:left="133" w:right="0"/>
              <w:jc w:val="center"/>
              <w:rPr>
                <w:rFonts w:ascii="Arial" w:hAnsi="Arial" w:cs="Arial" w:eastAsia="Arial" w:hint="default"/>
                <w:sz w:val="18"/>
                <w:szCs w:val="18"/>
              </w:rPr>
            </w:pPr>
            <w:r>
              <w:rPr>
                <w:rFonts w:ascii="Arial"/>
                <w:sz w:val="18"/>
              </w:rPr>
              <w:t>715.79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5" w:right="0"/>
              <w:jc w:val="left"/>
              <w:rPr>
                <w:rFonts w:ascii="Arial" w:hAnsi="Arial" w:cs="Arial" w:eastAsia="Arial" w:hint="default"/>
                <w:sz w:val="18"/>
                <w:szCs w:val="18"/>
              </w:rPr>
            </w:pPr>
            <w:r>
              <w:rPr>
                <w:rFonts w:ascii="Arial"/>
                <w:sz w:val="18"/>
              </w:rPr>
              <w:t>19,094,</w:t>
            </w:r>
          </w:p>
          <w:p>
            <w:pPr>
              <w:pStyle w:val="TableParagraph"/>
              <w:spacing w:line="240" w:lineRule="auto" w:before="102"/>
              <w:ind w:left="167" w:right="0"/>
              <w:jc w:val="left"/>
              <w:rPr>
                <w:rFonts w:ascii="Arial" w:hAnsi="Arial" w:cs="Arial" w:eastAsia="Arial" w:hint="default"/>
                <w:sz w:val="18"/>
                <w:szCs w:val="18"/>
              </w:rPr>
            </w:pPr>
            <w:r>
              <w:rPr>
                <w:rFonts w:ascii="Arial"/>
                <w:spacing w:val="-3"/>
                <w:sz w:val="18"/>
              </w:rPr>
              <w:t>118.15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Arial" w:hAnsi="Arial" w:cs="Arial" w:eastAsia="Arial" w:hint="default"/>
                <w:sz w:val="18"/>
                <w:szCs w:val="18"/>
              </w:rPr>
            </w:pPr>
            <w:r>
              <w:rPr>
                <w:rFonts w:ascii="Arial"/>
                <w:sz w:val="18"/>
              </w:rPr>
              <w:t>19,094,</w:t>
            </w:r>
          </w:p>
          <w:p>
            <w:pPr>
              <w:pStyle w:val="TableParagraph"/>
              <w:spacing w:line="240" w:lineRule="auto" w:before="102"/>
              <w:ind w:left="165" w:right="0"/>
              <w:jc w:val="left"/>
              <w:rPr>
                <w:rFonts w:ascii="Arial" w:hAnsi="Arial" w:cs="Arial" w:eastAsia="Arial" w:hint="default"/>
                <w:sz w:val="18"/>
                <w:szCs w:val="18"/>
              </w:rPr>
            </w:pPr>
            <w:r>
              <w:rPr>
                <w:rFonts w:ascii="Arial"/>
                <w:spacing w:val="-3"/>
                <w:sz w:val="18"/>
              </w:rPr>
              <w:t>118.15</w:t>
            </w:r>
          </w:p>
        </w:tc>
      </w:tr>
      <w:tr>
        <w:trPr>
          <w:trHeight w:val="196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溯源云</w:t>
            </w:r>
          </w:p>
          <w:p>
            <w:pPr>
              <w:pStyle w:val="TableParagraph"/>
              <w:spacing w:line="316" w:lineRule="auto" w:before="76"/>
              <w:ind w:left="24" w:right="158"/>
              <w:jc w:val="left"/>
              <w:rPr>
                <w:rFonts w:ascii="宋体" w:hAnsi="宋体" w:cs="宋体" w:eastAsia="宋体" w:hint="default"/>
                <w:sz w:val="18"/>
                <w:szCs w:val="18"/>
              </w:rPr>
            </w:pPr>
            <w:r>
              <w:rPr>
                <w:rFonts w:ascii="宋体" w:hAnsi="宋体" w:cs="宋体" w:eastAsia="宋体" w:hint="default"/>
                <w:sz w:val="18"/>
                <w:szCs w:val="18"/>
              </w:rPr>
              <w:t>（北 京）科 技服务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4" w:right="0"/>
              <w:jc w:val="center"/>
              <w:rPr>
                <w:rFonts w:ascii="Arial" w:hAnsi="Arial" w:cs="Arial" w:eastAsia="Arial" w:hint="default"/>
                <w:sz w:val="18"/>
                <w:szCs w:val="18"/>
              </w:rPr>
            </w:pPr>
            <w:r>
              <w:rPr>
                <w:rFonts w:ascii="Arial"/>
                <w:sz w:val="18"/>
              </w:rPr>
              <w:t>5,091,9</w:t>
            </w:r>
          </w:p>
          <w:p>
            <w:pPr>
              <w:pStyle w:val="TableParagraph"/>
              <w:spacing w:line="240" w:lineRule="auto" w:before="105"/>
              <w:ind w:left="233" w:right="0"/>
              <w:jc w:val="center"/>
              <w:rPr>
                <w:rFonts w:ascii="Arial" w:hAnsi="Arial" w:cs="Arial" w:eastAsia="Arial" w:hint="default"/>
                <w:sz w:val="18"/>
                <w:szCs w:val="18"/>
              </w:rPr>
            </w:pPr>
            <w:r>
              <w:rPr>
                <w:rFonts w:ascii="Arial"/>
                <w:sz w:val="18"/>
              </w:rPr>
              <w:t>55.38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0" w:right="0"/>
              <w:jc w:val="center"/>
              <w:rPr>
                <w:rFonts w:ascii="Arial" w:hAnsi="Arial" w:cs="Arial" w:eastAsia="Arial" w:hint="default"/>
                <w:sz w:val="18"/>
                <w:szCs w:val="18"/>
              </w:rPr>
            </w:pPr>
            <w:r>
              <w:rPr>
                <w:rFonts w:ascii="Arial"/>
                <w:sz w:val="18"/>
              </w:rPr>
              <w:t>7,400,1</w:t>
            </w:r>
          </w:p>
          <w:p>
            <w:pPr>
              <w:pStyle w:val="TableParagraph"/>
              <w:spacing w:line="240" w:lineRule="auto" w:before="105"/>
              <w:ind w:left="229" w:right="0"/>
              <w:jc w:val="center"/>
              <w:rPr>
                <w:rFonts w:ascii="Arial" w:hAnsi="Arial" w:cs="Arial" w:eastAsia="Arial" w:hint="default"/>
                <w:sz w:val="18"/>
                <w:szCs w:val="18"/>
              </w:rPr>
            </w:pPr>
            <w:r>
              <w:rPr>
                <w:rFonts w:ascii="Arial"/>
                <w:sz w:val="18"/>
              </w:rPr>
              <w:t>93.30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12,492,</w:t>
            </w:r>
          </w:p>
          <w:p>
            <w:pPr>
              <w:pStyle w:val="TableParagraph"/>
              <w:spacing w:line="240" w:lineRule="auto" w:before="105"/>
              <w:ind w:left="153" w:right="0"/>
              <w:jc w:val="left"/>
              <w:rPr>
                <w:rFonts w:ascii="Arial" w:hAnsi="Arial" w:cs="Arial" w:eastAsia="Arial" w:hint="default"/>
                <w:sz w:val="18"/>
                <w:szCs w:val="18"/>
              </w:rPr>
            </w:pPr>
            <w:r>
              <w:rPr>
                <w:rFonts w:ascii="Arial"/>
                <w:sz w:val="18"/>
              </w:rPr>
              <w:t>148.68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4,800.0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4,800.0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0</w:t>
            </w:r>
            <w:r>
              <w:rPr>
                <w:rFonts w:ascii="Arial"/>
                <w:sz w:val="18"/>
              </w:rPr>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北京华 宇元典 信息服 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4" w:right="0"/>
              <w:jc w:val="center"/>
              <w:rPr>
                <w:rFonts w:ascii="Arial" w:hAnsi="Arial" w:cs="Arial" w:eastAsia="Arial" w:hint="default"/>
                <w:sz w:val="18"/>
                <w:szCs w:val="18"/>
              </w:rPr>
            </w:pPr>
            <w:r>
              <w:rPr>
                <w:rFonts w:ascii="Arial"/>
                <w:sz w:val="18"/>
              </w:rPr>
              <w:t>3,980,6</w:t>
            </w:r>
          </w:p>
          <w:p>
            <w:pPr>
              <w:pStyle w:val="TableParagraph"/>
              <w:spacing w:line="240" w:lineRule="auto" w:before="102"/>
              <w:ind w:left="248" w:right="0"/>
              <w:jc w:val="center"/>
              <w:rPr>
                <w:rFonts w:ascii="Arial" w:hAnsi="Arial" w:cs="Arial" w:eastAsia="Arial" w:hint="default"/>
                <w:sz w:val="18"/>
                <w:szCs w:val="18"/>
              </w:rPr>
            </w:pPr>
            <w:r>
              <w:rPr>
                <w:rFonts w:ascii="Arial"/>
                <w:spacing w:val="-3"/>
                <w:sz w:val="18"/>
              </w:rPr>
              <w:t>11.36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Arial" w:hAnsi="Arial" w:cs="Arial" w:eastAsia="Arial" w:hint="default"/>
                <w:sz w:val="18"/>
                <w:szCs w:val="18"/>
              </w:rPr>
            </w:pPr>
            <w:r>
              <w:rPr>
                <w:rFonts w:ascii="Arial"/>
                <w:sz w:val="18"/>
              </w:rPr>
              <w:t>18,059,</w:t>
            </w:r>
          </w:p>
          <w:p>
            <w:pPr>
              <w:pStyle w:val="TableParagraph"/>
              <w:spacing w:line="240" w:lineRule="auto" w:before="102"/>
              <w:ind w:left="153" w:right="0"/>
              <w:jc w:val="left"/>
              <w:rPr>
                <w:rFonts w:ascii="Arial" w:hAnsi="Arial" w:cs="Arial" w:eastAsia="Arial" w:hint="default"/>
                <w:sz w:val="18"/>
                <w:szCs w:val="18"/>
              </w:rPr>
            </w:pPr>
            <w:r>
              <w:rPr>
                <w:rFonts w:ascii="Arial"/>
                <w:sz w:val="18"/>
              </w:rPr>
              <w:t>253.72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Arial" w:hAnsi="Arial" w:cs="Arial" w:eastAsia="Arial" w:hint="default"/>
                <w:sz w:val="18"/>
                <w:szCs w:val="18"/>
              </w:rPr>
            </w:pPr>
            <w:r>
              <w:rPr>
                <w:rFonts w:ascii="Arial"/>
                <w:sz w:val="18"/>
              </w:rPr>
              <w:t>22,039,</w:t>
            </w:r>
          </w:p>
          <w:p>
            <w:pPr>
              <w:pStyle w:val="TableParagraph"/>
              <w:spacing w:line="240" w:lineRule="auto" w:before="102"/>
              <w:ind w:left="153" w:right="0"/>
              <w:jc w:val="left"/>
              <w:rPr>
                <w:rFonts w:ascii="Arial" w:hAnsi="Arial" w:cs="Arial" w:eastAsia="Arial" w:hint="default"/>
                <w:sz w:val="18"/>
                <w:szCs w:val="18"/>
              </w:rPr>
            </w:pPr>
            <w:r>
              <w:rPr>
                <w:rFonts w:ascii="Arial"/>
                <w:sz w:val="18"/>
              </w:rPr>
              <w:t>865.08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5" w:right="0"/>
              <w:jc w:val="center"/>
              <w:rPr>
                <w:rFonts w:ascii="Arial" w:hAnsi="Arial" w:cs="Arial" w:eastAsia="Arial" w:hint="default"/>
                <w:sz w:val="18"/>
                <w:szCs w:val="18"/>
              </w:rPr>
            </w:pPr>
            <w:r>
              <w:rPr>
                <w:rFonts w:ascii="Arial"/>
                <w:sz w:val="18"/>
              </w:rPr>
              <w:t>2,182,1</w:t>
            </w:r>
          </w:p>
          <w:p>
            <w:pPr>
              <w:pStyle w:val="TableParagraph"/>
              <w:spacing w:line="240" w:lineRule="auto" w:before="102"/>
              <w:ind w:left="233" w:right="0"/>
              <w:jc w:val="center"/>
              <w:rPr>
                <w:rFonts w:ascii="Arial" w:hAnsi="Arial" w:cs="Arial" w:eastAsia="Arial" w:hint="default"/>
                <w:sz w:val="18"/>
                <w:szCs w:val="18"/>
              </w:rPr>
            </w:pPr>
            <w:r>
              <w:rPr>
                <w:rFonts w:ascii="Arial"/>
                <w:sz w:val="18"/>
              </w:rPr>
              <w:t>47.22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0" w:right="0"/>
              <w:jc w:val="center"/>
              <w:rPr>
                <w:rFonts w:ascii="Arial" w:hAnsi="Arial" w:cs="Arial" w:eastAsia="Arial" w:hint="default"/>
                <w:sz w:val="18"/>
                <w:szCs w:val="18"/>
              </w:rPr>
            </w:pPr>
            <w:r>
              <w:rPr>
                <w:rFonts w:ascii="Arial"/>
                <w:sz w:val="18"/>
              </w:rPr>
              <w:t>2,182,1</w:t>
            </w:r>
          </w:p>
          <w:p>
            <w:pPr>
              <w:pStyle w:val="TableParagraph"/>
              <w:spacing w:line="240" w:lineRule="auto" w:before="102"/>
              <w:ind w:left="229" w:right="0"/>
              <w:jc w:val="center"/>
              <w:rPr>
                <w:rFonts w:ascii="Arial" w:hAnsi="Arial" w:cs="Arial" w:eastAsia="Arial" w:hint="default"/>
                <w:sz w:val="18"/>
                <w:szCs w:val="18"/>
              </w:rPr>
            </w:pPr>
            <w:r>
              <w:rPr>
                <w:rFonts w:ascii="Arial"/>
                <w:sz w:val="18"/>
              </w:rPr>
              <w:t>47.22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Arial" w:hAnsi="Arial" w:cs="Arial" w:eastAsia="Arial" w:hint="default"/>
                <w:sz w:val="18"/>
                <w:szCs w:val="18"/>
              </w:rPr>
            </w:pPr>
            <w:r>
              <w:rPr>
                <w:rFonts w:ascii="Arial"/>
                <w:sz w:val="18"/>
              </w:rPr>
              <w:t>12,619,</w:t>
            </w:r>
          </w:p>
          <w:p>
            <w:pPr>
              <w:pStyle w:val="TableParagraph"/>
              <w:spacing w:line="240" w:lineRule="auto" w:before="102"/>
              <w:ind w:left="153" w:right="0"/>
              <w:jc w:val="left"/>
              <w:rPr>
                <w:rFonts w:ascii="Arial" w:hAnsi="Arial" w:cs="Arial" w:eastAsia="Arial" w:hint="default"/>
                <w:sz w:val="18"/>
                <w:szCs w:val="18"/>
              </w:rPr>
            </w:pPr>
            <w:r>
              <w:rPr>
                <w:rFonts w:ascii="Arial"/>
                <w:sz w:val="18"/>
              </w:rPr>
              <w:t>234.10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2" w:right="0"/>
              <w:jc w:val="center"/>
              <w:rPr>
                <w:rFonts w:ascii="Arial" w:hAnsi="Arial" w:cs="Arial" w:eastAsia="Arial" w:hint="default"/>
                <w:sz w:val="18"/>
                <w:szCs w:val="18"/>
              </w:rPr>
            </w:pPr>
            <w:r>
              <w:rPr>
                <w:rFonts w:ascii="Arial"/>
                <w:sz w:val="18"/>
              </w:rPr>
              <w:t>1,516,7</w:t>
            </w:r>
          </w:p>
          <w:p>
            <w:pPr>
              <w:pStyle w:val="TableParagraph"/>
              <w:spacing w:line="240" w:lineRule="auto" w:before="102"/>
              <w:ind w:left="231" w:right="0"/>
              <w:jc w:val="center"/>
              <w:rPr>
                <w:rFonts w:ascii="Arial" w:hAnsi="Arial" w:cs="Arial" w:eastAsia="Arial" w:hint="default"/>
                <w:sz w:val="18"/>
                <w:szCs w:val="18"/>
              </w:rPr>
            </w:pPr>
            <w:r>
              <w:rPr>
                <w:rFonts w:ascii="Arial"/>
                <w:sz w:val="18"/>
              </w:rPr>
              <w:t>06.99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Arial" w:hAnsi="Arial" w:cs="Arial" w:eastAsia="Arial" w:hint="default"/>
                <w:sz w:val="18"/>
                <w:szCs w:val="18"/>
              </w:rPr>
            </w:pPr>
            <w:r>
              <w:rPr>
                <w:rFonts w:ascii="Arial"/>
                <w:sz w:val="18"/>
              </w:rPr>
              <w:t>14,135,</w:t>
            </w:r>
          </w:p>
          <w:p>
            <w:pPr>
              <w:pStyle w:val="TableParagraph"/>
              <w:spacing w:line="240" w:lineRule="auto" w:before="102"/>
              <w:ind w:left="153" w:right="0"/>
              <w:jc w:val="left"/>
              <w:rPr>
                <w:rFonts w:ascii="Arial" w:hAnsi="Arial" w:cs="Arial" w:eastAsia="Arial" w:hint="default"/>
                <w:sz w:val="18"/>
                <w:szCs w:val="18"/>
              </w:rPr>
            </w:pPr>
            <w:r>
              <w:rPr>
                <w:rFonts w:ascii="Arial"/>
                <w:sz w:val="18"/>
              </w:rPr>
              <w:t>941.09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5" w:right="0"/>
              <w:jc w:val="left"/>
              <w:rPr>
                <w:rFonts w:ascii="Arial" w:hAnsi="Arial" w:cs="Arial" w:eastAsia="Arial" w:hint="default"/>
                <w:sz w:val="18"/>
                <w:szCs w:val="18"/>
              </w:rPr>
            </w:pPr>
            <w:r>
              <w:rPr>
                <w:rFonts w:ascii="Arial"/>
                <w:sz w:val="18"/>
              </w:rPr>
              <w:t>134,428</w:t>
            </w:r>
          </w:p>
          <w:p>
            <w:pPr>
              <w:pStyle w:val="TableParagraph"/>
              <w:spacing w:line="240" w:lineRule="auto" w:before="102"/>
              <w:ind w:left="455" w:right="0"/>
              <w:jc w:val="left"/>
              <w:rPr>
                <w:rFonts w:ascii="Arial" w:hAnsi="Arial" w:cs="Arial" w:eastAsia="Arial" w:hint="default"/>
                <w:sz w:val="18"/>
                <w:szCs w:val="18"/>
              </w:rPr>
            </w:pPr>
            <w:r>
              <w:rPr>
                <w:rFonts w:ascii="Arial"/>
                <w:sz w:val="18"/>
              </w:rPr>
              <w:t>.32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2" w:right="0"/>
              <w:jc w:val="left"/>
              <w:rPr>
                <w:rFonts w:ascii="Arial" w:hAnsi="Arial" w:cs="Arial" w:eastAsia="Arial" w:hint="default"/>
                <w:sz w:val="18"/>
                <w:szCs w:val="18"/>
              </w:rPr>
            </w:pPr>
            <w:r>
              <w:rPr>
                <w:rFonts w:ascii="Arial"/>
                <w:sz w:val="18"/>
              </w:rPr>
              <w:t>134,428</w:t>
            </w:r>
          </w:p>
          <w:p>
            <w:pPr>
              <w:pStyle w:val="TableParagraph"/>
              <w:spacing w:line="240" w:lineRule="auto" w:before="102"/>
              <w:ind w:left="453" w:right="0"/>
              <w:jc w:val="left"/>
              <w:rPr>
                <w:rFonts w:ascii="Arial" w:hAnsi="Arial" w:cs="Arial" w:eastAsia="Arial" w:hint="default"/>
                <w:sz w:val="18"/>
                <w:szCs w:val="18"/>
              </w:rPr>
            </w:pPr>
            <w:r>
              <w:rPr>
                <w:rFonts w:ascii="Arial"/>
                <w:sz w:val="18"/>
              </w:rPr>
              <w:t>.32</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1"/>
        <w:gridCol w:w="1061"/>
        <w:gridCol w:w="1061"/>
        <w:gridCol w:w="1066"/>
        <w:gridCol w:w="1066"/>
        <w:gridCol w:w="1064"/>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北京亿信华</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Arial" w:hAnsi="Arial" w:cs="Arial" w:eastAsia="Arial" w:hint="default"/>
                <w:sz w:val="18"/>
                <w:szCs w:val="18"/>
              </w:rPr>
            </w:pPr>
            <w:r>
              <w:rPr>
                <w:rFonts w:ascii="Arial"/>
                <w:sz w:val="18"/>
              </w:rPr>
              <w:t>115,045,264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Arial" w:hAnsi="Arial" w:cs="Arial" w:eastAsia="Arial" w:hint="default"/>
                <w:sz w:val="18"/>
                <w:szCs w:val="18"/>
              </w:rPr>
            </w:pPr>
            <w:r>
              <w:rPr>
                <w:rFonts w:ascii="Arial"/>
                <w:sz w:val="18"/>
              </w:rPr>
              <w:t>16,500,382.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Arial" w:hAnsi="Arial" w:cs="Arial" w:eastAsia="Arial" w:hint="default"/>
                <w:sz w:val="18"/>
                <w:szCs w:val="18"/>
              </w:rPr>
            </w:pPr>
            <w:r>
              <w:rPr>
                <w:rFonts w:ascii="Arial"/>
                <w:sz w:val="18"/>
              </w:rPr>
              <w:t>16,500,382.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w w:val="99"/>
                <w:sz w:val="18"/>
              </w:rPr>
              <w:t>-</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Arial" w:hAnsi="Arial" w:cs="Arial" w:eastAsia="Arial" w:hint="default"/>
                <w:sz w:val="18"/>
                <w:szCs w:val="18"/>
              </w:rPr>
            </w:pPr>
            <w:r>
              <w:rPr>
                <w:rFonts w:ascii="Arial"/>
                <w:sz w:val="18"/>
              </w:rPr>
              <w:t>104,527,106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Arial" w:hAnsi="Arial" w:cs="Arial" w:eastAsia="Arial" w:hint="default"/>
                <w:sz w:val="18"/>
                <w:szCs w:val="18"/>
              </w:rPr>
            </w:pPr>
            <w:r>
              <w:rPr>
                <w:rFonts w:ascii="Arial"/>
                <w:sz w:val="18"/>
              </w:rPr>
              <w:t>12,668,283.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Arial" w:hAnsi="Arial" w:cs="Arial" w:eastAsia="Arial" w:hint="default"/>
                <w:sz w:val="18"/>
                <w:szCs w:val="18"/>
              </w:rPr>
            </w:pPr>
            <w:r>
              <w:rPr>
                <w:rFonts w:ascii="Arial"/>
                <w:sz w:val="18"/>
              </w:rPr>
              <w:t>12,668,283.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left"/>
              <w:rPr>
                <w:rFonts w:ascii="Arial" w:hAnsi="Arial" w:cs="Arial" w:eastAsia="Arial" w:hint="default"/>
                <w:sz w:val="18"/>
                <w:szCs w:val="18"/>
              </w:rPr>
            </w:pPr>
            <w:r>
              <w:rPr>
                <w:rFonts w:ascii="Arial"/>
                <w:sz w:val="18"/>
              </w:rPr>
              <w:t>19,054,118.</w:t>
            </w:r>
          </w:p>
        </w:tc>
      </w:tr>
    </w:tbl>
    <w:p>
      <w:pPr>
        <w:spacing w:after="0" w:line="240" w:lineRule="auto"/>
        <w:jc w:val="lef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061"/>
        <w:gridCol w:w="1061"/>
        <w:gridCol w:w="1061"/>
        <w:gridCol w:w="1066"/>
        <w:gridCol w:w="1066"/>
        <w:gridCol w:w="1064"/>
        <w:gridCol w:w="1063"/>
        <w:gridCol w:w="1064"/>
        <w:gridCol w:w="1066"/>
      </w:tblGrid>
      <w:tr>
        <w:trPr>
          <w:trHeight w:val="67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5"/>
              <w:jc w:val="left"/>
              <w:rPr>
                <w:rFonts w:ascii="宋体" w:hAnsi="宋体" w:cs="宋体" w:eastAsia="宋体" w:hint="default"/>
                <w:sz w:val="18"/>
                <w:szCs w:val="18"/>
              </w:rPr>
            </w:pPr>
            <w:r>
              <w:rPr>
                <w:rFonts w:ascii="宋体" w:hAnsi="宋体" w:cs="宋体" w:eastAsia="宋体" w:hint="default"/>
                <w:sz w:val="18"/>
                <w:szCs w:val="18"/>
              </w:rPr>
              <w:t>辰软件有限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w w:val="95"/>
                <w:sz w:val="18"/>
              </w:rPr>
              <w:t>.60</w:t>
            </w:r>
            <w:r>
              <w:rPr>
                <w:rFonts w:ascii="Arial"/>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Arial" w:hAnsi="Arial" w:cs="Arial" w:eastAsia="Arial" w:hint="default"/>
                <w:sz w:val="18"/>
                <w:szCs w:val="18"/>
              </w:rPr>
            </w:pPr>
            <w:r>
              <w:rPr>
                <w:rFonts w:ascii="Arial"/>
                <w:w w:val="95"/>
                <w:sz w:val="18"/>
              </w:rPr>
              <w:t>43</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Arial" w:hAnsi="Arial" w:cs="Arial" w:eastAsia="Arial" w:hint="default"/>
                <w:sz w:val="18"/>
                <w:szCs w:val="18"/>
              </w:rPr>
            </w:pPr>
            <w:r>
              <w:rPr>
                <w:rFonts w:ascii="Arial"/>
                <w:w w:val="95"/>
                <w:sz w:val="18"/>
              </w:rPr>
              <w:t>43</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3,217,983.7</w:t>
            </w:r>
          </w:p>
          <w:p>
            <w:pPr>
              <w:pStyle w:val="TableParagraph"/>
              <w:spacing w:line="240" w:lineRule="auto" w:before="105"/>
              <w:ind w:right="22"/>
              <w:jc w:val="right"/>
              <w:rPr>
                <w:rFonts w:ascii="Arial" w:hAnsi="Arial" w:cs="Arial" w:eastAsia="Arial" w:hint="default"/>
                <w:sz w:val="18"/>
                <w:szCs w:val="18"/>
              </w:rPr>
            </w:pPr>
            <w:r>
              <w:rPr>
                <w:rFonts w:ascii="Arial"/>
                <w:w w:val="99"/>
                <w:sz w:val="18"/>
              </w:rPr>
              <w:t>6</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w w:val="95"/>
                <w:sz w:val="18"/>
              </w:rPr>
              <w:t>.02</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Arial" w:hAnsi="Arial" w:cs="Arial" w:eastAsia="Arial" w:hint="default"/>
                <w:sz w:val="18"/>
                <w:szCs w:val="18"/>
              </w:rPr>
            </w:pPr>
            <w:r>
              <w:rPr>
                <w:rFonts w:ascii="Arial"/>
                <w:w w:val="95"/>
                <w:sz w:val="18"/>
              </w:rPr>
              <w:t>03</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Arial" w:hAnsi="Arial" w:cs="Arial" w:eastAsia="Arial" w:hint="default"/>
                <w:sz w:val="18"/>
                <w:szCs w:val="18"/>
              </w:rPr>
            </w:pPr>
            <w:r>
              <w:rPr>
                <w:rFonts w:ascii="Arial"/>
                <w:w w:val="95"/>
                <w:sz w:val="18"/>
              </w:rPr>
              <w:t>03</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Arial" w:hAnsi="Arial" w:cs="Arial" w:eastAsia="Arial" w:hint="default"/>
                <w:sz w:val="18"/>
                <w:szCs w:val="18"/>
              </w:rPr>
            </w:pPr>
            <w:r>
              <w:rPr>
                <w:rFonts w:ascii="Arial"/>
                <w:w w:val="95"/>
                <w:sz w:val="18"/>
              </w:rPr>
              <w:t>33</w:t>
            </w:r>
            <w:r>
              <w:rPr>
                <w:rFonts w:ascii="Arial"/>
                <w:sz w:val="18"/>
              </w:rPr>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溯源云（北 京）科技服 务有限公司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79" w:right="19" w:firstLine="891"/>
              <w:jc w:val="righ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3,012,651.3</w:t>
            </w:r>
          </w:p>
          <w:p>
            <w:pPr>
              <w:pStyle w:val="TableParagraph"/>
              <w:spacing w:line="240" w:lineRule="auto" w:before="2"/>
              <w:ind w:right="20"/>
              <w:jc w:val="right"/>
              <w:rPr>
                <w:rFonts w:ascii="Arial" w:hAnsi="Arial" w:cs="Arial" w:eastAsia="Arial" w:hint="default"/>
                <w:sz w:val="18"/>
                <w:szCs w:val="18"/>
              </w:rPr>
            </w:pPr>
            <w:r>
              <w:rPr>
                <w:rFonts w:ascii="Arial"/>
                <w:w w:val="99"/>
                <w:sz w:val="18"/>
              </w:rPr>
              <w:t>2</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83" w:right="19" w:firstLine="890"/>
              <w:jc w:val="righ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3,012,651.3</w:t>
            </w:r>
          </w:p>
          <w:p>
            <w:pPr>
              <w:pStyle w:val="TableParagraph"/>
              <w:spacing w:line="240" w:lineRule="auto" w:before="2"/>
              <w:ind w:right="20"/>
              <w:jc w:val="right"/>
              <w:rPr>
                <w:rFonts w:ascii="Arial" w:hAnsi="Arial" w:cs="Arial" w:eastAsia="Arial" w:hint="default"/>
                <w:sz w:val="18"/>
                <w:szCs w:val="18"/>
              </w:rPr>
            </w:pPr>
            <w:r>
              <w:rPr>
                <w:rFonts w:ascii="Arial"/>
                <w:w w:val="99"/>
                <w:sz w:val="18"/>
              </w:rPr>
              <w:t>2</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81" w:right="21" w:firstLine="890"/>
              <w:jc w:val="righ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4,416,698.2</w:t>
            </w:r>
          </w:p>
          <w:p>
            <w:pPr>
              <w:pStyle w:val="TableParagraph"/>
              <w:spacing w:line="240" w:lineRule="auto" w:before="2"/>
              <w:ind w:right="22"/>
              <w:jc w:val="right"/>
              <w:rPr>
                <w:rFonts w:ascii="Arial" w:hAnsi="Arial" w:cs="Arial" w:eastAsia="Arial" w:hint="default"/>
                <w:sz w:val="18"/>
                <w:szCs w:val="18"/>
              </w:rPr>
            </w:pPr>
            <w:r>
              <w:rPr>
                <w:rFonts w:ascii="Arial"/>
                <w:w w:val="99"/>
                <w:sz w:val="18"/>
              </w:rPr>
              <w:t>6</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北京华宇元 典信息服务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153,846.15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79" w:right="19" w:firstLine="891"/>
              <w:jc w:val="righ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10,579,219.</w:t>
            </w:r>
          </w:p>
          <w:p>
            <w:pPr>
              <w:pStyle w:val="TableParagraph"/>
              <w:spacing w:line="240" w:lineRule="auto" w:before="2"/>
              <w:ind w:right="17"/>
              <w:jc w:val="right"/>
              <w:rPr>
                <w:rFonts w:ascii="Arial" w:hAnsi="Arial" w:cs="Arial" w:eastAsia="Arial" w:hint="default"/>
                <w:sz w:val="18"/>
                <w:szCs w:val="18"/>
              </w:rPr>
            </w:pPr>
            <w:r>
              <w:rPr>
                <w:rFonts w:ascii="Arial"/>
                <w:w w:val="95"/>
                <w:sz w:val="18"/>
              </w:rPr>
              <w:t>39</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83" w:right="18" w:firstLine="890"/>
              <w:jc w:val="righ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10,579,219.</w:t>
            </w:r>
          </w:p>
          <w:p>
            <w:pPr>
              <w:pStyle w:val="TableParagraph"/>
              <w:spacing w:line="240" w:lineRule="auto" w:before="2"/>
              <w:ind w:right="17"/>
              <w:jc w:val="right"/>
              <w:rPr>
                <w:rFonts w:ascii="Arial" w:hAnsi="Arial" w:cs="Arial" w:eastAsia="Arial" w:hint="default"/>
                <w:sz w:val="18"/>
                <w:szCs w:val="18"/>
              </w:rPr>
            </w:pPr>
            <w:r>
              <w:rPr>
                <w:rFonts w:ascii="Arial"/>
                <w:w w:val="95"/>
                <w:sz w:val="18"/>
              </w:rPr>
              <w:t>39</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81" w:right="20" w:firstLine="890"/>
              <w:jc w:val="righ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14,291,616.</w:t>
            </w:r>
          </w:p>
          <w:p>
            <w:pPr>
              <w:pStyle w:val="TableParagraph"/>
              <w:spacing w:line="240" w:lineRule="auto" w:before="2"/>
              <w:ind w:right="19"/>
              <w:jc w:val="right"/>
              <w:rPr>
                <w:rFonts w:ascii="Arial" w:hAnsi="Arial" w:cs="Arial" w:eastAsia="Arial" w:hint="default"/>
                <w:sz w:val="18"/>
                <w:szCs w:val="18"/>
              </w:rPr>
            </w:pPr>
            <w:r>
              <w:rPr>
                <w:rFonts w:ascii="Arial"/>
                <w:w w:val="95"/>
                <w:sz w:val="18"/>
              </w:rPr>
              <w:t>69</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81" w:right="19" w:firstLine="890"/>
              <w:jc w:val="righ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2,009,319.4</w:t>
            </w:r>
          </w:p>
          <w:p>
            <w:pPr>
              <w:pStyle w:val="TableParagraph"/>
              <w:spacing w:line="240" w:lineRule="auto" w:before="2"/>
              <w:ind w:right="20"/>
              <w:jc w:val="right"/>
              <w:rPr>
                <w:rFonts w:ascii="Arial" w:hAnsi="Arial" w:cs="Arial" w:eastAsia="Arial" w:hint="default"/>
                <w:sz w:val="18"/>
                <w:szCs w:val="18"/>
              </w:rPr>
            </w:pPr>
            <w:r>
              <w:rPr>
                <w:rFonts w:ascii="Arial"/>
                <w:w w:val="99"/>
                <w:sz w:val="18"/>
              </w:rPr>
              <w:t>2</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81" w:right="19" w:firstLine="891"/>
              <w:jc w:val="righ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2,009,319.4</w:t>
            </w:r>
          </w:p>
          <w:p>
            <w:pPr>
              <w:pStyle w:val="TableParagraph"/>
              <w:spacing w:line="240" w:lineRule="auto" w:before="2"/>
              <w:ind w:right="20"/>
              <w:jc w:val="right"/>
              <w:rPr>
                <w:rFonts w:ascii="Arial" w:hAnsi="Arial" w:cs="Arial" w:eastAsia="Arial" w:hint="default"/>
                <w:sz w:val="18"/>
                <w:szCs w:val="18"/>
              </w:rPr>
            </w:pPr>
            <w:r>
              <w:rPr>
                <w:rFonts w:ascii="Arial"/>
                <w:w w:val="99"/>
                <w:sz w:val="18"/>
              </w:rPr>
              <w:t>2</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83" w:right="19" w:firstLine="890"/>
              <w:jc w:val="righ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3,440,139.3</w:t>
            </w:r>
          </w:p>
          <w:p>
            <w:pPr>
              <w:pStyle w:val="TableParagraph"/>
              <w:spacing w:line="240" w:lineRule="auto" w:before="2"/>
              <w:ind w:right="20"/>
              <w:jc w:val="right"/>
              <w:rPr>
                <w:rFonts w:ascii="Arial" w:hAnsi="Arial" w:cs="Arial" w:eastAsia="Arial" w:hint="default"/>
                <w:sz w:val="18"/>
                <w:szCs w:val="18"/>
              </w:rPr>
            </w:pPr>
            <w:r>
              <w:rPr>
                <w:rFonts w:ascii="Arial"/>
                <w:w w:val="99"/>
                <w:sz w:val="18"/>
              </w:rPr>
              <w:t>4</w:t>
            </w:r>
            <w:r>
              <w:rPr>
                <w:rFonts w:ascii="Arial"/>
                <w:sz w:val="18"/>
              </w:rPr>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、在合营安排或联营企业中的权益</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）不重要的合营企业和联营企业的汇总财务信息</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302"/>
        <w:gridCol w:w="3069"/>
        <w:gridCol w:w="3188"/>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 w:right="0"/>
              <w:jc w:val="center"/>
              <w:rPr>
                <w:rFonts w:ascii="Arial" w:hAnsi="Arial" w:cs="Arial" w:eastAsia="Arial" w:hint="default"/>
                <w:sz w:val="18"/>
                <w:szCs w:val="18"/>
              </w:rPr>
            </w:pPr>
            <w:r>
              <w:rPr>
                <w:rFonts w:ascii="Arial"/>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 w:right="0"/>
              <w:jc w:val="center"/>
              <w:rPr>
                <w:rFonts w:ascii="Arial" w:hAnsi="Arial" w:cs="Arial" w:eastAsia="Arial" w:hint="default"/>
                <w:sz w:val="18"/>
                <w:szCs w:val="18"/>
              </w:rPr>
            </w:pPr>
            <w:r>
              <w:rPr>
                <w:rFonts w:ascii="Arial"/>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 w:right="0"/>
              <w:jc w:val="center"/>
              <w:rPr>
                <w:rFonts w:ascii="Arial" w:hAnsi="Arial" w:cs="Arial" w:eastAsia="Arial" w:hint="default"/>
                <w:sz w:val="18"/>
                <w:szCs w:val="18"/>
              </w:rPr>
            </w:pPr>
            <w:r>
              <w:rPr>
                <w:rFonts w:ascii="Arial"/>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44,153,586.61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37,149,103.35</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 w:right="0"/>
              <w:jc w:val="center"/>
              <w:rPr>
                <w:rFonts w:ascii="Arial" w:hAnsi="Arial" w:cs="Arial" w:eastAsia="Arial" w:hint="default"/>
                <w:sz w:val="18"/>
                <w:szCs w:val="18"/>
              </w:rPr>
            </w:pPr>
            <w:r>
              <w:rPr>
                <w:rFonts w:ascii="Arial"/>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净利润</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877,182.63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3,271,381.94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综合收益总额</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877,182.63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3,271,381.94</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十、与金融工具相关的风险</w:t>
      </w:r>
      <w:r>
        <w:rPr>
          <w:b w:val="0"/>
          <w:bCs w:val="0"/>
        </w:rPr>
      </w:r>
    </w:p>
    <w:p>
      <w:pPr>
        <w:spacing w:line="240" w:lineRule="auto" w:before="3"/>
        <w:rPr>
          <w:rFonts w:ascii="Microsoft JhengHei" w:hAnsi="Microsoft JhengHei" w:cs="Microsoft JhengHei" w:eastAsia="Microsoft JhengHei" w:hint="default"/>
          <w:b/>
          <w:bCs/>
          <w:sz w:val="20"/>
          <w:szCs w:val="20"/>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本集团的主要金融工具包括货币资金、应收账款、应收票据、应收利息、其他应收款、应付账款、</w:t>
      </w:r>
      <w:r>
        <w:rPr>
          <w:rFonts w:ascii="宋体" w:hAnsi="宋体" w:cs="宋体" w:eastAsia="宋体" w:hint="default"/>
          <w:w w:val="100"/>
          <w:sz w:val="21"/>
          <w:szCs w:val="21"/>
        </w:rPr>
        <w:t> </w:t>
      </w:r>
      <w:r>
        <w:rPr>
          <w:rFonts w:ascii="宋体" w:hAnsi="宋体" w:cs="宋体" w:eastAsia="宋体" w:hint="default"/>
          <w:spacing w:val="-2"/>
          <w:sz w:val="21"/>
          <w:szCs w:val="21"/>
        </w:rPr>
        <w:t>其他应付款、短期借款。各项金融工具的详细情况已于相关附注内披露。与这些金融工具有关的风险，</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以及本集团为降低这些风险所采取的风险管理政策如下所述。本集团管理层对这些风险敞口进行管理和</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监控以确保将上述风险控制在限定的范围之内。</w:t>
      </w:r>
    </w:p>
    <w:p>
      <w:pPr>
        <w:spacing w:line="240" w:lineRule="auto" w:before="2"/>
        <w:rPr>
          <w:rFonts w:ascii="宋体" w:hAnsi="宋体" w:cs="宋体" w:eastAsia="宋体" w:hint="default"/>
          <w:sz w:val="15"/>
          <w:szCs w:val="15"/>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、风险管理目标和政策</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本集团从事风险管理的目标是在风险和收益之间取得适当的平衡，力求降低金融风险对本集团财务</w:t>
      </w:r>
      <w:r>
        <w:rPr>
          <w:rFonts w:ascii="宋体" w:hAnsi="宋体" w:cs="宋体" w:eastAsia="宋体" w:hint="default"/>
          <w:w w:val="100"/>
          <w:sz w:val="21"/>
          <w:szCs w:val="21"/>
        </w:rPr>
        <w:t> </w:t>
      </w:r>
      <w:r>
        <w:rPr>
          <w:rFonts w:ascii="宋体" w:hAnsi="宋体" w:cs="宋体" w:eastAsia="宋体" w:hint="default"/>
          <w:sz w:val="21"/>
          <w:szCs w:val="21"/>
        </w:rPr>
        <w:t>业绩的不利影响。基于该风险管理目标，本集团已制定风险管理政策以辨别和分析本集团所面临的风</w:t>
      </w:r>
      <w:r>
        <w:rPr>
          <w:rFonts w:ascii="宋体" w:hAnsi="宋体" w:cs="宋体" w:eastAsia="宋体" w:hint="default"/>
          <w:w w:val="100"/>
          <w:sz w:val="21"/>
          <w:szCs w:val="21"/>
        </w:rPr>
        <w:t> </w:t>
      </w:r>
      <w:r>
        <w:rPr>
          <w:rFonts w:ascii="宋体" w:hAnsi="宋体" w:cs="宋体" w:eastAsia="宋体" w:hint="default"/>
          <w:spacing w:val="-2"/>
          <w:sz w:val="21"/>
          <w:szCs w:val="21"/>
        </w:rPr>
        <w:t>险，设定适当的风险可接受水平并设计相应的内部控制程序，以监控本集团的风险水平。本集团会定期</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审阅这些风险管理政策及有关内部控制系统，以适应市场情况或本集团经营活动的改变。本集团的内部</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审计部门也定期或随机检查内部控制系统的执行是否符合风险管理政策。</w:t>
      </w:r>
    </w:p>
    <w:p>
      <w:pPr>
        <w:spacing w:line="451" w:lineRule="auto"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本集团的金融工具导致的主要风险是信用风险、流动性风险、市场风险。</w:t>
      </w:r>
      <w:r>
        <w:rPr>
          <w:rFonts w:ascii="宋体" w:hAnsi="宋体" w:cs="宋体" w:eastAsia="宋体" w:hint="default"/>
          <w:w w:val="100"/>
          <w:sz w:val="21"/>
          <w:szCs w:val="21"/>
        </w:rPr>
        <w:t> </w:t>
      </w:r>
      <w:r>
        <w:rPr>
          <w:rFonts w:ascii="宋体" w:hAnsi="宋体" w:cs="宋体" w:eastAsia="宋体" w:hint="default"/>
          <w:spacing w:val="-2"/>
          <w:sz w:val="21"/>
          <w:szCs w:val="21"/>
        </w:rPr>
        <w:t>董事会负责规划并建立本集团的风险管理架构，指定本集团的风险管理政策和相关指引并监督风险</w:t>
      </w:r>
    </w:p>
    <w:p>
      <w:pPr>
        <w:spacing w:after="0" w:line="451"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14" w:lineRule="auto" w:before="36"/>
        <w:ind w:left="152" w:right="333" w:firstLine="0"/>
        <w:jc w:val="both"/>
        <w:rPr>
          <w:rFonts w:ascii="宋体" w:hAnsi="宋体" w:cs="宋体" w:eastAsia="宋体" w:hint="default"/>
          <w:sz w:val="21"/>
          <w:szCs w:val="21"/>
        </w:rPr>
      </w:pPr>
      <w:r>
        <w:rPr>
          <w:rFonts w:ascii="宋体" w:hAnsi="宋体" w:cs="宋体" w:eastAsia="宋体" w:hint="default"/>
          <w:spacing w:val="-2"/>
          <w:sz w:val="21"/>
          <w:szCs w:val="21"/>
        </w:rPr>
        <w:t>管理措施的执行情况。本集团已制定风险管理政策以识别和分析本集团所面临的风险，这些风险管理政</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策对特定风险进行了明确规定，涵盖了信用风险、流动性风险和市场风险管理等诸多方面。本集团定期</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评估市场环境及本集团经营活动的变化以决定是否对风险管理政策及系统进行更新。本集团的风险管理</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由风险管理委员会按照董事会批准的政策开展。风险管理委员会通过与本集团其他业务部门的紧密合作</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来识别、评价和规避相关风险。本集团内部审计部门就风险管理控制及程序进行定期的审核，并将审核</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结果上报本集团的审计委员会。</w:t>
      </w:r>
    </w:p>
    <w:p>
      <w:pPr>
        <w:spacing w:line="314" w:lineRule="auto" w:before="17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本集团通过适当的多样化投资及业务组合来分散金融工具风险，并通过制定相应的风险管理政策减</w:t>
      </w:r>
      <w:r>
        <w:rPr>
          <w:rFonts w:ascii="宋体" w:hAnsi="宋体" w:cs="宋体" w:eastAsia="宋体" w:hint="default"/>
          <w:w w:val="100"/>
          <w:sz w:val="21"/>
          <w:szCs w:val="21"/>
        </w:rPr>
        <w:t> </w:t>
      </w:r>
      <w:r>
        <w:rPr>
          <w:rFonts w:ascii="宋体" w:hAnsi="宋体" w:cs="宋体" w:eastAsia="宋体" w:hint="default"/>
          <w:sz w:val="21"/>
          <w:szCs w:val="21"/>
        </w:rPr>
        <w:t>少集中于任何单一行业、特定地区或特定交易对手方的风险。</w:t>
      </w:r>
    </w:p>
    <w:p>
      <w:pPr>
        <w:spacing w:line="240" w:lineRule="auto" w:before="3"/>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）信用风险</w:t>
      </w:r>
    </w:p>
    <w:p>
      <w:pPr>
        <w:spacing w:line="510" w:lineRule="atLeast" w:before="145"/>
        <w:ind w:left="578" w:right="0" w:firstLine="0"/>
        <w:jc w:val="left"/>
        <w:rPr>
          <w:rFonts w:ascii="宋体" w:hAnsi="宋体" w:cs="宋体" w:eastAsia="宋体" w:hint="default"/>
          <w:sz w:val="21"/>
          <w:szCs w:val="21"/>
        </w:rPr>
      </w:pPr>
      <w:r>
        <w:rPr>
          <w:rFonts w:ascii="宋体" w:hAnsi="宋体" w:cs="宋体" w:eastAsia="宋体" w:hint="default"/>
          <w:sz w:val="21"/>
          <w:szCs w:val="21"/>
        </w:rPr>
        <w:t>信用风险，是指交易对手方未能履行合同义务而导致本集团产生财务损失的风险。</w:t>
      </w:r>
      <w:r>
        <w:rPr>
          <w:rFonts w:ascii="宋体" w:hAnsi="宋体" w:cs="宋体" w:eastAsia="宋体" w:hint="default"/>
          <w:w w:val="100"/>
          <w:sz w:val="21"/>
          <w:szCs w:val="21"/>
        </w:rPr>
        <w:t> </w:t>
      </w:r>
      <w:r>
        <w:rPr>
          <w:rFonts w:ascii="宋体" w:hAnsi="宋体" w:cs="宋体" w:eastAsia="宋体" w:hint="default"/>
          <w:sz w:val="21"/>
          <w:szCs w:val="21"/>
        </w:rPr>
        <w:t>本集团对信用风险按组合分类进行管理。信用风险主要产生于银行存款和应收款项等。</w:t>
      </w:r>
      <w:r>
        <w:rPr>
          <w:rFonts w:ascii="宋体" w:hAnsi="宋体" w:cs="宋体" w:eastAsia="宋体" w:hint="default"/>
          <w:w w:val="100"/>
          <w:sz w:val="21"/>
          <w:szCs w:val="21"/>
        </w:rPr>
        <w:t> </w:t>
      </w:r>
      <w:r>
        <w:rPr>
          <w:rFonts w:ascii="宋体" w:hAnsi="宋体" w:cs="宋体" w:eastAsia="宋体" w:hint="default"/>
          <w:spacing w:val="-2"/>
          <w:sz w:val="21"/>
          <w:szCs w:val="21"/>
        </w:rPr>
        <w:t>本集团银行存款主要存放于国有银行和其它大中型上市银行，本集团预期银行存款不存在重大的信</w:t>
      </w:r>
    </w:p>
    <w:p>
      <w:pPr>
        <w:spacing w:before="85"/>
        <w:ind w:left="152" w:right="0" w:firstLine="0"/>
        <w:jc w:val="both"/>
        <w:rPr>
          <w:rFonts w:ascii="宋体" w:hAnsi="宋体" w:cs="宋体" w:eastAsia="宋体" w:hint="default"/>
          <w:sz w:val="21"/>
          <w:szCs w:val="21"/>
        </w:rPr>
      </w:pPr>
      <w:r>
        <w:rPr>
          <w:rFonts w:ascii="宋体" w:hAnsi="宋体" w:cs="宋体" w:eastAsia="宋体" w:hint="default"/>
          <w:sz w:val="21"/>
          <w:szCs w:val="21"/>
        </w:rPr>
        <w:t>用风险。</w:t>
      </w:r>
    </w:p>
    <w:p>
      <w:pPr>
        <w:spacing w:line="240" w:lineRule="auto" w:before="6"/>
        <w:rPr>
          <w:rFonts w:ascii="宋体" w:hAnsi="宋体" w:cs="宋体" w:eastAsia="宋体" w:hint="default"/>
          <w:sz w:val="18"/>
          <w:szCs w:val="18"/>
        </w:rPr>
      </w:pPr>
    </w:p>
    <w:p>
      <w:pPr>
        <w:spacing w:line="314" w:lineRule="auto" w:before="0"/>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对于应收款项，本集团设定相关政策以控制信用风险敞口。本集团基于对债务人的财务状况、外部</w:t>
      </w:r>
      <w:r>
        <w:rPr>
          <w:rFonts w:ascii="宋体" w:hAnsi="宋体" w:cs="宋体" w:eastAsia="宋体" w:hint="default"/>
          <w:w w:val="100"/>
          <w:sz w:val="21"/>
          <w:szCs w:val="21"/>
        </w:rPr>
        <w:t> </w:t>
      </w:r>
      <w:r>
        <w:rPr>
          <w:rFonts w:ascii="宋体" w:hAnsi="宋体" w:cs="宋体" w:eastAsia="宋体" w:hint="default"/>
          <w:spacing w:val="-2"/>
          <w:sz w:val="21"/>
          <w:szCs w:val="21"/>
        </w:rPr>
        <w:t>评级、从第三方获取担保的可能性、信用记录及其它因素诸如目前市场状况等评估债务人的信用资质并</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设置相应欠款额度与信用期限。本集团已采取政策只与信用良好的交易对手方合作并在有必要时获取足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够的抵押品，以此缓解因交易对手方未能履行合同义务而产生财务损失的风险。本集团会定期对债务人</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信用记录进行监控，对于信用记录不良的债务人，本集团会采用书面催款、缩短信用期或取消信用期等</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方式，以确保本集团的整体信用风险在可控的范围内。</w:t>
      </w:r>
    </w:p>
    <w:p>
      <w:pPr>
        <w:spacing w:line="314" w:lineRule="auto" w:before="176"/>
        <w:ind w:left="152" w:right="329" w:firstLine="425"/>
        <w:jc w:val="both"/>
        <w:rPr>
          <w:rFonts w:ascii="宋体" w:hAnsi="宋体" w:cs="宋体" w:eastAsia="宋体" w:hint="default"/>
          <w:sz w:val="21"/>
          <w:szCs w:val="21"/>
        </w:rPr>
      </w:pPr>
      <w:r>
        <w:rPr>
          <w:rFonts w:ascii="宋体" w:hAnsi="宋体" w:cs="宋体" w:eastAsia="宋体" w:hint="default"/>
          <w:spacing w:val="-2"/>
          <w:sz w:val="21"/>
          <w:szCs w:val="21"/>
        </w:rPr>
        <w:t>本集团应收账款的债务人主要为法院、检察院、教育局、学校等政府性质、事业单位性质的客户。</w:t>
      </w:r>
      <w:r>
        <w:rPr>
          <w:rFonts w:ascii="宋体" w:hAnsi="宋体" w:cs="宋体" w:eastAsia="宋体" w:hint="default"/>
          <w:w w:val="100"/>
          <w:sz w:val="21"/>
          <w:szCs w:val="21"/>
        </w:rPr>
        <w:t> </w:t>
      </w:r>
      <w:r>
        <w:rPr>
          <w:rFonts w:ascii="宋体" w:hAnsi="宋体" w:cs="宋体" w:eastAsia="宋体" w:hint="default"/>
          <w:sz w:val="21"/>
          <w:szCs w:val="21"/>
        </w:rPr>
        <w:t>信用风险低。</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本集团应收账款中，欠款金额前五大客户的应收账款占本集团应收账款总额的</w:t>
      </w:r>
      <w:r>
        <w:rPr>
          <w:rFonts w:ascii="Arial" w:hAnsi="Arial" w:cs="Arial" w:eastAsia="Arial" w:hint="default"/>
          <w:sz w:val="21"/>
          <w:szCs w:val="21"/>
        </w:rPr>
        <w:t>13.78%</w:t>
      </w:r>
      <w:r>
        <w:rPr>
          <w:rFonts w:ascii="宋体" w:hAnsi="宋体" w:cs="宋体" w:eastAsia="宋体" w:hint="default"/>
          <w:sz w:val="21"/>
          <w:szCs w:val="21"/>
        </w:rPr>
        <w:t>（</w:t>
      </w:r>
      <w:r>
        <w:rPr>
          <w:rFonts w:ascii="Arial" w:hAnsi="Arial" w:cs="Arial" w:eastAsia="Arial" w:hint="default"/>
          <w:sz w:val="21"/>
          <w:szCs w:val="21"/>
        </w:rPr>
        <w:t>2016</w:t>
      </w:r>
      <w:r>
        <w:rPr>
          <w:rFonts w:ascii="宋体" w:hAnsi="宋体" w:cs="宋体" w:eastAsia="宋体" w:hint="default"/>
          <w:sz w:val="21"/>
          <w:szCs w:val="21"/>
        </w:rPr>
        <w:t>年：</w:t>
      </w:r>
    </w:p>
    <w:p>
      <w:pPr>
        <w:spacing w:before="70"/>
        <w:ind w:left="152" w:right="0" w:firstLine="0"/>
        <w:jc w:val="both"/>
        <w:rPr>
          <w:rFonts w:ascii="Arial" w:hAnsi="Arial" w:cs="Arial" w:eastAsia="Arial" w:hint="default"/>
          <w:sz w:val="21"/>
          <w:szCs w:val="21"/>
        </w:rPr>
      </w:pPr>
      <w:r>
        <w:rPr>
          <w:rFonts w:ascii="Arial" w:hAnsi="Arial" w:cs="Arial" w:eastAsia="Arial" w:hint="default"/>
          <w:sz w:val="21"/>
          <w:szCs w:val="21"/>
        </w:rPr>
        <w:t>19.29%</w:t>
      </w:r>
      <w:r>
        <w:rPr>
          <w:rFonts w:ascii="宋体" w:hAnsi="宋体" w:cs="宋体" w:eastAsia="宋体" w:hint="default"/>
          <w:sz w:val="21"/>
          <w:szCs w:val="21"/>
        </w:rPr>
        <w:t>）；本集团其他应收款中，欠款金额前五大公司的其他应收款占本集团其他应收款总额的</w:t>
      </w:r>
      <w:r>
        <w:rPr>
          <w:rFonts w:ascii="Arial" w:hAnsi="Arial" w:cs="Arial" w:eastAsia="Arial" w:hint="default"/>
          <w:sz w:val="21"/>
          <w:szCs w:val="21"/>
        </w:rPr>
        <w:t>19.02%</w:t>
      </w:r>
    </w:p>
    <w:p>
      <w:pPr>
        <w:spacing w:before="70"/>
        <w:ind w:left="15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22.00%</w:t>
      </w:r>
      <w:r>
        <w:rPr>
          <w:rFonts w:ascii="宋体" w:hAnsi="宋体" w:cs="宋体" w:eastAsia="宋体" w:hint="default"/>
          <w:sz w:val="21"/>
          <w:szCs w:val="21"/>
        </w:rPr>
        <w:t>）。</w:t>
      </w:r>
    </w:p>
    <w:p>
      <w:pPr>
        <w:spacing w:line="240" w:lineRule="auto" w:before="1"/>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）流动性风险</w:t>
      </w:r>
    </w:p>
    <w:p>
      <w:pPr>
        <w:spacing w:line="240" w:lineRule="auto" w:before="1"/>
        <w:rPr>
          <w:rFonts w:ascii="宋体" w:hAnsi="宋体" w:cs="宋体" w:eastAsia="宋体" w:hint="default"/>
          <w:sz w:val="26"/>
          <w:szCs w:val="26"/>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sz w:val="21"/>
          <w:szCs w:val="21"/>
        </w:rPr>
        <w:t>流动性风险，是指本集团在履行以交付现金或其他金融资产的方式结算的义务时发生资金短缺的风</w:t>
      </w:r>
    </w:p>
    <w:p>
      <w:pPr>
        <w:spacing w:before="85"/>
        <w:ind w:left="152" w:right="0" w:firstLine="0"/>
        <w:jc w:val="left"/>
        <w:rPr>
          <w:rFonts w:ascii="宋体" w:hAnsi="宋体" w:cs="宋体" w:eastAsia="宋体" w:hint="default"/>
          <w:sz w:val="21"/>
          <w:szCs w:val="21"/>
        </w:rPr>
      </w:pPr>
      <w:r>
        <w:rPr>
          <w:rFonts w:ascii="宋体" w:hAnsi="宋体" w:cs="宋体" w:eastAsia="宋体" w:hint="default"/>
          <w:sz w:val="21"/>
          <w:szCs w:val="21"/>
        </w:rPr>
        <w:t>险。</w:t>
      </w:r>
    </w:p>
    <w:p>
      <w:pPr>
        <w:spacing w:line="240" w:lineRule="auto" w:before="9"/>
        <w:rPr>
          <w:rFonts w:ascii="宋体" w:hAnsi="宋体" w:cs="宋体" w:eastAsia="宋体" w:hint="default"/>
          <w:sz w:val="15"/>
          <w:szCs w:val="15"/>
        </w:rPr>
      </w:pPr>
    </w:p>
    <w:p>
      <w:pPr>
        <w:spacing w:line="314" w:lineRule="auto" w:before="3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管理流动风险时，本集团保持管理层认为充分的现金及现金等价物并对其进行监控，以满足本集团</w:t>
      </w:r>
      <w:r>
        <w:rPr>
          <w:rFonts w:ascii="宋体" w:hAnsi="宋体" w:cs="宋体" w:eastAsia="宋体" w:hint="default"/>
          <w:w w:val="100"/>
          <w:sz w:val="21"/>
          <w:szCs w:val="21"/>
        </w:rPr>
        <w:t> </w:t>
      </w:r>
      <w:r>
        <w:rPr>
          <w:rFonts w:ascii="宋体" w:hAnsi="宋体" w:cs="宋体" w:eastAsia="宋体" w:hint="default"/>
          <w:spacing w:val="-2"/>
          <w:sz w:val="21"/>
          <w:szCs w:val="21"/>
        </w:rPr>
        <w:t>经营需要，并降低现金流量波动的影响。本集团管理层对银行借款的使用情况进行监控并确保遵守借款</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协议。同时从主要金融机构获得提供足够备用资金的承诺，以满足短期和长期的资金需求。</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本集团通过经营业务产生的资金及银行及其他借款来筹措营运资金。</w:t>
      </w:r>
    </w:p>
    <w:p>
      <w:pPr>
        <w:spacing w:after="0"/>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line="314" w:lineRule="auto" w:before="3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期末本集团持有的金融资产、金融负债和表外担保项目按未折现剩余合同现金流量的到期期限分析</w:t>
      </w:r>
      <w:r>
        <w:rPr>
          <w:rFonts w:ascii="宋体" w:hAnsi="宋体" w:cs="宋体" w:eastAsia="宋体" w:hint="default"/>
          <w:w w:val="100"/>
          <w:sz w:val="21"/>
          <w:szCs w:val="21"/>
        </w:rPr>
        <w:t> </w:t>
      </w:r>
      <w:r>
        <w:rPr>
          <w:rFonts w:ascii="宋体" w:hAnsi="宋体" w:cs="宋体" w:eastAsia="宋体" w:hint="default"/>
          <w:sz w:val="21"/>
          <w:szCs w:val="21"/>
        </w:rPr>
        <w:t>如下（单位：人民币万元）：</w:t>
      </w:r>
    </w:p>
    <w:p>
      <w:pPr>
        <w:spacing w:line="240" w:lineRule="auto" w:before="3"/>
        <w:rPr>
          <w:rFonts w:ascii="宋体" w:hAnsi="宋体" w:cs="宋体" w:eastAsia="宋体" w:hint="default"/>
          <w:sz w:val="10"/>
          <w:szCs w:val="10"/>
        </w:rPr>
      </w:pPr>
    </w:p>
    <w:tbl>
      <w:tblPr>
        <w:tblW w:w="0" w:type="auto"/>
        <w:jc w:val="left"/>
        <w:tblInd w:w="181" w:type="dxa"/>
        <w:tblLayout w:type="fixed"/>
        <w:tblCellMar>
          <w:top w:w="0" w:type="dxa"/>
          <w:left w:w="0" w:type="dxa"/>
          <w:bottom w:w="0" w:type="dxa"/>
          <w:right w:w="0" w:type="dxa"/>
        </w:tblCellMar>
        <w:tblLook w:val="01E0"/>
      </w:tblPr>
      <w:tblGrid>
        <w:gridCol w:w="2835"/>
        <w:gridCol w:w="1843"/>
        <w:gridCol w:w="1702"/>
        <w:gridCol w:w="1700"/>
        <w:gridCol w:w="1560"/>
      </w:tblGrid>
      <w:tr>
        <w:trPr>
          <w:trHeight w:val="401" w:hRule="exact"/>
        </w:trPr>
        <w:tc>
          <w:tcPr>
            <w:tcW w:w="28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835"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一年至五年以内</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129,733.41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129,733.41</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162.10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162.10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63,657.91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562.88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64,220.79</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20,125.25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20,125.25</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95.81</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95.81</w:t>
            </w:r>
            <w:r>
              <w:rPr>
                <w:rFonts w:ascii="Arial"/>
                <w:sz w:val="18"/>
              </w:rPr>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213,774.48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562.88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214,337.36</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6,035.00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6,035.00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29,574.29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29,574.29</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1,225.97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1,225.97</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25.15</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25.15</w:t>
            </w:r>
            <w:r>
              <w:rPr>
                <w:rFonts w:ascii="Arial"/>
                <w:sz w:val="18"/>
              </w:rPr>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32,966.17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32,966.17</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2,700.00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69,826.58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72,526.58</w:t>
            </w:r>
          </w:p>
        </w:tc>
      </w:tr>
    </w:tbl>
    <w:p>
      <w:pPr>
        <w:spacing w:line="240" w:lineRule="auto" w:before="6"/>
        <w:rPr>
          <w:rFonts w:ascii="宋体" w:hAnsi="宋体" w:cs="宋体" w:eastAsia="宋体" w:hint="default"/>
          <w:sz w:val="12"/>
          <w:szCs w:val="12"/>
        </w:rPr>
      </w:pPr>
    </w:p>
    <w:p>
      <w:pPr>
        <w:spacing w:line="314" w:lineRule="auto" w:before="3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期初本集团持有的金融资产、金融负债和表外担保项目按未折现剩余合同现金流量的到期期限分析</w:t>
      </w:r>
      <w:r>
        <w:rPr>
          <w:rFonts w:ascii="宋体" w:hAnsi="宋体" w:cs="宋体" w:eastAsia="宋体" w:hint="default"/>
          <w:w w:val="100"/>
          <w:sz w:val="21"/>
          <w:szCs w:val="21"/>
        </w:rPr>
        <w:t> </w:t>
      </w:r>
      <w:r>
        <w:rPr>
          <w:rFonts w:ascii="宋体" w:hAnsi="宋体" w:cs="宋体" w:eastAsia="宋体" w:hint="default"/>
          <w:sz w:val="21"/>
          <w:szCs w:val="21"/>
        </w:rPr>
        <w:t>如下（单位：人民币万元）：</w:t>
      </w:r>
    </w:p>
    <w:p>
      <w:pPr>
        <w:spacing w:line="240" w:lineRule="auto" w:before="3"/>
        <w:rPr>
          <w:rFonts w:ascii="宋体" w:hAnsi="宋体" w:cs="宋体" w:eastAsia="宋体" w:hint="default"/>
          <w:sz w:val="10"/>
          <w:szCs w:val="10"/>
        </w:rPr>
      </w:pPr>
    </w:p>
    <w:tbl>
      <w:tblPr>
        <w:tblW w:w="0" w:type="auto"/>
        <w:jc w:val="left"/>
        <w:tblInd w:w="181" w:type="dxa"/>
        <w:tblLayout w:type="fixed"/>
        <w:tblCellMar>
          <w:top w:w="0" w:type="dxa"/>
          <w:left w:w="0" w:type="dxa"/>
          <w:bottom w:w="0" w:type="dxa"/>
          <w:right w:w="0" w:type="dxa"/>
        </w:tblCellMar>
        <w:tblLook w:val="01E0"/>
      </w:tblPr>
      <w:tblGrid>
        <w:gridCol w:w="2835"/>
        <w:gridCol w:w="1843"/>
        <w:gridCol w:w="1702"/>
        <w:gridCol w:w="1700"/>
        <w:gridCol w:w="1560"/>
      </w:tblGrid>
      <w:tr>
        <w:trPr>
          <w:trHeight w:val="401" w:hRule="exact"/>
        </w:trPr>
        <w:tc>
          <w:tcPr>
            <w:tcW w:w="28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835"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一年至五年以内</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81,039.57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81,039.57</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156.04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156.04</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44,131.35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1,926.53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46,057.88</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16,606.10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16,606.10</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89.06</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89.06</w:t>
            </w:r>
            <w:r>
              <w:rPr>
                <w:rFonts w:ascii="Arial"/>
                <w:sz w:val="18"/>
              </w:rPr>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142,022.12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1,926.53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143,948.65</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51.00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51.00</w:t>
            </w:r>
            <w:r>
              <w:rPr>
                <w:rFonts w:ascii="Arial"/>
                <w:sz w:val="18"/>
              </w:rPr>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19,035.62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19,035.62</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835"/>
        <w:gridCol w:w="1843"/>
        <w:gridCol w:w="1702"/>
        <w:gridCol w:w="1700"/>
        <w:gridCol w:w="1560"/>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636.54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636.54</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14,547.60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14,547.60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6,394.00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6,394.00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34,270.76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6,394.00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40,664.76</w:t>
            </w:r>
          </w:p>
        </w:tc>
      </w:tr>
    </w:tbl>
    <w:p>
      <w:pPr>
        <w:spacing w:line="240" w:lineRule="auto" w:before="5"/>
        <w:rPr>
          <w:rFonts w:ascii="宋体" w:hAnsi="宋体" w:cs="宋体" w:eastAsia="宋体" w:hint="default"/>
          <w:sz w:val="12"/>
          <w:szCs w:val="12"/>
        </w:rPr>
      </w:pPr>
    </w:p>
    <w:p>
      <w:pPr>
        <w:spacing w:line="314" w:lineRule="auto" w:before="3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上表中披露的金融负债金额为未经折现的合同现金流量，因而可能与资产负债表中的账面金额有所</w:t>
      </w:r>
      <w:r>
        <w:rPr>
          <w:rFonts w:ascii="宋体" w:hAnsi="宋体" w:cs="宋体" w:eastAsia="宋体" w:hint="default"/>
          <w:w w:val="100"/>
          <w:sz w:val="21"/>
          <w:szCs w:val="21"/>
        </w:rPr>
        <w:t> </w:t>
      </w:r>
      <w:r>
        <w:rPr>
          <w:rFonts w:ascii="宋体" w:hAnsi="宋体" w:cs="宋体" w:eastAsia="宋体" w:hint="default"/>
          <w:sz w:val="21"/>
          <w:szCs w:val="21"/>
        </w:rPr>
        <w:t>不同。</w:t>
      </w:r>
    </w:p>
    <w:p>
      <w:pPr>
        <w:spacing w:line="240" w:lineRule="auto" w:before="3"/>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）市场风险</w:t>
      </w:r>
    </w:p>
    <w:p>
      <w:pPr>
        <w:spacing w:line="240" w:lineRule="auto" w:before="0"/>
        <w:rPr>
          <w:rFonts w:ascii="宋体" w:hAnsi="宋体" w:cs="宋体" w:eastAsia="宋体" w:hint="default"/>
          <w:sz w:val="29"/>
          <w:szCs w:val="29"/>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金融工具的市场风险，是指金融工具的公允价值或未来现金流量因市场价格变动而发生波动的风</w:t>
      </w:r>
      <w:r>
        <w:rPr>
          <w:rFonts w:ascii="宋体" w:hAnsi="宋体" w:cs="宋体" w:eastAsia="宋体" w:hint="default"/>
          <w:w w:val="100"/>
          <w:sz w:val="21"/>
          <w:szCs w:val="21"/>
        </w:rPr>
        <w:t> </w:t>
      </w:r>
      <w:r>
        <w:rPr>
          <w:rFonts w:ascii="宋体" w:hAnsi="宋体" w:cs="宋体" w:eastAsia="宋体" w:hint="default"/>
          <w:sz w:val="21"/>
          <w:szCs w:val="21"/>
        </w:rPr>
        <w:t>险，包括利率风险、汇率风险和其他价格风险。</w:t>
      </w:r>
    </w:p>
    <w:p>
      <w:pPr>
        <w:spacing w:line="516" w:lineRule="exact" w:before="9"/>
        <w:ind w:left="578" w:right="0" w:firstLine="0"/>
        <w:jc w:val="left"/>
        <w:rPr>
          <w:rFonts w:ascii="宋体" w:hAnsi="宋体" w:cs="宋体" w:eastAsia="宋体" w:hint="default"/>
          <w:sz w:val="21"/>
          <w:szCs w:val="21"/>
        </w:rPr>
      </w:pPr>
      <w:r>
        <w:rPr>
          <w:rFonts w:ascii="宋体" w:hAnsi="宋体" w:cs="宋体" w:eastAsia="宋体" w:hint="default"/>
          <w:sz w:val="21"/>
          <w:szCs w:val="21"/>
        </w:rPr>
        <w:t>利率风险</w:t>
      </w:r>
      <w:r>
        <w:rPr>
          <w:rFonts w:ascii="宋体" w:hAnsi="宋体" w:cs="宋体" w:eastAsia="宋体" w:hint="default"/>
          <w:w w:val="100"/>
          <w:sz w:val="21"/>
          <w:szCs w:val="21"/>
        </w:rPr>
        <w:t> </w:t>
      </w:r>
      <w:r>
        <w:rPr>
          <w:rFonts w:ascii="宋体" w:hAnsi="宋体" w:cs="宋体" w:eastAsia="宋体" w:hint="default"/>
          <w:spacing w:val="-2"/>
          <w:sz w:val="21"/>
          <w:szCs w:val="21"/>
        </w:rPr>
        <w:t>利率风险，是指金融工具的公允价值或未来现金流量因市场利率变动而发生波动的风险。利率风险</w:t>
      </w:r>
    </w:p>
    <w:p>
      <w:pPr>
        <w:spacing w:line="451" w:lineRule="auto" w:before="11"/>
        <w:ind w:left="578" w:right="0" w:hanging="426"/>
        <w:jc w:val="left"/>
        <w:rPr>
          <w:rFonts w:ascii="宋体" w:hAnsi="宋体" w:cs="宋体" w:eastAsia="宋体" w:hint="default"/>
          <w:sz w:val="21"/>
          <w:szCs w:val="21"/>
        </w:rPr>
      </w:pPr>
      <w:r>
        <w:rPr>
          <w:rFonts w:ascii="宋体" w:hAnsi="宋体" w:cs="宋体" w:eastAsia="宋体" w:hint="default"/>
          <w:sz w:val="21"/>
          <w:szCs w:val="21"/>
        </w:rPr>
        <w:t>可源于已确认的计息金融工具和未确认的金融工具（如某些贷款承诺）。</w:t>
      </w:r>
      <w:r>
        <w:rPr>
          <w:rFonts w:ascii="宋体" w:hAnsi="宋体" w:cs="宋体" w:eastAsia="宋体" w:hint="default"/>
          <w:w w:val="100"/>
          <w:sz w:val="21"/>
          <w:szCs w:val="21"/>
        </w:rPr>
        <w:t> </w:t>
      </w:r>
      <w:r>
        <w:rPr>
          <w:rFonts w:ascii="宋体" w:hAnsi="宋体" w:cs="宋体" w:eastAsia="宋体" w:hint="default"/>
          <w:sz w:val="21"/>
          <w:szCs w:val="21"/>
        </w:rPr>
        <w:t>本集团的长期带息债务金额较小且利率固定，因此集团利率风险较小。</w:t>
      </w:r>
    </w:p>
    <w:p>
      <w:pPr>
        <w:spacing w:line="314" w:lineRule="auto" w:before="56"/>
        <w:ind w:left="152" w:right="328" w:firstLine="425"/>
        <w:jc w:val="both"/>
        <w:rPr>
          <w:rFonts w:ascii="宋体" w:hAnsi="宋体" w:cs="宋体" w:eastAsia="宋体" w:hint="default"/>
          <w:sz w:val="21"/>
          <w:szCs w:val="21"/>
        </w:rPr>
      </w:pPr>
      <w:r>
        <w:rPr>
          <w:rFonts w:ascii="宋体" w:hAnsi="宋体" w:cs="宋体" w:eastAsia="宋体" w:hint="default"/>
          <w:spacing w:val="-2"/>
          <w:sz w:val="21"/>
          <w:szCs w:val="21"/>
        </w:rPr>
        <w:t>本集团密切关注利率变动对本集团利率风险的影响。本集团目前并未采取利率对冲政策。但管理层</w:t>
      </w:r>
      <w:r>
        <w:rPr>
          <w:rFonts w:ascii="宋体" w:hAnsi="宋体" w:cs="宋体" w:eastAsia="宋体" w:hint="default"/>
          <w:w w:val="100"/>
          <w:sz w:val="21"/>
          <w:szCs w:val="21"/>
        </w:rPr>
        <w:t> </w:t>
      </w:r>
      <w:r>
        <w:rPr>
          <w:rFonts w:ascii="宋体" w:hAnsi="宋体" w:cs="宋体" w:eastAsia="宋体" w:hint="default"/>
          <w:spacing w:val="-2"/>
          <w:sz w:val="21"/>
          <w:szCs w:val="21"/>
        </w:rPr>
        <w:t>负责监控利率风险，并将于需要时考虑对冲重大利率风险。由于定期存款为短期存款，故银行存款的公</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允价值利率风险并不重大。</w:t>
      </w:r>
    </w:p>
    <w:p>
      <w:pPr>
        <w:spacing w:before="176"/>
        <w:ind w:left="578" w:right="0" w:firstLine="0"/>
        <w:jc w:val="left"/>
        <w:rPr>
          <w:rFonts w:ascii="宋体" w:hAnsi="宋体" w:cs="宋体" w:eastAsia="宋体" w:hint="default"/>
          <w:sz w:val="21"/>
          <w:szCs w:val="21"/>
        </w:rPr>
      </w:pPr>
      <w:r>
        <w:rPr>
          <w:rFonts w:ascii="宋体" w:hAnsi="宋体" w:cs="宋体" w:eastAsia="宋体" w:hint="default"/>
          <w:sz w:val="21"/>
          <w:szCs w:val="21"/>
        </w:rPr>
        <w:t>本集团持有的计息金融工具如下（单位：人民币万元）：</w:t>
      </w:r>
    </w:p>
    <w:p>
      <w:pPr>
        <w:spacing w:line="240" w:lineRule="auto" w:before="3"/>
        <w:rPr>
          <w:rFonts w:ascii="宋体" w:hAnsi="宋体" w:cs="宋体" w:eastAsia="宋体" w:hint="default"/>
          <w:sz w:val="15"/>
          <w:szCs w:val="15"/>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浮动利率金融工具</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129,733.41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81,039.57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129,733.41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81,039.57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6,035.00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51.00</w:t>
            </w:r>
            <w:r>
              <w:rPr>
                <w:rFonts w:ascii="Arial"/>
                <w:sz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6,035.00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51.00</w:t>
            </w:r>
            <w:r>
              <w:rPr>
                <w:rFonts w:ascii="Arial"/>
                <w:sz w:val="18"/>
              </w:rPr>
            </w:r>
          </w:p>
        </w:tc>
      </w:tr>
    </w:tbl>
    <w:p>
      <w:pPr>
        <w:spacing w:line="240" w:lineRule="auto" w:before="5"/>
        <w:rPr>
          <w:rFonts w:ascii="宋体" w:hAnsi="宋体" w:cs="宋体" w:eastAsia="宋体" w:hint="default"/>
          <w:sz w:val="12"/>
          <w:szCs w:val="12"/>
        </w:rPr>
      </w:pPr>
    </w:p>
    <w:p>
      <w:pPr>
        <w:spacing w:line="297" w:lineRule="auto" w:before="3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于</w:t>
      </w: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31</w:t>
      </w:r>
      <w:r>
        <w:rPr>
          <w:rFonts w:ascii="宋体" w:hAnsi="宋体" w:cs="宋体" w:eastAsia="宋体" w:hint="default"/>
          <w:spacing w:val="-2"/>
          <w:sz w:val="21"/>
          <w:szCs w:val="21"/>
        </w:rPr>
        <w:t>日，如果以浮动利率计算的借款利率上升或下降</w:t>
      </w:r>
      <w:r>
        <w:rPr>
          <w:rFonts w:ascii="Arial" w:hAnsi="Arial" w:cs="Arial" w:eastAsia="Arial" w:hint="default"/>
          <w:spacing w:val="-2"/>
          <w:sz w:val="21"/>
          <w:szCs w:val="21"/>
        </w:rPr>
        <w:t>50</w:t>
      </w:r>
      <w:r>
        <w:rPr>
          <w:rFonts w:ascii="宋体" w:hAnsi="宋体" w:cs="宋体" w:eastAsia="宋体" w:hint="default"/>
          <w:spacing w:val="-2"/>
          <w:sz w:val="21"/>
          <w:szCs w:val="21"/>
        </w:rPr>
        <w:t>个基点，而其它因素保持不变，</w:t>
      </w:r>
      <w:r>
        <w:rPr>
          <w:rFonts w:ascii="宋体" w:hAnsi="宋体" w:cs="宋体" w:eastAsia="宋体" w:hint="default"/>
          <w:w w:val="100"/>
          <w:sz w:val="21"/>
          <w:szCs w:val="21"/>
        </w:rPr>
        <w:t> </w:t>
      </w:r>
      <w:r>
        <w:rPr>
          <w:rFonts w:ascii="宋体" w:hAnsi="宋体" w:cs="宋体" w:eastAsia="宋体" w:hint="default"/>
          <w:sz w:val="21"/>
          <w:szCs w:val="21"/>
        </w:rPr>
        <w:t>本集团的净利润及股东权益将增加或减少约</w:t>
      </w:r>
      <w:r>
        <w:rPr>
          <w:rFonts w:ascii="Arial" w:hAnsi="Arial" w:cs="Arial" w:eastAsia="Arial" w:hint="default"/>
          <w:sz w:val="21"/>
          <w:szCs w:val="21"/>
        </w:rPr>
        <w:t>618.49</w:t>
      </w:r>
      <w:r>
        <w:rPr>
          <w:rFonts w:ascii="宋体" w:hAnsi="宋体" w:cs="宋体" w:eastAsia="宋体" w:hint="default"/>
          <w:sz w:val="21"/>
          <w:szCs w:val="21"/>
        </w:rPr>
        <w:t>万元（</w:t>
      </w: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w:t>
      </w:r>
      <w:r>
        <w:rPr>
          <w:rFonts w:ascii="Arial" w:hAnsi="Arial" w:cs="Arial" w:eastAsia="Arial" w:hint="default"/>
          <w:sz w:val="21"/>
          <w:szCs w:val="21"/>
        </w:rPr>
        <w:t>404.94</w:t>
      </w:r>
      <w:r>
        <w:rPr>
          <w:rFonts w:ascii="宋体" w:hAnsi="宋体" w:cs="宋体" w:eastAsia="宋体" w:hint="default"/>
          <w:sz w:val="21"/>
          <w:szCs w:val="21"/>
        </w:rPr>
        <w:t>万元）。</w:t>
      </w:r>
    </w:p>
    <w:p>
      <w:pPr>
        <w:spacing w:after="0" w:line="297"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、资本管理</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1"/>
          <w:szCs w:val="21"/>
        </w:rPr>
      </w:pPr>
    </w:p>
    <w:p>
      <w:pPr>
        <w:spacing w:line="314"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本集团资本管理政策的目标是为了保障本集团能够持续经营，从而为股东提供回报，并使其他利益</w:t>
      </w:r>
      <w:r>
        <w:rPr>
          <w:rFonts w:ascii="宋体" w:hAnsi="宋体" w:cs="宋体" w:eastAsia="宋体" w:hint="default"/>
          <w:w w:val="100"/>
          <w:sz w:val="21"/>
          <w:szCs w:val="21"/>
        </w:rPr>
        <w:t> </w:t>
      </w:r>
      <w:r>
        <w:rPr>
          <w:rFonts w:ascii="宋体" w:hAnsi="宋体" w:cs="宋体" w:eastAsia="宋体" w:hint="default"/>
          <w:sz w:val="21"/>
          <w:szCs w:val="21"/>
        </w:rPr>
        <w:t>相关者获益，同时维持最佳的资本结构以降低资本成本。</w:t>
      </w:r>
    </w:p>
    <w:p>
      <w:pPr>
        <w:spacing w:line="314"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为了维持或调整资本结构，本集团可能会调整支付给股东的股利金额、向股东返还资本、发行新股</w:t>
      </w:r>
      <w:r>
        <w:rPr>
          <w:rFonts w:ascii="宋体" w:hAnsi="宋体" w:cs="宋体" w:eastAsia="宋体" w:hint="default"/>
          <w:w w:val="100"/>
          <w:sz w:val="21"/>
          <w:szCs w:val="21"/>
        </w:rPr>
        <w:t> </w:t>
      </w:r>
      <w:r>
        <w:rPr>
          <w:rFonts w:ascii="宋体" w:hAnsi="宋体" w:cs="宋体" w:eastAsia="宋体" w:hint="default"/>
          <w:sz w:val="21"/>
          <w:szCs w:val="21"/>
        </w:rPr>
        <w:t>或出售资产以减低债务。</w:t>
      </w:r>
    </w:p>
    <w:p>
      <w:pPr>
        <w:spacing w:line="297" w:lineRule="auto" w:before="176"/>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本集团以资产负债率（即总负债除以总资产）为基础对资本结构进行监控。于</w:t>
      </w: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31</w:t>
      </w:r>
      <w:r>
        <w:rPr>
          <w:rFonts w:ascii="宋体" w:hAnsi="宋体" w:cs="宋体" w:eastAsia="宋体" w:hint="default"/>
          <w:spacing w:val="-2"/>
          <w:sz w:val="21"/>
          <w:szCs w:val="21"/>
        </w:rPr>
        <w:t>日，本</w:t>
      </w:r>
      <w:r>
        <w:rPr>
          <w:rFonts w:ascii="宋体" w:hAnsi="宋体" w:cs="宋体" w:eastAsia="宋体" w:hint="default"/>
          <w:w w:val="100"/>
          <w:sz w:val="21"/>
          <w:szCs w:val="21"/>
        </w:rPr>
        <w:t> </w:t>
      </w:r>
      <w:r>
        <w:rPr>
          <w:rFonts w:ascii="宋体" w:hAnsi="宋体" w:cs="宋体" w:eastAsia="宋体" w:hint="default"/>
          <w:sz w:val="21"/>
          <w:szCs w:val="21"/>
        </w:rPr>
        <w:t>集团的资产负债率为</w:t>
      </w:r>
      <w:r>
        <w:rPr>
          <w:rFonts w:ascii="Arial" w:hAnsi="Arial" w:cs="Arial" w:eastAsia="Arial" w:hint="default"/>
          <w:sz w:val="21"/>
          <w:szCs w:val="21"/>
        </w:rPr>
        <w:t>26.52%</w:t>
      </w:r>
      <w:r>
        <w:rPr>
          <w:rFonts w:ascii="宋体" w:hAnsi="宋体" w:cs="宋体" w:eastAsia="宋体" w:hint="default"/>
          <w:sz w:val="21"/>
          <w:szCs w:val="21"/>
        </w:rPr>
        <w:t>（</w:t>
      </w: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w:t>
      </w:r>
      <w:r>
        <w:rPr>
          <w:rFonts w:ascii="Arial" w:hAnsi="Arial" w:cs="Arial" w:eastAsia="Arial" w:hint="default"/>
          <w:sz w:val="21"/>
          <w:szCs w:val="21"/>
        </w:rPr>
        <w:t>35.75%</w:t>
      </w:r>
      <w:r>
        <w:rPr>
          <w:rFonts w:ascii="宋体" w:hAnsi="宋体" w:cs="宋体" w:eastAsia="宋体" w:hint="default"/>
          <w:sz w:val="21"/>
          <w:szCs w:val="21"/>
        </w:rPr>
        <w:t>）。</w:t>
      </w:r>
    </w:p>
    <w:p>
      <w:pPr>
        <w:pStyle w:val="Heading2"/>
        <w:spacing w:line="240" w:lineRule="auto" w:before="157"/>
        <w:ind w:right="0"/>
        <w:jc w:val="left"/>
        <w:rPr>
          <w:b w:val="0"/>
          <w:bCs w:val="0"/>
        </w:rPr>
      </w:pPr>
      <w:r>
        <w:rPr/>
        <w:t>十一、关联方及关联交易</w:t>
      </w:r>
      <w:r>
        <w:rPr>
          <w:b w:val="0"/>
          <w:bCs w:val="0"/>
        </w:rPr>
      </w:r>
    </w:p>
    <w:p>
      <w:pPr>
        <w:spacing w:line="240" w:lineRule="auto" w:before="4"/>
        <w:rPr>
          <w:rFonts w:ascii="Microsoft JhengHei" w:hAnsi="Microsoft JhengHei" w:cs="Microsoft JhengHei" w:eastAsia="Microsoft JhengHei" w:hint="default"/>
          <w:b/>
          <w:bCs/>
          <w:sz w:val="13"/>
          <w:szCs w:val="13"/>
        </w:rPr>
      </w:pPr>
    </w:p>
    <w:p>
      <w:pPr>
        <w:spacing w:line="465" w:lineRule="auto" w:before="0"/>
        <w:ind w:left="152" w:right="174"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本企业子公司的情况详见附注九、在其他主体中的权益；</w:t>
      </w:r>
      <w:r>
        <w:rPr>
          <w:rFonts w:ascii="Arial" w:hAnsi="Arial" w:cs="Arial" w:eastAsia="Arial" w:hint="default"/>
          <w:sz w:val="21"/>
          <w:szCs w:val="21"/>
        </w:rPr>
        <w:t>1</w:t>
      </w:r>
      <w:r>
        <w:rPr>
          <w:rFonts w:ascii="宋体" w:hAnsi="宋体" w:cs="宋体" w:eastAsia="宋体" w:hint="default"/>
          <w:sz w:val="21"/>
          <w:szCs w:val="21"/>
        </w:rPr>
        <w:t>、在子公司中的权益。</w:t>
      </w:r>
      <w:r>
        <w:rPr>
          <w:rFonts w:ascii="宋体" w:hAnsi="宋体" w:cs="宋体" w:eastAsia="宋体" w:hint="default"/>
          <w:w w:val="100"/>
          <w:sz w:val="21"/>
          <w:szCs w:val="21"/>
        </w:rPr>
        <w:t> </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、本企业合营和联营企业情况</w:t>
      </w:r>
      <w:r>
        <w:rPr>
          <w:rFonts w:ascii="Microsoft JhengHei" w:hAnsi="Microsoft JhengHei" w:cs="Microsoft JhengHei" w:eastAsia="Microsoft JhengHei" w:hint="default"/>
          <w:sz w:val="21"/>
          <w:szCs w:val="21"/>
        </w:rPr>
      </w:r>
    </w:p>
    <w:p>
      <w:pPr>
        <w:spacing w:line="314" w:lineRule="auto" w:before="106"/>
        <w:ind w:left="152" w:right="174" w:firstLine="0"/>
        <w:jc w:val="left"/>
        <w:rPr>
          <w:rFonts w:ascii="宋体" w:hAnsi="宋体" w:cs="宋体" w:eastAsia="宋体" w:hint="default"/>
          <w:sz w:val="21"/>
          <w:szCs w:val="21"/>
        </w:rPr>
      </w:pPr>
      <w:r>
        <w:rPr>
          <w:rFonts w:ascii="宋体" w:hAnsi="宋体" w:cs="宋体" w:eastAsia="宋体" w:hint="default"/>
          <w:spacing w:val="-2"/>
          <w:sz w:val="21"/>
          <w:szCs w:val="21"/>
        </w:rPr>
        <w:t>本期与本公司发生关联方交易，或前期与本公司发生关联方交易形成余额的其他合营或联营企业情况如</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下：</w:t>
      </w:r>
    </w:p>
    <w:p>
      <w:pPr>
        <w:spacing w:line="240" w:lineRule="auto" w:before="3"/>
        <w:rPr>
          <w:rFonts w:ascii="宋体" w:hAnsi="宋体" w:cs="宋体" w:eastAsia="宋体" w:hint="default"/>
          <w:sz w:val="10"/>
          <w:szCs w:val="10"/>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深圳市捷视飞通科技股份有限公司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、其他关联方情况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赵晓明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朱恒源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樊娇娇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财务总监、副总经理</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邢立君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人力资源总监</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韦光宇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12"/>
        <w:rPr>
          <w:rFonts w:ascii="Microsoft JhengHei" w:hAnsi="Microsoft JhengHei" w:cs="Microsoft JhengHei" w:eastAsia="Microsoft JhengHei" w:hint="default"/>
          <w:b/>
          <w:bCs/>
          <w:sz w:val="15"/>
          <w:szCs w:val="15"/>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、关联交易情况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）购销商品、提供和接受劳务的关联交易</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19"/>
        <w:gridCol w:w="1277"/>
        <w:gridCol w:w="1275"/>
        <w:gridCol w:w="1418"/>
        <w:gridCol w:w="1136"/>
        <w:gridCol w:w="1346"/>
      </w:tblGrid>
      <w:tr>
        <w:trPr>
          <w:trHeight w:val="71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11" w:hanging="180"/>
              <w:jc w:val="left"/>
              <w:rPr>
                <w:rFonts w:ascii="宋体" w:hAnsi="宋体" w:cs="宋体" w:eastAsia="宋体" w:hint="default"/>
                <w:sz w:val="18"/>
                <w:szCs w:val="18"/>
              </w:rPr>
            </w:pPr>
            <w:r>
              <w:rPr>
                <w:rFonts w:ascii="宋体" w:hAnsi="宋体" w:cs="宋体" w:eastAsia="宋体" w:hint="default"/>
                <w:sz w:val="18"/>
                <w:szCs w:val="18"/>
              </w:rPr>
              <w:t>是否超过交 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深圳市捷视飞通科技股份有限公司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9" w:right="0"/>
              <w:jc w:val="center"/>
              <w:rPr>
                <w:rFonts w:ascii="Arial" w:hAnsi="Arial" w:cs="Arial" w:eastAsia="Arial" w:hint="default"/>
                <w:sz w:val="18"/>
                <w:szCs w:val="18"/>
              </w:rPr>
            </w:pPr>
            <w:r>
              <w:rPr>
                <w:rFonts w:ascii="Arial"/>
                <w:sz w:val="18"/>
              </w:rPr>
              <w:t>19,766,262.59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19,766,262.59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3" w:right="0"/>
              <w:jc w:val="left"/>
              <w:rPr>
                <w:rFonts w:ascii="Arial" w:hAnsi="Arial" w:cs="Arial" w:eastAsia="Arial" w:hint="default"/>
                <w:sz w:val="18"/>
                <w:szCs w:val="18"/>
              </w:rPr>
            </w:pPr>
            <w:r>
              <w:rPr>
                <w:rFonts w:ascii="Arial"/>
                <w:sz w:val="18"/>
              </w:rPr>
              <w:t>28,084,776.51</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）关联担保情况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835"/>
        <w:gridCol w:w="1418"/>
        <w:gridCol w:w="1702"/>
        <w:gridCol w:w="1702"/>
        <w:gridCol w:w="1913"/>
      </w:tblGrid>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26</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27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）关键管理人员报酬</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07" w:right="0"/>
              <w:jc w:val="left"/>
              <w:rPr>
                <w:rFonts w:ascii="Arial" w:hAnsi="Arial" w:cs="Arial" w:eastAsia="Arial" w:hint="default"/>
                <w:sz w:val="18"/>
                <w:szCs w:val="18"/>
              </w:rPr>
            </w:pPr>
            <w:r>
              <w:rPr>
                <w:rFonts w:ascii="Arial"/>
                <w:sz w:val="18"/>
              </w:rPr>
              <w:t>2,944,200.00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07" w:right="0"/>
              <w:jc w:val="left"/>
              <w:rPr>
                <w:rFonts w:ascii="Arial" w:hAnsi="Arial" w:cs="Arial" w:eastAsia="Arial" w:hint="default"/>
                <w:sz w:val="18"/>
                <w:szCs w:val="18"/>
              </w:rPr>
            </w:pPr>
            <w:r>
              <w:rPr>
                <w:rFonts w:ascii="Arial"/>
                <w:sz w:val="18"/>
              </w:rPr>
              <w:t>3,462,900.00</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、关联方应收应付款项</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）应收项目</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75"/>
        <w:gridCol w:w="3121"/>
        <w:gridCol w:w="1275"/>
        <w:gridCol w:w="1277"/>
        <w:gridCol w:w="1277"/>
        <w:gridCol w:w="1344"/>
      </w:tblGrid>
      <w:tr>
        <w:trPr>
          <w:trHeight w:val="402" w:hRule="exact"/>
        </w:trPr>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3121"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深圳市捷视飞通科技股份有限公司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3" w:right="0"/>
              <w:jc w:val="left"/>
              <w:rPr>
                <w:rFonts w:ascii="Arial" w:hAnsi="Arial" w:cs="Arial" w:eastAsia="Arial" w:hint="default"/>
                <w:sz w:val="18"/>
                <w:szCs w:val="18"/>
              </w:rPr>
            </w:pPr>
            <w:r>
              <w:rPr>
                <w:rFonts w:ascii="Arial"/>
                <w:sz w:val="18"/>
              </w:rPr>
              <w:t>740,912.50</w:t>
            </w: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）应付项目</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75"/>
        <w:gridCol w:w="3121"/>
        <w:gridCol w:w="2552"/>
        <w:gridCol w:w="2621"/>
      </w:tblGrid>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深圳市捷视飞通科技股份有限公司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5,460,702.94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8,616,664.27</w:t>
            </w: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深圳市捷视飞通科技股份有限公司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650,868.60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300,000.00</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十二、股份支付</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3"/>
        <w:rPr>
          <w:rFonts w:ascii="宋体" w:hAnsi="宋体" w:cs="宋体" w:eastAsia="宋体" w:hint="default"/>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254"/>
        <w:gridCol w:w="5315"/>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7,590,234.00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137,126.00</w:t>
            </w:r>
          </w:p>
        </w:tc>
      </w:tr>
      <w:tr>
        <w:trPr>
          <w:trHeight w:val="715"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8"/>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 剩余期限</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336"/>
              <w:jc w:val="left"/>
              <w:rPr>
                <w:rFonts w:ascii="宋体" w:hAnsi="宋体" w:cs="宋体" w:eastAsia="宋体" w:hint="default"/>
                <w:sz w:val="18"/>
                <w:szCs w:val="18"/>
              </w:rPr>
            </w:pPr>
            <w:r>
              <w:rPr>
                <w:rFonts w:ascii="宋体" w:hAnsi="宋体" w:cs="宋体" w:eastAsia="宋体" w:hint="default"/>
                <w:sz w:val="18"/>
                <w:szCs w:val="18"/>
              </w:rPr>
              <w:t>首次授予行权价格为</w:t>
            </w:r>
            <w:r>
              <w:rPr>
                <w:rFonts w:ascii="宋体" w:hAnsi="宋体" w:cs="宋体" w:eastAsia="宋体" w:hint="default"/>
                <w:spacing w:val="-46"/>
                <w:sz w:val="18"/>
                <w:szCs w:val="18"/>
              </w:rPr>
              <w:t> </w:t>
            </w:r>
            <w:r>
              <w:rPr>
                <w:rFonts w:ascii="Arial" w:hAnsi="Arial" w:cs="Arial" w:eastAsia="Arial" w:hint="default"/>
                <w:sz w:val="18"/>
                <w:szCs w:val="18"/>
              </w:rPr>
              <w:t>4.00</w:t>
            </w:r>
            <w:r>
              <w:rPr>
                <w:rFonts w:ascii="Arial" w:hAnsi="Arial" w:cs="Arial" w:eastAsia="Arial" w:hint="default"/>
                <w:spacing w:val="-6"/>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股，预留部分行权价格为</w:t>
            </w:r>
            <w:r>
              <w:rPr>
                <w:rFonts w:ascii="宋体" w:hAnsi="宋体" w:cs="宋体" w:eastAsia="宋体" w:hint="default"/>
                <w:spacing w:val="-46"/>
                <w:sz w:val="18"/>
                <w:szCs w:val="18"/>
              </w:rPr>
              <w:t> </w:t>
            </w:r>
            <w:r>
              <w:rPr>
                <w:rFonts w:ascii="Arial" w:hAnsi="Arial" w:cs="Arial" w:eastAsia="Arial" w:hint="default"/>
                <w:sz w:val="18"/>
                <w:szCs w:val="18"/>
              </w:rPr>
              <w:t>4.90</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股；本计划已处于预留部分的第四个行权期。</w:t>
            </w:r>
          </w:p>
        </w:tc>
      </w:tr>
      <w:tr>
        <w:trPr>
          <w:trHeight w:val="1025"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8"/>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 合同剩余期限</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限制性股票（</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年）的授予价格为</w:t>
            </w:r>
            <w:r>
              <w:rPr>
                <w:rFonts w:ascii="宋体" w:hAnsi="宋体" w:cs="宋体" w:eastAsia="宋体" w:hint="default"/>
                <w:spacing w:val="-48"/>
                <w:sz w:val="18"/>
                <w:szCs w:val="18"/>
              </w:rPr>
              <w:t> </w:t>
            </w:r>
            <w:r>
              <w:rPr>
                <w:rFonts w:ascii="Arial" w:hAnsi="Arial" w:cs="Arial" w:eastAsia="Arial" w:hint="default"/>
                <w:sz w:val="18"/>
                <w:szCs w:val="18"/>
              </w:rPr>
              <w:t>5.01</w:t>
            </w:r>
            <w:r>
              <w:rPr>
                <w:rFonts w:ascii="Arial" w:hAnsi="Arial" w:cs="Arial" w:eastAsia="Arial" w:hint="default"/>
                <w:spacing w:val="-7"/>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股；自授予日</w:t>
            </w:r>
            <w:r>
              <w:rPr>
                <w:rFonts w:ascii="宋体" w:hAnsi="宋体" w:cs="宋体" w:eastAsia="宋体" w:hint="default"/>
                <w:spacing w:val="-47"/>
                <w:sz w:val="18"/>
                <w:szCs w:val="18"/>
              </w:rPr>
              <w:t> </w:t>
            </w:r>
            <w:r>
              <w:rPr>
                <w:rFonts w:ascii="Arial" w:hAnsi="Arial" w:cs="Arial" w:eastAsia="Arial" w:hint="default"/>
                <w:sz w:val="18"/>
                <w:szCs w:val="18"/>
              </w:rPr>
              <w:t>2015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6</w:t>
            </w:r>
            <w:r>
              <w:rPr>
                <w:rFonts w:ascii="Arial" w:hAnsi="Arial" w:cs="Arial" w:eastAsia="Arial" w:hint="default"/>
                <w:spacing w:val="-6"/>
                <w:sz w:val="18"/>
                <w:szCs w:val="18"/>
              </w:rPr>
              <w:t> </w:t>
            </w:r>
            <w:r>
              <w:rPr>
                <w:rFonts w:ascii="宋体" w:hAnsi="宋体" w:cs="宋体" w:eastAsia="宋体" w:hint="default"/>
                <w:sz w:val="18"/>
                <w:szCs w:val="18"/>
              </w:rPr>
              <w:t>日起分三次解锁。限制性股票（</w:t>
            </w: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年）的授予价格为</w:t>
            </w:r>
          </w:p>
          <w:p>
            <w:pPr>
              <w:pStyle w:val="TableParagraph"/>
              <w:spacing w:line="240" w:lineRule="auto" w:before="63"/>
              <w:ind w:left="23" w:right="0"/>
              <w:jc w:val="left"/>
              <w:rPr>
                <w:rFonts w:ascii="Arial" w:hAnsi="Arial" w:cs="Arial" w:eastAsia="Arial" w:hint="default"/>
                <w:sz w:val="18"/>
                <w:szCs w:val="18"/>
              </w:rPr>
            </w:pPr>
            <w:r>
              <w:rPr>
                <w:rFonts w:ascii="Arial" w:hAnsi="Arial" w:cs="Arial" w:eastAsia="Arial" w:hint="default"/>
                <w:sz w:val="18"/>
                <w:szCs w:val="18"/>
              </w:rPr>
              <w:t>10.03</w:t>
            </w:r>
            <w:r>
              <w:rPr>
                <w:rFonts w:ascii="Arial" w:hAnsi="Arial" w:cs="Arial" w:eastAsia="Arial" w:hint="default"/>
                <w:spacing w:val="-5"/>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股；自授予日</w:t>
            </w:r>
            <w:r>
              <w:rPr>
                <w:rFonts w:ascii="宋体" w:hAnsi="宋体" w:cs="宋体" w:eastAsia="宋体" w:hint="default"/>
                <w:spacing w:val="-45"/>
                <w:sz w:val="18"/>
                <w:szCs w:val="18"/>
              </w:rPr>
              <w:t> </w:t>
            </w:r>
            <w:r>
              <w:rPr>
                <w:rFonts w:ascii="Arial" w:hAnsi="Arial" w:cs="Arial" w:eastAsia="Arial" w:hint="default"/>
                <w:sz w:val="18"/>
                <w:szCs w:val="18"/>
              </w:rPr>
              <w:t>2016</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16</w:t>
            </w:r>
            <w:r>
              <w:rPr>
                <w:rFonts w:ascii="Arial" w:hAnsi="Arial" w:cs="Arial" w:eastAsia="Arial" w:hint="default"/>
                <w:spacing w:val="-5"/>
                <w:sz w:val="18"/>
                <w:szCs w:val="18"/>
              </w:rPr>
              <w:t> </w:t>
            </w:r>
            <w:r>
              <w:rPr>
                <w:rFonts w:ascii="宋体" w:hAnsi="宋体" w:cs="宋体" w:eastAsia="宋体" w:hint="default"/>
                <w:sz w:val="18"/>
                <w:szCs w:val="18"/>
              </w:rPr>
              <w:t>日起分三次解锁。</w:t>
            </w:r>
            <w:r>
              <w:rPr>
                <w:rFonts w:ascii="Arial" w:hAnsi="Arial" w:cs="Arial" w:eastAsia="Arial" w:hint="default"/>
                <w:sz w:val="18"/>
                <w:szCs w:val="18"/>
              </w:rPr>
              <w:t>"</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、以权益结算的股份支付情况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3"/>
        <w:rPr>
          <w:rFonts w:ascii="宋体" w:hAnsi="宋体" w:cs="宋体" w:eastAsia="宋体" w:hint="default"/>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254"/>
        <w:gridCol w:w="5315"/>
      </w:tblGrid>
      <w:tr>
        <w:trPr>
          <w:trHeight w:val="71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64"/>
              <w:jc w:val="left"/>
              <w:rPr>
                <w:rFonts w:ascii="宋体" w:hAnsi="宋体" w:cs="宋体" w:eastAsia="宋体" w:hint="default"/>
                <w:sz w:val="18"/>
                <w:szCs w:val="18"/>
              </w:rPr>
            </w:pPr>
            <w:r>
              <w:rPr>
                <w:rFonts w:ascii="宋体" w:hAnsi="宋体" w:cs="宋体" w:eastAsia="宋体" w:hint="default"/>
                <w:sz w:val="18"/>
                <w:szCs w:val="18"/>
              </w:rPr>
              <w:t>公司在授权日采用 </w:t>
            </w:r>
            <w:r>
              <w:rPr>
                <w:rFonts w:ascii="Arial" w:hAnsi="Arial" w:cs="Arial" w:eastAsia="Arial" w:hint="default"/>
                <w:sz w:val="18"/>
                <w:szCs w:val="18"/>
              </w:rPr>
              <w:t>Black--Scholes</w:t>
            </w:r>
            <w:r>
              <w:rPr>
                <w:rFonts w:ascii="Arial" w:hAnsi="Arial" w:cs="Arial" w:eastAsia="Arial" w:hint="default"/>
                <w:spacing w:val="-12"/>
                <w:sz w:val="18"/>
                <w:szCs w:val="18"/>
              </w:rPr>
              <w:t> </w:t>
            </w:r>
            <w:r>
              <w:rPr>
                <w:rFonts w:ascii="宋体" w:hAnsi="宋体" w:cs="宋体" w:eastAsia="宋体" w:hint="default"/>
                <w:sz w:val="18"/>
                <w:szCs w:val="18"/>
              </w:rPr>
              <w:t>期权定价模型确定股票期权在 授权日的公允价值。</w:t>
            </w:r>
          </w:p>
        </w:tc>
      </w:tr>
      <w:tr>
        <w:trPr>
          <w:trHeight w:val="1340"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5"/>
                <w:sz w:val="18"/>
                <w:szCs w:val="18"/>
              </w:rPr>
              <w:t> </w:t>
            </w:r>
            <w:r>
              <w:rPr>
                <w:rFonts w:ascii="Arial" w:hAnsi="Arial" w:cs="Arial" w:eastAsia="Arial" w:hint="default"/>
                <w:spacing w:val="-7"/>
                <w:sz w:val="18"/>
                <w:szCs w:val="18"/>
              </w:rPr>
              <w:t>11</w:t>
            </w:r>
            <w:r>
              <w:rPr>
                <w:rFonts w:ascii="Arial" w:hAnsi="Arial" w:cs="Arial" w:eastAsia="Arial" w:hint="default"/>
                <w:spacing w:val="-3"/>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股份支付》和《企业会计准则第</w:t>
            </w:r>
            <w:r>
              <w:rPr>
                <w:rFonts w:ascii="宋体" w:hAnsi="宋体" w:cs="宋体" w:eastAsia="宋体" w:hint="default"/>
                <w:spacing w:val="-45"/>
                <w:sz w:val="18"/>
                <w:szCs w:val="18"/>
              </w:rPr>
              <w:t> </w:t>
            </w:r>
            <w:r>
              <w:rPr>
                <w:rFonts w:ascii="Arial" w:hAnsi="Arial" w:cs="Arial" w:eastAsia="Arial" w:hint="default"/>
                <w:sz w:val="18"/>
                <w:szCs w:val="18"/>
              </w:rPr>
              <w:t>22</w:t>
            </w:r>
            <w:r>
              <w:rPr>
                <w:rFonts w:ascii="Arial" w:hAnsi="Arial" w:cs="Arial" w:eastAsia="Arial" w:hint="default"/>
                <w:w w:val="99"/>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金融工具确认和计量》的有关规定，公司将在等待期的每个资 产负债表日，根据最新取得的可行权人数变动、业绩指标完成情况 等后续信息，修正预计可行权的股票期权数量。</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40,606,090.00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19,610,570.57</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十三、资产负债表日后事项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、利润分配情况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73"/>
        <w:gridCol w:w="4596"/>
      </w:tblGrid>
      <w:tr>
        <w:trPr>
          <w:trHeight w:val="403"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38,034,058.80</w:t>
            </w:r>
          </w:p>
        </w:tc>
      </w:tr>
      <w:tr>
        <w:trPr>
          <w:trHeight w:val="401"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38,034,058.80</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367" w:lineRule="exact"/>
        <w:ind w:right="0"/>
        <w:jc w:val="left"/>
        <w:rPr>
          <w:b w:val="0"/>
          <w:bCs w:val="0"/>
        </w:rPr>
      </w:pPr>
      <w:r>
        <w:rPr/>
        <w:t>十四、其他重要事项</w:t>
      </w:r>
      <w:r>
        <w:rPr>
          <w:b w:val="0"/>
          <w:bCs w:val="0"/>
        </w:rPr>
      </w:r>
    </w:p>
    <w:p>
      <w:pPr>
        <w:spacing w:line="240" w:lineRule="auto" w:before="6"/>
        <w:rPr>
          <w:rFonts w:ascii="Microsoft JhengHei" w:hAnsi="Microsoft JhengHei" w:cs="Microsoft JhengHei" w:eastAsia="Microsoft JhengHei" w:hint="default"/>
          <w:b/>
          <w:bCs/>
          <w:sz w:val="20"/>
          <w:szCs w:val="20"/>
        </w:rPr>
      </w:pPr>
    </w:p>
    <w:p>
      <w:pPr>
        <w:spacing w:line="297" w:lineRule="auto" w:before="0"/>
        <w:ind w:left="152" w:right="237" w:firstLine="425"/>
        <w:jc w:val="both"/>
        <w:rPr>
          <w:rFonts w:ascii="宋体" w:hAnsi="宋体" w:cs="宋体" w:eastAsia="宋体" w:hint="default"/>
          <w:sz w:val="21"/>
          <w:szCs w:val="21"/>
        </w:rPr>
      </w:pPr>
      <w:r>
        <w:rPr>
          <w:rFonts w:ascii="Arial" w:hAnsi="Arial" w:cs="Arial" w:eastAsia="Arial" w:hint="default"/>
          <w:spacing w:val="-2"/>
          <w:sz w:val="21"/>
          <w:szCs w:val="21"/>
        </w:rPr>
        <w:t>1</w:t>
      </w:r>
      <w:r>
        <w:rPr>
          <w:rFonts w:ascii="宋体" w:hAnsi="宋体" w:cs="宋体" w:eastAsia="宋体" w:hint="default"/>
          <w:spacing w:val="-2"/>
          <w:sz w:val="21"/>
          <w:szCs w:val="21"/>
        </w:rPr>
        <w:t>、联奕科技原股东对本公司业绩承诺：根据华宇软件与联奕科技于</w:t>
      </w: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3</w:t>
      </w:r>
      <w:r>
        <w:rPr>
          <w:rFonts w:ascii="宋体" w:hAnsi="宋体" w:cs="宋体" w:eastAsia="宋体" w:hint="default"/>
          <w:spacing w:val="-2"/>
          <w:sz w:val="21"/>
          <w:szCs w:val="21"/>
        </w:rPr>
        <w:t>月</w:t>
      </w:r>
      <w:r>
        <w:rPr>
          <w:rFonts w:ascii="Arial" w:hAnsi="Arial" w:cs="Arial" w:eastAsia="Arial" w:hint="default"/>
          <w:spacing w:val="-2"/>
          <w:sz w:val="21"/>
          <w:szCs w:val="21"/>
        </w:rPr>
        <w:t>13</w:t>
      </w:r>
      <w:r>
        <w:rPr>
          <w:rFonts w:ascii="宋体" w:hAnsi="宋体" w:cs="宋体" w:eastAsia="宋体" w:hint="default"/>
          <w:spacing w:val="-2"/>
          <w:sz w:val="21"/>
          <w:szCs w:val="21"/>
        </w:rPr>
        <w:t>日签署的股权转让</w:t>
      </w:r>
      <w:r>
        <w:rPr>
          <w:rFonts w:ascii="宋体" w:hAnsi="宋体" w:cs="宋体" w:eastAsia="宋体" w:hint="default"/>
          <w:w w:val="100"/>
          <w:sz w:val="21"/>
          <w:szCs w:val="21"/>
        </w:rPr>
        <w:t> </w:t>
      </w:r>
      <w:r>
        <w:rPr>
          <w:rFonts w:ascii="宋体" w:hAnsi="宋体" w:cs="宋体" w:eastAsia="宋体" w:hint="default"/>
          <w:spacing w:val="-2"/>
          <w:sz w:val="21"/>
          <w:szCs w:val="21"/>
        </w:rPr>
        <w:t>协议，联奕科技原股东承诺并保证标的公司</w:t>
      </w:r>
      <w:r>
        <w:rPr>
          <w:rFonts w:ascii="Arial" w:hAnsi="Arial" w:cs="Arial" w:eastAsia="Arial" w:hint="default"/>
          <w:spacing w:val="-2"/>
          <w:sz w:val="21"/>
          <w:szCs w:val="21"/>
        </w:rPr>
        <w:t>2018</w:t>
      </w:r>
      <w:r>
        <w:rPr>
          <w:rFonts w:ascii="宋体" w:hAnsi="宋体" w:cs="宋体" w:eastAsia="宋体" w:hint="default"/>
          <w:spacing w:val="-2"/>
          <w:sz w:val="21"/>
          <w:szCs w:val="21"/>
        </w:rPr>
        <w:t>年归属于母公司股东的净利润（以扣除非经常损益）不</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低于</w:t>
      </w:r>
      <w:r>
        <w:rPr>
          <w:rFonts w:ascii="Arial" w:hAnsi="Arial" w:cs="Arial" w:eastAsia="Arial" w:hint="default"/>
          <w:sz w:val="21"/>
          <w:szCs w:val="21"/>
        </w:rPr>
        <w:t>11,000</w:t>
      </w:r>
      <w:r>
        <w:rPr>
          <w:rFonts w:ascii="宋体" w:hAnsi="宋体" w:cs="宋体" w:eastAsia="宋体" w:hint="default"/>
          <w:sz w:val="21"/>
          <w:szCs w:val="21"/>
        </w:rPr>
        <w:t>万元，</w:t>
      </w:r>
      <w:r>
        <w:rPr>
          <w:rFonts w:ascii="Arial" w:hAnsi="Arial" w:cs="Arial" w:eastAsia="Arial" w:hint="default"/>
          <w:sz w:val="21"/>
          <w:szCs w:val="21"/>
        </w:rPr>
        <w:t>2019</w:t>
      </w:r>
      <w:r>
        <w:rPr>
          <w:rFonts w:ascii="宋体" w:hAnsi="宋体" w:cs="宋体" w:eastAsia="宋体" w:hint="default"/>
          <w:sz w:val="21"/>
          <w:szCs w:val="21"/>
        </w:rPr>
        <w:t>年归属于母公司股东的净利润（以扣除非经常损益）不低于</w:t>
      </w:r>
      <w:r>
        <w:rPr>
          <w:rFonts w:ascii="Arial" w:hAnsi="Arial" w:cs="Arial" w:eastAsia="Arial" w:hint="default"/>
          <w:sz w:val="21"/>
          <w:szCs w:val="21"/>
        </w:rPr>
        <w:t>14,400</w:t>
      </w:r>
      <w:r>
        <w:rPr>
          <w:rFonts w:ascii="宋体" w:hAnsi="宋体" w:cs="宋体" w:eastAsia="宋体" w:hint="default"/>
          <w:sz w:val="21"/>
          <w:szCs w:val="21"/>
        </w:rPr>
        <w:t>万元。</w:t>
      </w:r>
    </w:p>
    <w:p>
      <w:pPr>
        <w:spacing w:line="297" w:lineRule="auto" w:before="170"/>
        <w:ind w:left="152" w:right="213" w:firstLine="425"/>
        <w:jc w:val="left"/>
        <w:rPr>
          <w:rFonts w:ascii="宋体" w:hAnsi="宋体" w:cs="宋体" w:eastAsia="宋体" w:hint="default"/>
          <w:sz w:val="21"/>
          <w:szCs w:val="21"/>
        </w:rPr>
      </w:pPr>
      <w:r>
        <w:rPr>
          <w:rFonts w:ascii="Arial" w:hAnsi="Arial" w:cs="Arial" w:eastAsia="Arial" w:hint="default"/>
          <w:spacing w:val="-2"/>
          <w:sz w:val="21"/>
          <w:szCs w:val="21"/>
        </w:rPr>
        <w:t>2</w:t>
      </w:r>
      <w:r>
        <w:rPr>
          <w:rFonts w:ascii="宋体" w:hAnsi="宋体" w:cs="宋体" w:eastAsia="宋体" w:hint="default"/>
          <w:spacing w:val="-2"/>
          <w:sz w:val="21"/>
          <w:szCs w:val="21"/>
        </w:rPr>
        <w:t>、报告期内，本公司非全资子公司溯源云（北京）科技服务有限公司成立，取得了中国食品药品企</w:t>
      </w:r>
      <w:r>
        <w:rPr>
          <w:rFonts w:ascii="宋体" w:hAnsi="宋体" w:cs="宋体" w:eastAsia="宋体" w:hint="default"/>
          <w:w w:val="100"/>
          <w:sz w:val="21"/>
          <w:szCs w:val="21"/>
        </w:rPr>
        <w:t> </w:t>
      </w:r>
      <w:r>
        <w:rPr>
          <w:rFonts w:ascii="宋体" w:hAnsi="宋体" w:cs="宋体" w:eastAsia="宋体" w:hint="default"/>
          <w:sz w:val="21"/>
          <w:szCs w:val="21"/>
        </w:rPr>
        <w:t>业质量安全促进会以无形资产</w:t>
      </w:r>
      <w:r>
        <w:rPr>
          <w:rFonts w:ascii="Arial" w:hAnsi="Arial" w:cs="Arial" w:eastAsia="Arial" w:hint="default"/>
          <w:sz w:val="21"/>
          <w:szCs w:val="21"/>
        </w:rPr>
        <w:t>-</w:t>
      </w:r>
      <w:r>
        <w:rPr>
          <w:rFonts w:ascii="宋体" w:hAnsi="宋体" w:cs="宋体" w:eastAsia="宋体" w:hint="default"/>
          <w:sz w:val="21"/>
          <w:szCs w:val="21"/>
        </w:rPr>
        <w:t>非专利技术</w:t>
      </w:r>
      <w:r>
        <w:rPr>
          <w:rFonts w:ascii="Arial" w:hAnsi="Arial" w:cs="Arial" w:eastAsia="Arial" w:hint="default"/>
          <w:sz w:val="21"/>
          <w:szCs w:val="21"/>
        </w:rPr>
        <w:t>“</w:t>
      </w:r>
      <w:r>
        <w:rPr>
          <w:rFonts w:ascii="宋体" w:hAnsi="宋体" w:cs="宋体" w:eastAsia="宋体" w:hint="default"/>
          <w:sz w:val="21"/>
          <w:szCs w:val="21"/>
        </w:rPr>
        <w:t>企业追溯管理平台技术</w:t>
      </w:r>
      <w:r>
        <w:rPr>
          <w:rFonts w:ascii="Arial" w:hAnsi="Arial" w:cs="Arial" w:eastAsia="Arial" w:hint="default"/>
          <w:sz w:val="21"/>
          <w:szCs w:val="21"/>
        </w:rPr>
        <w:t>”</w:t>
      </w:r>
      <w:r>
        <w:rPr>
          <w:rFonts w:ascii="宋体" w:hAnsi="宋体" w:cs="宋体" w:eastAsia="宋体" w:hint="default"/>
          <w:sz w:val="21"/>
          <w:szCs w:val="21"/>
        </w:rPr>
        <w:t>出资，该无形资产作价</w:t>
      </w:r>
      <w:r>
        <w:rPr>
          <w:rFonts w:ascii="Arial" w:hAnsi="Arial" w:cs="Arial" w:eastAsia="Arial" w:hint="default"/>
          <w:sz w:val="21"/>
          <w:szCs w:val="21"/>
        </w:rPr>
        <w:t>600.00</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已取得北京建华信资产评估事务所有限公司出具的</w:t>
      </w:r>
      <w:r>
        <w:rPr>
          <w:rFonts w:ascii="Arial" w:hAnsi="Arial" w:cs="Arial" w:eastAsia="Arial" w:hint="default"/>
          <w:sz w:val="21"/>
          <w:szCs w:val="21"/>
        </w:rPr>
        <w:t>“</w:t>
      </w:r>
      <w:r>
        <w:rPr>
          <w:rFonts w:ascii="宋体" w:hAnsi="宋体" w:cs="宋体" w:eastAsia="宋体" w:hint="default"/>
          <w:sz w:val="21"/>
          <w:szCs w:val="21"/>
        </w:rPr>
        <w:t>建华评字【</w:t>
      </w:r>
      <w:r>
        <w:rPr>
          <w:rFonts w:ascii="Arial" w:hAnsi="Arial" w:cs="Arial" w:eastAsia="Arial" w:hint="default"/>
          <w:sz w:val="21"/>
          <w:szCs w:val="21"/>
        </w:rPr>
        <w:t>2017</w:t>
      </w:r>
      <w:r>
        <w:rPr>
          <w:rFonts w:ascii="宋体" w:hAnsi="宋体" w:cs="宋体" w:eastAsia="宋体" w:hint="default"/>
          <w:sz w:val="21"/>
          <w:szCs w:val="21"/>
        </w:rPr>
        <w:t>】</w:t>
      </w:r>
      <w:r>
        <w:rPr>
          <w:rFonts w:ascii="Arial" w:hAnsi="Arial" w:cs="Arial" w:eastAsia="Arial" w:hint="default"/>
          <w:sz w:val="21"/>
          <w:szCs w:val="21"/>
        </w:rPr>
        <w:t>L017</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评估报告认定。</w:t>
      </w:r>
    </w:p>
    <w:p>
      <w:pPr>
        <w:pStyle w:val="Heading2"/>
        <w:spacing w:line="240" w:lineRule="auto" w:before="157"/>
        <w:ind w:right="0"/>
        <w:jc w:val="left"/>
        <w:rPr>
          <w:b w:val="0"/>
          <w:bCs w:val="0"/>
        </w:rPr>
      </w:pPr>
      <w:r>
        <w:rPr/>
        <w:t>十五、母公司财务报表主要项目注释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611"/>
        <w:gridCol w:w="775"/>
        <w:gridCol w:w="761"/>
        <w:gridCol w:w="763"/>
        <w:gridCol w:w="761"/>
        <w:gridCol w:w="790"/>
        <w:gridCol w:w="655"/>
        <w:gridCol w:w="761"/>
        <w:gridCol w:w="814"/>
        <w:gridCol w:w="932"/>
        <w:gridCol w:w="934"/>
      </w:tblGrid>
      <w:tr>
        <w:trPr>
          <w:trHeight w:val="396"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 w:right="0"/>
              <w:jc w:val="left"/>
              <w:rPr>
                <w:rFonts w:ascii="Arial" w:hAnsi="Arial" w:cs="Arial" w:eastAsia="Arial" w:hint="default"/>
                <w:sz w:val="18"/>
                <w:szCs w:val="18"/>
              </w:rPr>
            </w:pPr>
            <w:r>
              <w:rPr>
                <w:rFonts w:ascii="Arial"/>
                <w:sz w:val="18"/>
              </w:rPr>
              <w:t>32,761,1</w:t>
            </w:r>
          </w:p>
          <w:p>
            <w:pPr>
              <w:pStyle w:val="TableParagraph"/>
              <w:spacing w:line="240" w:lineRule="auto" w:before="105"/>
              <w:ind w:left="280" w:right="0"/>
              <w:jc w:val="left"/>
              <w:rPr>
                <w:rFonts w:ascii="Arial" w:hAnsi="Arial" w:cs="Arial" w:eastAsia="Arial" w:hint="default"/>
                <w:sz w:val="18"/>
                <w:szCs w:val="18"/>
              </w:rPr>
            </w:pPr>
            <w:r>
              <w:rPr>
                <w:rFonts w:ascii="Arial"/>
                <w:sz w:val="18"/>
              </w:rPr>
              <w:t>03.77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51.04%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819,027.</w:t>
            </w:r>
          </w:p>
          <w:p>
            <w:pPr>
              <w:pStyle w:val="TableParagraph"/>
              <w:spacing w:line="240" w:lineRule="auto" w:before="105"/>
              <w:ind w:right="19"/>
              <w:jc w:val="right"/>
              <w:rPr>
                <w:rFonts w:ascii="Arial" w:hAnsi="Arial" w:cs="Arial" w:eastAsia="Arial" w:hint="default"/>
                <w:sz w:val="18"/>
                <w:szCs w:val="18"/>
              </w:rPr>
            </w:pPr>
            <w:r>
              <w:rPr>
                <w:rFonts w:ascii="Arial"/>
                <w:w w:val="95"/>
                <w:sz w:val="18"/>
              </w:rPr>
              <w:t>60</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Arial" w:hAnsi="Arial" w:cs="Arial" w:eastAsia="Arial" w:hint="default"/>
                <w:sz w:val="18"/>
                <w:szCs w:val="18"/>
              </w:rPr>
            </w:pPr>
            <w:r>
              <w:rPr>
                <w:rFonts w:ascii="Arial"/>
                <w:w w:val="95"/>
                <w:sz w:val="18"/>
              </w:rPr>
              <w:t>2.50%</w:t>
            </w:r>
            <w:r>
              <w:rPr>
                <w:rFonts w:ascii="Arial"/>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 w:right="0"/>
              <w:jc w:val="left"/>
              <w:rPr>
                <w:rFonts w:ascii="Arial" w:hAnsi="Arial" w:cs="Arial" w:eastAsia="Arial" w:hint="default"/>
                <w:sz w:val="18"/>
                <w:szCs w:val="18"/>
              </w:rPr>
            </w:pPr>
            <w:r>
              <w:rPr>
                <w:rFonts w:ascii="Arial"/>
                <w:sz w:val="18"/>
              </w:rPr>
              <w:t>31,942,0</w:t>
            </w:r>
          </w:p>
          <w:p>
            <w:pPr>
              <w:pStyle w:val="TableParagraph"/>
              <w:spacing w:line="240" w:lineRule="auto" w:before="105"/>
              <w:ind w:left="307" w:right="0"/>
              <w:jc w:val="left"/>
              <w:rPr>
                <w:rFonts w:ascii="Arial" w:hAnsi="Arial" w:cs="Arial" w:eastAsia="Arial" w:hint="default"/>
                <w:sz w:val="18"/>
                <w:szCs w:val="18"/>
              </w:rPr>
            </w:pPr>
            <w:r>
              <w:rPr>
                <w:rFonts w:ascii="Arial"/>
                <w:sz w:val="18"/>
              </w:rPr>
              <w:t>76.17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42,001</w:t>
            </w:r>
          </w:p>
          <w:p>
            <w:pPr>
              <w:pStyle w:val="TableParagraph"/>
              <w:spacing w:line="240" w:lineRule="auto" w:before="105"/>
              <w:ind w:right="21"/>
              <w:jc w:val="right"/>
              <w:rPr>
                <w:rFonts w:ascii="Arial" w:hAnsi="Arial" w:cs="Arial" w:eastAsia="Arial" w:hint="default"/>
                <w:sz w:val="18"/>
                <w:szCs w:val="18"/>
              </w:rPr>
            </w:pPr>
            <w:r>
              <w:rPr>
                <w:rFonts w:ascii="Arial"/>
                <w:w w:val="95"/>
                <w:sz w:val="18"/>
              </w:rPr>
              <w:t>,782.7</w:t>
            </w:r>
          </w:p>
          <w:p>
            <w:pPr>
              <w:pStyle w:val="TableParagraph"/>
              <w:spacing w:line="240" w:lineRule="auto" w:before="105"/>
              <w:ind w:right="22"/>
              <w:jc w:val="right"/>
              <w:rPr>
                <w:rFonts w:ascii="Arial" w:hAnsi="Arial" w:cs="Arial" w:eastAsia="Arial" w:hint="default"/>
                <w:sz w:val="18"/>
                <w:szCs w:val="18"/>
              </w:rPr>
            </w:pPr>
            <w:r>
              <w:rPr>
                <w:rFonts w:ascii="Arial"/>
                <w:w w:val="99"/>
                <w:sz w:val="18"/>
              </w:rPr>
              <w:t>7</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53.76%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1,050,04</w:t>
            </w:r>
          </w:p>
          <w:p>
            <w:pPr>
              <w:pStyle w:val="TableParagraph"/>
              <w:spacing w:line="240" w:lineRule="auto" w:before="105"/>
              <w:ind w:left="429" w:right="0"/>
              <w:jc w:val="left"/>
              <w:rPr>
                <w:rFonts w:ascii="Arial" w:hAnsi="Arial" w:cs="Arial" w:eastAsia="Arial" w:hint="default"/>
                <w:sz w:val="18"/>
                <w:szCs w:val="18"/>
              </w:rPr>
            </w:pPr>
            <w:r>
              <w:rPr>
                <w:rFonts w:ascii="Arial"/>
                <w:sz w:val="18"/>
              </w:rPr>
              <w:t>4.57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2.50%</w:t>
            </w:r>
            <w:r>
              <w:rPr>
                <w:rFonts w:ascii="Arial"/>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40,951,73</w:t>
            </w:r>
          </w:p>
          <w:p>
            <w:pPr>
              <w:pStyle w:val="TableParagraph"/>
              <w:spacing w:line="240" w:lineRule="auto" w:before="105"/>
              <w:ind w:left="549" w:right="0"/>
              <w:jc w:val="left"/>
              <w:rPr>
                <w:rFonts w:ascii="Arial" w:hAnsi="Arial" w:cs="Arial" w:eastAsia="Arial" w:hint="default"/>
                <w:sz w:val="18"/>
                <w:szCs w:val="18"/>
              </w:rPr>
            </w:pPr>
            <w:r>
              <w:rPr>
                <w:rFonts w:ascii="Arial"/>
                <w:sz w:val="18"/>
              </w:rPr>
              <w:t>8.20</w:t>
            </w:r>
          </w:p>
        </w:tc>
      </w:tr>
      <w:tr>
        <w:trPr>
          <w:trHeight w:val="1025"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 w:right="0"/>
              <w:jc w:val="left"/>
              <w:rPr>
                <w:rFonts w:ascii="Arial" w:hAnsi="Arial" w:cs="Arial" w:eastAsia="Arial" w:hint="default"/>
                <w:sz w:val="18"/>
                <w:szCs w:val="18"/>
              </w:rPr>
            </w:pPr>
            <w:r>
              <w:rPr>
                <w:rFonts w:ascii="Arial"/>
                <w:sz w:val="18"/>
              </w:rPr>
              <w:t>31,425,0</w:t>
            </w:r>
          </w:p>
          <w:p>
            <w:pPr>
              <w:pStyle w:val="TableParagraph"/>
              <w:spacing w:line="240" w:lineRule="auto" w:before="105"/>
              <w:ind w:left="280" w:right="0"/>
              <w:jc w:val="left"/>
              <w:rPr>
                <w:rFonts w:ascii="Arial" w:hAnsi="Arial" w:cs="Arial" w:eastAsia="Arial" w:hint="default"/>
                <w:sz w:val="18"/>
                <w:szCs w:val="18"/>
              </w:rPr>
            </w:pPr>
            <w:r>
              <w:rPr>
                <w:rFonts w:ascii="Arial"/>
                <w:sz w:val="18"/>
              </w:rPr>
              <w:t>64.14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48.96%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29,088,6</w:t>
            </w:r>
          </w:p>
          <w:p>
            <w:pPr>
              <w:pStyle w:val="TableParagraph"/>
              <w:spacing w:line="240" w:lineRule="auto" w:before="105"/>
              <w:ind w:left="278" w:right="0"/>
              <w:jc w:val="left"/>
              <w:rPr>
                <w:rFonts w:ascii="Arial" w:hAnsi="Arial" w:cs="Arial" w:eastAsia="Arial" w:hint="default"/>
                <w:sz w:val="18"/>
                <w:szCs w:val="18"/>
              </w:rPr>
            </w:pPr>
            <w:r>
              <w:rPr>
                <w:rFonts w:ascii="Arial"/>
                <w:sz w:val="18"/>
              </w:rPr>
              <w:t>58.64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Arial" w:hAnsi="Arial" w:cs="Arial" w:eastAsia="Arial" w:hint="default"/>
                <w:sz w:val="18"/>
                <w:szCs w:val="18"/>
              </w:rPr>
            </w:pPr>
            <w:r>
              <w:rPr>
                <w:rFonts w:ascii="Arial"/>
                <w:spacing w:val="-1"/>
                <w:sz w:val="18"/>
              </w:rPr>
              <w:t>92.57%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 w:right="0"/>
              <w:jc w:val="left"/>
              <w:rPr>
                <w:rFonts w:ascii="Arial" w:hAnsi="Arial" w:cs="Arial" w:eastAsia="Arial" w:hint="default"/>
                <w:sz w:val="18"/>
                <w:szCs w:val="18"/>
              </w:rPr>
            </w:pPr>
            <w:r>
              <w:rPr>
                <w:rFonts w:ascii="Arial"/>
                <w:sz w:val="18"/>
              </w:rPr>
              <w:t>2,336,40</w:t>
            </w:r>
          </w:p>
          <w:p>
            <w:pPr>
              <w:pStyle w:val="TableParagraph"/>
              <w:spacing w:line="240" w:lineRule="auto" w:before="105"/>
              <w:ind w:left="408" w:right="0"/>
              <w:jc w:val="left"/>
              <w:rPr>
                <w:rFonts w:ascii="Arial" w:hAnsi="Arial" w:cs="Arial" w:eastAsia="Arial" w:hint="default"/>
                <w:sz w:val="18"/>
                <w:szCs w:val="18"/>
              </w:rPr>
            </w:pPr>
            <w:r>
              <w:rPr>
                <w:rFonts w:ascii="Arial"/>
                <w:sz w:val="18"/>
              </w:rPr>
              <w:t>5.50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36,122</w:t>
            </w:r>
          </w:p>
          <w:p>
            <w:pPr>
              <w:pStyle w:val="TableParagraph"/>
              <w:spacing w:line="240" w:lineRule="auto" w:before="105"/>
              <w:ind w:right="21"/>
              <w:jc w:val="right"/>
              <w:rPr>
                <w:rFonts w:ascii="Arial" w:hAnsi="Arial" w:cs="Arial" w:eastAsia="Arial" w:hint="default"/>
                <w:sz w:val="18"/>
                <w:szCs w:val="18"/>
              </w:rPr>
            </w:pPr>
            <w:r>
              <w:rPr>
                <w:rFonts w:ascii="Arial"/>
                <w:w w:val="95"/>
                <w:sz w:val="18"/>
              </w:rPr>
              <w:t>,270.8</w:t>
            </w:r>
          </w:p>
          <w:p>
            <w:pPr>
              <w:pStyle w:val="TableParagraph"/>
              <w:spacing w:line="240" w:lineRule="auto" w:before="105"/>
              <w:ind w:right="22"/>
              <w:jc w:val="right"/>
              <w:rPr>
                <w:rFonts w:ascii="Arial" w:hAnsi="Arial" w:cs="Arial" w:eastAsia="Arial" w:hint="default"/>
                <w:sz w:val="18"/>
                <w:szCs w:val="18"/>
              </w:rPr>
            </w:pPr>
            <w:r>
              <w:rPr>
                <w:rFonts w:ascii="Arial"/>
                <w:w w:val="99"/>
                <w:sz w:val="18"/>
              </w:rPr>
              <w:t>8</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46.24%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27,186,8</w:t>
            </w:r>
          </w:p>
          <w:p>
            <w:pPr>
              <w:pStyle w:val="TableParagraph"/>
              <w:spacing w:line="240" w:lineRule="auto" w:before="105"/>
              <w:ind w:left="328" w:right="0"/>
              <w:jc w:val="left"/>
              <w:rPr>
                <w:rFonts w:ascii="Arial" w:hAnsi="Arial" w:cs="Arial" w:eastAsia="Arial" w:hint="default"/>
                <w:sz w:val="18"/>
                <w:szCs w:val="18"/>
              </w:rPr>
            </w:pPr>
            <w:r>
              <w:rPr>
                <w:rFonts w:ascii="Arial"/>
                <w:sz w:val="18"/>
              </w:rPr>
              <w:t>22.38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75.26%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8,935,448.</w:t>
            </w:r>
          </w:p>
          <w:p>
            <w:pPr>
              <w:pStyle w:val="TableParagraph"/>
              <w:spacing w:line="240" w:lineRule="auto" w:before="105"/>
              <w:ind w:right="19"/>
              <w:jc w:val="right"/>
              <w:rPr>
                <w:rFonts w:ascii="Arial" w:hAnsi="Arial" w:cs="Arial" w:eastAsia="Arial" w:hint="default"/>
                <w:sz w:val="18"/>
                <w:szCs w:val="18"/>
              </w:rPr>
            </w:pPr>
            <w:r>
              <w:rPr>
                <w:rFonts w:ascii="Arial"/>
                <w:w w:val="95"/>
                <w:sz w:val="18"/>
              </w:rPr>
              <w:t>50</w:t>
            </w:r>
            <w:r>
              <w:rPr>
                <w:rFonts w:ascii="Arial"/>
                <w:sz w:val="18"/>
              </w:rPr>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left"/>
              <w:rPr>
                <w:rFonts w:ascii="Arial" w:hAnsi="Arial" w:cs="Arial" w:eastAsia="Arial" w:hint="default"/>
                <w:sz w:val="18"/>
                <w:szCs w:val="18"/>
              </w:rPr>
            </w:pPr>
            <w:r>
              <w:rPr>
                <w:rFonts w:ascii="Arial"/>
                <w:sz w:val="18"/>
              </w:rPr>
              <w:t>64,186,1</w:t>
            </w:r>
          </w:p>
          <w:p>
            <w:pPr>
              <w:pStyle w:val="TableParagraph"/>
              <w:spacing w:line="240" w:lineRule="auto" w:before="105"/>
              <w:ind w:left="285" w:right="0"/>
              <w:jc w:val="left"/>
              <w:rPr>
                <w:rFonts w:ascii="Arial" w:hAnsi="Arial" w:cs="Arial" w:eastAsia="Arial" w:hint="default"/>
                <w:sz w:val="18"/>
                <w:szCs w:val="18"/>
              </w:rPr>
            </w:pPr>
            <w:r>
              <w:rPr>
                <w:rFonts w:ascii="Arial"/>
                <w:sz w:val="18"/>
              </w:rPr>
              <w:t>67.91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29,907,6</w:t>
            </w:r>
          </w:p>
          <w:p>
            <w:pPr>
              <w:pStyle w:val="TableParagraph"/>
              <w:spacing w:line="240" w:lineRule="auto" w:before="105"/>
              <w:ind w:left="278" w:right="0"/>
              <w:jc w:val="left"/>
              <w:rPr>
                <w:rFonts w:ascii="Arial" w:hAnsi="Arial" w:cs="Arial" w:eastAsia="Arial" w:hint="default"/>
                <w:sz w:val="18"/>
                <w:szCs w:val="18"/>
              </w:rPr>
            </w:pPr>
            <w:r>
              <w:rPr>
                <w:rFonts w:ascii="Arial"/>
                <w:sz w:val="18"/>
              </w:rPr>
              <w:t>86.24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Arial" w:hAnsi="Arial" w:cs="Arial" w:eastAsia="Arial" w:hint="default"/>
                <w:sz w:val="18"/>
                <w:szCs w:val="18"/>
              </w:rPr>
            </w:pPr>
            <w:r>
              <w:rPr>
                <w:rFonts w:ascii="Arial"/>
                <w:sz w:val="18"/>
              </w:rPr>
              <w:t>46.60%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 w:right="0"/>
              <w:jc w:val="left"/>
              <w:rPr>
                <w:rFonts w:ascii="Arial" w:hAnsi="Arial" w:cs="Arial" w:eastAsia="Arial" w:hint="default"/>
                <w:sz w:val="18"/>
                <w:szCs w:val="18"/>
              </w:rPr>
            </w:pPr>
            <w:r>
              <w:rPr>
                <w:rFonts w:ascii="Arial"/>
                <w:sz w:val="18"/>
              </w:rPr>
              <w:t>34,278,4</w:t>
            </w:r>
          </w:p>
          <w:p>
            <w:pPr>
              <w:pStyle w:val="TableParagraph"/>
              <w:spacing w:line="240" w:lineRule="auto" w:before="105"/>
              <w:ind w:left="307" w:right="0"/>
              <w:jc w:val="left"/>
              <w:rPr>
                <w:rFonts w:ascii="Arial" w:hAnsi="Arial" w:cs="Arial" w:eastAsia="Arial" w:hint="default"/>
                <w:sz w:val="18"/>
                <w:szCs w:val="18"/>
              </w:rPr>
            </w:pPr>
            <w:r>
              <w:rPr>
                <w:rFonts w:ascii="Arial"/>
                <w:sz w:val="18"/>
              </w:rPr>
              <w:t>81.67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78,124</w:t>
            </w:r>
          </w:p>
          <w:p>
            <w:pPr>
              <w:pStyle w:val="TableParagraph"/>
              <w:spacing w:line="240" w:lineRule="auto" w:before="105"/>
              <w:ind w:right="21"/>
              <w:jc w:val="right"/>
              <w:rPr>
                <w:rFonts w:ascii="Arial" w:hAnsi="Arial" w:cs="Arial" w:eastAsia="Arial" w:hint="default"/>
                <w:sz w:val="18"/>
                <w:szCs w:val="18"/>
              </w:rPr>
            </w:pPr>
            <w:r>
              <w:rPr>
                <w:rFonts w:ascii="Arial"/>
                <w:w w:val="95"/>
                <w:sz w:val="18"/>
              </w:rPr>
              <w:t>,053.6</w:t>
            </w:r>
          </w:p>
          <w:p>
            <w:pPr>
              <w:pStyle w:val="TableParagraph"/>
              <w:spacing w:line="240" w:lineRule="auto" w:before="105"/>
              <w:ind w:right="22"/>
              <w:jc w:val="right"/>
              <w:rPr>
                <w:rFonts w:ascii="Arial" w:hAnsi="Arial" w:cs="Arial" w:eastAsia="Arial" w:hint="default"/>
                <w:sz w:val="18"/>
                <w:szCs w:val="18"/>
              </w:rPr>
            </w:pPr>
            <w:r>
              <w:rPr>
                <w:rFonts w:ascii="Arial"/>
                <w:w w:val="99"/>
                <w:sz w:val="18"/>
              </w:rPr>
              <w:t>5</w:t>
            </w:r>
            <w:r>
              <w:rPr>
                <w:rFonts w:ascii="Arial"/>
                <w:sz w:val="18"/>
              </w:rPr>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28,236,8</w:t>
            </w:r>
          </w:p>
          <w:p>
            <w:pPr>
              <w:pStyle w:val="TableParagraph"/>
              <w:spacing w:line="240" w:lineRule="auto" w:before="105"/>
              <w:ind w:left="328" w:right="0"/>
              <w:jc w:val="left"/>
              <w:rPr>
                <w:rFonts w:ascii="Arial" w:hAnsi="Arial" w:cs="Arial" w:eastAsia="Arial" w:hint="default"/>
                <w:sz w:val="18"/>
                <w:szCs w:val="18"/>
              </w:rPr>
            </w:pPr>
            <w:r>
              <w:rPr>
                <w:rFonts w:ascii="Arial"/>
                <w:sz w:val="18"/>
              </w:rPr>
              <w:t>66.95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0" w:right="0"/>
              <w:jc w:val="left"/>
              <w:rPr>
                <w:rFonts w:ascii="Arial" w:hAnsi="Arial" w:cs="Arial" w:eastAsia="Arial" w:hint="default"/>
                <w:sz w:val="18"/>
                <w:szCs w:val="18"/>
              </w:rPr>
            </w:pPr>
            <w:r>
              <w:rPr>
                <w:rFonts w:ascii="Arial"/>
                <w:sz w:val="18"/>
              </w:rPr>
              <w:t>36.14%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49,887,18</w:t>
            </w:r>
          </w:p>
          <w:p>
            <w:pPr>
              <w:pStyle w:val="TableParagraph"/>
              <w:spacing w:line="240" w:lineRule="auto" w:before="105"/>
              <w:ind w:left="549" w:right="0"/>
              <w:jc w:val="left"/>
              <w:rPr>
                <w:rFonts w:ascii="Arial" w:hAnsi="Arial" w:cs="Arial" w:eastAsia="Arial" w:hint="default"/>
                <w:sz w:val="18"/>
                <w:szCs w:val="18"/>
              </w:rPr>
            </w:pPr>
            <w:r>
              <w:rPr>
                <w:rFonts w:ascii="Arial"/>
                <w:sz w:val="18"/>
              </w:rPr>
              <w:t>6.70</w:t>
            </w:r>
          </w:p>
        </w:tc>
      </w:tr>
      <w:tr>
        <w:trPr>
          <w:trHeight w:val="394"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10"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期末单项金额重大并单项计提坏账准备的应收账款：</w:t>
      </w:r>
    </w:p>
    <w:p>
      <w:pPr>
        <w:spacing w:line="240" w:lineRule="auto" w:before="6"/>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3"/>
        <w:rPr>
          <w:rFonts w:ascii="宋体" w:hAnsi="宋体" w:cs="宋体" w:eastAsia="宋体" w:hint="default"/>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32,761,103.77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819,027.60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2.50%</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信用期内</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32,761,103.77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819,027.60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after="0"/>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
        <w:rPr>
          <w:rFonts w:ascii="宋体" w:hAnsi="宋体" w:cs="宋体" w:eastAsia="宋体" w:hint="default"/>
          <w:sz w:val="25"/>
          <w:szCs w:val="25"/>
        </w:rPr>
      </w:pPr>
    </w:p>
    <w:p>
      <w:pPr>
        <w:spacing w:before="36"/>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4"/>
        <w:rPr>
          <w:rFonts w:ascii="宋体" w:hAnsi="宋体" w:cs="宋体" w:eastAsia="宋体" w:hint="default"/>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470"/>
        <w:gridCol w:w="2307"/>
        <w:gridCol w:w="2391"/>
        <w:gridCol w:w="2389"/>
      </w:tblGrid>
      <w:tr>
        <w:trPr>
          <w:trHeight w:val="206" w:hRule="exact"/>
        </w:trPr>
        <w:tc>
          <w:tcPr>
            <w:tcW w:w="2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0"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42,500.00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1,847,340.20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92,367.01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r>
      <w:tr>
        <w:trPr>
          <w:trHeight w:val="401"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14,589.61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1,458.96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w:t>
            </w:r>
          </w:p>
        </w:tc>
      </w:tr>
      <w:tr>
        <w:trPr>
          <w:trHeight w:val="403"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1,408.78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422.63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30.00%</w:t>
            </w:r>
          </w:p>
        </w:tc>
      </w:tr>
      <w:tr>
        <w:trPr>
          <w:trHeight w:val="401"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1,049,631.03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524,815.52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50.00%</w:t>
            </w:r>
          </w:p>
        </w:tc>
      </w:tr>
      <w:tr>
        <w:trPr>
          <w:trHeight w:val="403"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28,469,594.52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28,469,594.52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r>
      <w:tr>
        <w:trPr>
          <w:trHeight w:val="401"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31,425,064.14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29,088,658.64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组合中，采用余额百分比法计提坏账准备的应收账款：</w:t>
      </w:r>
    </w:p>
    <w:p>
      <w:pPr>
        <w:spacing w:line="240" w:lineRule="auto" w:before="6"/>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4"/>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18"/>
          <w:szCs w:val="18"/>
        </w:rPr>
      </w:pPr>
    </w:p>
    <w:p>
      <w:pPr>
        <w:spacing w:line="482" w:lineRule="auto" w:before="0"/>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本期计提坏账准备金额</w:t>
      </w:r>
      <w:r>
        <w:rPr>
          <w:rFonts w:ascii="Arial" w:hAnsi="Arial" w:cs="Arial" w:eastAsia="Arial" w:hint="default"/>
          <w:spacing w:val="-2"/>
          <w:sz w:val="21"/>
          <w:szCs w:val="21"/>
        </w:rPr>
        <w:t>2,817,736.26</w:t>
      </w:r>
      <w:r>
        <w:rPr>
          <w:rFonts w:ascii="宋体" w:hAnsi="宋体" w:cs="宋体" w:eastAsia="宋体" w:hint="default"/>
          <w:spacing w:val="-2"/>
          <w:sz w:val="21"/>
          <w:szCs w:val="21"/>
        </w:rPr>
        <w:t>元；本期收回或转回坏账准备金额</w:t>
      </w:r>
      <w:r>
        <w:rPr>
          <w:rFonts w:ascii="Arial" w:hAnsi="Arial" w:cs="Arial" w:eastAsia="Arial" w:hint="default"/>
          <w:spacing w:val="-2"/>
          <w:sz w:val="21"/>
          <w:szCs w:val="21"/>
        </w:rPr>
        <w:t>231,016.97</w:t>
      </w:r>
      <w:r>
        <w:rPr>
          <w:rFonts w:ascii="宋体" w:hAnsi="宋体" w:cs="宋体" w:eastAsia="宋体" w:hint="default"/>
          <w:spacing w:val="-2"/>
          <w:sz w:val="21"/>
          <w:szCs w:val="21"/>
        </w:rPr>
        <w:t>元。</w:t>
      </w:r>
    </w:p>
    <w:p>
      <w:pPr>
        <w:spacing w:before="11"/>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）本期实际核销的应收账款情况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915,900.00</w:t>
            </w: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应收账款核销说明：</w:t>
      </w:r>
    </w:p>
    <w:p>
      <w:pPr>
        <w:spacing w:line="240" w:lineRule="auto" w:before="6"/>
        <w:rPr>
          <w:rFonts w:ascii="宋体" w:hAnsi="宋体" w:cs="宋体" w:eastAsia="宋体" w:hint="default"/>
          <w:sz w:val="18"/>
          <w:szCs w:val="18"/>
        </w:rPr>
      </w:pPr>
    </w:p>
    <w:p>
      <w:pPr>
        <w:spacing w:line="297" w:lineRule="auto" w:before="0"/>
        <w:ind w:left="152" w:right="0" w:firstLine="425"/>
        <w:jc w:val="left"/>
        <w:rPr>
          <w:rFonts w:ascii="宋体" w:hAnsi="宋体" w:cs="宋体" w:eastAsia="宋体" w:hint="default"/>
          <w:sz w:val="21"/>
          <w:szCs w:val="21"/>
        </w:rPr>
      </w:pP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26</w:t>
      </w:r>
      <w:r>
        <w:rPr>
          <w:rFonts w:ascii="宋体" w:hAnsi="宋体" w:cs="宋体" w:eastAsia="宋体" w:hint="default"/>
          <w:spacing w:val="-2"/>
          <w:sz w:val="21"/>
          <w:szCs w:val="21"/>
        </w:rPr>
        <w:t>日，公司召开的第六届董事会第二十六次会议审议通过了《关于坏账核销的议案》，</w:t>
      </w:r>
      <w:r>
        <w:rPr>
          <w:rFonts w:ascii="宋体" w:hAnsi="宋体" w:cs="宋体" w:eastAsia="宋体" w:hint="default"/>
          <w:w w:val="100"/>
          <w:sz w:val="21"/>
          <w:szCs w:val="21"/>
        </w:rPr>
        <w:t> </w:t>
      </w:r>
      <w:r>
        <w:rPr>
          <w:rFonts w:ascii="宋体" w:hAnsi="宋体" w:cs="宋体" w:eastAsia="宋体" w:hint="default"/>
          <w:sz w:val="21"/>
          <w:szCs w:val="21"/>
        </w:rPr>
        <w:t>核销了</w:t>
      </w:r>
      <w:r>
        <w:rPr>
          <w:rFonts w:ascii="Arial" w:hAnsi="Arial" w:cs="Arial" w:eastAsia="Arial" w:hint="default"/>
          <w:sz w:val="21"/>
          <w:szCs w:val="21"/>
        </w:rPr>
        <w:t>14</w:t>
      </w:r>
      <w:r>
        <w:rPr>
          <w:rFonts w:ascii="宋体" w:hAnsi="宋体" w:cs="宋体" w:eastAsia="宋体" w:hint="default"/>
          <w:sz w:val="21"/>
          <w:szCs w:val="21"/>
        </w:rPr>
        <w:t>笔小额应收账款，合计</w:t>
      </w:r>
      <w:r>
        <w:rPr>
          <w:rFonts w:ascii="Arial" w:hAnsi="Arial" w:cs="Arial" w:eastAsia="Arial" w:hint="default"/>
          <w:sz w:val="21"/>
          <w:szCs w:val="21"/>
        </w:rPr>
        <w:t>915,900.00</w:t>
      </w:r>
      <w:r>
        <w:rPr>
          <w:rFonts w:ascii="宋体" w:hAnsi="宋体" w:cs="宋体" w:eastAsia="宋体" w:hint="default"/>
          <w:sz w:val="21"/>
          <w:szCs w:val="21"/>
        </w:rPr>
        <w:t>元。</w:t>
      </w:r>
    </w:p>
    <w:p>
      <w:pPr>
        <w:spacing w:before="192"/>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）按欠款方归集的期末余额前五名的应收账款情况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本期按欠款方归集的期末余额前五名应收账款汇总金额</w:t>
      </w:r>
      <w:r>
        <w:rPr>
          <w:rFonts w:ascii="Arial" w:hAnsi="Arial" w:cs="Arial" w:eastAsia="Arial" w:hint="default"/>
          <w:spacing w:val="-2"/>
          <w:sz w:val="21"/>
          <w:szCs w:val="21"/>
        </w:rPr>
        <w:t>43,922,237.95</w:t>
      </w:r>
      <w:r>
        <w:rPr>
          <w:rFonts w:ascii="宋体" w:hAnsi="宋体" w:cs="宋体" w:eastAsia="宋体" w:hint="default"/>
          <w:spacing w:val="-2"/>
          <w:sz w:val="21"/>
          <w:szCs w:val="21"/>
        </w:rPr>
        <w:t>元，占应收账款期末余额合计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Arial" w:hAnsi="Arial" w:cs="Arial" w:eastAsia="Arial" w:hint="default"/>
          <w:sz w:val="21"/>
          <w:szCs w:val="21"/>
        </w:rPr>
        <w:t>68.43%</w:t>
      </w:r>
      <w:r>
        <w:rPr>
          <w:rFonts w:ascii="宋体" w:hAnsi="宋体" w:cs="宋体" w:eastAsia="宋体" w:hint="default"/>
          <w:sz w:val="21"/>
          <w:szCs w:val="21"/>
        </w:rPr>
        <w:t>，相应计提的坏账准备期末余额汇总金额</w:t>
      </w:r>
      <w:r>
        <w:rPr>
          <w:rFonts w:ascii="Arial" w:hAnsi="Arial" w:cs="Arial" w:eastAsia="Arial" w:hint="default"/>
          <w:sz w:val="21"/>
          <w:szCs w:val="21"/>
        </w:rPr>
        <w:t>10,225,188.59</w:t>
      </w:r>
      <w:r>
        <w:rPr>
          <w:rFonts w:ascii="宋体" w:hAnsi="宋体" w:cs="宋体" w:eastAsia="宋体" w:hint="default"/>
          <w:sz w:val="21"/>
          <w:szCs w:val="21"/>
        </w:rPr>
        <w:t>元。</w:t>
      </w:r>
    </w:p>
    <w:p>
      <w:pPr>
        <w:spacing w:before="192"/>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）其他应收款分类披露</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93" w:type="dxa"/>
        <w:tblLayout w:type="fixed"/>
        <w:tblCellMar>
          <w:top w:w="0" w:type="dxa"/>
          <w:left w:w="0" w:type="dxa"/>
          <w:bottom w:w="0" w:type="dxa"/>
          <w:right w:w="0" w:type="dxa"/>
        </w:tblCellMar>
        <w:tblLook w:val="01E0"/>
      </w:tblPr>
      <w:tblGrid>
        <w:gridCol w:w="1611"/>
        <w:gridCol w:w="775"/>
        <w:gridCol w:w="761"/>
        <w:gridCol w:w="763"/>
        <w:gridCol w:w="761"/>
        <w:gridCol w:w="790"/>
        <w:gridCol w:w="655"/>
        <w:gridCol w:w="761"/>
        <w:gridCol w:w="814"/>
        <w:gridCol w:w="932"/>
        <w:gridCol w:w="934"/>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5" w:right="0"/>
              <w:jc w:val="center"/>
              <w:rPr>
                <w:rFonts w:ascii="Arial" w:hAnsi="Arial" w:cs="Arial" w:eastAsia="Arial" w:hint="default"/>
                <w:sz w:val="18"/>
                <w:szCs w:val="18"/>
              </w:rPr>
            </w:pPr>
            <w:r>
              <w:rPr>
                <w:rFonts w:ascii="Arial"/>
                <w:sz w:val="18"/>
              </w:rPr>
              <w:t>115,597,</w:t>
            </w:r>
          </w:p>
          <w:p>
            <w:pPr>
              <w:pStyle w:val="TableParagraph"/>
              <w:spacing w:line="240" w:lineRule="auto" w:before="102"/>
              <w:ind w:left="162" w:right="0"/>
              <w:jc w:val="center"/>
              <w:rPr>
                <w:rFonts w:ascii="Arial" w:hAnsi="Arial" w:cs="Arial" w:eastAsia="Arial" w:hint="default"/>
                <w:sz w:val="18"/>
                <w:szCs w:val="18"/>
              </w:rPr>
            </w:pPr>
            <w:r>
              <w:rPr>
                <w:rFonts w:ascii="Arial"/>
                <w:sz w:val="18"/>
              </w:rPr>
              <w:t>309.85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8" w:right="0"/>
              <w:jc w:val="left"/>
              <w:rPr>
                <w:rFonts w:ascii="Arial" w:hAnsi="Arial" w:cs="Arial" w:eastAsia="Arial" w:hint="default"/>
                <w:sz w:val="18"/>
                <w:szCs w:val="18"/>
              </w:rPr>
            </w:pPr>
            <w:r>
              <w:rPr>
                <w:rFonts w:ascii="Arial"/>
                <w:sz w:val="18"/>
              </w:rPr>
              <w:t>4,455,82</w:t>
            </w:r>
          </w:p>
          <w:p>
            <w:pPr>
              <w:pStyle w:val="TableParagraph"/>
              <w:spacing w:line="240" w:lineRule="auto" w:before="102"/>
              <w:ind w:left="379" w:right="0"/>
              <w:jc w:val="left"/>
              <w:rPr>
                <w:rFonts w:ascii="Arial" w:hAnsi="Arial" w:cs="Arial" w:eastAsia="Arial" w:hint="default"/>
                <w:sz w:val="18"/>
                <w:szCs w:val="18"/>
              </w:rPr>
            </w:pPr>
            <w:r>
              <w:rPr>
                <w:rFonts w:ascii="Arial"/>
                <w:sz w:val="18"/>
              </w:rPr>
              <w:t>3.93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0" w:right="0"/>
              <w:jc w:val="left"/>
              <w:rPr>
                <w:rFonts w:ascii="Arial" w:hAnsi="Arial" w:cs="Arial" w:eastAsia="Arial" w:hint="default"/>
                <w:sz w:val="18"/>
                <w:szCs w:val="18"/>
              </w:rPr>
            </w:pPr>
            <w:r>
              <w:rPr>
                <w:rFonts w:ascii="Arial"/>
                <w:sz w:val="18"/>
              </w:rPr>
              <w:t>3.85%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3" w:right="0"/>
              <w:jc w:val="center"/>
              <w:rPr>
                <w:rFonts w:ascii="Arial" w:hAnsi="Arial" w:cs="Arial" w:eastAsia="Arial" w:hint="default"/>
                <w:sz w:val="18"/>
                <w:szCs w:val="18"/>
              </w:rPr>
            </w:pPr>
            <w:r>
              <w:rPr>
                <w:rFonts w:ascii="Arial"/>
                <w:spacing w:val="-4"/>
                <w:sz w:val="18"/>
              </w:rPr>
              <w:t>111,141,</w:t>
            </w:r>
          </w:p>
          <w:p>
            <w:pPr>
              <w:pStyle w:val="TableParagraph"/>
              <w:spacing w:line="240" w:lineRule="auto" w:before="102"/>
              <w:ind w:left="188" w:right="0"/>
              <w:jc w:val="center"/>
              <w:rPr>
                <w:rFonts w:ascii="Arial" w:hAnsi="Arial" w:cs="Arial" w:eastAsia="Arial" w:hint="default"/>
                <w:sz w:val="18"/>
                <w:szCs w:val="18"/>
              </w:rPr>
            </w:pPr>
            <w:r>
              <w:rPr>
                <w:rFonts w:ascii="Arial"/>
                <w:sz w:val="18"/>
              </w:rPr>
              <w:t>485.92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65,900</w:t>
            </w:r>
          </w:p>
          <w:p>
            <w:pPr>
              <w:pStyle w:val="TableParagraph"/>
              <w:spacing w:line="240" w:lineRule="auto" w:before="102"/>
              <w:ind w:right="21"/>
              <w:jc w:val="right"/>
              <w:rPr>
                <w:rFonts w:ascii="Arial" w:hAnsi="Arial" w:cs="Arial" w:eastAsia="Arial" w:hint="default"/>
                <w:sz w:val="18"/>
                <w:szCs w:val="18"/>
              </w:rPr>
            </w:pPr>
            <w:r>
              <w:rPr>
                <w:rFonts w:ascii="Arial"/>
                <w:w w:val="95"/>
                <w:sz w:val="18"/>
              </w:rPr>
              <w:t>,344.0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3</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9" w:right="0"/>
              <w:jc w:val="left"/>
              <w:rPr>
                <w:rFonts w:ascii="Arial" w:hAnsi="Arial" w:cs="Arial" w:eastAsia="Arial" w:hint="default"/>
                <w:sz w:val="18"/>
                <w:szCs w:val="18"/>
              </w:rPr>
            </w:pPr>
            <w:r>
              <w:rPr>
                <w:rFonts w:ascii="Arial"/>
                <w:sz w:val="18"/>
              </w:rPr>
              <w:t>4,010,62</w:t>
            </w:r>
          </w:p>
          <w:p>
            <w:pPr>
              <w:pStyle w:val="TableParagraph"/>
              <w:spacing w:line="240" w:lineRule="auto" w:before="102"/>
              <w:ind w:left="429" w:right="0"/>
              <w:jc w:val="left"/>
              <w:rPr>
                <w:rFonts w:ascii="Arial" w:hAnsi="Arial" w:cs="Arial" w:eastAsia="Arial" w:hint="default"/>
                <w:sz w:val="18"/>
                <w:szCs w:val="18"/>
              </w:rPr>
            </w:pPr>
            <w:r>
              <w:rPr>
                <w:rFonts w:ascii="Arial"/>
                <w:sz w:val="18"/>
              </w:rPr>
              <w:t>6.68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9" w:right="0"/>
              <w:jc w:val="left"/>
              <w:rPr>
                <w:rFonts w:ascii="Arial" w:hAnsi="Arial" w:cs="Arial" w:eastAsia="Arial" w:hint="default"/>
                <w:sz w:val="18"/>
                <w:szCs w:val="18"/>
              </w:rPr>
            </w:pPr>
            <w:r>
              <w:rPr>
                <w:rFonts w:ascii="Arial"/>
                <w:sz w:val="18"/>
              </w:rPr>
              <w:t>6.09%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Arial" w:hAnsi="Arial" w:cs="Arial" w:eastAsia="Arial" w:hint="default"/>
                <w:sz w:val="18"/>
                <w:szCs w:val="18"/>
              </w:rPr>
            </w:pPr>
            <w:r>
              <w:rPr>
                <w:rFonts w:ascii="Arial"/>
                <w:sz w:val="18"/>
              </w:rPr>
              <w:t>61,889,71</w:t>
            </w:r>
          </w:p>
          <w:p>
            <w:pPr>
              <w:pStyle w:val="TableParagraph"/>
              <w:spacing w:line="240" w:lineRule="auto" w:before="102"/>
              <w:ind w:left="549" w:right="0"/>
              <w:jc w:val="left"/>
              <w:rPr>
                <w:rFonts w:ascii="Arial" w:hAnsi="Arial" w:cs="Arial" w:eastAsia="Arial" w:hint="default"/>
                <w:sz w:val="18"/>
                <w:szCs w:val="18"/>
              </w:rPr>
            </w:pPr>
            <w:r>
              <w:rPr>
                <w:rFonts w:ascii="Arial"/>
                <w:sz w:val="18"/>
              </w:rPr>
              <w:t>7.35</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 w:right="0"/>
              <w:jc w:val="center"/>
              <w:rPr>
                <w:rFonts w:ascii="Arial" w:hAnsi="Arial" w:cs="Arial" w:eastAsia="Arial" w:hint="default"/>
                <w:sz w:val="18"/>
                <w:szCs w:val="18"/>
              </w:rPr>
            </w:pPr>
            <w:r>
              <w:rPr>
                <w:rFonts w:ascii="Arial"/>
                <w:sz w:val="18"/>
              </w:rPr>
              <w:t>115,597,</w:t>
            </w:r>
          </w:p>
          <w:p>
            <w:pPr>
              <w:pStyle w:val="TableParagraph"/>
              <w:spacing w:line="240" w:lineRule="auto" w:before="105"/>
              <w:ind w:left="166" w:right="0"/>
              <w:jc w:val="center"/>
              <w:rPr>
                <w:rFonts w:ascii="Arial" w:hAnsi="Arial" w:cs="Arial" w:eastAsia="Arial" w:hint="default"/>
                <w:sz w:val="18"/>
                <w:szCs w:val="18"/>
              </w:rPr>
            </w:pPr>
            <w:r>
              <w:rPr>
                <w:rFonts w:ascii="Arial"/>
                <w:sz w:val="18"/>
              </w:rPr>
              <w:t>309.85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4,455,82</w:t>
            </w:r>
          </w:p>
          <w:p>
            <w:pPr>
              <w:pStyle w:val="TableParagraph"/>
              <w:spacing w:line="240" w:lineRule="auto" w:before="105"/>
              <w:ind w:left="379" w:right="0"/>
              <w:jc w:val="left"/>
              <w:rPr>
                <w:rFonts w:ascii="Arial" w:hAnsi="Arial" w:cs="Arial" w:eastAsia="Arial" w:hint="default"/>
                <w:sz w:val="18"/>
                <w:szCs w:val="18"/>
              </w:rPr>
            </w:pPr>
            <w:r>
              <w:rPr>
                <w:rFonts w:ascii="Arial"/>
                <w:sz w:val="18"/>
              </w:rPr>
              <w:t>3.93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0" w:right="0"/>
              <w:jc w:val="left"/>
              <w:rPr>
                <w:rFonts w:ascii="Arial" w:hAnsi="Arial" w:cs="Arial" w:eastAsia="Arial" w:hint="default"/>
                <w:sz w:val="18"/>
                <w:szCs w:val="18"/>
              </w:rPr>
            </w:pPr>
            <w:r>
              <w:rPr>
                <w:rFonts w:ascii="Arial"/>
                <w:sz w:val="18"/>
              </w:rPr>
              <w:t>3.85%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 w:right="0"/>
              <w:jc w:val="center"/>
              <w:rPr>
                <w:rFonts w:ascii="Arial" w:hAnsi="Arial" w:cs="Arial" w:eastAsia="Arial" w:hint="default"/>
                <w:sz w:val="18"/>
                <w:szCs w:val="18"/>
              </w:rPr>
            </w:pPr>
            <w:r>
              <w:rPr>
                <w:rFonts w:ascii="Arial"/>
                <w:spacing w:val="-4"/>
                <w:sz w:val="18"/>
              </w:rPr>
              <w:t>111,141,</w:t>
            </w:r>
          </w:p>
          <w:p>
            <w:pPr>
              <w:pStyle w:val="TableParagraph"/>
              <w:spacing w:line="240" w:lineRule="auto" w:before="105"/>
              <w:ind w:left="188" w:right="0"/>
              <w:jc w:val="center"/>
              <w:rPr>
                <w:rFonts w:ascii="Arial" w:hAnsi="Arial" w:cs="Arial" w:eastAsia="Arial" w:hint="default"/>
                <w:sz w:val="18"/>
                <w:szCs w:val="18"/>
              </w:rPr>
            </w:pPr>
            <w:r>
              <w:rPr>
                <w:rFonts w:ascii="Arial"/>
                <w:sz w:val="18"/>
              </w:rPr>
              <w:t>485.92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65,900</w:t>
            </w:r>
          </w:p>
          <w:p>
            <w:pPr>
              <w:pStyle w:val="TableParagraph"/>
              <w:spacing w:line="240" w:lineRule="auto" w:before="105"/>
              <w:ind w:right="21"/>
              <w:jc w:val="right"/>
              <w:rPr>
                <w:rFonts w:ascii="Arial" w:hAnsi="Arial" w:cs="Arial" w:eastAsia="Arial" w:hint="default"/>
                <w:sz w:val="18"/>
                <w:szCs w:val="18"/>
              </w:rPr>
            </w:pPr>
            <w:r>
              <w:rPr>
                <w:rFonts w:ascii="Arial"/>
                <w:w w:val="95"/>
                <w:sz w:val="18"/>
              </w:rPr>
              <w:t>,344.0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3</w:t>
            </w:r>
            <w:r>
              <w:rPr>
                <w:rFonts w:ascii="Arial"/>
                <w:sz w:val="18"/>
              </w:rPr>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4,010,62</w:t>
            </w:r>
          </w:p>
          <w:p>
            <w:pPr>
              <w:pStyle w:val="TableParagraph"/>
              <w:spacing w:line="240" w:lineRule="auto" w:before="105"/>
              <w:ind w:left="429" w:right="0"/>
              <w:jc w:val="left"/>
              <w:rPr>
                <w:rFonts w:ascii="Arial" w:hAnsi="Arial" w:cs="Arial" w:eastAsia="Arial" w:hint="default"/>
                <w:sz w:val="18"/>
                <w:szCs w:val="18"/>
              </w:rPr>
            </w:pPr>
            <w:r>
              <w:rPr>
                <w:rFonts w:ascii="Arial"/>
                <w:sz w:val="18"/>
              </w:rPr>
              <w:t>6.68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9" w:right="0"/>
              <w:jc w:val="left"/>
              <w:rPr>
                <w:rFonts w:ascii="Arial" w:hAnsi="Arial" w:cs="Arial" w:eastAsia="Arial" w:hint="default"/>
                <w:sz w:val="18"/>
                <w:szCs w:val="18"/>
              </w:rPr>
            </w:pPr>
            <w:r>
              <w:rPr>
                <w:rFonts w:ascii="Arial"/>
                <w:sz w:val="18"/>
              </w:rPr>
              <w:t>6.09%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61,889,71</w:t>
            </w:r>
          </w:p>
          <w:p>
            <w:pPr>
              <w:pStyle w:val="TableParagraph"/>
              <w:spacing w:line="240" w:lineRule="auto" w:before="105"/>
              <w:ind w:left="549" w:right="0"/>
              <w:jc w:val="left"/>
              <w:rPr>
                <w:rFonts w:ascii="Arial" w:hAnsi="Arial" w:cs="Arial" w:eastAsia="Arial" w:hint="default"/>
                <w:sz w:val="18"/>
                <w:szCs w:val="18"/>
              </w:rPr>
            </w:pPr>
            <w:r>
              <w:rPr>
                <w:rFonts w:ascii="Arial"/>
                <w:sz w:val="18"/>
              </w:rPr>
              <w:t>7.35</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319"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10"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期末单项金额重大并单项计提坏账准备的其他应收款：</w:t>
      </w:r>
    </w:p>
    <w:p>
      <w:pPr>
        <w:spacing w:line="240" w:lineRule="auto" w:before="6"/>
        <w:rPr>
          <w:rFonts w:ascii="宋体" w:hAnsi="宋体" w:cs="宋体" w:eastAsia="宋体" w:hint="default"/>
          <w:sz w:val="18"/>
          <w:szCs w:val="18"/>
        </w:rPr>
      </w:pPr>
    </w:p>
    <w:p>
      <w:pPr>
        <w:spacing w:line="427" w:lineRule="auto" w:before="0"/>
        <w:ind w:left="152" w:right="4494"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4"/>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宋体" w:hAnsi="宋体" w:cs="宋体" w:eastAsia="宋体" w:hint="default"/>
          <w:sz w:val="21"/>
          <w:szCs w:val="21"/>
        </w:rPr>
        <w:t>不适用</w:t>
      </w:r>
      <w:r>
        <w:rPr>
          <w:rFonts w:ascii="宋体" w:hAnsi="宋体" w:cs="宋体" w:eastAsia="宋体" w:hint="default"/>
          <w:spacing w:val="-99"/>
          <w:sz w:val="21"/>
          <w:szCs w:val="21"/>
        </w:rPr>
        <w:t> </w:t>
      </w:r>
      <w:r>
        <w:rPr>
          <w:rFonts w:ascii="宋体" w:hAnsi="宋体" w:cs="宋体" w:eastAsia="宋体" w:hint="default"/>
          <w:spacing w:val="-2"/>
          <w:sz w:val="21"/>
          <w:szCs w:val="21"/>
        </w:rPr>
        <w:t>组合中，按账龄分析法计提坏账准备的其他应收款：</w:t>
      </w:r>
    </w:p>
    <w:p>
      <w:pPr>
        <w:spacing w:before="77"/>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3"/>
        <w:rPr>
          <w:rFonts w:ascii="宋体" w:hAnsi="宋体" w:cs="宋体" w:eastAsia="宋体" w:hint="default"/>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470"/>
        <w:gridCol w:w="2307"/>
        <w:gridCol w:w="2391"/>
        <w:gridCol w:w="2389"/>
      </w:tblGrid>
      <w:tr>
        <w:trPr>
          <w:trHeight w:val="206" w:hRule="exact"/>
        </w:trPr>
        <w:tc>
          <w:tcPr>
            <w:tcW w:w="2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0"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47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604,840.53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5,012,000.00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250,600.00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r>
      <w:tr>
        <w:trPr>
          <w:trHeight w:val="404"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w:t>
            </w:r>
          </w:p>
        </w:tc>
      </w:tr>
      <w:tr>
        <w:trPr>
          <w:trHeight w:val="401"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4,205,123.93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4,205,123.93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r>
      <w:tr>
        <w:trPr>
          <w:trHeight w:val="403"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9,822,964.46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4,455,823.93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组合中，采用余额百分比法计提坏账准备的其他应收款：</w:t>
      </w:r>
    </w:p>
    <w:p>
      <w:pPr>
        <w:spacing w:line="240" w:lineRule="auto" w:before="6"/>
        <w:rPr>
          <w:rFonts w:ascii="宋体" w:hAnsi="宋体" w:cs="宋体" w:eastAsia="宋体" w:hint="default"/>
          <w:sz w:val="18"/>
          <w:szCs w:val="18"/>
        </w:rPr>
      </w:pPr>
    </w:p>
    <w:p>
      <w:pPr>
        <w:spacing w:line="427" w:lineRule="auto" w:before="0"/>
        <w:ind w:left="152" w:right="4494"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4"/>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宋体" w:hAnsi="宋体" w:cs="宋体" w:eastAsia="宋体" w:hint="default"/>
          <w:sz w:val="21"/>
          <w:szCs w:val="21"/>
        </w:rPr>
        <w:t>不适用</w:t>
      </w:r>
      <w:r>
        <w:rPr>
          <w:rFonts w:ascii="宋体" w:hAnsi="宋体" w:cs="宋体" w:eastAsia="宋体" w:hint="default"/>
          <w:spacing w:val="-99"/>
          <w:sz w:val="21"/>
          <w:szCs w:val="21"/>
        </w:rPr>
        <w:t> </w:t>
      </w:r>
      <w:r>
        <w:rPr>
          <w:rFonts w:ascii="宋体" w:hAnsi="宋体" w:cs="宋体" w:eastAsia="宋体" w:hint="default"/>
          <w:spacing w:val="-2"/>
          <w:sz w:val="21"/>
          <w:szCs w:val="21"/>
        </w:rPr>
        <w:t>组合中，采用其他方法计提坏账准备的其他应收款：</w:t>
      </w:r>
    </w:p>
    <w:p>
      <w:pPr>
        <w:spacing w:before="77"/>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4"/>
        <w:rPr>
          <w:rFonts w:ascii="宋体" w:hAnsi="宋体" w:cs="宋体" w:eastAsia="宋体" w:hint="default"/>
          <w:sz w:val="17"/>
          <w:szCs w:val="17"/>
        </w:rPr>
      </w:pPr>
    </w:p>
    <w:p>
      <w:pPr>
        <w:spacing w:line="297" w:lineRule="auto" w:before="0"/>
        <w:ind w:left="152" w:right="0" w:firstLine="425"/>
        <w:jc w:val="left"/>
        <w:rPr>
          <w:rFonts w:ascii="宋体" w:hAnsi="宋体" w:cs="宋体" w:eastAsia="宋体" w:hint="default"/>
          <w:sz w:val="21"/>
          <w:szCs w:val="21"/>
        </w:rPr>
      </w:pPr>
      <w:r>
        <w:rPr>
          <w:rFonts w:ascii="宋体" w:hAnsi="宋体" w:cs="宋体" w:eastAsia="宋体" w:hint="default"/>
          <w:spacing w:val="-2"/>
          <w:sz w:val="21"/>
          <w:szCs w:val="21"/>
        </w:rPr>
        <w:t>根据公司信用风险特征组合计提坏账准备的方法，集团内借款及保证金期末余额为</w:t>
      </w:r>
      <w:r>
        <w:rPr>
          <w:rFonts w:ascii="Arial" w:hAnsi="Arial" w:cs="Arial" w:eastAsia="Arial" w:hint="default"/>
          <w:spacing w:val="-2"/>
          <w:sz w:val="21"/>
          <w:szCs w:val="21"/>
        </w:rPr>
        <w:t>105,763,202.39</w:t>
      </w:r>
      <w:r>
        <w:rPr>
          <w:rFonts w:ascii="Arial" w:hAnsi="Arial" w:cs="Arial" w:eastAsia="Arial" w:hint="default"/>
          <w:w w:val="100"/>
          <w:sz w:val="21"/>
          <w:szCs w:val="21"/>
        </w:rPr>
        <w:t> </w:t>
      </w:r>
      <w:r>
        <w:rPr>
          <w:rFonts w:ascii="宋体" w:hAnsi="宋体" w:cs="宋体" w:eastAsia="宋体" w:hint="default"/>
          <w:sz w:val="21"/>
          <w:szCs w:val="21"/>
        </w:rPr>
        <w:t>元，不计提坏账；备用金期末余额</w:t>
      </w:r>
      <w:r>
        <w:rPr>
          <w:rFonts w:ascii="Arial" w:hAnsi="Arial" w:cs="Arial" w:eastAsia="Arial" w:hint="default"/>
          <w:sz w:val="21"/>
          <w:szCs w:val="21"/>
        </w:rPr>
        <w:t>11,143.00</w:t>
      </w:r>
      <w:r>
        <w:rPr>
          <w:rFonts w:ascii="宋体" w:hAnsi="宋体" w:cs="宋体" w:eastAsia="宋体" w:hint="default"/>
          <w:sz w:val="21"/>
          <w:szCs w:val="21"/>
        </w:rPr>
        <w:t>元，不计提坏账。</w:t>
      </w:r>
    </w:p>
    <w:p>
      <w:pPr>
        <w:spacing w:line="482" w:lineRule="auto" w:before="192"/>
        <w:ind w:left="578" w:right="0" w:hanging="42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2"/>
          <w:sz w:val="21"/>
          <w:szCs w:val="21"/>
        </w:rPr>
        <w:t>本期计提坏账准备金额</w:t>
      </w:r>
      <w:r>
        <w:rPr>
          <w:rFonts w:ascii="Arial" w:hAnsi="Arial" w:cs="Arial" w:eastAsia="Arial" w:hint="default"/>
          <w:spacing w:val="-2"/>
          <w:sz w:val="21"/>
          <w:szCs w:val="21"/>
        </w:rPr>
        <w:t>445,197.25</w:t>
      </w:r>
      <w:r>
        <w:rPr>
          <w:rFonts w:ascii="宋体" w:hAnsi="宋体" w:cs="宋体" w:eastAsia="宋体" w:hint="default"/>
          <w:spacing w:val="-2"/>
          <w:sz w:val="21"/>
          <w:szCs w:val="21"/>
        </w:rPr>
        <w:t>元；本期收回或转回坏账准备金额</w:t>
      </w:r>
      <w:r>
        <w:rPr>
          <w:rFonts w:ascii="Arial" w:hAnsi="Arial" w:cs="Arial" w:eastAsia="Arial" w:hint="default"/>
          <w:spacing w:val="-2"/>
          <w:sz w:val="21"/>
          <w:szCs w:val="21"/>
        </w:rPr>
        <w:t>0.00</w:t>
      </w:r>
      <w:r>
        <w:rPr>
          <w:rFonts w:ascii="宋体" w:hAnsi="宋体" w:cs="宋体" w:eastAsia="宋体" w:hint="default"/>
          <w:spacing w:val="-2"/>
          <w:sz w:val="21"/>
          <w:szCs w:val="21"/>
        </w:rPr>
        <w:t>元。</w:t>
      </w:r>
    </w:p>
    <w:p>
      <w:pPr>
        <w:spacing w:after="0" w:line="482" w:lineRule="auto"/>
        <w:jc w:val="left"/>
        <w:rPr>
          <w:rFonts w:ascii="宋体" w:hAnsi="宋体" w:cs="宋体" w:eastAsia="宋体" w:hint="default"/>
          <w:sz w:val="21"/>
          <w:szCs w:val="21"/>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）其他应收款按款项性质分类情况</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68"/>
        <w:gridCol w:w="3101"/>
        <w:gridCol w:w="3099"/>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3,697,923.93</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3,697,923.93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470,200.00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500,200.00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11,143.00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166,976.62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38,891.30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1,525,602.15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集团内借款及保证金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105,763,202.39</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53,796,375.00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股权收购补偿款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5,000,000.00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6,000,000.00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615,949.23</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213,266.33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115,597,309.85</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65,900,344.03</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）按欠款方归集的期末余额前五名的其他应收款情况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552"/>
        <w:gridCol w:w="1419"/>
        <w:gridCol w:w="1416"/>
        <w:gridCol w:w="953"/>
        <w:gridCol w:w="1615"/>
        <w:gridCol w:w="1616"/>
      </w:tblGrid>
      <w:tr>
        <w:trPr>
          <w:trHeight w:val="715"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华宇金信（北京）软件有限公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spacing w:val="-1"/>
                <w:sz w:val="18"/>
              </w:rPr>
              <w:t>51,941,410.96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44.93%</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华宇（大连）信息服务有限公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spacing w:val="-1"/>
                <w:sz w:val="18"/>
              </w:rPr>
              <w:t>48,500,000.00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41.96%</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5,321,791.43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4.60%</w:t>
            </w:r>
            <w:r>
              <w:rPr>
                <w:rFonts w:ascii="Arial"/>
                <w:sz w:val="18"/>
              </w:rPr>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蒋延春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股权收购补偿款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5,000,000.00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4.33%</w:t>
            </w:r>
            <w:r>
              <w:rPr>
                <w:rFonts w:ascii="Arial"/>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250,000.00</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履约保证金、投 标保证金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spacing w:val="-1"/>
                <w:sz w:val="18"/>
              </w:rPr>
              <w:t>1,303,399.38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1.13%</w:t>
            </w:r>
            <w:r>
              <w:rPr>
                <w:rFonts w:ascii="Arial"/>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1,303,399.38</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c>
          <w:tcPr>
            <w:tcW w:w="14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0"/>
              <w:ind w:right="5"/>
              <w:jc w:val="right"/>
              <w:rPr>
                <w:rFonts w:ascii="Arial" w:hAnsi="Arial" w:cs="Arial" w:eastAsia="Arial" w:hint="default"/>
                <w:sz w:val="18"/>
                <w:szCs w:val="18"/>
              </w:rPr>
            </w:pPr>
            <w:r>
              <w:rPr>
                <w:rFonts w:ascii="Arial"/>
                <w:spacing w:val="-2"/>
                <w:sz w:val="18"/>
              </w:rPr>
              <w:t>112,066,601.77</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96.95%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1,553,399.38</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64"/>
        <w:gridCol w:w="1713"/>
        <w:gridCol w:w="852"/>
        <w:gridCol w:w="1702"/>
        <w:gridCol w:w="1558"/>
        <w:gridCol w:w="850"/>
        <w:gridCol w:w="1635"/>
      </w:tblGrid>
      <w:tr>
        <w:trPr>
          <w:trHeight w:val="206" w:hRule="exact"/>
        </w:trPr>
        <w:tc>
          <w:tcPr>
            <w:tcW w:w="126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67" w:type="dxa"/>
            <w:gridSpan w:val="3"/>
            <w:vMerge/>
            <w:tcBorders>
              <w:left w:val="single" w:sz="4" w:space="0" w:color="000000"/>
              <w:bottom w:val="single" w:sz="4" w:space="0" w:color="000000"/>
              <w:right w:val="single" w:sz="4" w:space="0" w:color="000000"/>
            </w:tcBorders>
            <w:shd w:val="clear" w:color="auto" w:fill="D2D2D2"/>
          </w:tcPr>
          <w:p>
            <w:pPr/>
          </w:p>
        </w:tc>
        <w:tc>
          <w:tcPr>
            <w:tcW w:w="404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264" w:type="dxa"/>
            <w:vMerge/>
            <w:tcBorders>
              <w:left w:val="single" w:sz="4" w:space="0" w:color="000000"/>
              <w:bottom w:val="nil" w:sz="6" w:space="0" w:color="auto"/>
              <w:right w:val="single" w:sz="4" w:space="0" w:color="000000"/>
            </w:tcBorders>
            <w:shd w:val="clear" w:color="auto" w:fill="D2D2D2"/>
          </w:tcPr>
          <w:p>
            <w:pPr/>
          </w:p>
        </w:tc>
        <w:tc>
          <w:tcPr>
            <w:tcW w:w="1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2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63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2,518,972,667.33</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2,518,972,667.33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1,006,527,882.20</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1,006,527,882.20</w:t>
            </w:r>
          </w:p>
        </w:tc>
      </w:tr>
      <w:tr>
        <w:trPr>
          <w:trHeight w:val="715" w:hRule="exact"/>
        </w:trPr>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8"/>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44,153,586.61</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44,153,586.61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37,149,103.35</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37,149,103.35</w:t>
            </w:r>
          </w:p>
        </w:tc>
      </w:tr>
      <w:tr>
        <w:trPr>
          <w:trHeight w:val="403" w:hRule="exact"/>
        </w:trPr>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2,563,126,253.94</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2,563,126,253.94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1,043,676,985.55</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1,043,676,985.55</w:t>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）对子公司投资</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410"/>
        <w:gridCol w:w="1561"/>
        <w:gridCol w:w="1560"/>
        <w:gridCol w:w="1133"/>
        <w:gridCol w:w="1561"/>
        <w:gridCol w:w="708"/>
        <w:gridCol w:w="636"/>
      </w:tblGrid>
      <w:tr>
        <w:trPr>
          <w:trHeight w:val="1027"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5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41"/>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北京亿信华辰软件有限责任公 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35,397,714.12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771,856.96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36,169,571.08</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广州华宇信息技术有限公司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48,192,931.66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732,159.35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48,925,091.01</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广州数字方舟信息技术股份有 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75,864.85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403,999.55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479,864.40</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2"/>
                <w:sz w:val="18"/>
              </w:rPr>
              <w:t>112,083,151.16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8,941,026.02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121,024,177.18</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华宇金信（北京）软件有限公 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203,023,661.08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196,695.98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203,220,357.06</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华宇金信（深圳）信息技术有 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2,648.01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13,657.98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16,305.99</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华宇（大连）信息服务有限公 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120,679,082.62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1,460,124.47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122,139,207.09</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6,120,000.00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6,120,000.00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上海浦东华宇信息技术有限公 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151,197,436.71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1,517,130.05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152,714,566.76</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319,706,944.26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208,723.37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319,915,667.63</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合肥万户网络技术有限公司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26,561.14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811,156.08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837,717.22</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上海万户网络技术有限公司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11,078.40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202,806.84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213,885.24</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北京华宇元典信息服务有限公 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6,010,808.19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6,435,448.48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12,446,256.67</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北京华宇科创投资有限公司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 w:right="0"/>
              <w:jc w:val="center"/>
              <w:rPr>
                <w:rFonts w:ascii="Arial" w:hAnsi="Arial" w:cs="Arial" w:eastAsia="Arial" w:hint="default"/>
                <w:sz w:val="18"/>
                <w:szCs w:val="18"/>
              </w:rPr>
            </w:pPr>
            <w:r>
              <w:rPr>
                <w:rFonts w:ascii="Arial"/>
                <w:sz w:val="18"/>
              </w:rPr>
              <w:t>4,000,000.00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溯源云（北京）科技服务有限 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6,750,000.00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6,750,000.00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1,488,000,000.00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1,488,000,000.00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1,006,527,882.20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1,516,444,785.13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 w:right="0"/>
              <w:jc w:val="center"/>
              <w:rPr>
                <w:rFonts w:ascii="Arial" w:hAnsi="Arial" w:cs="Arial" w:eastAsia="Arial" w:hint="default"/>
                <w:sz w:val="18"/>
                <w:szCs w:val="18"/>
              </w:rPr>
            </w:pPr>
            <w:r>
              <w:rPr>
                <w:rFonts w:ascii="Arial"/>
                <w:sz w:val="18"/>
              </w:rPr>
              <w:t>4,000,000.00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2,518,972,667.33</w:t>
            </w:r>
          </w:p>
        </w:tc>
        <w:tc>
          <w:tcPr>
            <w:tcW w:w="70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）对联营、合营企业投资</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75"/>
        <w:gridCol w:w="1277"/>
        <w:gridCol w:w="425"/>
        <w:gridCol w:w="425"/>
        <w:gridCol w:w="994"/>
        <w:gridCol w:w="708"/>
        <w:gridCol w:w="1136"/>
        <w:gridCol w:w="850"/>
        <w:gridCol w:w="425"/>
        <w:gridCol w:w="286"/>
        <w:gridCol w:w="1275"/>
        <w:gridCol w:w="499"/>
      </w:tblGrid>
      <w:tr>
        <w:trPr>
          <w:trHeight w:val="401" w:hRule="exact"/>
        </w:trPr>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4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4" w:right="6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36"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9"/>
              <w:ind w:left="28" w:right="2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9"/>
              <w:ind w:left="28" w:right="2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314" w:lineRule="auto"/>
              <w:ind w:left="40" w:right="41"/>
              <w:jc w:val="left"/>
              <w:rPr>
                <w:rFonts w:ascii="宋体" w:hAnsi="宋体" w:cs="宋体" w:eastAsia="宋体" w:hint="default"/>
                <w:sz w:val="18"/>
                <w:szCs w:val="18"/>
              </w:rPr>
            </w:pPr>
            <w:r>
              <w:rPr>
                <w:rFonts w:ascii="宋体" w:hAnsi="宋体" w:cs="宋体" w:eastAsia="宋体" w:hint="default"/>
                <w:sz w:val="18"/>
                <w:szCs w:val="18"/>
              </w:rPr>
              <w:t>权益法下确 认的投资损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9"/>
              <w:ind w:left="473" w:right="111" w:hanging="361"/>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314" w:lineRule="auto"/>
              <w:ind w:left="60" w:right="59"/>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计提 减值</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9"/>
              <w:ind w:left="48"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275"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275"/>
        <w:gridCol w:w="1277"/>
        <w:gridCol w:w="425"/>
        <w:gridCol w:w="425"/>
        <w:gridCol w:w="994"/>
        <w:gridCol w:w="708"/>
        <w:gridCol w:w="1136"/>
        <w:gridCol w:w="850"/>
        <w:gridCol w:w="425"/>
        <w:gridCol w:w="286"/>
        <w:gridCol w:w="1275"/>
        <w:gridCol w:w="499"/>
      </w:tblGrid>
      <w:tr>
        <w:trPr>
          <w:trHeight w:val="36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深圳市捷视飞 通科技股份有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37,149,103.35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 w:right="0"/>
              <w:jc w:val="center"/>
              <w:rPr>
                <w:rFonts w:ascii="Arial" w:hAnsi="Arial" w:cs="Arial" w:eastAsia="Arial" w:hint="default"/>
                <w:sz w:val="18"/>
                <w:szCs w:val="18"/>
              </w:rPr>
            </w:pPr>
            <w:r>
              <w:rPr>
                <w:rFonts w:ascii="Arial"/>
                <w:sz w:val="18"/>
              </w:rPr>
              <w:t>877,182.63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center"/>
              <w:rPr>
                <w:rFonts w:ascii="Arial" w:hAnsi="Arial" w:cs="Arial" w:eastAsia="Arial" w:hint="default"/>
                <w:sz w:val="18"/>
                <w:szCs w:val="18"/>
              </w:rPr>
            </w:pPr>
            <w:r>
              <w:rPr>
                <w:rFonts w:ascii="Arial"/>
                <w:sz w:val="18"/>
              </w:rPr>
              <w:t>6,127,300.63</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44,153,586.61</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37,149,103.35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center"/>
              <w:rPr>
                <w:rFonts w:ascii="Arial" w:hAnsi="Arial" w:cs="Arial" w:eastAsia="Arial" w:hint="default"/>
                <w:sz w:val="18"/>
                <w:szCs w:val="18"/>
              </w:rPr>
            </w:pPr>
            <w:r>
              <w:rPr>
                <w:rFonts w:ascii="Arial"/>
                <w:sz w:val="18"/>
              </w:rPr>
              <w:t>877,182.63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 w:right="0"/>
              <w:jc w:val="center"/>
              <w:rPr>
                <w:rFonts w:ascii="Arial" w:hAnsi="Arial" w:cs="Arial" w:eastAsia="Arial" w:hint="default"/>
                <w:sz w:val="18"/>
                <w:szCs w:val="18"/>
              </w:rPr>
            </w:pPr>
            <w:r>
              <w:rPr>
                <w:rFonts w:ascii="Arial"/>
                <w:sz w:val="18"/>
              </w:rPr>
              <w:t>6,127,300.63</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44,153,586.61</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37,149,103.35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center"/>
              <w:rPr>
                <w:rFonts w:ascii="Arial" w:hAnsi="Arial" w:cs="Arial" w:eastAsia="Arial" w:hint="default"/>
                <w:sz w:val="18"/>
                <w:szCs w:val="18"/>
              </w:rPr>
            </w:pPr>
            <w:r>
              <w:rPr>
                <w:rFonts w:ascii="Arial"/>
                <w:sz w:val="18"/>
              </w:rPr>
              <w:t>877,182.63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 w:right="0"/>
              <w:jc w:val="center"/>
              <w:rPr>
                <w:rFonts w:ascii="Arial" w:hAnsi="Arial" w:cs="Arial" w:eastAsia="Arial" w:hint="default"/>
                <w:sz w:val="18"/>
                <w:szCs w:val="18"/>
              </w:rPr>
            </w:pPr>
            <w:r>
              <w:rPr>
                <w:rFonts w:ascii="Arial"/>
                <w:sz w:val="18"/>
              </w:rPr>
              <w:t>6,127,300.63</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44,153,586.61</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83,839,378.36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19,705,693.97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112,222,154.19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42,979,002.19</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306,901.73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83,839,378.36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19,705,693.97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112,529,055.92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42,979,002.19</w:t>
            </w:r>
          </w:p>
        </w:tc>
      </w:tr>
    </w:tbl>
    <w:p>
      <w:pPr>
        <w:spacing w:line="240" w:lineRule="auto" w:before="3"/>
        <w:rPr>
          <w:rFonts w:ascii="宋体" w:hAnsi="宋体" w:cs="宋体" w:eastAsia="宋体" w:hint="default"/>
          <w:sz w:val="19"/>
          <w:szCs w:val="19"/>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、投资收益</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302"/>
        <w:gridCol w:w="3069"/>
        <w:gridCol w:w="3188"/>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877,182.63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3,271,381.94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6,877,182.63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3,271,381.94</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十六、补充资料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、当期非经常性损益明细表</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5"/>
          <w:sz w:val="21"/>
          <w:szCs w:val="21"/>
        </w:rPr>
        <w:t> </w:t>
      </w:r>
      <w:r>
        <w:rPr>
          <w:rFonts w:ascii="宋体" w:hAnsi="宋体" w:cs="宋体" w:eastAsia="宋体" w:hint="default"/>
          <w:sz w:val="21"/>
          <w:szCs w:val="21"/>
        </w:rPr>
        <w:t>不适用</w:t>
      </w:r>
    </w:p>
    <w:p>
      <w:pPr>
        <w:spacing w:line="240" w:lineRule="auto" w:before="3"/>
        <w:rPr>
          <w:rFonts w:ascii="宋体" w:hAnsi="宋体" w:cs="宋体" w:eastAsia="宋体" w:hint="default"/>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5932"/>
        <w:gridCol w:w="1994"/>
        <w:gridCol w:w="1633"/>
      </w:tblGrid>
      <w:tr>
        <w:trPr>
          <w:trHeight w:val="403"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122,938.66</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4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 或定量享受的政府补助除外）</w:t>
            </w:r>
          </w:p>
        </w:tc>
        <w:tc>
          <w:tcPr>
            <w:tcW w:w="1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15,815,965.30</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231,016.97</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-7,624,599.75</w:t>
            </w:r>
          </w:p>
        </w:tc>
        <w:tc>
          <w:tcPr>
            <w:tcW w:w="16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5956"/>
        <w:gridCol w:w="1982"/>
        <w:gridCol w:w="1633"/>
      </w:tblGrid>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1,064,882.17</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1,786,955.33</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5,693,483.68</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bl>
    <w:p>
      <w:pPr>
        <w:spacing w:line="240" w:lineRule="auto" w:before="7"/>
        <w:rPr>
          <w:rFonts w:ascii="宋体" w:hAnsi="宋体" w:cs="宋体" w:eastAsia="宋体" w:hint="default"/>
          <w:sz w:val="12"/>
          <w:szCs w:val="1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对公司根据《公开发行证券的公司信息披露解释性公告第</w:t>
      </w:r>
      <w:r>
        <w:rPr>
          <w:rFonts w:ascii="宋体" w:hAnsi="宋体" w:cs="宋体" w:eastAsia="宋体" w:hint="default"/>
          <w:spacing w:val="-57"/>
          <w:sz w:val="21"/>
          <w:szCs w:val="21"/>
        </w:rPr>
        <w:t> </w:t>
      </w:r>
      <w:r>
        <w:rPr>
          <w:rFonts w:ascii="Arial" w:hAnsi="Arial" w:cs="Arial" w:eastAsia="Arial" w:hint="default"/>
          <w:sz w:val="21"/>
          <w:szCs w:val="21"/>
        </w:rPr>
        <w:t>1</w:t>
      </w:r>
      <w:r>
        <w:rPr>
          <w:rFonts w:ascii="Arial" w:hAnsi="Arial" w:cs="Arial" w:eastAsia="Arial" w:hint="default"/>
          <w:spacing w:val="-12"/>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非经常性损益》定义界定的非经常性</w:t>
      </w:r>
    </w:p>
    <w:p>
      <w:pPr>
        <w:spacing w:line="297" w:lineRule="auto" w:before="70"/>
        <w:ind w:left="152" w:right="321" w:firstLine="0"/>
        <w:jc w:val="left"/>
        <w:rPr>
          <w:rFonts w:ascii="宋体" w:hAnsi="宋体" w:cs="宋体" w:eastAsia="宋体" w:hint="default"/>
          <w:sz w:val="21"/>
          <w:szCs w:val="21"/>
        </w:rPr>
      </w:pPr>
      <w:r>
        <w:rPr>
          <w:rFonts w:ascii="宋体" w:hAnsi="宋体" w:cs="宋体" w:eastAsia="宋体" w:hint="default"/>
          <w:sz w:val="21"/>
          <w:szCs w:val="21"/>
        </w:rPr>
        <w:t>损益项目，以及把《公开发行证券的公司信息披露解释性公告第</w:t>
      </w:r>
      <w:r>
        <w:rPr>
          <w:rFonts w:ascii="宋体" w:hAnsi="宋体" w:cs="宋体" w:eastAsia="宋体" w:hint="default"/>
          <w:spacing w:val="-58"/>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非经常性损益》中列举的非经</w:t>
      </w:r>
      <w:r>
        <w:rPr>
          <w:rFonts w:ascii="宋体" w:hAnsi="宋体" w:cs="宋体" w:eastAsia="宋体" w:hint="default"/>
          <w:w w:val="100"/>
          <w:sz w:val="21"/>
          <w:szCs w:val="21"/>
        </w:rPr>
        <w:t> </w:t>
      </w:r>
      <w:r>
        <w:rPr>
          <w:rFonts w:ascii="宋体" w:hAnsi="宋体" w:cs="宋体" w:eastAsia="宋体" w:hint="default"/>
          <w:sz w:val="21"/>
          <w:szCs w:val="21"/>
        </w:rPr>
        <w:t>常性损益项目界定为经常性损益的项目，应说明原因。</w:t>
      </w:r>
    </w:p>
    <w:p>
      <w:pPr>
        <w:spacing w:line="240" w:lineRule="auto" w:before="8"/>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4"/>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18"/>
          <w:szCs w:val="18"/>
        </w:rPr>
      </w:pPr>
    </w:p>
    <w:p>
      <w:pPr>
        <w:spacing w:before="0"/>
        <w:ind w:left="15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、净资产收益率及每股收益</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395"/>
        <w:gridCol w:w="1416"/>
        <w:gridCol w:w="1843"/>
        <w:gridCol w:w="1913"/>
      </w:tblGrid>
      <w:tr>
        <w:trPr>
          <w:trHeight w:val="206" w:hRule="exact"/>
        </w:trPr>
        <w:tc>
          <w:tcPr>
            <w:tcW w:w="4395" w:type="dxa"/>
            <w:vMerge w:val="restart"/>
            <w:tcBorders>
              <w:top w:val="single" w:sz="4" w:space="0" w:color="000000"/>
              <w:left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75" w:hRule="exact"/>
        </w:trPr>
        <w:tc>
          <w:tcPr>
            <w:tcW w:w="4395"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4" w:right="70"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757" w:type="dxa"/>
            <w:gridSpan w:val="2"/>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43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16" w:type="dxa"/>
            <w:vMerge/>
            <w:tcBorders>
              <w:left w:val="single" w:sz="4" w:space="0" w:color="000000"/>
              <w:right w:val="single" w:sz="4" w:space="0" w:color="000000"/>
            </w:tcBorders>
            <w:shd w:val="clear" w:color="auto" w:fill="D2D2D2"/>
          </w:tcPr>
          <w:p>
            <w:pP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71"/>
              <w:ind w:left="739" w:right="166" w:hanging="564"/>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股）</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4395"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宋体" w:hAnsi="宋体" w:cs="宋体" w:eastAsia="宋体" w:hint="default"/>
                <w:sz w:val="18"/>
                <w:szCs w:val="18"/>
              </w:rPr>
              <w:t>股）</w:t>
            </w:r>
          </w:p>
        </w:tc>
      </w:tr>
      <w:tr>
        <w:trPr>
          <w:trHeight w:val="179" w:hRule="exact"/>
        </w:trPr>
        <w:tc>
          <w:tcPr>
            <w:tcW w:w="4395"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843"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4395"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0.58</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0.57</w:t>
            </w:r>
            <w:r>
              <w:rPr>
                <w:rFonts w:ascii="Arial"/>
                <w:sz w:val="18"/>
              </w:rPr>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w w:val="95"/>
                <w:sz w:val="18"/>
              </w:rPr>
              <w:t>0.57</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0.56</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80" w:top="110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p>
      <w:pPr>
        <w:pStyle w:val="Heading1"/>
        <w:spacing w:line="456" w:lineRule="exact"/>
        <w:ind w:left="3285" w:right="0"/>
        <w:jc w:val="left"/>
        <w:rPr>
          <w:b w:val="0"/>
          <w:bCs w:val="0"/>
        </w:rPr>
      </w:pPr>
      <w:bookmarkStart w:name="_bookmark10" w:id="11"/>
      <w:bookmarkEnd w:id="11"/>
      <w:r>
        <w:rPr>
          <w:b w:val="0"/>
          <w:bCs w:val="0"/>
        </w:rPr>
      </w:r>
      <w:r>
        <w:rPr/>
        <w:t>第十二节 </w:t>
      </w:r>
      <w:r>
        <w:rPr>
          <w:spacing w:val="8"/>
        </w:rPr>
        <w:t> </w:t>
      </w:r>
      <w:r>
        <w:rPr/>
        <w:t>备查文件目录</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BodyText"/>
        <w:spacing w:line="240" w:lineRule="auto" w:before="26"/>
        <w:ind w:left="633" w:right="0"/>
        <w:jc w:val="left"/>
      </w:pPr>
      <w:r>
        <w:rPr/>
        <w:t>（一</w:t>
      </w:r>
      <w:r>
        <w:rPr>
          <w:spacing w:val="-101"/>
        </w:rPr>
        <w:t>）</w:t>
      </w:r>
      <w:r>
        <w:rPr/>
        <w:t>载有法定代表人</w:t>
      </w:r>
      <w:r>
        <w:rPr>
          <w:spacing w:val="-101"/>
        </w:rPr>
        <w:t>、</w:t>
      </w:r>
      <w:r>
        <w:rPr/>
        <w:t>主管会计工作负责人及会计机构负责人签名并盖章的会计报表。</w:t>
      </w:r>
    </w:p>
    <w:p>
      <w:pPr>
        <w:pStyle w:val="BodyText"/>
        <w:spacing w:line="240" w:lineRule="auto" w:before="154"/>
        <w:ind w:left="633" w:right="0"/>
        <w:jc w:val="left"/>
      </w:pPr>
      <w:r>
        <w:rPr/>
        <w:t>（二）载有会计师事务所盖章、注册会计师签名并盖章的审计报告原件。</w:t>
      </w:r>
    </w:p>
    <w:p>
      <w:pPr>
        <w:pStyle w:val="BodyText"/>
        <w:spacing w:line="313" w:lineRule="exact" w:before="154"/>
        <w:ind w:left="633" w:right="0"/>
        <w:jc w:val="left"/>
      </w:pPr>
      <w:r>
        <w:rPr/>
        <w:t>（三）报告期内在中国证监会指定报纸上公开披露过的所有公司文件的正本及公告的原</w:t>
      </w:r>
    </w:p>
    <w:p>
      <w:pPr>
        <w:pStyle w:val="BodyText"/>
        <w:spacing w:line="313" w:lineRule="exact"/>
        <w:ind w:right="0"/>
        <w:jc w:val="left"/>
      </w:pPr>
      <w:r>
        <w:rPr/>
        <w:t>稿。</w:t>
      </w:r>
    </w:p>
    <w:p>
      <w:pPr>
        <w:pStyle w:val="BodyText"/>
        <w:spacing w:line="240" w:lineRule="auto" w:before="154"/>
        <w:ind w:left="633" w:right="0"/>
        <w:jc w:val="left"/>
      </w:pPr>
      <w:r>
        <w:rPr/>
        <w:t>（四）载有法定代表人签名的</w:t>
      </w:r>
      <w:r>
        <w:rPr>
          <w:rFonts w:ascii="Arial" w:hAnsi="Arial" w:cs="Arial" w:eastAsia="Arial" w:hint="default"/>
        </w:rPr>
        <w:t>2017</w:t>
      </w:r>
      <w:r>
        <w:rPr/>
        <w:t>年年度报告文本原件。</w:t>
      </w:r>
    </w:p>
    <w:p>
      <w:pPr>
        <w:pStyle w:val="BodyText"/>
        <w:spacing w:line="240" w:lineRule="auto" w:before="137"/>
        <w:ind w:left="633" w:right="0"/>
        <w:jc w:val="left"/>
      </w:pPr>
      <w:r>
        <w:rPr/>
        <w:t>（五）以上备查文件的备置地点：公司董事会办公室。</w:t>
      </w:r>
    </w:p>
    <w:sectPr>
      <w:pgSz w:w="11910" w:h="16840"/>
      <w:pgMar w:header="877" w:footer="980"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8868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86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886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820007pt;margin-top:535.333923pt;width:17.3pt;height:11pt;mso-position-horizontal-relative:page;mso-position-vertical-relative:page;z-index:-886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60022pt;margin-top:535.333923pt;width:17.7pt;height:11pt;mso-position-horizontal-relative:page;mso-position-vertical-relative:page;z-index:-886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86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86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86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146</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86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886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86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886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86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886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86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8864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2.149994pt;margin-top:36.265610pt;width:197.65pt;height:11.45pt;mso-position-horizontal-relative:page;mso-position-vertical-relative:page;z-index:-88688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7"/>
                    <w:sz w:val="18"/>
                    <w:szCs w:val="18"/>
                  </w:rPr>
                  <w:t> </w:t>
                </w: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3.51001pt;margin-top:42.865631pt;width:197.65pt;height:11.45pt;mso-position-horizontal-relative:page;mso-position-vertical-relative:page;z-index:-886312"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862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2.149994pt;margin-top:42.865608pt;width:197.65pt;height:11.45pt;mso-position-horizontal-relative:page;mso-position-vertical-relative:page;z-index:-88624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7"/>
                    <w:sz w:val="18"/>
                    <w:szCs w:val="18"/>
                  </w:rPr>
                  <w:t> </w:t>
                </w: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3.51001pt;margin-top:42.865631pt;width:197.65pt;height:11.45pt;mso-position-horizontal-relative:page;mso-position-vertical-relative:page;z-index:-88681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867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2.149994pt;margin-top:42.865608pt;width:197.65pt;height:11.45pt;mso-position-horizontal-relative:page;mso-position-vertical-relative:page;z-index:-886744"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7"/>
                    <w:sz w:val="18"/>
                    <w:szCs w:val="18"/>
                  </w:rPr>
                  <w:t> </w:t>
                </w: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3.51001pt;margin-top:42.865631pt;width:197.65pt;height:11.45pt;mso-position-horizontal-relative:page;mso-position-vertical-relative:page;z-index:-88669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866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2.149994pt;margin-top:42.865608pt;width:197.65pt;height:11.45pt;mso-position-horizontal-relative:page;mso-position-vertical-relative:page;z-index:-886624"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7"/>
                    <w:sz w:val="18"/>
                    <w:szCs w:val="18"/>
                  </w:rPr>
                  <w:t> </w:t>
                </w: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3.51001pt;margin-top:42.865631pt;width:197.65pt;height:11.45pt;mso-position-horizontal-relative:page;mso-position-vertical-relative:page;z-index:-88657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865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2.149994pt;margin-top:42.865608pt;width:197.65pt;height:11.45pt;mso-position-horizontal-relative:page;mso-position-vertical-relative:page;z-index:-886504"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7"/>
                    <w:sz w:val="18"/>
                    <w:szCs w:val="18"/>
                  </w:rPr>
                  <w:t> </w:t>
                </w: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3.51001pt;margin-top:42.865631pt;width:197.65pt;height:11.45pt;mso-position-horizontal-relative:page;mso-position-vertical-relative:page;z-index:-886384"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3.51001pt;margin-top:42.865631pt;width:197.65pt;height:27pt;mso-position-horizontal-relative:page;mso-position-vertical-relative:page;z-index:-886336" type="#_x0000_t202" filled="false" stroked="false">
          <v:textbox inset="0,0,0,0">
            <w:txbxContent>
              <w:p>
                <w:pPr>
                  <w:spacing w:line="213" w:lineRule="exact" w:before="0"/>
                  <w:ind w:left="0" w:right="18" w:firstLine="0"/>
                  <w:jc w:val="righ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年年度报告全文</w:t>
                </w:r>
              </w:p>
              <w:p>
                <w:pPr>
                  <w:spacing w:before="71"/>
                  <w:ind w:left="0" w:right="20" w:firstLine="0"/>
                  <w:jc w:val="right"/>
                  <w:rPr>
                    <w:rFonts w:ascii="宋体" w:hAnsi="宋体" w:cs="宋体" w:eastAsia="宋体" w:hint="default"/>
                    <w:sz w:val="18"/>
                    <w:szCs w:val="18"/>
                  </w:rPr>
                </w:pPr>
                <w:r>
                  <w:rPr>
                    <w:rFonts w:ascii="宋体" w:hAnsi="宋体" w:cs="宋体" w:eastAsia="宋体" w:hint="default"/>
                    <w:sz w:val="18"/>
                    <w:szCs w:val="18"/>
                  </w:rPr>
                  <w:t>单位：元</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89"/>
      <w:ind w:left="152"/>
    </w:pPr>
    <w:rPr>
      <w:rFonts w:ascii="微软雅黑" w:hAnsi="微软雅黑" w:eastAsia="微软雅黑"/>
      <w:b/>
      <w:bCs/>
      <w:sz w:val="24"/>
      <w:szCs w:val="24"/>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ind w:left="2792"/>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thunisoft.com/" TargetMode="External"/><Relationship Id="rId9" Type="http://schemas.openxmlformats.org/officeDocument/2006/relationships/hyperlink" Target="mailto:IR@thunisoft.com" TargetMode="External"/><Relationship Id="rId10" Type="http://schemas.openxmlformats.org/officeDocument/2006/relationships/hyperlink" Target="http://www.cninfo.com.cn/"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yperlink" Target="http://www.cninfo.com.c/" TargetMode="Externa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image" Target="media/image1.png"/><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header" Target="head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header" Target="header8.xml"/><Relationship Id="rId29" Type="http://schemas.openxmlformats.org/officeDocument/2006/relationships/footer" Target="footer12.xml"/><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13.xml"/><Relationship Id="rId33" Type="http://schemas.openxmlformats.org/officeDocument/2006/relationships/header" Target="header11.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2020-05-03T00:23:36Z</dcterms:created>
  <dcterms:modified xsi:type="dcterms:W3CDTF">2020-05-03T00:23:36Z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2018-04-09T00:00:00Z</vt:filetime>
  </property>
  <property fmtid="{D5CDD505-2E9C-101B-9397-08002B2CF9AE}" pid="3" name="Creator">
    <vt:lpwstr>Microsoft® Word 2013</vt:lpwstr>
  </property>
  <property fmtid="{D5CDD505-2E9C-101B-9397-08002B2CF9AE}" pid="4" name="LastSaved">
    <vt:filetime>2020-05-02T00:00:00Z</vt:filetime>
  </property>
</Properties>
</file>